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29" w:rsidRPr="008A480C" w:rsidRDefault="002E0629" w:rsidP="002E0629">
      <w:pPr>
        <w:autoSpaceDE w:val="0"/>
        <w:autoSpaceDN w:val="0"/>
        <w:adjustRightInd w:val="0"/>
        <w:rPr>
          <w:rFonts w:ascii="Gill Sans MT" w:hAnsi="Gill Sans MT" w:cs="Arial"/>
          <w:b/>
          <w:bCs/>
          <w:color w:val="999999"/>
          <w:sz w:val="20"/>
          <w:szCs w:val="20"/>
        </w:rPr>
      </w:pPr>
      <w:r w:rsidRPr="008A480C">
        <w:rPr>
          <w:rFonts w:ascii="Gill Sans MT" w:hAnsi="Gill Sans MT"/>
          <w:noProof/>
        </w:rPr>
        <w:drawing>
          <wp:anchor distT="0" distB="0" distL="114300" distR="114300" simplePos="0" relativeHeight="251659264" behindDoc="0" locked="0" layoutInCell="1" allowOverlap="0" wp14:anchorId="1BC4E42F" wp14:editId="6B729B04">
            <wp:simplePos x="0" y="0"/>
            <wp:positionH relativeFrom="column">
              <wp:posOffset>0</wp:posOffset>
            </wp:positionH>
            <wp:positionV relativeFrom="paragraph">
              <wp:posOffset>3810</wp:posOffset>
            </wp:positionV>
            <wp:extent cx="3429000" cy="342900"/>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29000" cy="342900"/>
                    </a:xfrm>
                    <a:prstGeom prst="rect">
                      <a:avLst/>
                    </a:prstGeom>
                    <a:noFill/>
                  </pic:spPr>
                </pic:pic>
              </a:graphicData>
            </a:graphic>
          </wp:anchor>
        </w:drawing>
      </w:r>
    </w:p>
    <w:p w:rsidR="00A434A9" w:rsidRDefault="00A434A9" w:rsidP="004C070F">
      <w:pPr>
        <w:spacing w:before="240" w:after="240"/>
        <w:jc w:val="center"/>
        <w:rPr>
          <w:rFonts w:ascii="Gill Sans MT" w:hAnsi="Gill Sans MT" w:cs="Gill Sans MT"/>
          <w:color w:val="023E68"/>
          <w:sz w:val="28"/>
          <w:szCs w:val="60"/>
        </w:rPr>
      </w:pPr>
    </w:p>
    <w:p w:rsidR="001D4AD4" w:rsidRPr="00490A13" w:rsidRDefault="001D4AD4" w:rsidP="00490A13">
      <w:pPr>
        <w:spacing w:before="240" w:after="240"/>
        <w:rPr>
          <w:rFonts w:ascii="Gill Sans MT" w:hAnsi="Gill Sans MT" w:cs="Gill Sans MT"/>
          <w:color w:val="023E68"/>
          <w:sz w:val="52"/>
          <w:szCs w:val="48"/>
        </w:rPr>
      </w:pPr>
      <w:r w:rsidRPr="00E547A1">
        <w:rPr>
          <w:rFonts w:ascii="Gill Sans MT" w:hAnsi="Gill Sans MT" w:cs="Gill Sans MT"/>
          <w:color w:val="023E68"/>
          <w:sz w:val="56"/>
          <w:szCs w:val="48"/>
        </w:rPr>
        <w:t xml:space="preserve">Canarias, </w:t>
      </w:r>
      <w:r w:rsidR="00E547A1" w:rsidRPr="00E547A1">
        <w:rPr>
          <w:rFonts w:ascii="Gill Sans MT" w:hAnsi="Gill Sans MT" w:cs="Gill Sans MT"/>
          <w:color w:val="023E68"/>
          <w:sz w:val="56"/>
          <w:szCs w:val="48"/>
        </w:rPr>
        <w:t>Cataluña y Madrid,</w:t>
      </w:r>
      <w:r w:rsidRPr="00E547A1">
        <w:rPr>
          <w:rFonts w:ascii="Gill Sans MT" w:hAnsi="Gill Sans MT" w:cs="Gill Sans MT"/>
          <w:color w:val="023E68"/>
          <w:sz w:val="56"/>
          <w:szCs w:val="48"/>
        </w:rPr>
        <w:t xml:space="preserve"> las regiones donde es más rentable comprar para alquilar</w:t>
      </w:r>
    </w:p>
    <w:p w:rsidR="00E547A1" w:rsidRPr="00E547A1" w:rsidRDefault="00E547A1" w:rsidP="006D6305">
      <w:pPr>
        <w:pStyle w:val="Prrafodelista"/>
        <w:numPr>
          <w:ilvl w:val="0"/>
          <w:numId w:val="1"/>
        </w:numPr>
        <w:autoSpaceDE w:val="0"/>
        <w:autoSpaceDN w:val="0"/>
        <w:adjustRightInd w:val="0"/>
        <w:spacing w:after="0" w:line="240" w:lineRule="auto"/>
        <w:jc w:val="both"/>
        <w:rPr>
          <w:rFonts w:ascii="Gill Sans MT" w:eastAsia="Times New Roman" w:hAnsi="Gill Sans MT" w:cs="Gill Sans MT"/>
          <w:sz w:val="28"/>
          <w:szCs w:val="28"/>
          <w:lang w:eastAsia="es-ES"/>
        </w:rPr>
      </w:pPr>
      <w:r w:rsidRPr="00E547A1">
        <w:rPr>
          <w:rFonts w:ascii="Gill Sans MT" w:eastAsia="Times New Roman" w:hAnsi="Gill Sans MT" w:cs="Gill Sans MT"/>
          <w:sz w:val="28"/>
          <w:szCs w:val="28"/>
          <w:lang w:eastAsia="es-ES"/>
        </w:rPr>
        <w:t>Cataluña y Madrid se posicionan como la segunda y tercera comunidad</w:t>
      </w:r>
      <w:r w:rsidR="000868D1">
        <w:rPr>
          <w:rFonts w:ascii="Gill Sans MT" w:eastAsia="Times New Roman" w:hAnsi="Gill Sans MT" w:cs="Gill Sans MT"/>
          <w:sz w:val="28"/>
          <w:szCs w:val="28"/>
          <w:lang w:eastAsia="es-ES"/>
        </w:rPr>
        <w:t>es</w:t>
      </w:r>
      <w:r w:rsidRPr="00E547A1">
        <w:rPr>
          <w:rFonts w:ascii="Gill Sans MT" w:eastAsia="Times New Roman" w:hAnsi="Gill Sans MT" w:cs="Gill Sans MT"/>
          <w:sz w:val="28"/>
          <w:szCs w:val="28"/>
          <w:lang w:eastAsia="es-ES"/>
        </w:rPr>
        <w:t xml:space="preserve"> más rentable</w:t>
      </w:r>
      <w:r w:rsidR="000868D1">
        <w:rPr>
          <w:rFonts w:ascii="Gill Sans MT" w:eastAsia="Times New Roman" w:hAnsi="Gill Sans MT" w:cs="Gill Sans MT"/>
          <w:sz w:val="28"/>
          <w:szCs w:val="28"/>
          <w:lang w:eastAsia="es-ES"/>
        </w:rPr>
        <w:t>s</w:t>
      </w:r>
      <w:r w:rsidRPr="00E547A1">
        <w:rPr>
          <w:rFonts w:ascii="Gill Sans MT" w:eastAsia="Times New Roman" w:hAnsi="Gill Sans MT" w:cs="Gill Sans MT"/>
          <w:sz w:val="28"/>
          <w:szCs w:val="28"/>
          <w:lang w:eastAsia="es-ES"/>
        </w:rPr>
        <w:t>, mientras que en 2013 ocupaban la sexta y séptima posición, respectivamente</w:t>
      </w:r>
    </w:p>
    <w:p w:rsidR="001D4AD4" w:rsidRPr="00377DF0" w:rsidRDefault="001D4AD4" w:rsidP="001D4AD4">
      <w:pPr>
        <w:pStyle w:val="Prrafodelista"/>
        <w:numPr>
          <w:ilvl w:val="0"/>
          <w:numId w:val="1"/>
        </w:numPr>
        <w:autoSpaceDE w:val="0"/>
        <w:autoSpaceDN w:val="0"/>
        <w:adjustRightInd w:val="0"/>
        <w:spacing w:after="0" w:line="240" w:lineRule="auto"/>
        <w:jc w:val="both"/>
        <w:rPr>
          <w:rFonts w:ascii="Gill Sans MT" w:eastAsia="Times New Roman" w:hAnsi="Gill Sans MT" w:cs="Gill Sans MT"/>
          <w:sz w:val="28"/>
          <w:szCs w:val="28"/>
          <w:lang w:eastAsia="es-ES"/>
        </w:rPr>
      </w:pPr>
      <w:r w:rsidRPr="00377DF0">
        <w:rPr>
          <w:rFonts w:ascii="Gill Sans MT" w:eastAsia="Times New Roman" w:hAnsi="Gill Sans MT" w:cs="Gill Sans MT"/>
          <w:sz w:val="28"/>
          <w:szCs w:val="28"/>
          <w:lang w:eastAsia="es-ES"/>
        </w:rPr>
        <w:t>En España, adquirir una vivienda para alquilarla</w:t>
      </w:r>
      <w:r w:rsidR="00E547A1">
        <w:rPr>
          <w:rFonts w:ascii="Gill Sans MT" w:eastAsia="Times New Roman" w:hAnsi="Gill Sans MT" w:cs="Gill Sans MT"/>
          <w:sz w:val="28"/>
          <w:szCs w:val="28"/>
          <w:lang w:eastAsia="es-ES"/>
        </w:rPr>
        <w:t xml:space="preserve"> ofrece una rentabilidad del 5</w:t>
      </w:r>
      <w:r w:rsidRPr="00377DF0">
        <w:rPr>
          <w:rFonts w:ascii="Gill Sans MT" w:eastAsia="Times New Roman" w:hAnsi="Gill Sans MT" w:cs="Gill Sans MT"/>
          <w:sz w:val="28"/>
          <w:szCs w:val="28"/>
          <w:lang w:eastAsia="es-ES"/>
        </w:rPr>
        <w:t>%</w:t>
      </w:r>
    </w:p>
    <w:p w:rsidR="001D4AD4" w:rsidRPr="00377DF0" w:rsidRDefault="001D4AD4" w:rsidP="001D4AD4">
      <w:pPr>
        <w:pStyle w:val="Prrafodelista"/>
        <w:numPr>
          <w:ilvl w:val="0"/>
          <w:numId w:val="1"/>
        </w:numPr>
        <w:autoSpaceDE w:val="0"/>
        <w:autoSpaceDN w:val="0"/>
        <w:adjustRightInd w:val="0"/>
        <w:spacing w:after="0" w:line="240" w:lineRule="auto"/>
        <w:jc w:val="both"/>
        <w:rPr>
          <w:rFonts w:ascii="Gill Sans MT" w:eastAsia="Times New Roman" w:hAnsi="Gill Sans MT" w:cs="Gill Sans MT"/>
          <w:sz w:val="28"/>
          <w:szCs w:val="28"/>
          <w:lang w:eastAsia="es-ES"/>
        </w:rPr>
      </w:pPr>
      <w:r w:rsidRPr="00377DF0">
        <w:rPr>
          <w:rFonts w:ascii="Gill Sans MT" w:eastAsia="Times New Roman" w:hAnsi="Gill Sans MT" w:cs="Gill Sans MT"/>
          <w:sz w:val="28"/>
          <w:szCs w:val="28"/>
          <w:lang w:eastAsia="es-ES"/>
        </w:rPr>
        <w:t>Se tarda una media de 2</w:t>
      </w:r>
      <w:r w:rsidR="00E547A1">
        <w:rPr>
          <w:rFonts w:ascii="Gill Sans MT" w:eastAsia="Times New Roman" w:hAnsi="Gill Sans MT" w:cs="Gill Sans MT"/>
          <w:sz w:val="28"/>
          <w:szCs w:val="28"/>
          <w:lang w:eastAsia="es-ES"/>
        </w:rPr>
        <w:t>0</w:t>
      </w:r>
      <w:r w:rsidRPr="00377DF0">
        <w:rPr>
          <w:rFonts w:ascii="Gill Sans MT" w:eastAsia="Times New Roman" w:hAnsi="Gill Sans MT" w:cs="Gill Sans MT"/>
          <w:sz w:val="28"/>
          <w:szCs w:val="28"/>
          <w:lang w:eastAsia="es-ES"/>
        </w:rPr>
        <w:t xml:space="preserve"> años en recuperar la inversión inicial</w:t>
      </w:r>
    </w:p>
    <w:p w:rsidR="00A434A9" w:rsidRPr="00AB4675" w:rsidRDefault="00AB4675" w:rsidP="00452BFF">
      <w:pPr>
        <w:numPr>
          <w:ilvl w:val="0"/>
          <w:numId w:val="1"/>
        </w:numPr>
        <w:autoSpaceDE w:val="0"/>
        <w:autoSpaceDN w:val="0"/>
        <w:adjustRightInd w:val="0"/>
        <w:jc w:val="both"/>
        <w:rPr>
          <w:rFonts w:ascii="Gill Sans MT" w:hAnsi="Gill Sans MT" w:cs="Gill Sans MT"/>
          <w:sz w:val="28"/>
          <w:szCs w:val="28"/>
        </w:rPr>
      </w:pPr>
      <w:r w:rsidRPr="00AB4675">
        <w:rPr>
          <w:rFonts w:ascii="Gill Sans MT" w:hAnsi="Gill Sans MT" w:cs="Gill Sans MT"/>
          <w:sz w:val="28"/>
          <w:szCs w:val="28"/>
        </w:rPr>
        <w:t>A Coruña</w:t>
      </w:r>
      <w:r w:rsidR="001D4AD4" w:rsidRPr="00AB4675">
        <w:rPr>
          <w:rFonts w:ascii="Gill Sans MT" w:hAnsi="Gill Sans MT" w:cs="Gill Sans MT"/>
          <w:sz w:val="28"/>
          <w:szCs w:val="28"/>
        </w:rPr>
        <w:t xml:space="preserve"> es la capital de provincia donde menos compensa comprar una vivienda para </w:t>
      </w:r>
      <w:r w:rsidR="000868D1">
        <w:rPr>
          <w:rFonts w:ascii="Gill Sans MT" w:hAnsi="Gill Sans MT" w:cs="Gill Sans MT"/>
          <w:sz w:val="28"/>
          <w:szCs w:val="28"/>
        </w:rPr>
        <w:t>ponerla en alquiler</w:t>
      </w:r>
    </w:p>
    <w:p w:rsidR="002E0629" w:rsidRDefault="002E0629" w:rsidP="002E0629">
      <w:pPr>
        <w:autoSpaceDE w:val="0"/>
        <w:autoSpaceDN w:val="0"/>
        <w:adjustRightInd w:val="0"/>
        <w:jc w:val="both"/>
        <w:rPr>
          <w:rFonts w:ascii="Gill Sans MT" w:hAnsi="Gill Sans MT" w:cs="Gill Sans MT"/>
          <w:b/>
          <w:bCs/>
          <w:color w:val="999999"/>
        </w:rPr>
      </w:pPr>
    </w:p>
    <w:p w:rsidR="00162489" w:rsidRDefault="00162489" w:rsidP="002E0629">
      <w:pPr>
        <w:autoSpaceDE w:val="0"/>
        <w:autoSpaceDN w:val="0"/>
        <w:adjustRightInd w:val="0"/>
        <w:jc w:val="both"/>
        <w:rPr>
          <w:rFonts w:ascii="Gill Sans MT" w:hAnsi="Gill Sans MT" w:cs="Gill Sans MT"/>
          <w:b/>
          <w:bCs/>
          <w:color w:val="999999"/>
        </w:rPr>
      </w:pPr>
    </w:p>
    <w:p w:rsidR="002E0629" w:rsidRDefault="002E0629" w:rsidP="002E0629">
      <w:pPr>
        <w:autoSpaceDE w:val="0"/>
        <w:autoSpaceDN w:val="0"/>
        <w:adjustRightInd w:val="0"/>
        <w:jc w:val="both"/>
        <w:rPr>
          <w:rFonts w:ascii="Gill Sans MT" w:hAnsi="Gill Sans MT" w:cs="Gill Sans MT"/>
          <w:b/>
          <w:bCs/>
          <w:color w:val="999999"/>
        </w:rPr>
      </w:pPr>
      <w:r>
        <w:rPr>
          <w:rFonts w:ascii="Gill Sans MT" w:hAnsi="Gill Sans MT" w:cs="Gill Sans MT"/>
          <w:b/>
          <w:bCs/>
          <w:color w:val="999999"/>
        </w:rPr>
        <w:t xml:space="preserve">Madrid, </w:t>
      </w:r>
      <w:r w:rsidR="00E547A1">
        <w:rPr>
          <w:rFonts w:ascii="Gill Sans MT" w:hAnsi="Gill Sans MT" w:cs="Gill Sans MT"/>
          <w:b/>
          <w:bCs/>
          <w:color w:val="999999"/>
        </w:rPr>
        <w:t>2</w:t>
      </w:r>
      <w:r w:rsidR="00C4707D">
        <w:rPr>
          <w:rFonts w:ascii="Gill Sans MT" w:hAnsi="Gill Sans MT" w:cs="Gill Sans MT"/>
          <w:b/>
          <w:bCs/>
          <w:color w:val="999999"/>
        </w:rPr>
        <w:t>5</w:t>
      </w:r>
      <w:r>
        <w:rPr>
          <w:rFonts w:ascii="Gill Sans MT" w:hAnsi="Gill Sans MT" w:cs="Gill Sans MT"/>
          <w:b/>
          <w:bCs/>
          <w:color w:val="999999"/>
        </w:rPr>
        <w:t xml:space="preserve"> de noviembre de 201</w:t>
      </w:r>
      <w:r w:rsidR="00E547A1">
        <w:rPr>
          <w:rFonts w:ascii="Gill Sans MT" w:hAnsi="Gill Sans MT" w:cs="Gill Sans MT"/>
          <w:b/>
          <w:bCs/>
          <w:color w:val="999999"/>
        </w:rPr>
        <w:t>4</w:t>
      </w:r>
    </w:p>
    <w:p w:rsidR="002E0629" w:rsidRDefault="002E0629" w:rsidP="002E0629">
      <w:pPr>
        <w:autoSpaceDE w:val="0"/>
        <w:autoSpaceDN w:val="0"/>
        <w:adjustRightInd w:val="0"/>
        <w:jc w:val="both"/>
        <w:rPr>
          <w:rFonts w:ascii="Gill Sans MT" w:hAnsi="Gill Sans MT" w:cs="Gill Sans MT"/>
          <w:bCs/>
        </w:rPr>
      </w:pPr>
    </w:p>
    <w:p w:rsidR="00363F09" w:rsidRDefault="001D4AD4" w:rsidP="001D4AD4">
      <w:pPr>
        <w:autoSpaceDE w:val="0"/>
        <w:autoSpaceDN w:val="0"/>
        <w:adjustRightInd w:val="0"/>
        <w:jc w:val="both"/>
        <w:rPr>
          <w:rFonts w:ascii="Gill Sans MT" w:hAnsi="Gill Sans MT" w:cs="Gill Sans MT"/>
          <w:bCs/>
        </w:rPr>
      </w:pPr>
      <w:r w:rsidRPr="001D4AD4">
        <w:rPr>
          <w:rFonts w:ascii="Gill Sans MT" w:hAnsi="Gill Sans MT" w:cs="Gill Sans MT"/>
          <w:bCs/>
        </w:rPr>
        <w:t xml:space="preserve">Adquirir una vivienda en propiedad para ponerla en alquiler es ahora más rentable que antes de la crisis. Así se desprende del análisis realizado por el portal inmobiliario </w:t>
      </w:r>
      <w:hyperlink r:id="rId8" w:history="1">
        <w:r w:rsidRPr="00F26D58">
          <w:rPr>
            <w:rStyle w:val="Hipervnculo"/>
            <w:rFonts w:ascii="Gill Sans MT" w:hAnsi="Gill Sans MT" w:cs="Gill Sans MT"/>
            <w:bCs/>
          </w:rPr>
          <w:t>fotocasa.es</w:t>
        </w:r>
      </w:hyperlink>
      <w:r w:rsidRPr="001D4AD4">
        <w:rPr>
          <w:rFonts w:ascii="Gill Sans MT" w:hAnsi="Gill Sans MT" w:cs="Gill Sans MT"/>
          <w:bCs/>
        </w:rPr>
        <w:t xml:space="preserve"> a partir del último informe de precios de la vivienda en venta y alquiler del mes octubre. Estos datos muestran que, de media, la rentabilidad anual que se puede obtener en España de un inmueble comprado para ponerlo posteriormente</w:t>
      </w:r>
      <w:r w:rsidR="00396FE4">
        <w:rPr>
          <w:rFonts w:ascii="Gill Sans MT" w:hAnsi="Gill Sans MT" w:cs="Gill Sans MT"/>
          <w:bCs/>
        </w:rPr>
        <w:t xml:space="preserve"> en régimen de alquiler es del 5</w:t>
      </w:r>
      <w:r w:rsidRPr="001D4AD4">
        <w:rPr>
          <w:rFonts w:ascii="Gill Sans MT" w:hAnsi="Gill Sans MT" w:cs="Gill Sans MT"/>
          <w:bCs/>
        </w:rPr>
        <w:t>%</w:t>
      </w:r>
      <w:r w:rsidR="00396FE4">
        <w:rPr>
          <w:rFonts w:ascii="Gill Sans MT" w:hAnsi="Gill Sans MT" w:cs="Gill Sans MT"/>
          <w:bCs/>
        </w:rPr>
        <w:t>, mi</w:t>
      </w:r>
      <w:r w:rsidR="00363F09">
        <w:rPr>
          <w:rFonts w:ascii="Gill Sans MT" w:hAnsi="Gill Sans MT" w:cs="Gill Sans MT"/>
          <w:bCs/>
        </w:rPr>
        <w:t xml:space="preserve">entras que en 2013 era del 4,8%. El estudio revela que, de media, se tardaría una media de 20 años en recuperar la inversión. Esta rentabilidad </w:t>
      </w:r>
      <w:r w:rsidR="000E0FA0">
        <w:rPr>
          <w:rFonts w:ascii="Gill Sans MT" w:hAnsi="Gill Sans MT" w:cs="Gill Sans MT"/>
          <w:bCs/>
        </w:rPr>
        <w:t>h</w:t>
      </w:r>
      <w:r w:rsidR="00363F09">
        <w:rPr>
          <w:rFonts w:ascii="Gill Sans MT" w:hAnsi="Gill Sans MT" w:cs="Gill Sans MT"/>
          <w:bCs/>
        </w:rPr>
        <w:t>a aumentado un 1% desde 2007, año en que el precio medio de la vivienda en venta alcanzó su máximo histórico.</w:t>
      </w:r>
    </w:p>
    <w:p w:rsidR="00363F09" w:rsidRDefault="00363F09" w:rsidP="001D4AD4">
      <w:pPr>
        <w:autoSpaceDE w:val="0"/>
        <w:autoSpaceDN w:val="0"/>
        <w:adjustRightInd w:val="0"/>
        <w:jc w:val="both"/>
        <w:rPr>
          <w:rFonts w:ascii="Gill Sans MT" w:hAnsi="Gill Sans MT" w:cs="Gill Sans MT"/>
          <w:bCs/>
        </w:rPr>
      </w:pPr>
    </w:p>
    <w:p w:rsidR="00F26D58" w:rsidRDefault="00363F09" w:rsidP="001D4AD4">
      <w:pPr>
        <w:autoSpaceDE w:val="0"/>
        <w:autoSpaceDN w:val="0"/>
        <w:adjustRightInd w:val="0"/>
        <w:jc w:val="both"/>
        <w:rPr>
          <w:rFonts w:ascii="Gill Sans MT" w:hAnsi="Gill Sans MT" w:cs="Gill Sans MT"/>
          <w:bCs/>
        </w:rPr>
      </w:pPr>
      <w:r>
        <w:rPr>
          <w:rFonts w:ascii="Gill Sans MT" w:hAnsi="Gill Sans MT" w:cs="Gill Sans MT"/>
          <w:bCs/>
        </w:rPr>
        <w:t>Por comunidades, Canarias, Cataluña y Madrid son las más renta</w:t>
      </w:r>
      <w:r w:rsidR="000E0FA0">
        <w:rPr>
          <w:rFonts w:ascii="Gill Sans MT" w:hAnsi="Gill Sans MT" w:cs="Gill Sans MT"/>
          <w:bCs/>
        </w:rPr>
        <w:t>bles para comprar una vivienda y</w:t>
      </w:r>
      <w:r>
        <w:rPr>
          <w:rFonts w:ascii="Gill Sans MT" w:hAnsi="Gill Sans MT" w:cs="Gill Sans MT"/>
          <w:bCs/>
        </w:rPr>
        <w:t xml:space="preserve"> ponerla en alquiler y donde menos años se tarda en amortizar la inversión. Canarias ofrece una rentabilidad del 5,5% (frente al 5,1% que ofrecía en 2013)</w:t>
      </w:r>
      <w:r w:rsidR="009E5FB7">
        <w:rPr>
          <w:rFonts w:ascii="Gill Sans MT" w:hAnsi="Gill Sans MT" w:cs="Gill Sans MT"/>
          <w:bCs/>
        </w:rPr>
        <w:t xml:space="preserve">, seguido de Cataluña y Madrid, ambas comunidades con una rentabilidad del 5,1%. </w:t>
      </w:r>
      <w:r w:rsidR="004745DC">
        <w:rPr>
          <w:rFonts w:ascii="Gill Sans MT" w:hAnsi="Gill Sans MT" w:cs="Gill Sans MT"/>
          <w:bCs/>
        </w:rPr>
        <w:t>Canarias sigue manteniendo la primera posición respecto a 2013 y</w:t>
      </w:r>
      <w:r w:rsidR="00A90BAA">
        <w:rPr>
          <w:rFonts w:ascii="Gill Sans MT" w:hAnsi="Gill Sans MT" w:cs="Gill Sans MT"/>
          <w:bCs/>
        </w:rPr>
        <w:t>,</w:t>
      </w:r>
      <w:r w:rsidR="004745DC">
        <w:rPr>
          <w:rFonts w:ascii="Gill Sans MT" w:hAnsi="Gill Sans MT" w:cs="Gill Sans MT"/>
          <w:bCs/>
        </w:rPr>
        <w:t xml:space="preserve"> </w:t>
      </w:r>
      <w:r w:rsidR="00BC49BA">
        <w:rPr>
          <w:rFonts w:ascii="Gill Sans MT" w:hAnsi="Gill Sans MT" w:cs="Gill Sans MT"/>
          <w:bCs/>
        </w:rPr>
        <w:t>en el caso de Cataluña y Madrid</w:t>
      </w:r>
      <w:r w:rsidR="00A90BAA">
        <w:rPr>
          <w:rFonts w:ascii="Gill Sans MT" w:hAnsi="Gill Sans MT" w:cs="Gill Sans MT"/>
          <w:bCs/>
        </w:rPr>
        <w:t xml:space="preserve">, pasan a ocupar la segunda y tercera posición, respectivamente, mientras que en 2013 ocupaban </w:t>
      </w:r>
      <w:r w:rsidR="000E0FA0">
        <w:rPr>
          <w:rFonts w:ascii="Gill Sans MT" w:hAnsi="Gill Sans MT" w:cs="Gill Sans MT"/>
          <w:bCs/>
        </w:rPr>
        <w:t>el sexto y séptimo lugar</w:t>
      </w:r>
      <w:r w:rsidR="00A90BAA">
        <w:rPr>
          <w:rFonts w:ascii="Gill Sans MT" w:hAnsi="Gill Sans MT" w:cs="Gill Sans MT"/>
          <w:bCs/>
        </w:rPr>
        <w:t>, respectivamente. Así, en tan sólo un año estas comunidades han escalado cuatro posiciones.</w:t>
      </w:r>
    </w:p>
    <w:p w:rsidR="008970D2" w:rsidRPr="005D146A" w:rsidRDefault="008970D2" w:rsidP="008970D2">
      <w:pPr>
        <w:autoSpaceDE w:val="0"/>
        <w:autoSpaceDN w:val="0"/>
        <w:adjustRightInd w:val="0"/>
        <w:jc w:val="both"/>
        <w:rPr>
          <w:rFonts w:ascii="Gill Sans MT" w:hAnsi="Gill Sans MT" w:cs="Gill Sans MT"/>
          <w:bCs/>
          <w:color w:val="FF0000"/>
        </w:rPr>
      </w:pPr>
    </w:p>
    <w:p w:rsidR="008970D2" w:rsidRPr="008970D2" w:rsidRDefault="008970D2" w:rsidP="008970D2">
      <w:pPr>
        <w:autoSpaceDE w:val="0"/>
        <w:autoSpaceDN w:val="0"/>
        <w:adjustRightInd w:val="0"/>
        <w:jc w:val="both"/>
        <w:rPr>
          <w:rFonts w:ascii="Gill Sans MT" w:hAnsi="Gill Sans MT" w:cs="Gill Sans MT"/>
          <w:bCs/>
        </w:rPr>
      </w:pPr>
      <w:r w:rsidRPr="008970D2">
        <w:rPr>
          <w:rFonts w:ascii="Gill Sans MT" w:hAnsi="Gill Sans MT" w:cs="Gill Sans MT"/>
          <w:bCs/>
        </w:rPr>
        <w:t xml:space="preserve">“La rentabilidad está aumentando porque los precios de la vivienda en venta están cayendo a un ritmo superior a los de la vivienda en alquiler, una opción que cada vez es más interesante para muchos españoles debido al contexto económico y donde observamos que los precios se están estabilizando. De hecho, en algunas zonas de Madrid y Cataluña los precios del alquiler están subiendo, lo que explica que se </w:t>
      </w:r>
      <w:r w:rsidRPr="008970D2">
        <w:rPr>
          <w:rFonts w:ascii="Gill Sans MT" w:hAnsi="Gill Sans MT" w:cs="Gill Sans MT"/>
          <w:bCs/>
        </w:rPr>
        <w:lastRenderedPageBreak/>
        <w:t xml:space="preserve">coloquen entre las regiones más interesantes para comprar una vivienda para alquilar”, explica Beatriz Toribio, responsable de Estudios de </w:t>
      </w:r>
      <w:hyperlink r:id="rId9" w:history="1">
        <w:r w:rsidR="00086C21" w:rsidRPr="00F26D58">
          <w:rPr>
            <w:rStyle w:val="Hipervnculo"/>
            <w:rFonts w:ascii="Gill Sans MT" w:hAnsi="Gill Sans MT" w:cs="Gill Sans MT"/>
            <w:bCs/>
          </w:rPr>
          <w:t>fotocasa.es</w:t>
        </w:r>
      </w:hyperlink>
      <w:r w:rsidR="00086C21">
        <w:rPr>
          <w:rFonts w:ascii="Gill Sans MT" w:hAnsi="Gill Sans MT" w:cs="Gill Sans MT"/>
          <w:bCs/>
        </w:rPr>
        <w:t>.</w:t>
      </w:r>
    </w:p>
    <w:p w:rsidR="008970D2" w:rsidRPr="008970D2" w:rsidRDefault="008970D2" w:rsidP="008970D2">
      <w:pPr>
        <w:autoSpaceDE w:val="0"/>
        <w:autoSpaceDN w:val="0"/>
        <w:adjustRightInd w:val="0"/>
        <w:jc w:val="both"/>
        <w:rPr>
          <w:rFonts w:ascii="Gill Sans MT" w:hAnsi="Gill Sans MT" w:cs="Gill Sans MT"/>
          <w:bCs/>
        </w:rPr>
      </w:pPr>
    </w:p>
    <w:p w:rsidR="008970D2" w:rsidRDefault="008970D2" w:rsidP="008970D2">
      <w:pPr>
        <w:autoSpaceDE w:val="0"/>
        <w:autoSpaceDN w:val="0"/>
        <w:adjustRightInd w:val="0"/>
        <w:jc w:val="both"/>
        <w:rPr>
          <w:rFonts w:ascii="Gill Sans MT" w:hAnsi="Gill Sans MT" w:cs="Gill Sans MT"/>
          <w:bCs/>
        </w:rPr>
      </w:pPr>
      <w:r w:rsidRPr="008970D2">
        <w:rPr>
          <w:rFonts w:ascii="Gill Sans MT" w:hAnsi="Gill Sans MT" w:cs="Gill Sans MT"/>
          <w:bCs/>
        </w:rPr>
        <w:t>Según los últimos datos del portal inmobiliario, el precio del alquiler lleva subiendo siete meses consecutivos en Madrid y cinco en Cataluña y Canarias.</w:t>
      </w:r>
    </w:p>
    <w:p w:rsidR="00086C21" w:rsidRPr="008970D2" w:rsidRDefault="00086C21" w:rsidP="008970D2">
      <w:pPr>
        <w:autoSpaceDE w:val="0"/>
        <w:autoSpaceDN w:val="0"/>
        <w:adjustRightInd w:val="0"/>
        <w:jc w:val="both"/>
        <w:rPr>
          <w:rFonts w:ascii="Gill Sans MT" w:hAnsi="Gill Sans MT" w:cs="Gill Sans MT"/>
          <w:bCs/>
        </w:rPr>
      </w:pPr>
    </w:p>
    <w:p w:rsidR="00A41506" w:rsidRDefault="008970D2" w:rsidP="008970D2">
      <w:pPr>
        <w:tabs>
          <w:tab w:val="left" w:pos="1200"/>
        </w:tabs>
        <w:autoSpaceDE w:val="0"/>
        <w:autoSpaceDN w:val="0"/>
        <w:adjustRightInd w:val="0"/>
        <w:jc w:val="both"/>
        <w:rPr>
          <w:rFonts w:ascii="Gill Sans MT" w:hAnsi="Gill Sans MT" w:cs="Gill Sans MT"/>
          <w:bCs/>
        </w:rPr>
      </w:pPr>
      <w:r w:rsidRPr="005D146A">
        <w:rPr>
          <w:rFonts w:ascii="Gill Sans MT" w:hAnsi="Gill Sans MT" w:cs="Gill Sans MT"/>
          <w:bCs/>
        </w:rPr>
        <w:tab/>
      </w:r>
    </w:p>
    <w:p w:rsidR="00A41506" w:rsidRPr="00F20C29" w:rsidRDefault="00A41506" w:rsidP="001D4AD4">
      <w:pPr>
        <w:autoSpaceDE w:val="0"/>
        <w:autoSpaceDN w:val="0"/>
        <w:adjustRightInd w:val="0"/>
        <w:jc w:val="both"/>
        <w:rPr>
          <w:rFonts w:ascii="Gill Sans MT" w:hAnsi="Gill Sans MT" w:cs="Gill Sans MT"/>
          <w:b/>
          <w:bCs/>
        </w:rPr>
      </w:pPr>
      <w:r w:rsidRPr="00F20C29">
        <w:rPr>
          <w:rFonts w:ascii="Gill Sans MT" w:hAnsi="Gill Sans MT" w:cs="Gill Sans MT"/>
          <w:b/>
          <w:bCs/>
        </w:rPr>
        <w:t xml:space="preserve">Comunidades más rentables para comprar </w:t>
      </w:r>
      <w:r w:rsidR="00F20C29" w:rsidRPr="00F20C29">
        <w:rPr>
          <w:rFonts w:ascii="Gill Sans MT" w:hAnsi="Gill Sans MT" w:cs="Gill Sans MT"/>
          <w:b/>
          <w:bCs/>
        </w:rPr>
        <w:t>una vivienda y ponerla en alquiler</w:t>
      </w:r>
      <w:r w:rsidR="00F20C29">
        <w:rPr>
          <w:rFonts w:ascii="Gill Sans MT" w:hAnsi="Gill Sans MT" w:cs="Gill Sans MT"/>
          <w:b/>
          <w:bCs/>
        </w:rPr>
        <w:t xml:space="preserve"> (comparativa 2014 vs 2013)</w:t>
      </w:r>
    </w:p>
    <w:p w:rsidR="00D140C5" w:rsidRDefault="00D140C5" w:rsidP="001D4AD4">
      <w:pPr>
        <w:autoSpaceDE w:val="0"/>
        <w:autoSpaceDN w:val="0"/>
        <w:adjustRightInd w:val="0"/>
        <w:jc w:val="both"/>
        <w:rPr>
          <w:rFonts w:ascii="Gill Sans MT" w:hAnsi="Gill Sans MT" w:cs="Gill Sans MT"/>
          <w:bCs/>
        </w:rPr>
      </w:pPr>
    </w:p>
    <w:tbl>
      <w:tblPr>
        <w:tblW w:w="6629" w:type="dxa"/>
        <w:jc w:val="center"/>
        <w:tblBorders>
          <w:insideH w:val="single" w:sz="2" w:space="0" w:color="F8F8F8"/>
        </w:tblBorders>
        <w:tblLayout w:type="fixed"/>
        <w:tblLook w:val="01E0" w:firstRow="1" w:lastRow="1" w:firstColumn="1" w:lastColumn="1" w:noHBand="0" w:noVBand="0"/>
      </w:tblPr>
      <w:tblGrid>
        <w:gridCol w:w="2376"/>
        <w:gridCol w:w="2127"/>
        <w:gridCol w:w="2126"/>
      </w:tblGrid>
      <w:tr w:rsidR="00A41506" w:rsidRPr="00D65EFE" w:rsidTr="00F20C29">
        <w:trPr>
          <w:trHeight w:val="22"/>
          <w:jc w:val="center"/>
        </w:trPr>
        <w:tc>
          <w:tcPr>
            <w:tcW w:w="2376" w:type="dxa"/>
            <w:shd w:val="clear" w:color="auto" w:fill="D2D9E8"/>
            <w:vAlign w:val="center"/>
          </w:tcPr>
          <w:p w:rsidR="00A41506" w:rsidRPr="00D65EFE" w:rsidRDefault="00A41506" w:rsidP="007953E5">
            <w:pPr>
              <w:pStyle w:val="Texto"/>
              <w:ind w:left="-142"/>
              <w:jc w:val="center"/>
              <w:rPr>
                <w:b/>
                <w:szCs w:val="24"/>
              </w:rPr>
            </w:pPr>
            <w:r w:rsidRPr="00D65EFE">
              <w:rPr>
                <w:b/>
                <w:szCs w:val="24"/>
              </w:rPr>
              <w:t>Comunidades Autónomas</w:t>
            </w:r>
          </w:p>
        </w:tc>
        <w:tc>
          <w:tcPr>
            <w:tcW w:w="2127" w:type="dxa"/>
            <w:shd w:val="clear" w:color="auto" w:fill="D2D9E8"/>
            <w:vAlign w:val="center"/>
          </w:tcPr>
          <w:p w:rsidR="00A41506" w:rsidRPr="00D65EFE" w:rsidRDefault="00A41506" w:rsidP="007953E5">
            <w:pPr>
              <w:pStyle w:val="Listavistosa-nfasis11"/>
              <w:ind w:left="0"/>
              <w:jc w:val="center"/>
              <w:rPr>
                <w:rStyle w:val="nfasis"/>
                <w:rFonts w:ascii="Gill Sans MT" w:hAnsi="Gill Sans MT"/>
                <w:b/>
                <w:i w:val="0"/>
                <w:sz w:val="22"/>
              </w:rPr>
            </w:pPr>
            <w:r w:rsidRPr="00D65EFE">
              <w:rPr>
                <w:rStyle w:val="nfasis"/>
                <w:rFonts w:ascii="Gill Sans MT" w:hAnsi="Gill Sans MT"/>
                <w:b/>
                <w:i w:val="0"/>
                <w:sz w:val="22"/>
              </w:rPr>
              <w:t>Rentabilidad</w:t>
            </w:r>
          </w:p>
          <w:p w:rsidR="00A41506" w:rsidRPr="00D65EFE" w:rsidRDefault="00A41506" w:rsidP="007953E5">
            <w:pPr>
              <w:pStyle w:val="Listavistosa-nfasis11"/>
              <w:ind w:left="0"/>
              <w:jc w:val="center"/>
              <w:rPr>
                <w:rStyle w:val="nfasis"/>
                <w:rFonts w:ascii="Gill Sans MT" w:hAnsi="Gill Sans MT"/>
                <w:b/>
                <w:i w:val="0"/>
                <w:sz w:val="22"/>
              </w:rPr>
            </w:pPr>
            <w:r>
              <w:rPr>
                <w:rStyle w:val="nfasis"/>
                <w:rFonts w:ascii="Gill Sans MT" w:hAnsi="Gill Sans MT"/>
                <w:b/>
                <w:i w:val="0"/>
                <w:sz w:val="22"/>
              </w:rPr>
              <w:t>anual 2014</w:t>
            </w:r>
          </w:p>
        </w:tc>
        <w:tc>
          <w:tcPr>
            <w:tcW w:w="2126" w:type="dxa"/>
            <w:shd w:val="clear" w:color="auto" w:fill="D2D9E8"/>
            <w:vAlign w:val="center"/>
          </w:tcPr>
          <w:p w:rsidR="00A41506" w:rsidRPr="00D65EFE" w:rsidRDefault="00A41506" w:rsidP="00A41506">
            <w:pPr>
              <w:pStyle w:val="Listavistosa-nfasis11"/>
              <w:ind w:left="0"/>
              <w:jc w:val="center"/>
              <w:rPr>
                <w:rStyle w:val="nfasis"/>
                <w:rFonts w:ascii="Gill Sans MT" w:hAnsi="Gill Sans MT"/>
                <w:b/>
                <w:i w:val="0"/>
                <w:sz w:val="22"/>
              </w:rPr>
            </w:pPr>
            <w:r w:rsidRPr="00D65EFE">
              <w:rPr>
                <w:rStyle w:val="nfasis"/>
                <w:rFonts w:ascii="Gill Sans MT" w:hAnsi="Gill Sans MT"/>
                <w:b/>
                <w:i w:val="0"/>
                <w:sz w:val="22"/>
              </w:rPr>
              <w:t>Rentabilidad</w:t>
            </w:r>
          </w:p>
          <w:p w:rsidR="00A41506" w:rsidRPr="00D65EFE" w:rsidRDefault="00A41506" w:rsidP="00A41506">
            <w:pPr>
              <w:pStyle w:val="Texto"/>
              <w:ind w:left="-142"/>
              <w:jc w:val="center"/>
              <w:rPr>
                <w:b/>
                <w:szCs w:val="24"/>
              </w:rPr>
            </w:pPr>
            <w:proofErr w:type="gramStart"/>
            <w:r>
              <w:rPr>
                <w:rStyle w:val="nfasis"/>
                <w:b/>
                <w:i w:val="0"/>
              </w:rPr>
              <w:t>anual</w:t>
            </w:r>
            <w:proofErr w:type="gramEnd"/>
            <w:r>
              <w:rPr>
                <w:rStyle w:val="nfasis"/>
                <w:b/>
                <w:i w:val="0"/>
              </w:rPr>
              <w:t xml:space="preserve"> 2013</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Canarias</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5,5%</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5,1%</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Cataluña</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5,1%</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4,7%</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Madrid</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5,1%</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4,6%</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Castilla-La Mancha</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4,8%</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Murcia</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4,8%</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Andalucía</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4,7%</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Navarra</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4,9%</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4,4%</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Baleares</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4,9%</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4,5%</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Aragón</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4,8%</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4,5%</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proofErr w:type="spellStart"/>
            <w:r>
              <w:rPr>
                <w:rFonts w:ascii="Gill Sans MT" w:hAnsi="Gill Sans MT"/>
                <w:color w:val="3F3F3F"/>
              </w:rPr>
              <w:t>Comunitat</w:t>
            </w:r>
            <w:proofErr w:type="spellEnd"/>
            <w:r>
              <w:rPr>
                <w:rFonts w:ascii="Gill Sans MT" w:hAnsi="Gill Sans MT"/>
                <w:color w:val="3F3F3F"/>
              </w:rPr>
              <w:t xml:space="preserve"> Valenciana</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4,7%</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4,5%</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Extremadura</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4,6%</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4,4%</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Castilla y León</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4,5%</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4,3%</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La Rioja</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4,5%</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4,2%</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Cantabria</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4,4%</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3,9%</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Asturias</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4,3%</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4,2%</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rPr>
                <w:rFonts w:ascii="Gill Sans MT" w:hAnsi="Gill Sans MT"/>
                <w:color w:val="3F3F3F"/>
              </w:rPr>
            </w:pPr>
            <w:r>
              <w:rPr>
                <w:rFonts w:ascii="Gill Sans MT" w:hAnsi="Gill Sans MT"/>
                <w:color w:val="3F3F3F"/>
              </w:rPr>
              <w:t>País Vasco</w:t>
            </w:r>
          </w:p>
        </w:tc>
        <w:tc>
          <w:tcPr>
            <w:tcW w:w="2127" w:type="dxa"/>
            <w:tcBorders>
              <w:top w:val="dashed" w:sz="8" w:space="0" w:color="D2D9E8"/>
              <w:bottom w:val="dashed" w:sz="8" w:space="0" w:color="D2D9E8"/>
              <w:right w:val="single" w:sz="2" w:space="0" w:color="F8F8F8"/>
            </w:tcBorders>
            <w:shd w:val="clear" w:color="auto" w:fill="auto"/>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4,1%</w:t>
            </w:r>
          </w:p>
        </w:tc>
        <w:tc>
          <w:tcPr>
            <w:tcW w:w="2126" w:type="dxa"/>
            <w:tcBorders>
              <w:top w:val="dashed" w:sz="8" w:space="0" w:color="D2D9E8"/>
              <w:bottom w:val="dashed" w:sz="8" w:space="0" w:color="D2D9E8"/>
              <w:right w:val="single" w:sz="2" w:space="0" w:color="F8F8F8"/>
            </w:tcBorders>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3,8%</w:t>
            </w:r>
          </w:p>
        </w:tc>
      </w:tr>
      <w:tr w:rsidR="00A41506" w:rsidRPr="00D65EFE" w:rsidTr="00F20C29">
        <w:trPr>
          <w:trHeight w:val="22"/>
          <w:jc w:val="center"/>
        </w:trPr>
        <w:tc>
          <w:tcPr>
            <w:tcW w:w="2376"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rPr>
                <w:rFonts w:ascii="Gill Sans MT" w:hAnsi="Gill Sans MT"/>
                <w:color w:val="3F3F3F"/>
              </w:rPr>
            </w:pPr>
            <w:r>
              <w:rPr>
                <w:rFonts w:ascii="Gill Sans MT" w:hAnsi="Gill Sans MT"/>
                <w:color w:val="3F3F3F"/>
              </w:rPr>
              <w:t>Galicia</w:t>
            </w:r>
          </w:p>
        </w:tc>
        <w:tc>
          <w:tcPr>
            <w:tcW w:w="2127" w:type="dxa"/>
            <w:tcBorders>
              <w:top w:val="dashed" w:sz="8" w:space="0" w:color="D2D9E8"/>
              <w:bottom w:val="dashed" w:sz="8" w:space="0" w:color="D2D9E8"/>
              <w:right w:val="single" w:sz="2" w:space="0" w:color="F8F8F8"/>
            </w:tcBorders>
            <w:shd w:val="clear" w:color="auto" w:fill="E9ECF5"/>
            <w:vAlign w:val="bottom"/>
          </w:tcPr>
          <w:p w:rsidR="00A41506" w:rsidRDefault="00A41506" w:rsidP="00A41506">
            <w:pPr>
              <w:jc w:val="center"/>
              <w:rPr>
                <w:rFonts w:ascii="Century Gothic" w:hAnsi="Century Gothic"/>
                <w:b/>
                <w:bCs/>
                <w:color w:val="000000"/>
                <w:sz w:val="22"/>
                <w:szCs w:val="22"/>
              </w:rPr>
            </w:pPr>
            <w:r>
              <w:rPr>
                <w:rFonts w:ascii="Century Gothic" w:hAnsi="Century Gothic"/>
                <w:b/>
                <w:bCs/>
                <w:color w:val="000000"/>
                <w:sz w:val="22"/>
                <w:szCs w:val="22"/>
              </w:rPr>
              <w:t>3,9%</w:t>
            </w:r>
          </w:p>
        </w:tc>
        <w:tc>
          <w:tcPr>
            <w:tcW w:w="2126" w:type="dxa"/>
            <w:tcBorders>
              <w:top w:val="dashed" w:sz="8" w:space="0" w:color="D2D9E8"/>
              <w:bottom w:val="dashed" w:sz="8" w:space="0" w:color="D2D9E8"/>
              <w:right w:val="single" w:sz="2" w:space="0" w:color="F8F8F8"/>
            </w:tcBorders>
            <w:shd w:val="clear" w:color="auto" w:fill="E9ECF5"/>
            <w:vAlign w:val="bottom"/>
          </w:tcPr>
          <w:p w:rsidR="00A41506" w:rsidRPr="00A41506" w:rsidRDefault="00A41506" w:rsidP="00A41506">
            <w:pPr>
              <w:jc w:val="center"/>
              <w:rPr>
                <w:rFonts w:ascii="Century Gothic" w:hAnsi="Century Gothic"/>
                <w:b/>
                <w:color w:val="000000"/>
                <w:sz w:val="22"/>
                <w:szCs w:val="22"/>
              </w:rPr>
            </w:pPr>
            <w:r w:rsidRPr="00A41506">
              <w:rPr>
                <w:rFonts w:ascii="Century Gothic" w:hAnsi="Century Gothic"/>
                <w:b/>
                <w:color w:val="000000"/>
                <w:sz w:val="22"/>
                <w:szCs w:val="22"/>
              </w:rPr>
              <w:t>3,9%</w:t>
            </w:r>
          </w:p>
        </w:tc>
      </w:tr>
    </w:tbl>
    <w:p w:rsidR="00A41506" w:rsidRDefault="00A41506" w:rsidP="001D4AD4">
      <w:pPr>
        <w:autoSpaceDE w:val="0"/>
        <w:autoSpaceDN w:val="0"/>
        <w:adjustRightInd w:val="0"/>
        <w:jc w:val="both"/>
        <w:rPr>
          <w:rFonts w:ascii="Gill Sans MT" w:hAnsi="Gill Sans MT" w:cs="Gill Sans MT"/>
          <w:bCs/>
        </w:rPr>
      </w:pPr>
      <w:r w:rsidRPr="00171C37">
        <w:rPr>
          <w:rFonts w:ascii="Gill Sans MT" w:hAnsi="Gill Sans MT"/>
          <w:i/>
        </w:rPr>
        <w:t xml:space="preserve">                 </w:t>
      </w:r>
      <w:r>
        <w:rPr>
          <w:rFonts w:ascii="Gill Sans MT" w:hAnsi="Gill Sans MT"/>
          <w:i/>
        </w:rPr>
        <w:t xml:space="preserve">                            </w:t>
      </w:r>
      <w:r w:rsidR="00F20C29">
        <w:rPr>
          <w:rFonts w:ascii="Gill Sans MT" w:hAnsi="Gill Sans MT"/>
          <w:i/>
        </w:rPr>
        <w:t xml:space="preserve">               </w:t>
      </w:r>
      <w:r>
        <w:rPr>
          <w:rFonts w:ascii="Gill Sans MT" w:hAnsi="Gill Sans MT"/>
          <w:i/>
        </w:rPr>
        <w:t xml:space="preserve">     </w:t>
      </w:r>
      <w:r w:rsidRPr="00171C37">
        <w:rPr>
          <w:rFonts w:ascii="Gill Sans MT" w:hAnsi="Gill Sans MT"/>
          <w:i/>
          <w:sz w:val="22"/>
        </w:rPr>
        <w:t xml:space="preserve">Fuente: Índice inmobiliario </w:t>
      </w:r>
      <w:hyperlink r:id="rId10" w:history="1">
        <w:r w:rsidRPr="00171C37">
          <w:rPr>
            <w:rStyle w:val="Hipervnculo"/>
            <w:rFonts w:ascii="Gill Sans MT" w:hAnsi="Gill Sans MT" w:cstheme="minorBidi"/>
            <w:i/>
          </w:rPr>
          <w:t>fotocasa.es</w:t>
        </w:r>
      </w:hyperlink>
    </w:p>
    <w:p w:rsidR="00BE5FBC" w:rsidRDefault="00BE5FBC" w:rsidP="001D4AD4">
      <w:pPr>
        <w:autoSpaceDE w:val="0"/>
        <w:autoSpaceDN w:val="0"/>
        <w:adjustRightInd w:val="0"/>
        <w:jc w:val="both"/>
        <w:rPr>
          <w:rFonts w:ascii="Gill Sans MT" w:hAnsi="Gill Sans MT" w:cs="Gill Sans MT"/>
          <w:bCs/>
        </w:rPr>
      </w:pPr>
    </w:p>
    <w:p w:rsidR="00035A95" w:rsidRDefault="00035A95" w:rsidP="001D4AD4">
      <w:pPr>
        <w:autoSpaceDE w:val="0"/>
        <w:autoSpaceDN w:val="0"/>
        <w:adjustRightInd w:val="0"/>
        <w:jc w:val="both"/>
        <w:rPr>
          <w:rFonts w:ascii="Gill Sans MT" w:hAnsi="Gill Sans MT" w:cs="Gill Sans MT"/>
          <w:bCs/>
        </w:rPr>
      </w:pPr>
      <w:r>
        <w:rPr>
          <w:rFonts w:ascii="Gill Sans MT" w:hAnsi="Gill Sans MT" w:cs="Gill Sans MT"/>
          <w:bCs/>
        </w:rPr>
        <w:t xml:space="preserve">Por su parte, </w:t>
      </w:r>
      <w:r w:rsidR="00DD1A04">
        <w:rPr>
          <w:rFonts w:ascii="Gill Sans MT" w:hAnsi="Gill Sans MT" w:cs="Gill Sans MT"/>
          <w:bCs/>
        </w:rPr>
        <w:t xml:space="preserve">Galicia </w:t>
      </w:r>
      <w:r>
        <w:rPr>
          <w:rFonts w:ascii="Gill Sans MT" w:hAnsi="Gill Sans MT" w:cs="Gill Sans MT"/>
          <w:bCs/>
        </w:rPr>
        <w:t xml:space="preserve">desbanca al País Vasco como la región española que ofrece la menor rentabilidad, en concreto un 3,9%. En el caso del País Vasco, que ocupa la segunda posición como la comunidad menos rentable, ofrece una rentabilidad de un 4,1%, mientras que en 2013 ofrecía un 3,8% la más baja del pasado año. </w:t>
      </w:r>
    </w:p>
    <w:p w:rsidR="001D4AD4" w:rsidRPr="001D4AD4" w:rsidRDefault="001D4AD4" w:rsidP="001D4AD4">
      <w:pPr>
        <w:autoSpaceDE w:val="0"/>
        <w:autoSpaceDN w:val="0"/>
        <w:adjustRightInd w:val="0"/>
        <w:jc w:val="both"/>
        <w:rPr>
          <w:rFonts w:ascii="Gill Sans MT" w:hAnsi="Gill Sans MT" w:cs="Gill Sans MT"/>
          <w:bCs/>
        </w:rPr>
      </w:pPr>
    </w:p>
    <w:p w:rsidR="00F26D58" w:rsidRDefault="001D4AD4" w:rsidP="002E0629">
      <w:pPr>
        <w:autoSpaceDE w:val="0"/>
        <w:autoSpaceDN w:val="0"/>
        <w:adjustRightInd w:val="0"/>
        <w:jc w:val="both"/>
        <w:rPr>
          <w:rFonts w:ascii="Gill Sans MT" w:hAnsi="Gill Sans MT" w:cs="Gill Sans MT"/>
          <w:bCs/>
        </w:rPr>
      </w:pPr>
      <w:r w:rsidRPr="00444C16">
        <w:rPr>
          <w:rFonts w:ascii="Gill Sans MT" w:hAnsi="Gill Sans MT" w:cs="Gill Sans MT"/>
          <w:bCs/>
        </w:rPr>
        <w:t xml:space="preserve">En cuanto a las capitales de provincia, </w:t>
      </w:r>
      <w:r w:rsidR="00D819AB">
        <w:rPr>
          <w:rFonts w:ascii="Gill Sans MT" w:hAnsi="Gill Sans MT" w:cs="Gill Sans MT"/>
          <w:bCs/>
        </w:rPr>
        <w:t>Tarragona</w:t>
      </w:r>
      <w:r w:rsidRPr="00444C16">
        <w:rPr>
          <w:rFonts w:ascii="Gill Sans MT" w:hAnsi="Gill Sans MT" w:cs="Gill Sans MT"/>
          <w:bCs/>
        </w:rPr>
        <w:t xml:space="preserve"> es la ciudad que se posiciona como la más</w:t>
      </w:r>
      <w:r w:rsidRPr="001D4AD4">
        <w:rPr>
          <w:rFonts w:ascii="Gill Sans MT" w:hAnsi="Gill Sans MT" w:cs="Gill Sans MT"/>
          <w:bCs/>
        </w:rPr>
        <w:t xml:space="preserve"> rentable, con un </w:t>
      </w:r>
      <w:r w:rsidR="00D819AB">
        <w:rPr>
          <w:rFonts w:ascii="Gill Sans MT" w:hAnsi="Gill Sans MT" w:cs="Gill Sans MT"/>
          <w:bCs/>
        </w:rPr>
        <w:t>5,7</w:t>
      </w:r>
      <w:r w:rsidRPr="001D4AD4">
        <w:rPr>
          <w:rFonts w:ascii="Gill Sans MT" w:hAnsi="Gill Sans MT" w:cs="Gill Sans MT"/>
          <w:bCs/>
        </w:rPr>
        <w:t xml:space="preserve">% anual, seguida de </w:t>
      </w:r>
      <w:r w:rsidR="00D819AB">
        <w:rPr>
          <w:rFonts w:ascii="Gill Sans MT" w:hAnsi="Gill Sans MT" w:cs="Gill Sans MT"/>
          <w:bCs/>
        </w:rPr>
        <w:t>Lleida</w:t>
      </w:r>
      <w:r w:rsidRPr="001D4AD4">
        <w:rPr>
          <w:rFonts w:ascii="Gill Sans MT" w:hAnsi="Gill Sans MT" w:cs="Gill Sans MT"/>
          <w:bCs/>
        </w:rPr>
        <w:t xml:space="preserve"> (</w:t>
      </w:r>
      <w:r w:rsidR="00D819AB">
        <w:rPr>
          <w:rFonts w:ascii="Gill Sans MT" w:hAnsi="Gill Sans MT" w:cs="Gill Sans MT"/>
          <w:bCs/>
        </w:rPr>
        <w:t>5,5</w:t>
      </w:r>
      <w:r w:rsidRPr="001D4AD4">
        <w:rPr>
          <w:rFonts w:ascii="Gill Sans MT" w:hAnsi="Gill Sans MT" w:cs="Gill Sans MT"/>
          <w:bCs/>
        </w:rPr>
        <w:t xml:space="preserve">%), </w:t>
      </w:r>
      <w:r w:rsidR="000D13AA">
        <w:rPr>
          <w:rFonts w:ascii="Gill Sans MT" w:hAnsi="Gill Sans MT" w:cs="Gill Sans MT"/>
          <w:bCs/>
        </w:rPr>
        <w:t>Córdoba</w:t>
      </w:r>
      <w:r w:rsidR="00444C16">
        <w:rPr>
          <w:rFonts w:ascii="Gill Sans MT" w:hAnsi="Gill Sans MT" w:cs="Gill Sans MT"/>
          <w:bCs/>
        </w:rPr>
        <w:t xml:space="preserve"> </w:t>
      </w:r>
      <w:r w:rsidRPr="001D4AD4">
        <w:rPr>
          <w:rFonts w:ascii="Gill Sans MT" w:hAnsi="Gill Sans MT" w:cs="Gill Sans MT"/>
          <w:bCs/>
        </w:rPr>
        <w:t>(</w:t>
      </w:r>
      <w:r w:rsidR="000D13AA">
        <w:rPr>
          <w:rFonts w:ascii="Gill Sans MT" w:hAnsi="Gill Sans MT" w:cs="Gill Sans MT"/>
          <w:bCs/>
        </w:rPr>
        <w:t>5,3</w:t>
      </w:r>
      <w:r w:rsidR="00444C16">
        <w:rPr>
          <w:rFonts w:ascii="Gill Sans MT" w:hAnsi="Gill Sans MT" w:cs="Gill Sans MT"/>
          <w:bCs/>
        </w:rPr>
        <w:t>%) y Las Palmas de Gran Canaria (5,</w:t>
      </w:r>
      <w:r w:rsidR="000D13AA">
        <w:rPr>
          <w:rFonts w:ascii="Gill Sans MT" w:hAnsi="Gill Sans MT" w:cs="Gill Sans MT"/>
          <w:bCs/>
        </w:rPr>
        <w:t>2</w:t>
      </w:r>
      <w:r w:rsidRPr="001D4AD4">
        <w:rPr>
          <w:rFonts w:ascii="Gill Sans MT" w:hAnsi="Gill Sans MT" w:cs="Gill Sans MT"/>
          <w:bCs/>
        </w:rPr>
        <w:t>%</w:t>
      </w:r>
      <w:r w:rsidR="00F26D58">
        <w:rPr>
          <w:rFonts w:ascii="Gill Sans MT" w:hAnsi="Gill Sans MT" w:cs="Gill Sans MT"/>
          <w:bCs/>
        </w:rPr>
        <w:t xml:space="preserve">). </w:t>
      </w:r>
      <w:r w:rsidR="000D13AA">
        <w:rPr>
          <w:rFonts w:ascii="Gill Sans MT" w:hAnsi="Gill Sans MT" w:cs="Gill Sans MT"/>
          <w:bCs/>
        </w:rPr>
        <w:t>A Coruña</w:t>
      </w:r>
      <w:r w:rsidRPr="001D4AD4">
        <w:rPr>
          <w:rFonts w:ascii="Gill Sans MT" w:hAnsi="Gill Sans MT" w:cs="Gill Sans MT"/>
          <w:bCs/>
        </w:rPr>
        <w:t xml:space="preserve"> (3</w:t>
      </w:r>
      <w:r w:rsidR="000D13AA">
        <w:rPr>
          <w:rFonts w:ascii="Gill Sans MT" w:hAnsi="Gill Sans MT" w:cs="Gill Sans MT"/>
          <w:bCs/>
        </w:rPr>
        <w:t>,2</w:t>
      </w:r>
      <w:r w:rsidRPr="001D4AD4">
        <w:rPr>
          <w:rFonts w:ascii="Gill Sans MT" w:hAnsi="Gill Sans MT" w:cs="Gill Sans MT"/>
          <w:bCs/>
        </w:rPr>
        <w:t xml:space="preserve">%), </w:t>
      </w:r>
      <w:r w:rsidR="000D13AA">
        <w:rPr>
          <w:rFonts w:ascii="Gill Sans MT" w:hAnsi="Gill Sans MT" w:cs="Gill Sans MT"/>
          <w:bCs/>
        </w:rPr>
        <w:t xml:space="preserve">Ourense y San Sebastián, ambas con una rentabilidad del </w:t>
      </w:r>
      <w:r w:rsidRPr="001D4AD4">
        <w:rPr>
          <w:rFonts w:ascii="Gill Sans MT" w:hAnsi="Gill Sans MT" w:cs="Gill Sans MT"/>
          <w:bCs/>
        </w:rPr>
        <w:t>3,</w:t>
      </w:r>
      <w:r w:rsidR="000D13AA">
        <w:rPr>
          <w:rFonts w:ascii="Gill Sans MT" w:hAnsi="Gill Sans MT" w:cs="Gill Sans MT"/>
          <w:bCs/>
        </w:rPr>
        <w:t>4% y Pontevedra</w:t>
      </w:r>
      <w:r w:rsidRPr="001D4AD4">
        <w:rPr>
          <w:rFonts w:ascii="Gill Sans MT" w:hAnsi="Gill Sans MT" w:cs="Gill Sans MT"/>
          <w:bCs/>
        </w:rPr>
        <w:t xml:space="preserve"> (3,</w:t>
      </w:r>
      <w:r w:rsidR="000D13AA">
        <w:rPr>
          <w:rFonts w:ascii="Gill Sans MT" w:hAnsi="Gill Sans MT" w:cs="Gill Sans MT"/>
          <w:bCs/>
        </w:rPr>
        <w:t>9</w:t>
      </w:r>
      <w:r w:rsidRPr="001D4AD4">
        <w:rPr>
          <w:rFonts w:ascii="Gill Sans MT" w:hAnsi="Gill Sans MT" w:cs="Gill Sans MT"/>
          <w:bCs/>
        </w:rPr>
        <w:t xml:space="preserve">%) </w:t>
      </w:r>
      <w:r w:rsidR="00F26D58">
        <w:rPr>
          <w:rFonts w:ascii="Gill Sans MT" w:hAnsi="Gill Sans MT" w:cs="Gill Sans MT"/>
          <w:bCs/>
        </w:rPr>
        <w:t xml:space="preserve">es </w:t>
      </w:r>
      <w:r w:rsidRPr="001D4AD4">
        <w:rPr>
          <w:rFonts w:ascii="Gill Sans MT" w:hAnsi="Gill Sans MT" w:cs="Gill Sans MT"/>
          <w:bCs/>
        </w:rPr>
        <w:t>donde sale menos rentable comprar para alquilar.</w:t>
      </w:r>
      <w:r w:rsidR="00CC5D84">
        <w:rPr>
          <w:rFonts w:ascii="Gill Sans MT" w:hAnsi="Gill Sans MT" w:cs="Gill Sans MT"/>
          <w:bCs/>
        </w:rPr>
        <w:tab/>
      </w:r>
      <w:r w:rsidR="00CC5D84">
        <w:rPr>
          <w:rFonts w:ascii="Gill Sans MT" w:hAnsi="Gill Sans MT" w:cs="Gill Sans MT"/>
          <w:bCs/>
        </w:rPr>
        <w:tab/>
      </w:r>
      <w:r w:rsidR="00CC5D84">
        <w:rPr>
          <w:rFonts w:ascii="Gill Sans MT" w:hAnsi="Gill Sans MT" w:cs="Gill Sans MT"/>
          <w:bCs/>
        </w:rPr>
        <w:tab/>
      </w:r>
    </w:p>
    <w:p w:rsidR="00713056" w:rsidRDefault="00A434A9" w:rsidP="002E0629">
      <w:pPr>
        <w:autoSpaceDE w:val="0"/>
        <w:autoSpaceDN w:val="0"/>
        <w:adjustRightInd w:val="0"/>
        <w:jc w:val="both"/>
        <w:rPr>
          <w:rFonts w:ascii="Gill Sans MT" w:hAnsi="Gill Sans MT" w:cs="Gill Sans MT"/>
          <w:bCs/>
        </w:rPr>
      </w:pPr>
      <w:r>
        <w:rPr>
          <w:rFonts w:ascii="Gill Sans MT" w:hAnsi="Gill Sans MT" w:cs="Gill Sans MT"/>
          <w:bCs/>
        </w:rPr>
        <w:t xml:space="preserve">     </w:t>
      </w:r>
    </w:p>
    <w:p w:rsidR="00713056" w:rsidRPr="00CC5D84" w:rsidRDefault="00191235" w:rsidP="002E0629">
      <w:pPr>
        <w:autoSpaceDE w:val="0"/>
        <w:autoSpaceDN w:val="0"/>
        <w:adjustRightInd w:val="0"/>
        <w:jc w:val="both"/>
        <w:rPr>
          <w:rFonts w:ascii="Gill Sans MT" w:hAnsi="Gill Sans MT" w:cs="Gill Sans MT"/>
          <w:b/>
          <w:bCs/>
        </w:rPr>
      </w:pPr>
      <w:r>
        <w:rPr>
          <w:rFonts w:ascii="Gill Sans MT" w:hAnsi="Gill Sans MT" w:cs="Gill Sans MT"/>
          <w:b/>
          <w:bCs/>
        </w:rPr>
        <w:t>Descienden los años en que se tarda en rentabilizar</w:t>
      </w:r>
      <w:r w:rsidR="004E4EA2">
        <w:rPr>
          <w:rFonts w:ascii="Gill Sans MT" w:hAnsi="Gill Sans MT" w:cs="Gill Sans MT"/>
          <w:b/>
          <w:bCs/>
        </w:rPr>
        <w:t xml:space="preserve"> </w:t>
      </w:r>
      <w:r>
        <w:rPr>
          <w:rFonts w:ascii="Gill Sans MT" w:hAnsi="Gill Sans MT" w:cs="Gill Sans MT"/>
          <w:b/>
          <w:bCs/>
        </w:rPr>
        <w:t>una vivienda</w:t>
      </w:r>
    </w:p>
    <w:p w:rsidR="00713056" w:rsidRDefault="00713056" w:rsidP="002E0629">
      <w:pPr>
        <w:autoSpaceDE w:val="0"/>
        <w:autoSpaceDN w:val="0"/>
        <w:adjustRightInd w:val="0"/>
        <w:jc w:val="both"/>
        <w:rPr>
          <w:rFonts w:ascii="Gill Sans MT" w:hAnsi="Gill Sans MT" w:cs="Gill Sans MT"/>
          <w:bCs/>
        </w:rPr>
      </w:pPr>
    </w:p>
    <w:p w:rsidR="00BE5FBC" w:rsidRDefault="001D4AD4" w:rsidP="002E0629">
      <w:pPr>
        <w:autoSpaceDE w:val="0"/>
        <w:autoSpaceDN w:val="0"/>
        <w:adjustRightInd w:val="0"/>
        <w:jc w:val="both"/>
        <w:rPr>
          <w:rFonts w:ascii="Gill Sans MT" w:hAnsi="Gill Sans MT" w:cs="Gill Sans MT"/>
          <w:bCs/>
        </w:rPr>
      </w:pPr>
      <w:r w:rsidRPr="001D4AD4">
        <w:rPr>
          <w:rFonts w:ascii="Gill Sans MT" w:hAnsi="Gill Sans MT" w:cs="Gill Sans MT"/>
          <w:bCs/>
        </w:rPr>
        <w:t xml:space="preserve">El análisis de </w:t>
      </w:r>
      <w:hyperlink r:id="rId11" w:history="1">
        <w:r w:rsidR="00F26D58" w:rsidRPr="00F26D58">
          <w:rPr>
            <w:rStyle w:val="Hipervnculo"/>
            <w:rFonts w:ascii="Gill Sans MT" w:hAnsi="Gill Sans MT" w:cs="Gill Sans MT"/>
            <w:bCs/>
          </w:rPr>
          <w:t>fotocasa.es</w:t>
        </w:r>
      </w:hyperlink>
      <w:r w:rsidRPr="001D4AD4">
        <w:rPr>
          <w:rFonts w:ascii="Gill Sans MT" w:hAnsi="Gill Sans MT" w:cs="Gill Sans MT"/>
          <w:bCs/>
        </w:rPr>
        <w:t xml:space="preserve"> también ofrece datos sobre cuánto tiempo se tardaría en recuperar la inversión de compra de un inmueble que posteriormente se destine al alquiler. En Canarias se necesitarían </w:t>
      </w:r>
      <w:r w:rsidR="00191235">
        <w:rPr>
          <w:rFonts w:ascii="Gill Sans MT" w:hAnsi="Gill Sans MT" w:cs="Gill Sans MT"/>
          <w:bCs/>
        </w:rPr>
        <w:t>18</w:t>
      </w:r>
      <w:r w:rsidRPr="001D4AD4">
        <w:rPr>
          <w:rFonts w:ascii="Gill Sans MT" w:hAnsi="Gill Sans MT" w:cs="Gill Sans MT"/>
          <w:bCs/>
        </w:rPr>
        <w:t xml:space="preserve"> años frente a los </w:t>
      </w:r>
      <w:r w:rsidR="00191235">
        <w:rPr>
          <w:rFonts w:ascii="Gill Sans MT" w:hAnsi="Gill Sans MT" w:cs="Gill Sans MT"/>
          <w:bCs/>
        </w:rPr>
        <w:t>26</w:t>
      </w:r>
      <w:r w:rsidRPr="001D4AD4">
        <w:rPr>
          <w:rFonts w:ascii="Gill Sans MT" w:hAnsi="Gill Sans MT" w:cs="Gill Sans MT"/>
          <w:bCs/>
        </w:rPr>
        <w:t xml:space="preserve"> que se tardarían en </w:t>
      </w:r>
      <w:r w:rsidR="00191235">
        <w:rPr>
          <w:rFonts w:ascii="Gill Sans MT" w:hAnsi="Gill Sans MT" w:cs="Gill Sans MT"/>
          <w:bCs/>
        </w:rPr>
        <w:t>Galicia</w:t>
      </w:r>
      <w:r w:rsidRPr="001D4AD4">
        <w:rPr>
          <w:rFonts w:ascii="Gill Sans MT" w:hAnsi="Gill Sans MT" w:cs="Gill Sans MT"/>
          <w:bCs/>
        </w:rPr>
        <w:t xml:space="preserve">. En Cataluña se requieren </w:t>
      </w:r>
      <w:r w:rsidR="00F61AE2">
        <w:rPr>
          <w:rFonts w:ascii="Gill Sans MT" w:hAnsi="Gill Sans MT" w:cs="Gill Sans MT"/>
          <w:bCs/>
        </w:rPr>
        <w:t>19 años</w:t>
      </w:r>
      <w:r w:rsidR="00AE498C">
        <w:rPr>
          <w:rFonts w:ascii="Gill Sans MT" w:hAnsi="Gill Sans MT" w:cs="Gill Sans MT"/>
          <w:bCs/>
        </w:rPr>
        <w:t>, frente a los 26 que se requerían en 2013,</w:t>
      </w:r>
      <w:r w:rsidR="00F61AE2">
        <w:rPr>
          <w:rFonts w:ascii="Gill Sans MT" w:hAnsi="Gill Sans MT" w:cs="Gill Sans MT"/>
          <w:bCs/>
        </w:rPr>
        <w:t xml:space="preserve"> y</w:t>
      </w:r>
      <w:r w:rsidR="00191235">
        <w:rPr>
          <w:rFonts w:ascii="Gill Sans MT" w:hAnsi="Gill Sans MT" w:cs="Gill Sans MT"/>
          <w:bCs/>
        </w:rPr>
        <w:t xml:space="preserve"> en </w:t>
      </w:r>
      <w:r w:rsidR="00191235">
        <w:rPr>
          <w:rFonts w:ascii="Gill Sans MT" w:hAnsi="Gill Sans MT" w:cs="Gill Sans MT"/>
          <w:bCs/>
        </w:rPr>
        <w:lastRenderedPageBreak/>
        <w:t>Madrid 20</w:t>
      </w:r>
      <w:r w:rsidR="00F61AE2">
        <w:rPr>
          <w:rFonts w:ascii="Gill Sans MT" w:hAnsi="Gill Sans MT" w:cs="Gill Sans MT"/>
          <w:bCs/>
        </w:rPr>
        <w:t xml:space="preserve"> años</w:t>
      </w:r>
      <w:r w:rsidR="00AE498C">
        <w:rPr>
          <w:rFonts w:ascii="Gill Sans MT" w:hAnsi="Gill Sans MT" w:cs="Gill Sans MT"/>
          <w:bCs/>
        </w:rPr>
        <w:t>, mientras que el año pasado se tardaban 23 años en rentabilizar</w:t>
      </w:r>
      <w:r w:rsidR="001A01AF">
        <w:rPr>
          <w:rFonts w:ascii="Gill Sans MT" w:hAnsi="Gill Sans MT" w:cs="Gill Sans MT"/>
          <w:bCs/>
        </w:rPr>
        <w:t xml:space="preserve"> la inversión</w:t>
      </w:r>
      <w:r w:rsidR="00AE498C">
        <w:rPr>
          <w:rFonts w:ascii="Gill Sans MT" w:hAnsi="Gill Sans MT" w:cs="Gill Sans MT"/>
          <w:bCs/>
        </w:rPr>
        <w:t>.</w:t>
      </w:r>
      <w:r w:rsidR="001A01AF">
        <w:rPr>
          <w:rFonts w:ascii="Gill Sans MT" w:hAnsi="Gill Sans MT" w:cs="Gill Sans MT"/>
          <w:bCs/>
        </w:rPr>
        <w:t xml:space="preserve"> Estos datos son u</w:t>
      </w:r>
      <w:r w:rsidR="00AE498C">
        <w:rPr>
          <w:rFonts w:ascii="Gill Sans MT" w:hAnsi="Gill Sans MT" w:cs="Gill Sans MT"/>
          <w:bCs/>
        </w:rPr>
        <w:t xml:space="preserve">na muestra más de que el precio del alquiler </w:t>
      </w:r>
      <w:r w:rsidR="00EC4C03">
        <w:rPr>
          <w:rFonts w:ascii="Gill Sans MT" w:hAnsi="Gill Sans MT" w:cs="Gill Sans MT"/>
          <w:bCs/>
        </w:rPr>
        <w:t xml:space="preserve">este año </w:t>
      </w:r>
      <w:r w:rsidR="00AE498C">
        <w:rPr>
          <w:rFonts w:ascii="Gill Sans MT" w:hAnsi="Gill Sans MT" w:cs="Gill Sans MT"/>
          <w:bCs/>
        </w:rPr>
        <w:t xml:space="preserve">está </w:t>
      </w:r>
      <w:r w:rsidR="00E77EE7">
        <w:rPr>
          <w:rFonts w:ascii="Gill Sans MT" w:hAnsi="Gill Sans MT" w:cs="Gill Sans MT"/>
          <w:bCs/>
        </w:rPr>
        <w:t>cayendo a un ritmo muy inferior al que lo hace el precio de venta de las viviendas de segunda mano.</w:t>
      </w:r>
    </w:p>
    <w:p w:rsidR="00162489" w:rsidRDefault="00162489" w:rsidP="002E0629">
      <w:pPr>
        <w:autoSpaceDE w:val="0"/>
        <w:autoSpaceDN w:val="0"/>
        <w:adjustRightInd w:val="0"/>
        <w:jc w:val="both"/>
        <w:rPr>
          <w:rFonts w:ascii="Gill Sans MT" w:hAnsi="Gill Sans MT" w:cs="Gill Sans MT"/>
          <w:bCs/>
        </w:rPr>
      </w:pPr>
    </w:p>
    <w:p w:rsidR="001D4AD4" w:rsidRDefault="001D4AD4" w:rsidP="002E0629">
      <w:pPr>
        <w:autoSpaceDE w:val="0"/>
        <w:autoSpaceDN w:val="0"/>
        <w:adjustRightInd w:val="0"/>
        <w:jc w:val="both"/>
        <w:rPr>
          <w:rFonts w:ascii="Gill Sans MT" w:hAnsi="Gill Sans MT" w:cs="Gill Sans MT"/>
          <w:bCs/>
        </w:rPr>
      </w:pPr>
    </w:p>
    <w:p w:rsidR="00086C21" w:rsidRDefault="00086C21" w:rsidP="002E0629">
      <w:pPr>
        <w:autoSpaceDE w:val="0"/>
        <w:autoSpaceDN w:val="0"/>
        <w:adjustRightInd w:val="0"/>
        <w:jc w:val="both"/>
        <w:rPr>
          <w:rFonts w:ascii="Gill Sans MT" w:hAnsi="Gill Sans MT" w:cs="Gill Sans MT"/>
          <w:bCs/>
        </w:rPr>
      </w:pPr>
    </w:p>
    <w:p w:rsidR="001D4AD4" w:rsidRDefault="001D4AD4" w:rsidP="001D4AD4">
      <w:pPr>
        <w:jc w:val="both"/>
        <w:rPr>
          <w:rFonts w:ascii="Gill Sans MT" w:hAnsi="Gill Sans MT"/>
          <w:b/>
          <w:sz w:val="22"/>
        </w:rPr>
      </w:pPr>
      <w:r w:rsidRPr="00D65EFE">
        <w:rPr>
          <w:rFonts w:ascii="Gill Sans MT" w:hAnsi="Gill Sans MT"/>
          <w:b/>
          <w:sz w:val="22"/>
        </w:rPr>
        <w:t>Comparativa rentabilidad anual/años que se tarda en rentabilizar la inversión</w:t>
      </w:r>
    </w:p>
    <w:p w:rsidR="001D4AD4" w:rsidRPr="00D65EFE" w:rsidRDefault="001D4AD4" w:rsidP="001D4AD4">
      <w:pPr>
        <w:jc w:val="both"/>
        <w:rPr>
          <w:rFonts w:ascii="Gill Sans MT" w:hAnsi="Gill Sans MT" w:cstheme="minorBidi"/>
          <w:b/>
          <w:sz w:val="22"/>
        </w:rPr>
      </w:pPr>
    </w:p>
    <w:tbl>
      <w:tblPr>
        <w:tblW w:w="8613" w:type="dxa"/>
        <w:tblBorders>
          <w:insideH w:val="single" w:sz="2" w:space="0" w:color="F8F8F8"/>
        </w:tblBorders>
        <w:tblLayout w:type="fixed"/>
        <w:tblLook w:val="01E0" w:firstRow="1" w:lastRow="1" w:firstColumn="1" w:lastColumn="1" w:noHBand="0" w:noVBand="0"/>
      </w:tblPr>
      <w:tblGrid>
        <w:gridCol w:w="2376"/>
        <w:gridCol w:w="1985"/>
        <w:gridCol w:w="2126"/>
        <w:gridCol w:w="2126"/>
      </w:tblGrid>
      <w:tr w:rsidR="004E4EA2" w:rsidRPr="00D65EFE" w:rsidTr="00AE498C">
        <w:trPr>
          <w:trHeight w:val="22"/>
        </w:trPr>
        <w:tc>
          <w:tcPr>
            <w:tcW w:w="2376" w:type="dxa"/>
            <w:shd w:val="clear" w:color="auto" w:fill="D2D9E8"/>
            <w:vAlign w:val="center"/>
          </w:tcPr>
          <w:p w:rsidR="004E4EA2" w:rsidRPr="00D65EFE" w:rsidRDefault="004E4EA2" w:rsidP="004E4EA2">
            <w:pPr>
              <w:pStyle w:val="Texto"/>
              <w:ind w:left="-142"/>
              <w:jc w:val="center"/>
              <w:rPr>
                <w:b/>
                <w:szCs w:val="24"/>
              </w:rPr>
            </w:pPr>
            <w:r w:rsidRPr="00D65EFE">
              <w:rPr>
                <w:b/>
                <w:szCs w:val="24"/>
              </w:rPr>
              <w:t>Comunidades Autónomas</w:t>
            </w:r>
          </w:p>
        </w:tc>
        <w:tc>
          <w:tcPr>
            <w:tcW w:w="1985" w:type="dxa"/>
            <w:shd w:val="clear" w:color="auto" w:fill="D2D9E8"/>
            <w:vAlign w:val="center"/>
          </w:tcPr>
          <w:p w:rsidR="004E4EA2" w:rsidRPr="00D65EFE" w:rsidRDefault="004E4EA2" w:rsidP="004E4EA2">
            <w:pPr>
              <w:pStyle w:val="Listavistosa-nfasis11"/>
              <w:ind w:left="0"/>
              <w:jc w:val="center"/>
              <w:rPr>
                <w:rStyle w:val="nfasis"/>
                <w:rFonts w:ascii="Gill Sans MT" w:hAnsi="Gill Sans MT"/>
                <w:b/>
                <w:i w:val="0"/>
                <w:sz w:val="22"/>
              </w:rPr>
            </w:pPr>
            <w:r w:rsidRPr="00D65EFE">
              <w:rPr>
                <w:rStyle w:val="nfasis"/>
                <w:rFonts w:ascii="Gill Sans MT" w:hAnsi="Gill Sans MT"/>
                <w:b/>
                <w:i w:val="0"/>
                <w:sz w:val="22"/>
              </w:rPr>
              <w:t>Rentabilidad</w:t>
            </w:r>
          </w:p>
          <w:p w:rsidR="004E4EA2" w:rsidRPr="00D65EFE" w:rsidRDefault="004E4EA2" w:rsidP="004E4EA2">
            <w:pPr>
              <w:pStyle w:val="Listavistosa-nfasis11"/>
              <w:ind w:left="0"/>
              <w:jc w:val="center"/>
              <w:rPr>
                <w:rStyle w:val="nfasis"/>
                <w:rFonts w:ascii="Gill Sans MT" w:hAnsi="Gill Sans MT"/>
                <w:b/>
                <w:i w:val="0"/>
                <w:sz w:val="22"/>
              </w:rPr>
            </w:pPr>
            <w:r w:rsidRPr="00D65EFE">
              <w:rPr>
                <w:rStyle w:val="nfasis"/>
                <w:rFonts w:ascii="Gill Sans MT" w:hAnsi="Gill Sans MT"/>
                <w:b/>
                <w:i w:val="0"/>
                <w:sz w:val="22"/>
              </w:rPr>
              <w:t>anual</w:t>
            </w:r>
          </w:p>
        </w:tc>
        <w:tc>
          <w:tcPr>
            <w:tcW w:w="2126" w:type="dxa"/>
            <w:shd w:val="clear" w:color="auto" w:fill="D2D9E8"/>
            <w:vAlign w:val="center"/>
          </w:tcPr>
          <w:p w:rsidR="004E4EA2" w:rsidRPr="00D65EFE" w:rsidRDefault="004E4EA2" w:rsidP="004E4EA2">
            <w:pPr>
              <w:pStyle w:val="Texto"/>
              <w:ind w:left="-142"/>
              <w:jc w:val="center"/>
              <w:rPr>
                <w:b/>
                <w:szCs w:val="24"/>
              </w:rPr>
            </w:pPr>
            <w:r>
              <w:rPr>
                <w:b/>
                <w:szCs w:val="24"/>
              </w:rPr>
              <w:t xml:space="preserve"> </w:t>
            </w:r>
            <w:proofErr w:type="spellStart"/>
            <w:r w:rsidRPr="00D65EFE">
              <w:rPr>
                <w:b/>
                <w:szCs w:val="24"/>
              </w:rPr>
              <w:t>Años</w:t>
            </w:r>
            <w:proofErr w:type="spellEnd"/>
            <w:r w:rsidRPr="00D65EFE">
              <w:rPr>
                <w:b/>
                <w:szCs w:val="24"/>
              </w:rPr>
              <w:t xml:space="preserve"> que se tarda </w:t>
            </w:r>
            <w:proofErr w:type="spellStart"/>
            <w:r w:rsidRPr="00D65EFE">
              <w:rPr>
                <w:b/>
                <w:szCs w:val="24"/>
              </w:rPr>
              <w:t>en</w:t>
            </w:r>
            <w:proofErr w:type="spellEnd"/>
            <w:r w:rsidRPr="00D65EFE">
              <w:rPr>
                <w:b/>
                <w:szCs w:val="24"/>
              </w:rPr>
              <w:t xml:space="preserve"> rentabilizar</w:t>
            </w:r>
            <w:r w:rsidR="00AE498C">
              <w:rPr>
                <w:b/>
                <w:szCs w:val="24"/>
              </w:rPr>
              <w:t xml:space="preserve"> </w:t>
            </w:r>
            <w:r w:rsidR="00AE498C" w:rsidRPr="00EC4C03">
              <w:rPr>
                <w:b/>
                <w:sz w:val="24"/>
                <w:szCs w:val="24"/>
              </w:rPr>
              <w:t>(2014)</w:t>
            </w:r>
          </w:p>
        </w:tc>
        <w:tc>
          <w:tcPr>
            <w:tcW w:w="2126" w:type="dxa"/>
            <w:shd w:val="clear" w:color="auto" w:fill="D2D9E8"/>
            <w:vAlign w:val="center"/>
          </w:tcPr>
          <w:p w:rsidR="004E4EA2" w:rsidRPr="00D65EFE" w:rsidRDefault="004E4EA2" w:rsidP="004E4EA2">
            <w:pPr>
              <w:pStyle w:val="Texto"/>
              <w:ind w:left="-142"/>
              <w:jc w:val="center"/>
              <w:rPr>
                <w:b/>
                <w:szCs w:val="24"/>
              </w:rPr>
            </w:pPr>
            <w:r>
              <w:rPr>
                <w:b/>
                <w:szCs w:val="24"/>
              </w:rPr>
              <w:t xml:space="preserve"> </w:t>
            </w:r>
            <w:proofErr w:type="spellStart"/>
            <w:r w:rsidRPr="00D65EFE">
              <w:rPr>
                <w:b/>
                <w:szCs w:val="24"/>
              </w:rPr>
              <w:t>Años</w:t>
            </w:r>
            <w:proofErr w:type="spellEnd"/>
            <w:r w:rsidRPr="00D65EFE">
              <w:rPr>
                <w:b/>
                <w:szCs w:val="24"/>
              </w:rPr>
              <w:t xml:space="preserve"> que se tarda </w:t>
            </w:r>
            <w:proofErr w:type="spellStart"/>
            <w:r w:rsidRPr="00D65EFE">
              <w:rPr>
                <w:b/>
                <w:szCs w:val="24"/>
              </w:rPr>
              <w:t>en</w:t>
            </w:r>
            <w:proofErr w:type="spellEnd"/>
            <w:r w:rsidRPr="00D65EFE">
              <w:rPr>
                <w:b/>
                <w:szCs w:val="24"/>
              </w:rPr>
              <w:t xml:space="preserve"> rentabilizar</w:t>
            </w:r>
            <w:r w:rsidR="00AE498C">
              <w:rPr>
                <w:b/>
                <w:szCs w:val="24"/>
              </w:rPr>
              <w:t xml:space="preserve"> </w:t>
            </w:r>
            <w:r w:rsidR="00AE498C" w:rsidRPr="00EC4C03">
              <w:rPr>
                <w:b/>
                <w:sz w:val="24"/>
                <w:szCs w:val="24"/>
              </w:rPr>
              <w:t>(2013)</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both"/>
              <w:rPr>
                <w:rFonts w:ascii="Gill Sans MT" w:hAnsi="Gill Sans MT"/>
              </w:rPr>
            </w:pPr>
            <w:r w:rsidRPr="001D4AD4">
              <w:rPr>
                <w:rFonts w:ascii="Gill Sans MT" w:hAnsi="Gill Sans MT"/>
              </w:rPr>
              <w:t>Canarias</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5,5%</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Pr>
                <w:rFonts w:ascii="Gill Sans MT" w:hAnsi="Gill Sans MT"/>
              </w:rPr>
              <w:t>18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Cataluña</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5,1%</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Pr>
                <w:rFonts w:ascii="Gill Sans MT" w:hAnsi="Gill Sans MT"/>
              </w:rPr>
              <w:t xml:space="preserve">19 años </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 xml:space="preserve">6 años </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Madrid</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5,1%</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3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Castilla-La Mancha</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21</w:t>
            </w:r>
            <w:r>
              <w:rPr>
                <w:rFonts w:ascii="Gill Sans MT" w:hAnsi="Gill Sans MT"/>
              </w:rPr>
              <w:t xml:space="preserve">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Murcia</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Andalucía</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5,0%</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4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Navarra</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4,9%</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5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Baleares</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4,9%</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3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Aragón</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4,8%</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1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1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proofErr w:type="spellStart"/>
            <w:r w:rsidRPr="00AE498C">
              <w:rPr>
                <w:rFonts w:ascii="Gill Sans MT" w:hAnsi="Gill Sans MT"/>
              </w:rPr>
              <w:t>Comunitat</w:t>
            </w:r>
            <w:proofErr w:type="spellEnd"/>
            <w:r w:rsidRPr="00AE498C">
              <w:rPr>
                <w:rFonts w:ascii="Gill Sans MT" w:hAnsi="Gill Sans MT"/>
              </w:rPr>
              <w:t xml:space="preserve"> Valenciana</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4,7%</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1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1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Extremadura</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4,6%</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Pr>
                <w:rFonts w:ascii="Gill Sans MT" w:hAnsi="Gill Sans MT"/>
              </w:rPr>
              <w:t>23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Castilla y León</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4,5%</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5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La Rioja</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4,5%</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0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Cantabria</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4,4%</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3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Asturias</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4,3%</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3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4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auto"/>
            <w:vAlign w:val="bottom"/>
          </w:tcPr>
          <w:p w:rsidR="00AE498C" w:rsidRPr="00AE498C" w:rsidRDefault="00AE498C" w:rsidP="00AE498C">
            <w:pPr>
              <w:jc w:val="both"/>
              <w:rPr>
                <w:rFonts w:ascii="Gill Sans MT" w:hAnsi="Gill Sans MT"/>
              </w:rPr>
            </w:pPr>
            <w:r w:rsidRPr="00AE498C">
              <w:rPr>
                <w:rFonts w:ascii="Gill Sans MT" w:hAnsi="Gill Sans MT"/>
              </w:rPr>
              <w:t>País Vasco</w:t>
            </w:r>
          </w:p>
        </w:tc>
        <w:tc>
          <w:tcPr>
            <w:tcW w:w="1985" w:type="dxa"/>
            <w:tcBorders>
              <w:top w:val="dashed" w:sz="8" w:space="0" w:color="D2D9E8"/>
              <w:bottom w:val="dashed" w:sz="8" w:space="0" w:color="D2D9E8"/>
              <w:right w:val="single" w:sz="2" w:space="0" w:color="F8F8F8"/>
            </w:tcBorders>
            <w:shd w:val="clear" w:color="auto" w:fill="auto"/>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4,1%</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5 años</w:t>
            </w:r>
          </w:p>
        </w:tc>
        <w:tc>
          <w:tcPr>
            <w:tcW w:w="2126" w:type="dxa"/>
            <w:tcBorders>
              <w:top w:val="dashed" w:sz="8" w:space="0" w:color="D2D9E8"/>
              <w:bottom w:val="dashed" w:sz="8" w:space="0" w:color="D2D9E8"/>
              <w:right w:val="single" w:sz="2" w:space="0" w:color="F8F8F8"/>
            </w:tcBorders>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2 años</w:t>
            </w:r>
          </w:p>
        </w:tc>
      </w:tr>
      <w:tr w:rsidR="00AE498C" w:rsidRPr="00D65EFE" w:rsidTr="00AE498C">
        <w:trPr>
          <w:trHeight w:val="22"/>
        </w:trPr>
        <w:tc>
          <w:tcPr>
            <w:tcW w:w="2376" w:type="dxa"/>
            <w:tcBorders>
              <w:top w:val="dashed" w:sz="8" w:space="0" w:color="D2D9E8"/>
              <w:bottom w:val="dashed" w:sz="8" w:space="0" w:color="D2D9E8"/>
              <w:right w:val="single" w:sz="2" w:space="0" w:color="F8F8F8"/>
            </w:tcBorders>
            <w:shd w:val="clear" w:color="auto" w:fill="E9ECF5"/>
            <w:vAlign w:val="bottom"/>
          </w:tcPr>
          <w:p w:rsidR="00AE498C" w:rsidRPr="00AE498C" w:rsidRDefault="00AE498C" w:rsidP="00AE498C">
            <w:pPr>
              <w:jc w:val="both"/>
              <w:rPr>
                <w:rFonts w:ascii="Gill Sans MT" w:hAnsi="Gill Sans MT"/>
              </w:rPr>
            </w:pPr>
            <w:r w:rsidRPr="00AE498C">
              <w:rPr>
                <w:rFonts w:ascii="Gill Sans MT" w:hAnsi="Gill Sans MT"/>
              </w:rPr>
              <w:t>Galicia</w:t>
            </w:r>
          </w:p>
        </w:tc>
        <w:tc>
          <w:tcPr>
            <w:tcW w:w="1985" w:type="dxa"/>
            <w:tcBorders>
              <w:top w:val="dashed" w:sz="8" w:space="0" w:color="D2D9E8"/>
              <w:bottom w:val="dashed" w:sz="8" w:space="0" w:color="D2D9E8"/>
              <w:right w:val="single" w:sz="2" w:space="0" w:color="F8F8F8"/>
            </w:tcBorders>
            <w:shd w:val="clear" w:color="auto" w:fill="E9ECF5"/>
            <w:vAlign w:val="bottom"/>
          </w:tcPr>
          <w:p w:rsidR="00AE498C" w:rsidRDefault="00AE498C" w:rsidP="00AE498C">
            <w:pPr>
              <w:jc w:val="center"/>
              <w:rPr>
                <w:rFonts w:ascii="Century Gothic" w:hAnsi="Century Gothic"/>
                <w:b/>
                <w:bCs/>
                <w:color w:val="000000"/>
                <w:sz w:val="22"/>
                <w:szCs w:val="22"/>
              </w:rPr>
            </w:pPr>
            <w:r>
              <w:rPr>
                <w:rFonts w:ascii="Century Gothic" w:hAnsi="Century Gothic"/>
                <w:b/>
                <w:bCs/>
                <w:color w:val="000000"/>
                <w:sz w:val="22"/>
                <w:szCs w:val="22"/>
              </w:rPr>
              <w:t>3,9%</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26</w:t>
            </w:r>
            <w:r>
              <w:rPr>
                <w:rFonts w:ascii="Gill Sans MT" w:hAnsi="Gill Sans MT"/>
              </w:rPr>
              <w:t xml:space="preserve"> años</w:t>
            </w:r>
          </w:p>
        </w:tc>
        <w:tc>
          <w:tcPr>
            <w:tcW w:w="2126" w:type="dxa"/>
            <w:tcBorders>
              <w:top w:val="dashed" w:sz="8" w:space="0" w:color="D2D9E8"/>
              <w:bottom w:val="dashed" w:sz="8" w:space="0" w:color="D2D9E8"/>
              <w:right w:val="single" w:sz="2" w:space="0" w:color="F8F8F8"/>
            </w:tcBorders>
            <w:shd w:val="clear" w:color="auto" w:fill="E9ECF5"/>
            <w:vAlign w:val="bottom"/>
          </w:tcPr>
          <w:p w:rsidR="00AE498C" w:rsidRPr="001D4AD4" w:rsidRDefault="00AE498C" w:rsidP="00AE498C">
            <w:pPr>
              <w:jc w:val="center"/>
              <w:rPr>
                <w:rFonts w:ascii="Gill Sans MT" w:hAnsi="Gill Sans MT"/>
              </w:rPr>
            </w:pPr>
            <w:r w:rsidRPr="001D4AD4">
              <w:rPr>
                <w:rFonts w:ascii="Gill Sans MT" w:hAnsi="Gill Sans MT"/>
              </w:rPr>
              <w:t>2</w:t>
            </w:r>
            <w:r>
              <w:rPr>
                <w:rFonts w:ascii="Gill Sans MT" w:hAnsi="Gill Sans MT"/>
              </w:rPr>
              <w:t>1 años</w:t>
            </w:r>
          </w:p>
        </w:tc>
      </w:tr>
    </w:tbl>
    <w:p w:rsidR="001D4AD4" w:rsidRDefault="001D4AD4" w:rsidP="002E0629">
      <w:pPr>
        <w:autoSpaceDE w:val="0"/>
        <w:autoSpaceDN w:val="0"/>
        <w:adjustRightInd w:val="0"/>
        <w:jc w:val="both"/>
        <w:rPr>
          <w:rFonts w:ascii="Gill Sans MT" w:hAnsi="Gill Sans MT" w:cs="Gill Sans MT"/>
          <w:bCs/>
        </w:rPr>
      </w:pPr>
      <w:r w:rsidRPr="00171C37">
        <w:rPr>
          <w:rFonts w:ascii="Gill Sans MT" w:hAnsi="Gill Sans MT"/>
          <w:i/>
        </w:rPr>
        <w:t xml:space="preserve">                 </w:t>
      </w:r>
      <w:r w:rsidR="00867F6B">
        <w:rPr>
          <w:rFonts w:ascii="Gill Sans MT" w:hAnsi="Gill Sans MT"/>
          <w:i/>
        </w:rPr>
        <w:t xml:space="preserve">                        </w:t>
      </w:r>
      <w:r w:rsidR="004E4EA2">
        <w:rPr>
          <w:rFonts w:ascii="Gill Sans MT" w:hAnsi="Gill Sans MT"/>
          <w:i/>
        </w:rPr>
        <w:t xml:space="preserve">                               </w:t>
      </w:r>
      <w:r w:rsidR="00867F6B">
        <w:rPr>
          <w:rFonts w:ascii="Gill Sans MT" w:hAnsi="Gill Sans MT"/>
          <w:i/>
        </w:rPr>
        <w:t xml:space="preserve">  </w:t>
      </w:r>
      <w:r w:rsidRPr="00171C37">
        <w:rPr>
          <w:rFonts w:ascii="Gill Sans MT" w:hAnsi="Gill Sans MT"/>
          <w:i/>
          <w:sz w:val="22"/>
        </w:rPr>
        <w:t xml:space="preserve">Fuente: Índice inmobiliario </w:t>
      </w:r>
      <w:hyperlink r:id="rId12" w:history="1">
        <w:r w:rsidRPr="00171C37">
          <w:rPr>
            <w:rStyle w:val="Hipervnculo"/>
            <w:rFonts w:ascii="Gill Sans MT" w:hAnsi="Gill Sans MT" w:cstheme="minorBidi"/>
            <w:i/>
          </w:rPr>
          <w:t>fotocasa.es</w:t>
        </w:r>
      </w:hyperlink>
    </w:p>
    <w:p w:rsidR="00B032C6" w:rsidRDefault="00B032C6" w:rsidP="002E0629">
      <w:pPr>
        <w:autoSpaceDE w:val="0"/>
        <w:autoSpaceDN w:val="0"/>
        <w:adjustRightInd w:val="0"/>
        <w:jc w:val="both"/>
        <w:rPr>
          <w:rFonts w:ascii="Gill Sans MT" w:hAnsi="Gill Sans MT" w:cs="Gill Sans MT"/>
          <w:b/>
          <w:bCs/>
        </w:rPr>
      </w:pPr>
    </w:p>
    <w:p w:rsidR="00162489" w:rsidRDefault="00162489" w:rsidP="002E0629">
      <w:pPr>
        <w:autoSpaceDE w:val="0"/>
        <w:autoSpaceDN w:val="0"/>
        <w:adjustRightInd w:val="0"/>
        <w:jc w:val="both"/>
        <w:rPr>
          <w:rFonts w:ascii="Gill Sans MT" w:hAnsi="Gill Sans MT" w:cs="Gill Sans MT"/>
          <w:b/>
          <w:bCs/>
        </w:rPr>
      </w:pPr>
    </w:p>
    <w:p w:rsidR="00086C21" w:rsidRDefault="00086C21" w:rsidP="002E0629">
      <w:pPr>
        <w:autoSpaceDE w:val="0"/>
        <w:autoSpaceDN w:val="0"/>
        <w:adjustRightInd w:val="0"/>
        <w:jc w:val="both"/>
        <w:rPr>
          <w:rFonts w:ascii="Gill Sans MT" w:hAnsi="Gill Sans MT" w:cs="Gill Sans MT"/>
          <w:b/>
          <w:bCs/>
        </w:rPr>
      </w:pPr>
    </w:p>
    <w:p w:rsidR="00EF0634" w:rsidRPr="00EF0634" w:rsidRDefault="001D4AD4" w:rsidP="002E0629">
      <w:pPr>
        <w:autoSpaceDE w:val="0"/>
        <w:autoSpaceDN w:val="0"/>
        <w:adjustRightInd w:val="0"/>
        <w:jc w:val="both"/>
        <w:rPr>
          <w:rFonts w:ascii="Gill Sans MT" w:hAnsi="Gill Sans MT" w:cs="Gill Sans MT"/>
          <w:b/>
          <w:bCs/>
        </w:rPr>
      </w:pPr>
      <w:r w:rsidRPr="001D4AD4">
        <w:rPr>
          <w:rFonts w:ascii="Gill Sans MT" w:hAnsi="Gill Sans MT" w:cs="Gill Sans MT"/>
          <w:b/>
          <w:bCs/>
        </w:rPr>
        <w:t>Comunidades donde más ha crecido la rentabilidad</w:t>
      </w:r>
    </w:p>
    <w:p w:rsidR="002E0629" w:rsidRDefault="002E0629" w:rsidP="002E0629">
      <w:pPr>
        <w:autoSpaceDE w:val="0"/>
        <w:autoSpaceDN w:val="0"/>
        <w:adjustRightInd w:val="0"/>
        <w:jc w:val="both"/>
        <w:rPr>
          <w:rFonts w:ascii="Gill Sans MT" w:hAnsi="Gill Sans MT" w:cs="Gill Sans MT"/>
          <w:bCs/>
        </w:rPr>
      </w:pPr>
    </w:p>
    <w:p w:rsidR="001D4AD4" w:rsidRDefault="001D4AD4" w:rsidP="001D4AD4">
      <w:pPr>
        <w:autoSpaceDE w:val="0"/>
        <w:autoSpaceDN w:val="0"/>
        <w:adjustRightInd w:val="0"/>
        <w:jc w:val="both"/>
        <w:rPr>
          <w:rFonts w:ascii="Gill Sans MT" w:hAnsi="Gill Sans MT" w:cs="Gill Sans MT"/>
          <w:bCs/>
        </w:rPr>
      </w:pPr>
      <w:r w:rsidRPr="001D4AD4">
        <w:rPr>
          <w:rFonts w:ascii="Gill Sans MT" w:hAnsi="Gill Sans MT" w:cs="Gill Sans MT"/>
          <w:bCs/>
        </w:rPr>
        <w:t xml:space="preserve">Por otro lado, el análisis de </w:t>
      </w:r>
      <w:hyperlink r:id="rId13" w:history="1">
        <w:r w:rsidR="00AB4675" w:rsidRPr="00F26D58">
          <w:rPr>
            <w:rStyle w:val="Hipervnculo"/>
            <w:rFonts w:ascii="Gill Sans MT" w:hAnsi="Gill Sans MT" w:cs="Gill Sans MT"/>
            <w:bCs/>
          </w:rPr>
          <w:t>fotocasa.es</w:t>
        </w:r>
      </w:hyperlink>
      <w:r w:rsidRPr="001D4AD4">
        <w:rPr>
          <w:rFonts w:ascii="Gill Sans MT" w:hAnsi="Gill Sans MT" w:cs="Gill Sans MT"/>
          <w:bCs/>
        </w:rPr>
        <w:t xml:space="preserve"> ofrece datos sobre las comunidades autónomas donde más ha crecido la rentabilidad desde que estall</w:t>
      </w:r>
      <w:r w:rsidR="00AB4675">
        <w:rPr>
          <w:rFonts w:ascii="Gill Sans MT" w:hAnsi="Gill Sans MT" w:cs="Gill Sans MT"/>
          <w:bCs/>
        </w:rPr>
        <w:t>ara la crisis. Navarra, con un 2,1</w:t>
      </w:r>
      <w:r w:rsidRPr="001D4AD4">
        <w:rPr>
          <w:rFonts w:ascii="Gill Sans MT" w:hAnsi="Gill Sans MT" w:cs="Gill Sans MT"/>
          <w:bCs/>
        </w:rPr>
        <w:t xml:space="preserve">%, </w:t>
      </w:r>
      <w:r w:rsidR="00AB4675">
        <w:rPr>
          <w:rFonts w:ascii="Gill Sans MT" w:hAnsi="Gill Sans MT" w:cs="Gill Sans MT"/>
          <w:bCs/>
        </w:rPr>
        <w:t>Madrid</w:t>
      </w:r>
      <w:r w:rsidRPr="001D4AD4">
        <w:rPr>
          <w:rFonts w:ascii="Gill Sans MT" w:hAnsi="Gill Sans MT" w:cs="Gill Sans MT"/>
          <w:bCs/>
        </w:rPr>
        <w:t xml:space="preserve"> (1</w:t>
      </w:r>
      <w:r w:rsidR="00AB4675">
        <w:rPr>
          <w:rFonts w:ascii="Gill Sans MT" w:hAnsi="Gill Sans MT" w:cs="Gill Sans MT"/>
          <w:bCs/>
        </w:rPr>
        <w:t>,8%</w:t>
      </w:r>
      <w:r w:rsidRPr="001D4AD4">
        <w:rPr>
          <w:rFonts w:ascii="Gill Sans MT" w:hAnsi="Gill Sans MT" w:cs="Gill Sans MT"/>
          <w:bCs/>
        </w:rPr>
        <w:t xml:space="preserve">) y </w:t>
      </w:r>
      <w:r w:rsidR="00AB4675">
        <w:rPr>
          <w:rFonts w:ascii="Gill Sans MT" w:hAnsi="Gill Sans MT" w:cs="Gill Sans MT"/>
          <w:bCs/>
        </w:rPr>
        <w:t>La Rioja</w:t>
      </w:r>
      <w:r w:rsidRPr="001D4AD4">
        <w:rPr>
          <w:rFonts w:ascii="Gill Sans MT" w:hAnsi="Gill Sans MT" w:cs="Gill Sans MT"/>
          <w:bCs/>
        </w:rPr>
        <w:t xml:space="preserve"> (1,</w:t>
      </w:r>
      <w:r w:rsidR="00AB4675">
        <w:rPr>
          <w:rFonts w:ascii="Gill Sans MT" w:hAnsi="Gill Sans MT" w:cs="Gill Sans MT"/>
          <w:bCs/>
        </w:rPr>
        <w:t>7</w:t>
      </w:r>
      <w:r w:rsidRPr="001D4AD4">
        <w:rPr>
          <w:rFonts w:ascii="Gill Sans MT" w:hAnsi="Gill Sans MT" w:cs="Gill Sans MT"/>
          <w:bCs/>
        </w:rPr>
        <w:t>%) lideran el ranking, ya que son las regiones donde más ha caído el precio de la venta en comparación con el alquiler.</w:t>
      </w:r>
    </w:p>
    <w:p w:rsidR="00E93943" w:rsidRPr="001D4AD4" w:rsidRDefault="00E93943" w:rsidP="001D4AD4">
      <w:pPr>
        <w:autoSpaceDE w:val="0"/>
        <w:autoSpaceDN w:val="0"/>
        <w:adjustRightInd w:val="0"/>
        <w:jc w:val="both"/>
        <w:rPr>
          <w:rFonts w:ascii="Gill Sans MT" w:hAnsi="Gill Sans MT" w:cs="Gill Sans MT"/>
          <w:bCs/>
        </w:rPr>
      </w:pPr>
    </w:p>
    <w:p w:rsidR="00BD37EB" w:rsidRDefault="001D4AD4" w:rsidP="001D4AD4">
      <w:pPr>
        <w:autoSpaceDE w:val="0"/>
        <w:autoSpaceDN w:val="0"/>
        <w:adjustRightInd w:val="0"/>
        <w:jc w:val="both"/>
        <w:rPr>
          <w:rFonts w:ascii="Gill Sans MT" w:hAnsi="Gill Sans MT" w:cs="Gill Sans MT"/>
          <w:bCs/>
        </w:rPr>
      </w:pPr>
      <w:r w:rsidRPr="001D4AD4">
        <w:rPr>
          <w:rFonts w:ascii="Gill Sans MT" w:hAnsi="Gill Sans MT" w:cs="Gill Sans MT"/>
          <w:bCs/>
        </w:rPr>
        <w:t xml:space="preserve">En cambio, las comunidades que registran una menor rentabilidad son aquellas donde el precio del alquiler ha caído más o en términos muy similares a los de la venta. </w:t>
      </w:r>
      <w:r w:rsidR="00AB4675">
        <w:rPr>
          <w:rFonts w:ascii="Gill Sans MT" w:hAnsi="Gill Sans MT" w:cs="Gill Sans MT"/>
          <w:bCs/>
        </w:rPr>
        <w:t>Galicia y Asturias</w:t>
      </w:r>
      <w:r w:rsidRPr="001D4AD4">
        <w:rPr>
          <w:rFonts w:ascii="Gill Sans MT" w:hAnsi="Gill Sans MT" w:cs="Gill Sans MT"/>
          <w:bCs/>
        </w:rPr>
        <w:t>,</w:t>
      </w:r>
      <w:r w:rsidR="00AB4675">
        <w:rPr>
          <w:rFonts w:ascii="Gill Sans MT" w:hAnsi="Gill Sans MT" w:cs="Gill Sans MT"/>
          <w:bCs/>
        </w:rPr>
        <w:t xml:space="preserve"> ambas</w:t>
      </w:r>
      <w:r w:rsidRPr="001D4AD4">
        <w:rPr>
          <w:rFonts w:ascii="Gill Sans MT" w:hAnsi="Gill Sans MT" w:cs="Gill Sans MT"/>
          <w:bCs/>
        </w:rPr>
        <w:t xml:space="preserve"> con un 0,</w:t>
      </w:r>
      <w:r w:rsidR="00AB4675">
        <w:rPr>
          <w:rFonts w:ascii="Gill Sans MT" w:hAnsi="Gill Sans MT" w:cs="Gill Sans MT"/>
          <w:bCs/>
        </w:rPr>
        <w:t>8</w:t>
      </w:r>
      <w:r w:rsidRPr="001D4AD4">
        <w:rPr>
          <w:rFonts w:ascii="Gill Sans MT" w:hAnsi="Gill Sans MT" w:cs="Gill Sans MT"/>
          <w:bCs/>
        </w:rPr>
        <w:t xml:space="preserve">% y </w:t>
      </w:r>
      <w:proofErr w:type="spellStart"/>
      <w:r w:rsidR="00AB4675">
        <w:rPr>
          <w:rFonts w:ascii="Gill Sans MT" w:hAnsi="Gill Sans MT" w:cs="Gill Sans MT"/>
          <w:bCs/>
        </w:rPr>
        <w:t>Comunitat</w:t>
      </w:r>
      <w:proofErr w:type="spellEnd"/>
      <w:r w:rsidR="00AB4675">
        <w:rPr>
          <w:rFonts w:ascii="Gill Sans MT" w:hAnsi="Gill Sans MT" w:cs="Gill Sans MT"/>
          <w:bCs/>
        </w:rPr>
        <w:t xml:space="preserve"> Valenciana y Baleares</w:t>
      </w:r>
      <w:r w:rsidRPr="001D4AD4">
        <w:rPr>
          <w:rFonts w:ascii="Gill Sans MT" w:hAnsi="Gill Sans MT" w:cs="Gill Sans MT"/>
          <w:bCs/>
        </w:rPr>
        <w:t xml:space="preserve">, </w:t>
      </w:r>
      <w:r w:rsidR="00AB4675">
        <w:rPr>
          <w:rFonts w:ascii="Gill Sans MT" w:hAnsi="Gill Sans MT" w:cs="Gill Sans MT"/>
          <w:bCs/>
        </w:rPr>
        <w:t xml:space="preserve">ambas </w:t>
      </w:r>
      <w:r w:rsidRPr="001D4AD4">
        <w:rPr>
          <w:rFonts w:ascii="Gill Sans MT" w:hAnsi="Gill Sans MT" w:cs="Gill Sans MT"/>
          <w:bCs/>
        </w:rPr>
        <w:t>con un 0,</w:t>
      </w:r>
      <w:r w:rsidR="00AB4675">
        <w:rPr>
          <w:rFonts w:ascii="Gill Sans MT" w:hAnsi="Gill Sans MT" w:cs="Gill Sans MT"/>
          <w:bCs/>
        </w:rPr>
        <w:t>9</w:t>
      </w:r>
      <w:r w:rsidRPr="001D4AD4">
        <w:rPr>
          <w:rFonts w:ascii="Gill Sans MT" w:hAnsi="Gill Sans MT" w:cs="Gill Sans MT"/>
          <w:bCs/>
        </w:rPr>
        <w:t>% son las zonas donde menos ha evolucionado la rentabilidad del alquiler.</w:t>
      </w:r>
    </w:p>
    <w:p w:rsidR="00AB4675" w:rsidRDefault="00AB4675" w:rsidP="001D4AD4">
      <w:pPr>
        <w:autoSpaceDE w:val="0"/>
        <w:autoSpaceDN w:val="0"/>
        <w:adjustRightInd w:val="0"/>
        <w:jc w:val="both"/>
        <w:rPr>
          <w:rFonts w:ascii="Gill Sans MT" w:hAnsi="Gill Sans MT" w:cs="Gill Sans MT"/>
          <w:bCs/>
        </w:rPr>
      </w:pPr>
    </w:p>
    <w:p w:rsidR="00086C21" w:rsidRDefault="00086C21" w:rsidP="001D4AD4">
      <w:pPr>
        <w:autoSpaceDE w:val="0"/>
        <w:autoSpaceDN w:val="0"/>
        <w:adjustRightInd w:val="0"/>
        <w:jc w:val="both"/>
        <w:rPr>
          <w:rFonts w:ascii="Gill Sans MT" w:hAnsi="Gill Sans MT" w:cs="Gill Sans MT"/>
          <w:bCs/>
        </w:rPr>
      </w:pPr>
    </w:p>
    <w:p w:rsidR="00354D04" w:rsidRDefault="00354D04" w:rsidP="001D4AD4">
      <w:pPr>
        <w:autoSpaceDE w:val="0"/>
        <w:autoSpaceDN w:val="0"/>
        <w:adjustRightInd w:val="0"/>
        <w:jc w:val="both"/>
        <w:rPr>
          <w:rFonts w:ascii="Gill Sans MT" w:hAnsi="Gill Sans MT" w:cs="Gill Sans MT"/>
          <w:bCs/>
        </w:rPr>
      </w:pPr>
    </w:p>
    <w:p w:rsidR="00086C21" w:rsidRDefault="00086C21" w:rsidP="001D4AD4">
      <w:pPr>
        <w:autoSpaceDE w:val="0"/>
        <w:autoSpaceDN w:val="0"/>
        <w:adjustRightInd w:val="0"/>
        <w:jc w:val="both"/>
        <w:rPr>
          <w:rFonts w:ascii="Gill Sans MT" w:hAnsi="Gill Sans MT" w:cs="Gill Sans MT"/>
          <w:bCs/>
        </w:rPr>
      </w:pPr>
    </w:p>
    <w:p w:rsidR="00354D04" w:rsidRDefault="00354D04" w:rsidP="001D4AD4">
      <w:pPr>
        <w:autoSpaceDE w:val="0"/>
        <w:autoSpaceDN w:val="0"/>
        <w:adjustRightInd w:val="0"/>
        <w:jc w:val="both"/>
        <w:rPr>
          <w:rFonts w:ascii="Gill Sans MT" w:hAnsi="Gill Sans MT" w:cs="Gill Sans MT"/>
          <w:bCs/>
        </w:rPr>
      </w:pPr>
    </w:p>
    <w:p w:rsidR="001D4AD4" w:rsidRPr="001D4AD4" w:rsidRDefault="001D4AD4" w:rsidP="00B65C89">
      <w:pPr>
        <w:jc w:val="center"/>
        <w:rPr>
          <w:rFonts w:ascii="Gill Sans MT" w:hAnsi="Gill Sans MT"/>
          <w:b/>
          <w:sz w:val="22"/>
        </w:rPr>
      </w:pPr>
      <w:r w:rsidRPr="001D4AD4">
        <w:rPr>
          <w:rFonts w:ascii="Gill Sans MT" w:hAnsi="Gill Sans MT"/>
          <w:b/>
          <w:sz w:val="22"/>
        </w:rPr>
        <w:t>Comunidades en las que más ha crecido la rentabilidad</w:t>
      </w:r>
    </w:p>
    <w:p w:rsidR="002E0629" w:rsidRDefault="002E0629" w:rsidP="00B65C89">
      <w:pPr>
        <w:autoSpaceDE w:val="0"/>
        <w:autoSpaceDN w:val="0"/>
        <w:adjustRightInd w:val="0"/>
        <w:jc w:val="center"/>
        <w:rPr>
          <w:rFonts w:ascii="Gill Sans MT" w:hAnsi="Gill Sans MT" w:cs="Gill Sans MT"/>
          <w:bCs/>
        </w:rPr>
      </w:pPr>
    </w:p>
    <w:tbl>
      <w:tblPr>
        <w:tblW w:w="6204" w:type="dxa"/>
        <w:jc w:val="center"/>
        <w:tblBorders>
          <w:insideH w:val="single" w:sz="2" w:space="0" w:color="F8F8F8"/>
        </w:tblBorders>
        <w:tblLayout w:type="fixed"/>
        <w:tblLook w:val="01E0" w:firstRow="1" w:lastRow="1" w:firstColumn="1" w:lastColumn="1" w:noHBand="0" w:noVBand="0"/>
      </w:tblPr>
      <w:tblGrid>
        <w:gridCol w:w="3369"/>
        <w:gridCol w:w="2835"/>
      </w:tblGrid>
      <w:tr w:rsidR="00CD48DC" w:rsidRPr="00D65EFE" w:rsidTr="00B65C89">
        <w:trPr>
          <w:trHeight w:val="22"/>
          <w:jc w:val="center"/>
        </w:trPr>
        <w:tc>
          <w:tcPr>
            <w:tcW w:w="3369" w:type="dxa"/>
            <w:shd w:val="clear" w:color="auto" w:fill="D2D9E8"/>
            <w:vAlign w:val="center"/>
          </w:tcPr>
          <w:p w:rsidR="00CB18ED" w:rsidRDefault="00CD48DC" w:rsidP="00B65C89">
            <w:pPr>
              <w:pStyle w:val="Texto"/>
              <w:ind w:left="-142"/>
              <w:jc w:val="center"/>
              <w:rPr>
                <w:b/>
                <w:szCs w:val="24"/>
              </w:rPr>
            </w:pPr>
            <w:r w:rsidRPr="00D65EFE">
              <w:rPr>
                <w:b/>
                <w:szCs w:val="24"/>
              </w:rPr>
              <w:t>Comunidades</w:t>
            </w:r>
          </w:p>
          <w:p w:rsidR="00CD48DC" w:rsidRPr="00D65EFE" w:rsidRDefault="00CD48DC" w:rsidP="00B65C89">
            <w:pPr>
              <w:pStyle w:val="Texto"/>
              <w:ind w:left="-142"/>
              <w:jc w:val="center"/>
              <w:rPr>
                <w:b/>
                <w:szCs w:val="24"/>
              </w:rPr>
            </w:pPr>
            <w:r w:rsidRPr="00D65EFE">
              <w:rPr>
                <w:b/>
                <w:szCs w:val="24"/>
              </w:rPr>
              <w:t>Autónomas</w:t>
            </w:r>
          </w:p>
        </w:tc>
        <w:tc>
          <w:tcPr>
            <w:tcW w:w="2835" w:type="dxa"/>
            <w:shd w:val="clear" w:color="auto" w:fill="D2D9E8"/>
            <w:vAlign w:val="center"/>
          </w:tcPr>
          <w:p w:rsidR="00CD48DC" w:rsidRPr="00D65EFE" w:rsidRDefault="006775E3" w:rsidP="00B65C89">
            <w:pPr>
              <w:pStyle w:val="Listavistosa-nfasis11"/>
              <w:ind w:left="0"/>
              <w:jc w:val="center"/>
              <w:rPr>
                <w:rStyle w:val="nfasis"/>
                <w:rFonts w:ascii="Gill Sans MT" w:hAnsi="Gill Sans MT"/>
                <w:b/>
                <w:i w:val="0"/>
                <w:sz w:val="22"/>
              </w:rPr>
            </w:pPr>
            <w:r>
              <w:rPr>
                <w:rStyle w:val="nfasis"/>
                <w:rFonts w:ascii="Gill Sans MT" w:hAnsi="Gill Sans MT"/>
                <w:b/>
                <w:i w:val="0"/>
                <w:sz w:val="22"/>
              </w:rPr>
              <w:t>Crecimiento r</w:t>
            </w:r>
            <w:r w:rsidR="00CD48DC" w:rsidRPr="00D65EFE">
              <w:rPr>
                <w:rStyle w:val="nfasis"/>
                <w:rFonts w:ascii="Gill Sans MT" w:hAnsi="Gill Sans MT"/>
                <w:b/>
                <w:i w:val="0"/>
                <w:sz w:val="22"/>
              </w:rPr>
              <w:t>entabilidad</w:t>
            </w:r>
          </w:p>
          <w:p w:rsidR="00CD48DC" w:rsidRPr="00D65EFE" w:rsidRDefault="006775E3" w:rsidP="00B65C89">
            <w:pPr>
              <w:pStyle w:val="Listavistosa-nfasis11"/>
              <w:ind w:left="0"/>
              <w:jc w:val="center"/>
              <w:rPr>
                <w:rStyle w:val="nfasis"/>
                <w:rFonts w:ascii="Gill Sans MT" w:hAnsi="Gill Sans MT"/>
                <w:b/>
                <w:i w:val="0"/>
                <w:sz w:val="22"/>
              </w:rPr>
            </w:pPr>
            <w:r>
              <w:rPr>
                <w:rStyle w:val="nfasis"/>
                <w:rFonts w:ascii="Gill Sans MT" w:hAnsi="Gill Sans MT"/>
                <w:b/>
                <w:i w:val="0"/>
                <w:sz w:val="22"/>
              </w:rPr>
              <w:t>desde 2007</w:t>
            </w:r>
          </w:p>
        </w:tc>
      </w:tr>
      <w:tr w:rsidR="003A1809"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3A1809" w:rsidRPr="003A1809" w:rsidRDefault="003A1809" w:rsidP="00B65C89">
            <w:pPr>
              <w:jc w:val="center"/>
              <w:rPr>
                <w:rFonts w:ascii="Gill Sans MT" w:hAnsi="Gill Sans MT"/>
              </w:rPr>
            </w:pPr>
            <w:r w:rsidRPr="003A1809">
              <w:rPr>
                <w:rFonts w:ascii="Gill Sans MT" w:hAnsi="Gill Sans MT"/>
              </w:rPr>
              <w:t>Navarra</w:t>
            </w:r>
          </w:p>
        </w:tc>
        <w:tc>
          <w:tcPr>
            <w:tcW w:w="2835" w:type="dxa"/>
            <w:tcBorders>
              <w:top w:val="dashed" w:sz="8" w:space="0" w:color="D2D9E8"/>
              <w:bottom w:val="dashed" w:sz="8" w:space="0" w:color="D2D9E8"/>
              <w:right w:val="single" w:sz="2" w:space="0" w:color="F8F8F8"/>
            </w:tcBorders>
            <w:shd w:val="clear" w:color="auto" w:fill="E9ECF5"/>
            <w:vAlign w:val="bottom"/>
          </w:tcPr>
          <w:p w:rsidR="003A1809" w:rsidRPr="003A1809" w:rsidRDefault="00AB4675" w:rsidP="00B65C89">
            <w:pPr>
              <w:jc w:val="center"/>
              <w:rPr>
                <w:rFonts w:ascii="Gill Sans MT" w:hAnsi="Gill Sans MT"/>
              </w:rPr>
            </w:pPr>
            <w:r>
              <w:rPr>
                <w:rFonts w:ascii="Gill Sans MT" w:hAnsi="Gill Sans MT"/>
              </w:rPr>
              <w:t>2,1</w:t>
            </w:r>
            <w:r w:rsidR="003A1809" w:rsidRPr="003A1809">
              <w:rPr>
                <w:rFonts w:ascii="Gill Sans MT" w:hAnsi="Gill Sans MT"/>
              </w:rPr>
              <w:t>%</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Madrid</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1,8%</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La Rioja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1,7%</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Canarias</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1,4%</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Extremadura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1,4%</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Castilla-La Mancha</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1,3%</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Cataluña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1,3%</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Murcia</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1,2%</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Andalucía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1,2%</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País Vasco</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1,2%</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Castilla y León</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1,2%</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Aragón</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1,0%</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Cantabria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1,0%</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Baleares</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0,9%</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C. Valenciana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0,9%</w:t>
            </w:r>
          </w:p>
        </w:tc>
        <w:bookmarkStart w:id="0" w:name="_GoBack"/>
        <w:bookmarkEnd w:id="0"/>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Asturias</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0,8%</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Galicia</w:t>
            </w:r>
          </w:p>
        </w:tc>
        <w:tc>
          <w:tcPr>
            <w:tcW w:w="2835" w:type="dxa"/>
            <w:tcBorders>
              <w:top w:val="dashed" w:sz="8" w:space="0" w:color="D2D9E8"/>
              <w:bottom w:val="dashed" w:sz="8" w:space="0" w:color="D2D9E8"/>
              <w:right w:val="single" w:sz="2" w:space="0" w:color="F8F8F8"/>
            </w:tcBorders>
            <w:shd w:val="clear" w:color="auto" w:fill="E9ECF5"/>
            <w:vAlign w:val="bottom"/>
          </w:tcPr>
          <w:p w:rsidR="00AB4675" w:rsidRPr="00AB4675" w:rsidRDefault="00AB4675" w:rsidP="00B65C89">
            <w:pPr>
              <w:jc w:val="center"/>
              <w:rPr>
                <w:rFonts w:ascii="Gill Sans MT" w:hAnsi="Gill Sans MT"/>
              </w:rPr>
            </w:pPr>
            <w:r w:rsidRPr="00AB4675">
              <w:rPr>
                <w:rFonts w:ascii="Gill Sans MT" w:hAnsi="Gill Sans MT"/>
              </w:rPr>
              <w:t>0,8%</w:t>
            </w:r>
          </w:p>
        </w:tc>
      </w:tr>
      <w:tr w:rsidR="00AB4675" w:rsidRPr="001D4AD4" w:rsidTr="00B65C89">
        <w:trPr>
          <w:trHeight w:val="22"/>
          <w:jc w:val="center"/>
        </w:trPr>
        <w:tc>
          <w:tcPr>
            <w:tcW w:w="3369"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Madrid</w:t>
            </w:r>
          </w:p>
        </w:tc>
        <w:tc>
          <w:tcPr>
            <w:tcW w:w="2835" w:type="dxa"/>
            <w:tcBorders>
              <w:top w:val="dashed" w:sz="8" w:space="0" w:color="D2D9E8"/>
              <w:bottom w:val="dashed" w:sz="8" w:space="0" w:color="D2D9E8"/>
              <w:right w:val="single" w:sz="2" w:space="0" w:color="F8F8F8"/>
            </w:tcBorders>
            <w:shd w:val="clear" w:color="auto" w:fill="auto"/>
            <w:vAlign w:val="bottom"/>
          </w:tcPr>
          <w:p w:rsidR="00AB4675" w:rsidRPr="00AB4675" w:rsidRDefault="00AB4675" w:rsidP="00B65C89">
            <w:pPr>
              <w:jc w:val="center"/>
              <w:rPr>
                <w:rFonts w:ascii="Gill Sans MT" w:hAnsi="Gill Sans MT"/>
              </w:rPr>
            </w:pPr>
            <w:r w:rsidRPr="00AB4675">
              <w:rPr>
                <w:rFonts w:ascii="Gill Sans MT" w:hAnsi="Gill Sans MT"/>
              </w:rPr>
              <w:t>1,8%</w:t>
            </w:r>
          </w:p>
        </w:tc>
      </w:tr>
    </w:tbl>
    <w:p w:rsidR="000E4BAA" w:rsidRDefault="00B65C89" w:rsidP="00B65C89">
      <w:pPr>
        <w:autoSpaceDE w:val="0"/>
        <w:autoSpaceDN w:val="0"/>
        <w:adjustRightInd w:val="0"/>
        <w:jc w:val="center"/>
        <w:rPr>
          <w:rFonts w:ascii="Gill Sans MT" w:hAnsi="Gill Sans MT" w:cs="Gill Sans MT"/>
          <w:bCs/>
        </w:rPr>
      </w:pPr>
      <w:r>
        <w:rPr>
          <w:rFonts w:ascii="Gill Sans MT" w:hAnsi="Gill Sans MT"/>
          <w:i/>
          <w:sz w:val="22"/>
        </w:rPr>
        <w:t xml:space="preserve">                                                </w:t>
      </w:r>
      <w:r w:rsidR="000E4BAA" w:rsidRPr="00171C37">
        <w:rPr>
          <w:rFonts w:ascii="Gill Sans MT" w:hAnsi="Gill Sans MT"/>
          <w:i/>
          <w:sz w:val="22"/>
        </w:rPr>
        <w:t xml:space="preserve">Fuente: Índice inmobiliario </w:t>
      </w:r>
      <w:hyperlink r:id="rId14" w:history="1">
        <w:r w:rsidR="000E4BAA" w:rsidRPr="00171C37">
          <w:rPr>
            <w:rStyle w:val="Hipervnculo"/>
            <w:rFonts w:ascii="Gill Sans MT" w:hAnsi="Gill Sans MT" w:cstheme="minorBidi"/>
            <w:i/>
          </w:rPr>
          <w:t>fotocasa.es</w:t>
        </w:r>
      </w:hyperlink>
    </w:p>
    <w:p w:rsidR="001D4AD4" w:rsidRDefault="001D4AD4" w:rsidP="002E0629">
      <w:pPr>
        <w:autoSpaceDE w:val="0"/>
        <w:autoSpaceDN w:val="0"/>
        <w:adjustRightInd w:val="0"/>
        <w:jc w:val="both"/>
        <w:rPr>
          <w:rFonts w:ascii="Gill Sans MT" w:hAnsi="Gill Sans MT" w:cs="Gill Sans MT"/>
          <w:bCs/>
        </w:rPr>
      </w:pPr>
    </w:p>
    <w:p w:rsidR="00354D04" w:rsidRDefault="00354D04" w:rsidP="002E0629">
      <w:pPr>
        <w:autoSpaceDE w:val="0"/>
        <w:autoSpaceDN w:val="0"/>
        <w:adjustRightInd w:val="0"/>
        <w:jc w:val="both"/>
        <w:rPr>
          <w:rFonts w:ascii="Gill Sans MT" w:hAnsi="Gill Sans MT" w:cs="Gill Sans MT"/>
          <w:bCs/>
        </w:rPr>
      </w:pPr>
    </w:p>
    <w:p w:rsidR="002E0629" w:rsidRDefault="002E0629" w:rsidP="002E0629">
      <w:pPr>
        <w:jc w:val="both"/>
        <w:rPr>
          <w:rFonts w:ascii="Gill Sans MT" w:hAnsi="Gill Sans MT" w:cs="Gill Sans MT"/>
          <w:bCs/>
        </w:rPr>
      </w:pPr>
    </w:p>
    <w:p w:rsidR="002E0629" w:rsidRPr="00E867D3" w:rsidRDefault="002E0629" w:rsidP="002E0629">
      <w:pPr>
        <w:autoSpaceDE w:val="0"/>
        <w:autoSpaceDN w:val="0"/>
        <w:adjustRightInd w:val="0"/>
        <w:rPr>
          <w:rFonts w:ascii="Gill Sans MT" w:hAnsi="Gill Sans MT" w:cs="Gill Sans MT"/>
          <w:b/>
          <w:bCs/>
        </w:rPr>
      </w:pPr>
      <w:r w:rsidRPr="00E867D3">
        <w:rPr>
          <w:rFonts w:ascii="Gill Sans MT" w:hAnsi="Gill Sans MT" w:cs="Gill Sans MT"/>
          <w:b/>
          <w:bCs/>
        </w:rPr>
        <w:t xml:space="preserve">Sobre </w:t>
      </w:r>
      <w:r w:rsidR="001D4AD4">
        <w:rPr>
          <w:rFonts w:ascii="Gill Sans MT" w:hAnsi="Gill Sans MT" w:cs="Gill Sans MT"/>
          <w:b/>
          <w:bCs/>
        </w:rPr>
        <w:t>el análisis</w:t>
      </w:r>
      <w:r w:rsidR="00726C51">
        <w:rPr>
          <w:rFonts w:ascii="Gill Sans MT" w:hAnsi="Gill Sans MT" w:cs="Gill Sans MT"/>
          <w:b/>
          <w:bCs/>
        </w:rPr>
        <w:t xml:space="preserve"> de la rentabilidad de la vivienda</w:t>
      </w:r>
    </w:p>
    <w:p w:rsidR="008C7A6B" w:rsidRDefault="00AC553E" w:rsidP="002E0629">
      <w:pPr>
        <w:jc w:val="both"/>
        <w:rPr>
          <w:rFonts w:ascii="Gill Sans MT" w:hAnsi="Gill Sans MT" w:cs="Gill Sans MT"/>
          <w:bCs/>
        </w:rPr>
      </w:pPr>
      <w:r w:rsidRPr="008C7A6B">
        <w:rPr>
          <w:rFonts w:ascii="Gill Sans MT" w:hAnsi="Gill Sans MT" w:cs="Gill Sans MT"/>
          <w:bCs/>
        </w:rPr>
        <w:t xml:space="preserve">Para calcular la rentabilidad anual de las viviendas que se compran para ponerlas en alquiler </w:t>
      </w:r>
      <w:hyperlink r:id="rId15" w:history="1">
        <w:r w:rsidR="008C7A6B" w:rsidRPr="00F26D58">
          <w:rPr>
            <w:rStyle w:val="Hipervnculo"/>
            <w:rFonts w:ascii="Gill Sans MT" w:hAnsi="Gill Sans MT" w:cs="Gill Sans MT"/>
            <w:bCs/>
          </w:rPr>
          <w:t>fotocasa.es</w:t>
        </w:r>
      </w:hyperlink>
      <w:r w:rsidR="001D4AD4" w:rsidRPr="008C7A6B">
        <w:rPr>
          <w:rFonts w:ascii="Gill Sans MT" w:hAnsi="Gill Sans MT" w:cs="Gill Sans MT"/>
          <w:bCs/>
        </w:rPr>
        <w:t xml:space="preserve"> </w:t>
      </w:r>
      <w:r w:rsidR="00DD216F" w:rsidRPr="008C7A6B">
        <w:rPr>
          <w:rFonts w:ascii="Gill Sans MT" w:hAnsi="Gill Sans MT" w:cs="Gill Sans MT"/>
          <w:bCs/>
        </w:rPr>
        <w:t>se ha basado en el cálculo del PER</w:t>
      </w:r>
      <w:r w:rsidR="008C7A6B">
        <w:rPr>
          <w:rFonts w:ascii="Gill Sans MT" w:hAnsi="Gill Sans MT" w:cs="Gill Sans MT"/>
          <w:bCs/>
        </w:rPr>
        <w:t xml:space="preserve">, que consiste en relacionar el número de veces que el precio de la vivienda contiene el precio que aporta el alquiler. En este cálculo no se han tenido en cuenta gastos derivados de la compra de vivienda como la hipoteca, el notario o la escritura de la misma. </w:t>
      </w:r>
    </w:p>
    <w:p w:rsidR="00DD216F" w:rsidRDefault="00DD216F" w:rsidP="002E0629">
      <w:pPr>
        <w:jc w:val="both"/>
        <w:rPr>
          <w:rFonts w:ascii="Gill Sans MT" w:hAnsi="Gill Sans MT" w:cs="Gill Sans MT"/>
          <w:bCs/>
        </w:rPr>
      </w:pPr>
    </w:p>
    <w:p w:rsidR="00354D04" w:rsidRPr="00DB0111" w:rsidRDefault="00354D04" w:rsidP="002E0629">
      <w:pPr>
        <w:jc w:val="both"/>
        <w:rPr>
          <w:rFonts w:ascii="Gill Sans MT" w:hAnsi="Gill Sans MT" w:cs="Gill Sans MT"/>
          <w:bCs/>
        </w:rPr>
      </w:pPr>
    </w:p>
    <w:p w:rsidR="00730EE4" w:rsidRPr="00B67704" w:rsidRDefault="00354D04" w:rsidP="00730EE4">
      <w:pPr>
        <w:autoSpaceDE w:val="0"/>
        <w:autoSpaceDN w:val="0"/>
        <w:adjustRightInd w:val="0"/>
        <w:jc w:val="both"/>
        <w:rPr>
          <w:rFonts w:ascii="Gill Sans MT" w:hAnsi="Gill Sans MT" w:cs="Gill Sans MT"/>
          <w:b/>
          <w:bCs/>
        </w:rPr>
      </w:pPr>
      <w:r>
        <w:rPr>
          <w:rFonts w:ascii="Gill Sans MT" w:hAnsi="Gill Sans MT" w:cs="Gill Sans MT"/>
          <w:b/>
          <w:bCs/>
        </w:rPr>
        <w:t>Sobre fo</w:t>
      </w:r>
      <w:r w:rsidR="00730EE4" w:rsidRPr="00B67704">
        <w:rPr>
          <w:rFonts w:ascii="Gill Sans MT" w:hAnsi="Gill Sans MT" w:cs="Gill Sans MT"/>
          <w:b/>
          <w:bCs/>
        </w:rPr>
        <w:t>tocasa.es</w:t>
      </w:r>
    </w:p>
    <w:p w:rsidR="00730EE4" w:rsidRDefault="00730EE4" w:rsidP="00730EE4">
      <w:pPr>
        <w:autoSpaceDE w:val="0"/>
        <w:autoSpaceDN w:val="0"/>
        <w:adjustRightInd w:val="0"/>
        <w:jc w:val="both"/>
        <w:rPr>
          <w:rFonts w:ascii="Gill Sans MT" w:hAnsi="Gill Sans MT" w:cs="Gill Sans MT"/>
          <w:bCs/>
        </w:rPr>
      </w:pPr>
      <w:r w:rsidRPr="00B67704">
        <w:rPr>
          <w:rFonts w:ascii="Gill Sans MT" w:hAnsi="Gill Sans MT" w:cs="Gill Sans MT"/>
          <w:bCs/>
        </w:rPr>
        <w:t xml:space="preserve">Portal inmobiliario que dispone de la mayor oferta del mercado, tanto inmuebles de segunda mano como promociones de obra nueva y alquiler. Genera un tráfico de </w:t>
      </w:r>
      <w:r w:rsidRPr="00B67704">
        <w:rPr>
          <w:rFonts w:ascii="Gill Sans MT" w:hAnsi="Gill Sans MT" w:cs="Gill Sans MT"/>
          <w:b/>
          <w:bCs/>
        </w:rPr>
        <w:t>13 millones de visitas</w:t>
      </w:r>
      <w:r w:rsidRPr="00B67704">
        <w:rPr>
          <w:rFonts w:ascii="Gill Sans MT" w:hAnsi="Gill Sans MT" w:cs="Gill Sans MT"/>
          <w:bCs/>
        </w:rPr>
        <w:t xml:space="preserve"> y </w:t>
      </w:r>
      <w:r w:rsidRPr="00B67704">
        <w:rPr>
          <w:rFonts w:ascii="Gill Sans MT" w:hAnsi="Gill Sans MT" w:cs="Gill Sans MT"/>
          <w:b/>
          <w:bCs/>
        </w:rPr>
        <w:t>550 millones de páginas vistas</w:t>
      </w:r>
      <w:r w:rsidRPr="00B67704">
        <w:rPr>
          <w:rFonts w:ascii="Gill Sans MT" w:hAnsi="Gill Sans MT" w:cs="Gill Sans MT"/>
          <w:bCs/>
        </w:rPr>
        <w:t xml:space="preserve"> </w:t>
      </w:r>
      <w:r w:rsidRPr="00B67704">
        <w:rPr>
          <w:rFonts w:ascii="Gill Sans MT" w:hAnsi="Gill Sans MT" w:cs="Gill Sans MT"/>
          <w:b/>
          <w:bCs/>
        </w:rPr>
        <w:t>mensuales</w:t>
      </w:r>
      <w:r w:rsidRPr="00B67704">
        <w:rPr>
          <w:rFonts w:ascii="Gill Sans MT" w:hAnsi="Gill Sans MT" w:cs="Gill Sans MT"/>
          <w:bCs/>
        </w:rPr>
        <w:t>, según datos de OJD del primer semestre de 2014.</w:t>
      </w:r>
    </w:p>
    <w:p w:rsidR="00730EE4" w:rsidRPr="00B67704" w:rsidRDefault="00730EE4" w:rsidP="00730EE4">
      <w:pPr>
        <w:autoSpaceDE w:val="0"/>
        <w:autoSpaceDN w:val="0"/>
        <w:adjustRightInd w:val="0"/>
        <w:jc w:val="both"/>
        <w:rPr>
          <w:rFonts w:ascii="Gill Sans MT" w:hAnsi="Gill Sans MT" w:cs="Gill Sans MT"/>
          <w:bCs/>
        </w:rPr>
      </w:pPr>
      <w:r w:rsidRPr="00B67704">
        <w:rPr>
          <w:rFonts w:ascii="Gill Sans MT" w:hAnsi="Gill Sans MT" w:cs="Gill Sans MT"/>
          <w:bCs/>
        </w:rPr>
        <w:t xml:space="preserve">fotocasa.es elabora el </w:t>
      </w:r>
      <w:hyperlink r:id="rId16" w:history="1">
        <w:r w:rsidRPr="000A712D">
          <w:rPr>
            <w:rStyle w:val="Hipervnculo"/>
            <w:rFonts w:ascii="Gill Sans MT" w:hAnsi="Gill Sans MT" w:cs="Gill Sans MT"/>
            <w:i/>
          </w:rPr>
          <w:t>índice inmobiliario fotocasa.es</w:t>
        </w:r>
      </w:hyperlink>
      <w:r w:rsidRPr="00B67704">
        <w:rPr>
          <w:rFonts w:ascii="Gill Sans MT" w:hAnsi="Gill Sans MT" w:cs="Gill Sans MT"/>
          <w:bCs/>
        </w:rPr>
        <w:t xml:space="preserve">, informe de referencia sobre la evolución del precio medio de la vivienda en España, tanto en venta como en alquiler. Para más información, visita la </w:t>
      </w:r>
      <w:hyperlink r:id="rId17" w:history="1">
        <w:r w:rsidRPr="00B67704">
          <w:rPr>
            <w:rStyle w:val="Hipervnculo"/>
            <w:rFonts w:ascii="Gill Sans MT" w:hAnsi="Gill Sans MT" w:cs="Gill Sans MT"/>
          </w:rPr>
          <w:t>sala de prensa</w:t>
        </w:r>
      </w:hyperlink>
      <w:r w:rsidRPr="00B67704">
        <w:rPr>
          <w:rFonts w:ascii="Gill Sans MT" w:hAnsi="Gill Sans MT" w:cs="Gill Sans MT"/>
          <w:bCs/>
        </w:rPr>
        <w:t xml:space="preserve"> de fotocasa.es.</w:t>
      </w:r>
    </w:p>
    <w:p w:rsidR="00730EE4" w:rsidRDefault="00730EE4" w:rsidP="00730EE4">
      <w:pPr>
        <w:autoSpaceDE w:val="0"/>
        <w:autoSpaceDN w:val="0"/>
        <w:spacing w:line="276" w:lineRule="auto"/>
        <w:ind w:left="-142"/>
        <w:jc w:val="both"/>
        <w:rPr>
          <w:rFonts w:cs="Arial"/>
          <w:bCs/>
        </w:rPr>
      </w:pPr>
    </w:p>
    <w:p w:rsidR="00730EE4" w:rsidRDefault="00B65C89" w:rsidP="00730EE4">
      <w:pPr>
        <w:autoSpaceDE w:val="0"/>
        <w:autoSpaceDN w:val="0"/>
        <w:adjustRightInd w:val="0"/>
        <w:jc w:val="both"/>
        <w:rPr>
          <w:rFonts w:ascii="Gill Sans MT" w:hAnsi="Gill Sans MT" w:cs="Gill Sans MT"/>
          <w:bCs/>
        </w:rPr>
      </w:pPr>
      <w:hyperlink r:id="rId18" w:history="1">
        <w:r w:rsidR="00730EE4" w:rsidRPr="00B67704">
          <w:rPr>
            <w:rStyle w:val="Hipervnculo"/>
            <w:rFonts w:ascii="Gill Sans MT" w:hAnsi="Gill Sans MT" w:cs="Gill Sans MT"/>
          </w:rPr>
          <w:t>fotocasa.es</w:t>
        </w:r>
      </w:hyperlink>
      <w:r w:rsidR="00730EE4" w:rsidRPr="00B67704">
        <w:rPr>
          <w:rFonts w:ascii="Gill Sans MT" w:hAnsi="Gill Sans MT" w:cs="Gill Sans MT"/>
          <w:bCs/>
        </w:rPr>
        <w:t xml:space="preserve"> pertenece a </w:t>
      </w:r>
      <w:proofErr w:type="spellStart"/>
      <w:r w:rsidR="00730EE4" w:rsidRPr="00B67704">
        <w:rPr>
          <w:rFonts w:ascii="Gill Sans MT" w:hAnsi="Gill Sans MT" w:cs="Gill Sans MT"/>
          <w:b/>
          <w:bCs/>
        </w:rPr>
        <w:t>Schibsted</w:t>
      </w:r>
      <w:proofErr w:type="spellEnd"/>
      <w:r w:rsidR="00730EE4" w:rsidRPr="00B67704">
        <w:rPr>
          <w:rFonts w:ascii="Gill Sans MT" w:hAnsi="Gill Sans MT" w:cs="Gill Sans MT"/>
          <w:b/>
          <w:bCs/>
        </w:rPr>
        <w:t xml:space="preserve"> </w:t>
      </w:r>
      <w:proofErr w:type="spellStart"/>
      <w:r w:rsidR="00730EE4" w:rsidRPr="00B67704">
        <w:rPr>
          <w:rFonts w:ascii="Gill Sans MT" w:hAnsi="Gill Sans MT" w:cs="Gill Sans MT"/>
          <w:b/>
          <w:bCs/>
        </w:rPr>
        <w:t>Classified</w:t>
      </w:r>
      <w:proofErr w:type="spellEnd"/>
      <w:r w:rsidR="00730EE4" w:rsidRPr="00B67704">
        <w:rPr>
          <w:rFonts w:ascii="Gill Sans MT" w:hAnsi="Gill Sans MT" w:cs="Gill Sans MT"/>
          <w:b/>
          <w:bCs/>
        </w:rPr>
        <w:t xml:space="preserve"> Media </w:t>
      </w:r>
      <w:proofErr w:type="spellStart"/>
      <w:r w:rsidR="00730EE4" w:rsidRPr="00B67704">
        <w:rPr>
          <w:rFonts w:ascii="Gill Sans MT" w:hAnsi="Gill Sans MT" w:cs="Gill Sans MT"/>
          <w:b/>
          <w:bCs/>
        </w:rPr>
        <w:t>Spain</w:t>
      </w:r>
      <w:proofErr w:type="spellEnd"/>
      <w:r w:rsidR="00730EE4" w:rsidRPr="00B67704">
        <w:rPr>
          <w:rFonts w:ascii="Gill Sans MT" w:hAnsi="Gill Sans MT" w:cs="Gill Sans MT"/>
          <w:b/>
          <w:bCs/>
        </w:rPr>
        <w:t xml:space="preserve"> (SCM </w:t>
      </w:r>
      <w:proofErr w:type="spellStart"/>
      <w:r w:rsidR="00730EE4" w:rsidRPr="00B67704">
        <w:rPr>
          <w:rFonts w:ascii="Gill Sans MT" w:hAnsi="Gill Sans MT" w:cs="Gill Sans MT"/>
          <w:b/>
          <w:bCs/>
        </w:rPr>
        <w:t>Spain</w:t>
      </w:r>
      <w:proofErr w:type="spellEnd"/>
      <w:r w:rsidR="00730EE4" w:rsidRPr="00B67704">
        <w:rPr>
          <w:rFonts w:ascii="Gill Sans MT" w:hAnsi="Gill Sans MT" w:cs="Gill Sans MT"/>
          <w:b/>
          <w:bCs/>
        </w:rPr>
        <w:t>)</w:t>
      </w:r>
      <w:r w:rsidR="00730EE4" w:rsidRPr="00B67704">
        <w:rPr>
          <w:rFonts w:ascii="Gill Sans MT" w:hAnsi="Gill Sans MT" w:cs="Gill Sans MT"/>
          <w:bCs/>
        </w:rPr>
        <w:t xml:space="preserve">, la compañía de anuncios clasificados más grande y diversificada del país. Además de gestionar el portal inmobiliario </w:t>
      </w:r>
      <w:hyperlink r:id="rId19" w:history="1">
        <w:r w:rsidR="00730EE4" w:rsidRPr="00B67704">
          <w:rPr>
            <w:rStyle w:val="Hipervnculo"/>
            <w:rFonts w:ascii="Gill Sans MT" w:hAnsi="Gill Sans MT" w:cs="Gill Sans MT"/>
          </w:rPr>
          <w:t>fotocasa.es</w:t>
        </w:r>
      </w:hyperlink>
      <w:r w:rsidR="00730EE4" w:rsidRPr="00B67704">
        <w:rPr>
          <w:rFonts w:ascii="Gill Sans MT" w:hAnsi="Gill Sans MT" w:cs="Gill Sans MT"/>
          <w:bCs/>
        </w:rPr>
        <w:t xml:space="preserve">, cuenta con los siguientes portales de referencia: </w:t>
      </w:r>
      <w:hyperlink r:id="rId20" w:history="1">
        <w:r w:rsidR="00730EE4" w:rsidRPr="00B67704">
          <w:rPr>
            <w:rStyle w:val="Hipervnculo"/>
            <w:rFonts w:ascii="Gill Sans MT" w:hAnsi="Gill Sans MT" w:cs="Gill Sans MT"/>
          </w:rPr>
          <w:t>segundamano.es</w:t>
        </w:r>
      </w:hyperlink>
      <w:r w:rsidR="00730EE4" w:rsidRPr="00B67704">
        <w:rPr>
          <w:rFonts w:ascii="Gill Sans MT" w:hAnsi="Gill Sans MT" w:cs="Gill Sans MT"/>
          <w:bCs/>
        </w:rPr>
        <w:t xml:space="preserve">, </w:t>
      </w:r>
      <w:hyperlink r:id="rId21" w:history="1">
        <w:r w:rsidR="00730EE4" w:rsidRPr="00B67704">
          <w:rPr>
            <w:rStyle w:val="Hipervnculo"/>
            <w:rFonts w:ascii="Gill Sans MT" w:hAnsi="Gill Sans MT" w:cs="Gill Sans MT"/>
          </w:rPr>
          <w:t>coches.net</w:t>
        </w:r>
      </w:hyperlink>
      <w:r w:rsidR="00730EE4" w:rsidRPr="00B67704">
        <w:rPr>
          <w:rFonts w:ascii="Gill Sans MT" w:hAnsi="Gill Sans MT" w:cs="Gill Sans MT"/>
          <w:bCs/>
        </w:rPr>
        <w:t xml:space="preserve">, </w:t>
      </w:r>
      <w:hyperlink r:id="rId22" w:history="1">
        <w:r w:rsidR="00730EE4" w:rsidRPr="00B67704">
          <w:rPr>
            <w:rStyle w:val="Hipervnculo"/>
            <w:rFonts w:ascii="Gill Sans MT" w:hAnsi="Gill Sans MT" w:cs="Gill Sans MT"/>
          </w:rPr>
          <w:t>Infojobs.net</w:t>
        </w:r>
      </w:hyperlink>
      <w:r w:rsidR="00730EE4" w:rsidRPr="00B67704">
        <w:rPr>
          <w:rFonts w:ascii="Gill Sans MT" w:hAnsi="Gill Sans MT" w:cs="Gill Sans MT"/>
          <w:bCs/>
        </w:rPr>
        <w:t xml:space="preserve"> y </w:t>
      </w:r>
      <w:hyperlink r:id="rId23" w:history="1">
        <w:r w:rsidR="00730EE4" w:rsidRPr="00B67704">
          <w:rPr>
            <w:rStyle w:val="Hipervnculo"/>
            <w:rFonts w:ascii="Gill Sans MT" w:hAnsi="Gill Sans MT" w:cs="Gill Sans MT"/>
          </w:rPr>
          <w:t>lectiva.com</w:t>
        </w:r>
      </w:hyperlink>
      <w:r w:rsidR="00730EE4" w:rsidRPr="00B67704">
        <w:rPr>
          <w:rFonts w:ascii="Gill Sans MT" w:hAnsi="Gill Sans MT" w:cs="Gill Sans MT"/>
          <w:bCs/>
        </w:rPr>
        <w:t xml:space="preserve">. SCM </w:t>
      </w:r>
      <w:proofErr w:type="spellStart"/>
      <w:r w:rsidR="00730EE4" w:rsidRPr="00B67704">
        <w:rPr>
          <w:rFonts w:ascii="Gill Sans MT" w:hAnsi="Gill Sans MT" w:cs="Gill Sans MT"/>
          <w:bCs/>
        </w:rPr>
        <w:t>Spain</w:t>
      </w:r>
      <w:proofErr w:type="spellEnd"/>
      <w:r w:rsidR="00730EE4" w:rsidRPr="00B67704">
        <w:rPr>
          <w:rFonts w:ascii="Gill Sans MT" w:hAnsi="Gill Sans MT" w:cs="Gill Sans MT"/>
          <w:bCs/>
        </w:rPr>
        <w:t xml:space="preserve"> forma </w:t>
      </w:r>
      <w:r w:rsidR="00730EE4" w:rsidRPr="00B67704">
        <w:rPr>
          <w:rFonts w:ascii="Gill Sans MT" w:hAnsi="Gill Sans MT" w:cs="Gill Sans MT"/>
          <w:bCs/>
        </w:rPr>
        <w:lastRenderedPageBreak/>
        <w:t xml:space="preserve">parte del grupo de comunicación internacional de origen noruego </w:t>
      </w:r>
      <w:proofErr w:type="spellStart"/>
      <w:r w:rsidR="00730EE4" w:rsidRPr="00B67704">
        <w:rPr>
          <w:rFonts w:ascii="Gill Sans MT" w:hAnsi="Gill Sans MT" w:cs="Gill Sans MT"/>
          <w:bCs/>
        </w:rPr>
        <w:t>Schibsted</w:t>
      </w:r>
      <w:proofErr w:type="spellEnd"/>
      <w:r w:rsidR="00730EE4" w:rsidRPr="00B67704">
        <w:rPr>
          <w:rFonts w:ascii="Gill Sans MT" w:hAnsi="Gill Sans MT" w:cs="Gill Sans MT"/>
          <w:bCs/>
        </w:rPr>
        <w:t xml:space="preserve"> Media </w:t>
      </w:r>
      <w:proofErr w:type="spellStart"/>
      <w:r w:rsidR="00730EE4" w:rsidRPr="00B67704">
        <w:rPr>
          <w:rFonts w:ascii="Gill Sans MT" w:hAnsi="Gill Sans MT" w:cs="Gill Sans MT"/>
          <w:bCs/>
        </w:rPr>
        <w:t>Group</w:t>
      </w:r>
      <w:proofErr w:type="spellEnd"/>
      <w:r w:rsidR="00730EE4" w:rsidRPr="00B67704">
        <w:rPr>
          <w:rFonts w:ascii="Gill Sans MT" w:hAnsi="Gill Sans MT" w:cs="Gill Sans MT"/>
          <w:bCs/>
        </w:rPr>
        <w:t xml:space="preserve">, que está presente en más de 30 países y cuenta con 7.800 empleados. Más información en la </w:t>
      </w:r>
      <w:hyperlink r:id="rId24" w:history="1">
        <w:r w:rsidR="00730EE4" w:rsidRPr="00B67704">
          <w:rPr>
            <w:rStyle w:val="Hipervnculo"/>
            <w:rFonts w:ascii="Gill Sans MT" w:hAnsi="Gill Sans MT" w:cs="Gill Sans MT"/>
          </w:rPr>
          <w:t xml:space="preserve">web de </w:t>
        </w:r>
        <w:proofErr w:type="spellStart"/>
        <w:r w:rsidR="00730EE4" w:rsidRPr="00B67704">
          <w:rPr>
            <w:rStyle w:val="Hipervnculo"/>
            <w:rFonts w:ascii="Gill Sans MT" w:hAnsi="Gill Sans MT" w:cs="Gill Sans MT"/>
          </w:rPr>
          <w:t>Schibsted</w:t>
        </w:r>
        <w:proofErr w:type="spellEnd"/>
        <w:r w:rsidR="00730EE4" w:rsidRPr="00B67704">
          <w:rPr>
            <w:rStyle w:val="Hipervnculo"/>
            <w:rFonts w:ascii="Gill Sans MT" w:hAnsi="Gill Sans MT" w:cs="Gill Sans MT"/>
          </w:rPr>
          <w:t xml:space="preserve"> Media </w:t>
        </w:r>
        <w:proofErr w:type="spellStart"/>
        <w:r w:rsidR="00730EE4" w:rsidRPr="00B67704">
          <w:rPr>
            <w:rStyle w:val="Hipervnculo"/>
            <w:rFonts w:ascii="Gill Sans MT" w:hAnsi="Gill Sans MT" w:cs="Gill Sans MT"/>
          </w:rPr>
          <w:t>Group</w:t>
        </w:r>
        <w:proofErr w:type="spellEnd"/>
      </w:hyperlink>
      <w:r w:rsidR="00730EE4" w:rsidRPr="00B67704">
        <w:rPr>
          <w:rFonts w:ascii="Gill Sans MT" w:hAnsi="Gill Sans MT" w:cs="Gill Sans MT"/>
          <w:bCs/>
        </w:rPr>
        <w:t>.</w:t>
      </w:r>
    </w:p>
    <w:p w:rsidR="00354D04" w:rsidRDefault="00354D04" w:rsidP="00730EE4">
      <w:pPr>
        <w:autoSpaceDE w:val="0"/>
        <w:autoSpaceDN w:val="0"/>
        <w:adjustRightInd w:val="0"/>
        <w:jc w:val="both"/>
        <w:rPr>
          <w:rFonts w:ascii="Gill Sans MT" w:hAnsi="Gill Sans MT" w:cs="Gill Sans MT"/>
          <w:bCs/>
        </w:rPr>
      </w:pPr>
    </w:p>
    <w:p w:rsidR="00730EE4" w:rsidRDefault="00730EE4" w:rsidP="00730EE4">
      <w:pPr>
        <w:autoSpaceDE w:val="0"/>
        <w:autoSpaceDN w:val="0"/>
        <w:adjustRightInd w:val="0"/>
        <w:jc w:val="both"/>
        <w:rPr>
          <w:rFonts w:ascii="Gill Sans MT" w:hAnsi="Gill Sans MT" w:cs="Gill Sans MT"/>
          <w:bCs/>
        </w:rPr>
      </w:pPr>
    </w:p>
    <w:p w:rsidR="00730EE4" w:rsidRPr="00830D7A" w:rsidRDefault="00730EE4" w:rsidP="00730EE4">
      <w:pPr>
        <w:autoSpaceDE w:val="0"/>
        <w:autoSpaceDN w:val="0"/>
        <w:adjustRightInd w:val="0"/>
        <w:jc w:val="both"/>
        <w:rPr>
          <w:rFonts w:ascii="Gill Sans MT" w:hAnsi="Gill Sans MT" w:cs="Gill Sans MT"/>
          <w:b/>
          <w:bCs/>
        </w:rPr>
      </w:pPr>
      <w:r w:rsidRPr="00830D7A">
        <w:rPr>
          <w:rFonts w:ascii="Gill Sans MT" w:hAnsi="Gill Sans MT" w:cs="Gill Sans MT"/>
          <w:b/>
          <w:bCs/>
        </w:rPr>
        <w:t>Departamento de Comunicación de fotocasa.es</w:t>
      </w:r>
    </w:p>
    <w:p w:rsidR="00730EE4" w:rsidRPr="00830D7A" w:rsidRDefault="00730EE4" w:rsidP="00730EE4">
      <w:pPr>
        <w:autoSpaceDE w:val="0"/>
        <w:autoSpaceDN w:val="0"/>
        <w:adjustRightInd w:val="0"/>
        <w:jc w:val="both"/>
        <w:rPr>
          <w:rFonts w:ascii="Gill Sans MT" w:hAnsi="Gill Sans MT" w:cs="Gill Sans MT"/>
          <w:bCs/>
        </w:rPr>
      </w:pPr>
      <w:r w:rsidRPr="00830D7A">
        <w:rPr>
          <w:rFonts w:ascii="Gill Sans MT" w:hAnsi="Gill Sans MT" w:cs="Gill Sans MT"/>
          <w:bCs/>
        </w:rPr>
        <w:t>Anaïs López</w:t>
      </w:r>
    </w:p>
    <w:p w:rsidR="00730EE4" w:rsidRPr="00830D7A" w:rsidRDefault="00730EE4" w:rsidP="00730EE4">
      <w:pPr>
        <w:autoSpaceDE w:val="0"/>
        <w:autoSpaceDN w:val="0"/>
        <w:adjustRightInd w:val="0"/>
        <w:jc w:val="both"/>
        <w:rPr>
          <w:rFonts w:ascii="Gill Sans MT" w:hAnsi="Gill Sans MT" w:cs="Gill Sans MT"/>
          <w:bCs/>
        </w:rPr>
      </w:pPr>
      <w:proofErr w:type="spellStart"/>
      <w:r w:rsidRPr="00830D7A">
        <w:rPr>
          <w:rFonts w:ascii="Gill Sans MT" w:hAnsi="Gill Sans MT" w:cs="Gill Sans MT"/>
          <w:bCs/>
        </w:rPr>
        <w:t>Tlf</w:t>
      </w:r>
      <w:proofErr w:type="spellEnd"/>
      <w:r w:rsidRPr="00830D7A">
        <w:rPr>
          <w:rFonts w:ascii="Gill Sans MT" w:hAnsi="Gill Sans MT" w:cs="Gill Sans MT"/>
          <w:bCs/>
        </w:rPr>
        <w:t xml:space="preserve">.: 93 576 56 79 </w:t>
      </w:r>
    </w:p>
    <w:p w:rsidR="00730EE4" w:rsidRPr="00830D7A" w:rsidRDefault="00730EE4" w:rsidP="00730EE4">
      <w:pPr>
        <w:autoSpaceDE w:val="0"/>
        <w:autoSpaceDN w:val="0"/>
        <w:adjustRightInd w:val="0"/>
        <w:jc w:val="both"/>
        <w:rPr>
          <w:rFonts w:ascii="Gill Sans MT" w:hAnsi="Gill Sans MT" w:cs="Gill Sans MT"/>
          <w:bCs/>
        </w:rPr>
      </w:pPr>
      <w:r w:rsidRPr="00830D7A">
        <w:rPr>
          <w:rFonts w:ascii="Gill Sans MT" w:hAnsi="Gill Sans MT" w:cs="Gill Sans MT"/>
          <w:bCs/>
        </w:rPr>
        <w:t>Móvil: 620 66 29 26</w:t>
      </w:r>
    </w:p>
    <w:p w:rsidR="00730EE4" w:rsidRPr="00830D7A" w:rsidRDefault="00B65C89" w:rsidP="00730EE4">
      <w:pPr>
        <w:autoSpaceDE w:val="0"/>
        <w:autoSpaceDN w:val="0"/>
        <w:adjustRightInd w:val="0"/>
        <w:jc w:val="both"/>
        <w:rPr>
          <w:rFonts w:ascii="Gill Sans MT" w:hAnsi="Gill Sans MT" w:cs="Gill Sans MT"/>
          <w:bCs/>
        </w:rPr>
      </w:pPr>
      <w:hyperlink r:id="rId25" w:history="1">
        <w:r w:rsidR="00730EE4" w:rsidRPr="00830D7A">
          <w:rPr>
            <w:rStyle w:val="Hipervnculo"/>
            <w:rFonts w:ascii="Gill Sans MT" w:hAnsi="Gill Sans MT" w:cs="Gill Sans MT"/>
          </w:rPr>
          <w:t>comunicación@fotocasa.es</w:t>
        </w:r>
      </w:hyperlink>
      <w:r w:rsidR="00730EE4">
        <w:rPr>
          <w:rFonts w:ascii="Gill Sans MT" w:hAnsi="Gill Sans MT" w:cs="Gill Sans MT"/>
          <w:bCs/>
        </w:rPr>
        <w:t xml:space="preserve"> </w:t>
      </w:r>
      <w:r w:rsidR="00730EE4" w:rsidRPr="00830D7A">
        <w:rPr>
          <w:rFonts w:ascii="Gill Sans MT" w:hAnsi="Gill Sans MT" w:cs="Gill Sans MT"/>
          <w:bCs/>
        </w:rPr>
        <w:t xml:space="preserve"> </w:t>
      </w:r>
    </w:p>
    <w:p w:rsidR="00730EE4" w:rsidRPr="00901ECA" w:rsidRDefault="00B65C89" w:rsidP="00730EE4">
      <w:pPr>
        <w:autoSpaceDE w:val="0"/>
        <w:autoSpaceDN w:val="0"/>
        <w:adjustRightInd w:val="0"/>
        <w:jc w:val="both"/>
        <w:rPr>
          <w:rFonts w:ascii="Gill Sans MT" w:hAnsi="Gill Sans MT" w:cs="Gill Sans MT"/>
        </w:rPr>
      </w:pPr>
      <w:hyperlink r:id="rId26" w:history="1">
        <w:r w:rsidR="00730EE4" w:rsidRPr="00830D7A">
          <w:rPr>
            <w:rStyle w:val="Hipervnculo"/>
            <w:rFonts w:ascii="Gill Sans MT" w:hAnsi="Gill Sans MT" w:cs="Gill Sans MT"/>
            <w:lang w:val="en-US"/>
          </w:rPr>
          <w:t>http://prensa.fotocasa.es</w:t>
        </w:r>
      </w:hyperlink>
      <w:r w:rsidR="00730EE4" w:rsidRPr="00830D7A">
        <w:rPr>
          <w:rFonts w:ascii="Gill Sans MT" w:hAnsi="Gill Sans MT" w:cs="Gill Sans MT"/>
          <w:bCs/>
          <w:lang w:val="en-US"/>
        </w:rPr>
        <w:t xml:space="preserve"> </w:t>
      </w:r>
    </w:p>
    <w:p w:rsidR="006D4A25" w:rsidRPr="00A434A9" w:rsidRDefault="00B65C89" w:rsidP="00730EE4">
      <w:pPr>
        <w:autoSpaceDE w:val="0"/>
        <w:autoSpaceDN w:val="0"/>
        <w:adjustRightInd w:val="0"/>
      </w:pPr>
    </w:p>
    <w:sectPr w:rsidR="006D4A25" w:rsidRPr="00A434A9">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E4" w:rsidRDefault="00730EE4" w:rsidP="00730EE4">
      <w:r>
        <w:separator/>
      </w:r>
    </w:p>
  </w:endnote>
  <w:endnote w:type="continuationSeparator" w:id="0">
    <w:p w:rsidR="00730EE4" w:rsidRDefault="00730EE4" w:rsidP="0073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2" w:type="dxa"/>
      <w:tblInd w:w="-252" w:type="dxa"/>
      <w:tblLook w:val="01E0" w:firstRow="1" w:lastRow="1" w:firstColumn="1" w:lastColumn="1" w:noHBand="0" w:noVBand="0"/>
    </w:tblPr>
    <w:tblGrid>
      <w:gridCol w:w="2047"/>
      <w:gridCol w:w="7725"/>
    </w:tblGrid>
    <w:tr w:rsidR="00730EE4" w:rsidRPr="00AF111B" w:rsidTr="005A18C5">
      <w:tc>
        <w:tcPr>
          <w:tcW w:w="2047" w:type="dxa"/>
          <w:shd w:val="clear" w:color="000000" w:fill="auto"/>
        </w:tcPr>
        <w:p w:rsidR="00730EE4" w:rsidRDefault="00730EE4" w:rsidP="00730EE4">
          <w:pPr>
            <w:pStyle w:val="Piedepgina"/>
          </w:pPr>
          <w:r>
            <w:t xml:space="preserve">  </w:t>
          </w:r>
          <w:r>
            <w:rPr>
              <w:noProof/>
            </w:rPr>
            <w:drawing>
              <wp:inline distT="0" distB="0" distL="0" distR="0" wp14:anchorId="3098EA87" wp14:editId="756A04BF">
                <wp:extent cx="942975" cy="2667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266700"/>
                        </a:xfrm>
                        <a:prstGeom prst="rect">
                          <a:avLst/>
                        </a:prstGeom>
                        <a:noFill/>
                        <a:ln w="9525">
                          <a:noFill/>
                          <a:miter lim="800000"/>
                          <a:headEnd/>
                          <a:tailEnd/>
                        </a:ln>
                      </pic:spPr>
                    </pic:pic>
                  </a:graphicData>
                </a:graphic>
              </wp:inline>
            </w:drawing>
          </w:r>
        </w:p>
      </w:tc>
      <w:tc>
        <w:tcPr>
          <w:tcW w:w="7725" w:type="dxa"/>
          <w:shd w:val="clear" w:color="000000" w:fill="auto"/>
        </w:tcPr>
        <w:p w:rsidR="00730EE4" w:rsidRPr="0011304A" w:rsidRDefault="00730EE4" w:rsidP="00730EE4">
          <w:pPr>
            <w:pStyle w:val="Piedepgina"/>
            <w:spacing w:line="360" w:lineRule="auto"/>
            <w:rPr>
              <w:rFonts w:ascii="GillSans" w:hAnsi="GillSans"/>
              <w:color w:val="999999"/>
              <w:sz w:val="16"/>
              <w:szCs w:val="16"/>
            </w:rPr>
          </w:pPr>
          <w:r w:rsidRPr="0011304A">
            <w:rPr>
              <w:rFonts w:ascii="GillSans" w:hAnsi="GillSans"/>
              <w:color w:val="024268"/>
              <w:sz w:val="16"/>
              <w:szCs w:val="16"/>
            </w:rPr>
            <w:t>Departamento de Comunicaci</w:t>
          </w:r>
          <w:r w:rsidRPr="0011304A">
            <w:rPr>
              <w:rFonts w:ascii="GillSans" w:hAnsi="GillSans" w:hint="eastAsia"/>
              <w:color w:val="024268"/>
              <w:sz w:val="16"/>
              <w:szCs w:val="16"/>
            </w:rPr>
            <w:t>ó</w:t>
          </w:r>
          <w:r w:rsidRPr="0011304A">
            <w:rPr>
              <w:rFonts w:ascii="GillSans" w:hAnsi="GillSans"/>
              <w:color w:val="024268"/>
              <w:sz w:val="16"/>
              <w:szCs w:val="16"/>
            </w:rPr>
            <w:t>n de fotocasa.es:</w:t>
          </w:r>
          <w:r>
            <w:rPr>
              <w:rFonts w:ascii="GillSans" w:hAnsi="GillSans"/>
              <w:color w:val="024268"/>
              <w:sz w:val="16"/>
              <w:szCs w:val="16"/>
            </w:rPr>
            <w:br/>
          </w:r>
          <w:r w:rsidRPr="0011304A">
            <w:rPr>
              <w:rFonts w:ascii="GillSans" w:hAnsi="GillSans"/>
              <w:color w:val="024268"/>
              <w:sz w:val="16"/>
              <w:szCs w:val="16"/>
            </w:rPr>
            <w:t xml:space="preserve">93 576 56 79 </w:t>
          </w:r>
          <w:r w:rsidRPr="0011304A">
            <w:rPr>
              <w:rFonts w:ascii="GillSans" w:hAnsi="GillSans"/>
              <w:color w:val="C0C0C0"/>
              <w:sz w:val="16"/>
              <w:szCs w:val="16"/>
            </w:rPr>
            <w:t xml:space="preserve">| </w:t>
          </w:r>
          <w:r w:rsidRPr="0011304A">
            <w:rPr>
              <w:rFonts w:ascii="GillSans" w:hAnsi="GillSans"/>
              <w:color w:val="024268"/>
              <w:sz w:val="16"/>
              <w:szCs w:val="16"/>
            </w:rPr>
            <w:t xml:space="preserve">comunicacion@fotocasa.es </w:t>
          </w:r>
          <w:r w:rsidRPr="0011304A">
            <w:rPr>
              <w:rFonts w:ascii="GillSans" w:hAnsi="GillSans"/>
              <w:color w:val="C0C0C0"/>
              <w:sz w:val="16"/>
              <w:szCs w:val="16"/>
            </w:rPr>
            <w:t>|</w:t>
          </w:r>
          <w:r w:rsidRPr="0011304A">
            <w:rPr>
              <w:rFonts w:ascii="GillSans" w:hAnsi="GillSans"/>
              <w:color w:val="024268"/>
              <w:sz w:val="16"/>
              <w:szCs w:val="16"/>
            </w:rPr>
            <w:t xml:space="preserve"> www.fotocasa.es  </w:t>
          </w:r>
          <w:r w:rsidRPr="0011304A">
            <w:rPr>
              <w:rFonts w:ascii="GillSans" w:hAnsi="GillSans"/>
              <w:color w:val="C0C0C0"/>
              <w:sz w:val="16"/>
              <w:szCs w:val="16"/>
            </w:rPr>
            <w:t xml:space="preserve">| </w:t>
          </w:r>
          <w:r>
            <w:rPr>
              <w:rFonts w:ascii="GillSans" w:hAnsi="GillSans"/>
              <w:color w:val="024268"/>
              <w:sz w:val="16"/>
              <w:szCs w:val="16"/>
            </w:rPr>
            <w:t xml:space="preserve"> twitter: </w:t>
          </w:r>
          <w:proofErr w:type="spellStart"/>
          <w:r>
            <w:rPr>
              <w:rFonts w:ascii="GillSans" w:hAnsi="GillSans"/>
              <w:color w:val="024268"/>
              <w:sz w:val="16"/>
              <w:szCs w:val="16"/>
            </w:rPr>
            <w:t>fotocasa</w:t>
          </w:r>
          <w:proofErr w:type="spellEnd"/>
        </w:p>
      </w:tc>
    </w:tr>
  </w:tbl>
  <w:p w:rsidR="00730EE4" w:rsidRPr="00730EE4" w:rsidRDefault="00730EE4" w:rsidP="00730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E4" w:rsidRDefault="00730EE4" w:rsidP="00730EE4">
      <w:r>
        <w:separator/>
      </w:r>
    </w:p>
  </w:footnote>
  <w:footnote w:type="continuationSeparator" w:id="0">
    <w:p w:rsidR="00730EE4" w:rsidRDefault="00730EE4" w:rsidP="00730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81C16"/>
    <w:multiLevelType w:val="hybridMultilevel"/>
    <w:tmpl w:val="5D8C24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AB96354"/>
    <w:multiLevelType w:val="hybridMultilevel"/>
    <w:tmpl w:val="6C94FFBE"/>
    <w:lvl w:ilvl="0" w:tplc="CCD2334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4B588C"/>
    <w:multiLevelType w:val="hybridMultilevel"/>
    <w:tmpl w:val="903AA9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29"/>
    <w:rsid w:val="00035A95"/>
    <w:rsid w:val="000868D1"/>
    <w:rsid w:val="00086C21"/>
    <w:rsid w:val="000D13AA"/>
    <w:rsid w:val="000E0FA0"/>
    <w:rsid w:val="000E4BAA"/>
    <w:rsid w:val="000F1F5F"/>
    <w:rsid w:val="000F6591"/>
    <w:rsid w:val="001542E0"/>
    <w:rsid w:val="00162489"/>
    <w:rsid w:val="00191235"/>
    <w:rsid w:val="001A01AF"/>
    <w:rsid w:val="001D4AD4"/>
    <w:rsid w:val="001F619E"/>
    <w:rsid w:val="002E0629"/>
    <w:rsid w:val="00354D04"/>
    <w:rsid w:val="00363F09"/>
    <w:rsid w:val="003815BB"/>
    <w:rsid w:val="00396FE4"/>
    <w:rsid w:val="003A1809"/>
    <w:rsid w:val="003B2915"/>
    <w:rsid w:val="00415D5F"/>
    <w:rsid w:val="00444C16"/>
    <w:rsid w:val="00452BFF"/>
    <w:rsid w:val="004745DC"/>
    <w:rsid w:val="00490A13"/>
    <w:rsid w:val="004A5809"/>
    <w:rsid w:val="004C070F"/>
    <w:rsid w:val="004E4EA2"/>
    <w:rsid w:val="00516CD3"/>
    <w:rsid w:val="005306DF"/>
    <w:rsid w:val="00587469"/>
    <w:rsid w:val="005C3988"/>
    <w:rsid w:val="00656F6A"/>
    <w:rsid w:val="006775E3"/>
    <w:rsid w:val="00683A3B"/>
    <w:rsid w:val="006D0153"/>
    <w:rsid w:val="006F4894"/>
    <w:rsid w:val="00701A0B"/>
    <w:rsid w:val="007039FD"/>
    <w:rsid w:val="00713056"/>
    <w:rsid w:val="00726C51"/>
    <w:rsid w:val="00730EE4"/>
    <w:rsid w:val="007B6030"/>
    <w:rsid w:val="007E774B"/>
    <w:rsid w:val="007F3819"/>
    <w:rsid w:val="00833565"/>
    <w:rsid w:val="008576B6"/>
    <w:rsid w:val="00867F6B"/>
    <w:rsid w:val="008970D2"/>
    <w:rsid w:val="008B7F19"/>
    <w:rsid w:val="008C7A6B"/>
    <w:rsid w:val="0094172C"/>
    <w:rsid w:val="009E5FB7"/>
    <w:rsid w:val="00A20B5E"/>
    <w:rsid w:val="00A41506"/>
    <w:rsid w:val="00A434A9"/>
    <w:rsid w:val="00A90BAA"/>
    <w:rsid w:val="00A96F45"/>
    <w:rsid w:val="00AB4675"/>
    <w:rsid w:val="00AC553E"/>
    <w:rsid w:val="00AE498C"/>
    <w:rsid w:val="00AF1B12"/>
    <w:rsid w:val="00B032C6"/>
    <w:rsid w:val="00B42821"/>
    <w:rsid w:val="00B65C89"/>
    <w:rsid w:val="00BC49BA"/>
    <w:rsid w:val="00BD37EB"/>
    <w:rsid w:val="00BE5FBC"/>
    <w:rsid w:val="00C1495B"/>
    <w:rsid w:val="00C43FA7"/>
    <w:rsid w:val="00C4707D"/>
    <w:rsid w:val="00C92466"/>
    <w:rsid w:val="00CB18ED"/>
    <w:rsid w:val="00CC5D84"/>
    <w:rsid w:val="00CD48DC"/>
    <w:rsid w:val="00D140C5"/>
    <w:rsid w:val="00D40A49"/>
    <w:rsid w:val="00D778E9"/>
    <w:rsid w:val="00D819AB"/>
    <w:rsid w:val="00D9729E"/>
    <w:rsid w:val="00DC0979"/>
    <w:rsid w:val="00DD1A04"/>
    <w:rsid w:val="00DD216F"/>
    <w:rsid w:val="00DE34B1"/>
    <w:rsid w:val="00E547A1"/>
    <w:rsid w:val="00E77EE7"/>
    <w:rsid w:val="00E93943"/>
    <w:rsid w:val="00EC4C03"/>
    <w:rsid w:val="00EC6C99"/>
    <w:rsid w:val="00EF0634"/>
    <w:rsid w:val="00F20C29"/>
    <w:rsid w:val="00F26D58"/>
    <w:rsid w:val="00F272B2"/>
    <w:rsid w:val="00F37C63"/>
    <w:rsid w:val="00F61AE2"/>
    <w:rsid w:val="00F62D97"/>
    <w:rsid w:val="00F823CD"/>
    <w:rsid w:val="00FE0B3C"/>
    <w:rsid w:val="00FE4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9A1-A55D-4857-A03A-AFCCE4FE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6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2E0629"/>
    <w:rPr>
      <w:rFonts w:cs="Times New Roman"/>
      <w:color w:val="0000FF"/>
      <w:u w:val="single"/>
    </w:rPr>
  </w:style>
  <w:style w:type="paragraph" w:styleId="Textodeglobo">
    <w:name w:val="Balloon Text"/>
    <w:basedOn w:val="Normal"/>
    <w:link w:val="TextodegloboCar"/>
    <w:uiPriority w:val="99"/>
    <w:semiHidden/>
    <w:unhideWhenUsed/>
    <w:rsid w:val="002E0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629"/>
    <w:rPr>
      <w:rFonts w:ascii="Tahoma" w:eastAsia="Times New Roman" w:hAnsi="Tahoma" w:cs="Tahoma"/>
      <w:sz w:val="16"/>
      <w:szCs w:val="16"/>
      <w:lang w:eastAsia="es-ES"/>
    </w:rPr>
  </w:style>
  <w:style w:type="paragraph" w:styleId="Prrafodelista">
    <w:name w:val="List Paragraph"/>
    <w:basedOn w:val="Normal"/>
    <w:uiPriority w:val="34"/>
    <w:qFormat/>
    <w:rsid w:val="001D4AD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
    <w:name w:val="Texto"/>
    <w:basedOn w:val="Normal"/>
    <w:uiPriority w:val="99"/>
    <w:rsid w:val="001D4AD4"/>
    <w:rPr>
      <w:rFonts w:ascii="Gill Sans MT" w:hAnsi="Gill Sans MT" w:cs="Arial"/>
      <w:sz w:val="22"/>
      <w:szCs w:val="22"/>
      <w:lang w:val="pt-BR"/>
    </w:rPr>
  </w:style>
  <w:style w:type="paragraph" w:customStyle="1" w:styleId="Listavistosa-nfasis11">
    <w:name w:val="Lista vistosa - Énfasis 11"/>
    <w:basedOn w:val="Normal"/>
    <w:qFormat/>
    <w:rsid w:val="001D4AD4"/>
    <w:pPr>
      <w:ind w:left="708"/>
    </w:pPr>
  </w:style>
  <w:style w:type="character" w:styleId="nfasis">
    <w:name w:val="Emphasis"/>
    <w:qFormat/>
    <w:rsid w:val="001D4AD4"/>
    <w:rPr>
      <w:i/>
      <w:iCs/>
    </w:rPr>
  </w:style>
  <w:style w:type="paragraph" w:styleId="Encabezado">
    <w:name w:val="header"/>
    <w:basedOn w:val="Normal"/>
    <w:link w:val="EncabezadoCar"/>
    <w:uiPriority w:val="99"/>
    <w:unhideWhenUsed/>
    <w:rsid w:val="00730EE4"/>
    <w:pPr>
      <w:tabs>
        <w:tab w:val="center" w:pos="4252"/>
        <w:tab w:val="right" w:pos="8504"/>
      </w:tabs>
    </w:pPr>
  </w:style>
  <w:style w:type="character" w:customStyle="1" w:styleId="EncabezadoCar">
    <w:name w:val="Encabezado Car"/>
    <w:basedOn w:val="Fuentedeprrafopredeter"/>
    <w:link w:val="Encabezado"/>
    <w:uiPriority w:val="99"/>
    <w:rsid w:val="00730EE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30EE4"/>
    <w:pPr>
      <w:tabs>
        <w:tab w:val="center" w:pos="4252"/>
        <w:tab w:val="right" w:pos="8504"/>
      </w:tabs>
    </w:pPr>
  </w:style>
  <w:style w:type="character" w:customStyle="1" w:styleId="PiedepginaCar">
    <w:name w:val="Pie de página Car"/>
    <w:basedOn w:val="Fuentedeprrafopredeter"/>
    <w:link w:val="Piedepgina"/>
    <w:uiPriority w:val="99"/>
    <w:rsid w:val="00730EE4"/>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semiHidden/>
    <w:unhideWhenUsed/>
    <w:rsid w:val="008970D2"/>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semiHidden/>
    <w:rsid w:val="008970D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tocasa.es/" TargetMode="External"/><Relationship Id="rId13" Type="http://schemas.openxmlformats.org/officeDocument/2006/relationships/hyperlink" Target="http://www.fotocasa.es/" TargetMode="External"/><Relationship Id="rId18" Type="http://schemas.openxmlformats.org/officeDocument/2006/relationships/hyperlink" Target="http://www.fotocasa.es/" TargetMode="External"/><Relationship Id="rId26" Type="http://schemas.openxmlformats.org/officeDocument/2006/relationships/hyperlink" Target="http://prensa.fotocasa.es" TargetMode="External"/><Relationship Id="rId3" Type="http://schemas.openxmlformats.org/officeDocument/2006/relationships/settings" Target="settings.xml"/><Relationship Id="rId21" Type="http://schemas.openxmlformats.org/officeDocument/2006/relationships/hyperlink" Target="http://www.coches.net/" TargetMode="External"/><Relationship Id="rId7" Type="http://schemas.openxmlformats.org/officeDocument/2006/relationships/image" Target="media/image1.jpeg"/><Relationship Id="rId12" Type="http://schemas.openxmlformats.org/officeDocument/2006/relationships/hyperlink" Target="http://www.fotocasa.es/" TargetMode="External"/><Relationship Id="rId17" Type="http://schemas.openxmlformats.org/officeDocument/2006/relationships/hyperlink" Target="http://prensa.fotocasa.es/" TargetMode="External"/><Relationship Id="rId25" Type="http://schemas.openxmlformats.org/officeDocument/2006/relationships/hyperlink" Target="mailto:comunicaci&#243;n@fotocasa.es" TargetMode="External"/><Relationship Id="rId2" Type="http://schemas.openxmlformats.org/officeDocument/2006/relationships/styles" Target="styles.xml"/><Relationship Id="rId16" Type="http://schemas.openxmlformats.org/officeDocument/2006/relationships/hyperlink" Target="http://www.fotocasa.es/indice-inmobiliario__fotocasa.aspx" TargetMode="External"/><Relationship Id="rId20" Type="http://schemas.openxmlformats.org/officeDocument/2006/relationships/hyperlink" Target="http://www.segundamano.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tocasa.es/" TargetMode="External"/><Relationship Id="rId24" Type="http://schemas.openxmlformats.org/officeDocument/2006/relationships/hyperlink" Target="http://www.schibsted.com/en/" TargetMode="External"/><Relationship Id="rId5" Type="http://schemas.openxmlformats.org/officeDocument/2006/relationships/footnotes" Target="footnotes.xml"/><Relationship Id="rId15" Type="http://schemas.openxmlformats.org/officeDocument/2006/relationships/hyperlink" Target="http://www.fotocasa.es/" TargetMode="External"/><Relationship Id="rId23" Type="http://schemas.openxmlformats.org/officeDocument/2006/relationships/hyperlink" Target="http://www.lectiva.com/" TargetMode="External"/><Relationship Id="rId28" Type="http://schemas.openxmlformats.org/officeDocument/2006/relationships/fontTable" Target="fontTable.xml"/><Relationship Id="rId10" Type="http://schemas.openxmlformats.org/officeDocument/2006/relationships/hyperlink" Target="http://www.fotocasa.es/" TargetMode="External"/><Relationship Id="rId19" Type="http://schemas.openxmlformats.org/officeDocument/2006/relationships/hyperlink" Target="http://www.fotocasa.es/" TargetMode="External"/><Relationship Id="rId4" Type="http://schemas.openxmlformats.org/officeDocument/2006/relationships/webSettings" Target="webSettings.xml"/><Relationship Id="rId9" Type="http://schemas.openxmlformats.org/officeDocument/2006/relationships/hyperlink" Target="http://www.fotocasa.es/" TargetMode="External"/><Relationship Id="rId14" Type="http://schemas.openxmlformats.org/officeDocument/2006/relationships/hyperlink" Target="http://www.fotocasa.es/" TargetMode="External"/><Relationship Id="rId22" Type="http://schemas.openxmlformats.org/officeDocument/2006/relationships/hyperlink" Target="https://www.infojobs.ne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5</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Toribio Rodríguez</dc:creator>
  <cp:lastModifiedBy>Anaïs López García</cp:lastModifiedBy>
  <cp:revision>95</cp:revision>
  <cp:lastPrinted>2013-11-26T12:56:00Z</cp:lastPrinted>
  <dcterms:created xsi:type="dcterms:W3CDTF">2013-11-19T08:25:00Z</dcterms:created>
  <dcterms:modified xsi:type="dcterms:W3CDTF">2014-11-25T09:46:00Z</dcterms:modified>
</cp:coreProperties>
</file>