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600D33" w:rsidRPr="00600D33">
              <w:rPr>
                <w:rFonts w:ascii="Gill Sans MT" w:hAnsi="Gill Sans MT"/>
                <w:color w:val="023E68"/>
                <w:sz w:val="52"/>
                <w:szCs w:val="56"/>
              </w:rPr>
              <w:t>“Las hipotecas a tipo fijo crecen a un ritmo espectacular”</w:t>
            </w:r>
          </w:p>
          <w:p w:rsidR="009046F0" w:rsidRPr="00AE46A0" w:rsidRDefault="009046F0" w:rsidP="00555E53">
            <w:pPr>
              <w:autoSpaceDE w:val="0"/>
              <w:autoSpaceDN w:val="0"/>
              <w:adjustRightInd w:val="0"/>
              <w:ind w:left="-180"/>
              <w:jc w:val="both"/>
              <w:rPr>
                <w:rFonts w:ascii="Gill Sans MT" w:hAnsi="Gill Sans MT" w:cs="Gill Sans MT"/>
                <w:b/>
                <w:bCs/>
                <w:color w:val="999999"/>
              </w:rPr>
            </w:pPr>
          </w:p>
          <w:p w:rsidR="00DF10CB" w:rsidRDefault="00DF10CB"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D862E8">
              <w:rPr>
                <w:rFonts w:ascii="Gill Sans MT" w:hAnsi="Gill Sans MT" w:cs="Gill Sans MT"/>
                <w:b/>
                <w:bCs/>
                <w:color w:val="999999"/>
              </w:rPr>
              <w:t>28 de septiembre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600D33" w:rsidRDefault="00600D33" w:rsidP="00600D33">
            <w:pPr>
              <w:jc w:val="both"/>
              <w:rPr>
                <w:rFonts w:ascii="Gill Sans MT" w:hAnsi="Gill Sans MT"/>
              </w:rPr>
            </w:pPr>
            <w:r>
              <w:rPr>
                <w:rFonts w:ascii="Gill Sans MT" w:hAnsi="Gill Sans MT"/>
              </w:rPr>
              <w:t xml:space="preserve">Los datos de la Estadística de Hipotecas publicados hoy por el INE correspondientes al pasado mes de julio reflejan </w:t>
            </w:r>
            <w:r w:rsidRPr="00C8576B">
              <w:rPr>
                <w:rFonts w:ascii="Gill Sans MT" w:hAnsi="Gill Sans MT"/>
              </w:rPr>
              <w:t xml:space="preserve">una </w:t>
            </w:r>
            <w:r>
              <w:rPr>
                <w:rFonts w:ascii="Gill Sans MT" w:hAnsi="Gill Sans MT"/>
              </w:rPr>
              <w:t>caída del 14,9% en la concesión de hipotecas respecto al mismo mes del año anterior que rompe con la tendencia alcista que esta estadística venía registrando de forma continuada durante los dos últimos años.</w:t>
            </w:r>
          </w:p>
          <w:p w:rsidR="00600D33" w:rsidRDefault="00600D33" w:rsidP="00600D33">
            <w:pPr>
              <w:jc w:val="both"/>
              <w:rPr>
                <w:rFonts w:ascii="Gill Sans MT" w:hAnsi="Gill Sans MT"/>
              </w:rPr>
            </w:pPr>
          </w:p>
          <w:p w:rsidR="00600D33" w:rsidRDefault="00600D33" w:rsidP="00600D33">
            <w:pPr>
              <w:jc w:val="both"/>
              <w:rPr>
                <w:rFonts w:ascii="Gill Sans MT" w:hAnsi="Gill Sans MT"/>
              </w:rPr>
            </w:pPr>
            <w:r>
              <w:rPr>
                <w:rFonts w:ascii="Gill Sans MT" w:hAnsi="Gill Sans MT"/>
              </w:rPr>
              <w:t>Este retroceso en la concesión de hipotecas en el mes de julio va en línea con el comportamiento de las compraventas en el mismo mes, que sufrieron un importante retroceso como conse</w:t>
            </w:r>
            <w:bookmarkStart w:id="0" w:name="_GoBack"/>
            <w:bookmarkEnd w:id="0"/>
            <w:r>
              <w:rPr>
                <w:rFonts w:ascii="Gill Sans MT" w:hAnsi="Gill Sans MT"/>
              </w:rPr>
              <w:t>cuencia del efecto de las cláusulas suelo, ya que los Registros de la Propiedad suspendieron la inscripción de algunos créditos hipotecarios como consecuencia de la aplicación de la sentencia del Tribunal Supremo.</w:t>
            </w:r>
          </w:p>
          <w:p w:rsidR="00600D33" w:rsidRDefault="00600D33" w:rsidP="00600D33">
            <w:pPr>
              <w:jc w:val="both"/>
              <w:rPr>
                <w:rFonts w:ascii="Gill Sans MT" w:hAnsi="Gill Sans MT"/>
              </w:rPr>
            </w:pPr>
            <w:r>
              <w:rPr>
                <w:rFonts w:ascii="Gill Sans MT" w:hAnsi="Gill Sans MT"/>
              </w:rPr>
              <w:t xml:space="preserve"> </w:t>
            </w:r>
          </w:p>
          <w:p w:rsidR="00600D33" w:rsidRDefault="00600D33" w:rsidP="00600D33">
            <w:pPr>
              <w:jc w:val="both"/>
              <w:rPr>
                <w:rFonts w:ascii="Gill Sans MT" w:hAnsi="Gill Sans MT"/>
              </w:rPr>
            </w:pPr>
            <w:r>
              <w:rPr>
                <w:rFonts w:ascii="Gill Sans MT" w:hAnsi="Gill Sans MT"/>
              </w:rPr>
              <w:t xml:space="preserve">Según Beatriz Toribio, responsable de Estudios de </w:t>
            </w:r>
            <w:hyperlink r:id="rId11" w:history="1">
              <w:proofErr w:type="spellStart"/>
              <w:r>
                <w:rPr>
                  <w:rStyle w:val="Hipervnculo"/>
                  <w:rFonts w:ascii="Gill Sans MT" w:hAnsi="Gill Sans MT"/>
                </w:rPr>
                <w:t>fotocasa</w:t>
              </w:r>
              <w:proofErr w:type="spellEnd"/>
            </w:hyperlink>
            <w:r>
              <w:rPr>
                <w:rFonts w:ascii="Gill Sans MT" w:hAnsi="Gill Sans MT"/>
              </w:rPr>
              <w:t>, este retroceso en los principales indicadores sobre el mercado de la vivienda en el mes de julio se puede interpretar como “un pequeño bache” que “no afectará a la reactivación que está viviendo el mercado después de la larga crisis por la que ha pasado”.</w:t>
            </w:r>
          </w:p>
          <w:p w:rsidR="00600D33" w:rsidRDefault="00600D33" w:rsidP="00600D33">
            <w:pPr>
              <w:jc w:val="both"/>
              <w:rPr>
                <w:rFonts w:ascii="Gill Sans MT" w:hAnsi="Gill Sans MT"/>
              </w:rPr>
            </w:pPr>
          </w:p>
          <w:p w:rsidR="00600D33" w:rsidRDefault="00600D33" w:rsidP="00600D33">
            <w:pPr>
              <w:jc w:val="both"/>
              <w:rPr>
                <w:rFonts w:ascii="Gill Sans MT" w:hAnsi="Gill Sans MT"/>
              </w:rPr>
            </w:pPr>
            <w:r>
              <w:rPr>
                <w:rFonts w:ascii="Gill Sans MT" w:hAnsi="Gill Sans MT"/>
              </w:rPr>
              <w:t xml:space="preserve">“La reapertura del grifo del crédito ha sido clave para esta mejoría que vive el sector y todo apunta a que el crédito seguirá fluyendo porque la banca está muy interesada en conceder hipotecas ya que hay mucha liquidez y eso anima un mercado donde a la vez se está produciendo una estabilización de los precios”, añade. </w:t>
            </w:r>
          </w:p>
          <w:p w:rsidR="00600D33" w:rsidRDefault="00600D33" w:rsidP="00ED5A78">
            <w:pPr>
              <w:jc w:val="both"/>
              <w:rPr>
                <w:rFonts w:ascii="Gill Sans MT" w:hAnsi="Gill Sans MT"/>
              </w:rPr>
            </w:pPr>
          </w:p>
          <w:p w:rsidR="00F17526" w:rsidRDefault="00F17526" w:rsidP="006B112B">
            <w:pPr>
              <w:rPr>
                <w:rFonts w:ascii="Gill Sans MT" w:hAnsi="Gill Sans MT"/>
              </w:rPr>
            </w:pPr>
          </w:p>
          <w:p w:rsidR="007629AE" w:rsidRDefault="007629AE" w:rsidP="007629AE"/>
          <w:p w:rsidR="00DC4B98" w:rsidRPr="00C337D8" w:rsidRDefault="00DC4B98" w:rsidP="00DC4B98">
            <w:pPr>
              <w:pStyle w:val="Cuerpo"/>
              <w:jc w:val="both"/>
              <w:rPr>
                <w:rStyle w:val="Ninguno"/>
                <w:rFonts w:ascii="Gill Sans MT" w:hAnsi="Gill Sans MT" w:cs="Gisha"/>
                <w:b/>
                <w:bCs/>
              </w:rPr>
            </w:pPr>
            <w:r w:rsidRPr="00C337D8">
              <w:rPr>
                <w:rStyle w:val="Ninguno"/>
                <w:rFonts w:ascii="Gill Sans MT" w:hAnsi="Gill Sans MT" w:cs="Gisha"/>
                <w:b/>
                <w:bCs/>
              </w:rPr>
              <w:t xml:space="preserve">Departamento de Comunicación de </w:t>
            </w:r>
            <w:proofErr w:type="spellStart"/>
            <w:r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proofErr w:type="spellStart"/>
            <w:r w:rsidRPr="00C337D8">
              <w:rPr>
                <w:rFonts w:ascii="Gill Sans MT" w:hAnsi="Gill Sans MT" w:cs="Gisha"/>
                <w:bCs/>
                <w:lang w:val="en-US"/>
              </w:rPr>
              <w:t>Móvil</w:t>
            </w:r>
            <w:proofErr w:type="spellEnd"/>
            <w:r w:rsidRPr="00C337D8">
              <w:rPr>
                <w:rFonts w:ascii="Gill Sans MT" w:hAnsi="Gill Sans MT" w:cs="Gisha"/>
                <w:bCs/>
                <w:lang w:val="en-US"/>
              </w:rPr>
              <w:t>: 620 66 29 26</w:t>
            </w:r>
          </w:p>
          <w:p w:rsidR="00DC4B98" w:rsidRPr="00C337D8" w:rsidRDefault="00DC4B98" w:rsidP="00DC4B98">
            <w:pPr>
              <w:pStyle w:val="Cuerpo"/>
              <w:jc w:val="both"/>
              <w:rPr>
                <w:rStyle w:val="Ninguno"/>
                <w:rFonts w:ascii="Gill Sans MT" w:hAnsi="Gill Sans MT" w:cs="Gisha"/>
                <w:lang w:val="en-US"/>
              </w:rPr>
            </w:pPr>
            <w:hyperlink r:id="rId12" w:history="1">
              <w:r w:rsidRPr="00C337D8">
                <w:rPr>
                  <w:rStyle w:val="Hyperlink1"/>
                  <w:rFonts w:ascii="Gill Sans MT" w:hAnsi="Gill Sans MT"/>
                </w:rPr>
                <w:t>comunicacion@fotocasa.es</w:t>
              </w:r>
            </w:hyperlink>
            <w:r w:rsidRPr="00C337D8">
              <w:rPr>
                <w:rStyle w:val="Ninguno"/>
                <w:rFonts w:ascii="Gill Sans MT" w:hAnsi="Gill Sans MT" w:cs="Gisha"/>
                <w:lang w:val="en-US"/>
              </w:rPr>
              <w:t xml:space="preserve"> </w:t>
            </w:r>
          </w:p>
          <w:p w:rsidR="00DC4B98" w:rsidRPr="00C337D8" w:rsidRDefault="00DC4B98" w:rsidP="00DC4B98">
            <w:pPr>
              <w:pStyle w:val="Cuerpo"/>
              <w:jc w:val="both"/>
              <w:rPr>
                <w:rStyle w:val="Ninguno"/>
                <w:rFonts w:ascii="Gill Sans MT" w:hAnsi="Gill Sans MT" w:cs="Gisha"/>
                <w:lang w:val="en-US"/>
              </w:rPr>
            </w:pPr>
            <w:hyperlink r:id="rId13" w:history="1">
              <w:r w:rsidRPr="009B2004">
                <w:rPr>
                  <w:rStyle w:val="Hyperlink1"/>
                  <w:rFonts w:ascii="Gill Sans MT" w:hAnsi="Gill Sans MT"/>
                </w:rPr>
                <w:t>http://prensa.fotocasa.es</w:t>
              </w:r>
            </w:hyperlink>
            <w:r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Pr>
                <w:rStyle w:val="Ninguno"/>
                <w:rFonts w:ascii="Gill Sans MT" w:hAnsi="Gill Sans MT" w:cs="Gisha"/>
              </w:rPr>
              <w:t>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DC4B98"/>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D5A78"/>
    <w:rsid w:val="00EE06C1"/>
    <w:rsid w:val="00EE7F2C"/>
    <w:rsid w:val="00EF1D4E"/>
    <w:rsid w:val="00EF75C4"/>
    <w:rsid w:val="00F01FD9"/>
    <w:rsid w:val="00F028D8"/>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mailto:comunicacion@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B61B-9715-4E04-800E-4FE56C1B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25</cp:revision>
  <cp:lastPrinted>2015-09-02T11:00:00Z</cp:lastPrinted>
  <dcterms:created xsi:type="dcterms:W3CDTF">2015-11-06T08:22:00Z</dcterms:created>
  <dcterms:modified xsi:type="dcterms:W3CDTF">2016-09-28T07:34:00Z</dcterms:modified>
</cp:coreProperties>
</file>