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FD6B91" w:rsidRPr="00FD6B91">
              <w:rPr>
                <w:rFonts w:ascii="Gill Sans MT" w:hAnsi="Gill Sans MT"/>
                <w:color w:val="023E68"/>
                <w:sz w:val="52"/>
                <w:szCs w:val="56"/>
              </w:rPr>
              <w:t>“Pese a la vuelta del crédito, más de un 40% de la compra de vivienda se realiza sin hipoteca”</w:t>
            </w:r>
          </w:p>
          <w:p w:rsidR="00DF10CB" w:rsidRDefault="00DF10CB" w:rsidP="007629AE">
            <w:pPr>
              <w:autoSpaceDE w:val="0"/>
              <w:autoSpaceDN w:val="0"/>
              <w:adjustRightInd w:val="0"/>
              <w:jc w:val="both"/>
              <w:rPr>
                <w:rFonts w:ascii="Gill Sans MT" w:hAnsi="Gill Sans MT" w:cs="Gill Sans MT"/>
                <w:b/>
                <w:bCs/>
                <w:color w:val="999999"/>
              </w:rPr>
            </w:pPr>
          </w:p>
          <w:p w:rsidR="00FD6B91" w:rsidRDefault="00FD6B91" w:rsidP="007629AE">
            <w:pPr>
              <w:autoSpaceDE w:val="0"/>
              <w:autoSpaceDN w:val="0"/>
              <w:adjustRightInd w:val="0"/>
              <w:jc w:val="both"/>
              <w:rPr>
                <w:rFonts w:ascii="Gill Sans MT" w:hAnsi="Gill Sans MT" w:cs="Gill Sans MT"/>
                <w:b/>
                <w:bCs/>
                <w:color w:val="999999"/>
              </w:rPr>
            </w:pPr>
            <w:bookmarkStart w:id="0" w:name="_GoBack"/>
            <w:bookmarkEnd w:id="0"/>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FD6B91">
              <w:rPr>
                <w:rFonts w:ascii="Gill Sans MT" w:hAnsi="Gill Sans MT" w:cs="Gill Sans MT"/>
                <w:b/>
                <w:bCs/>
                <w:color w:val="999999"/>
              </w:rPr>
              <w:t>27</w:t>
            </w:r>
            <w:r w:rsidR="006E6F1C">
              <w:rPr>
                <w:rFonts w:ascii="Gill Sans MT" w:hAnsi="Gill Sans MT" w:cs="Gill Sans MT"/>
                <w:b/>
                <w:bCs/>
                <w:color w:val="999999"/>
              </w:rPr>
              <w:t xml:space="preserve"> de octubre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FD6B91" w:rsidRDefault="00FD6B91" w:rsidP="00FD6B91">
            <w:pPr>
              <w:jc w:val="both"/>
              <w:rPr>
                <w:rFonts w:ascii="Gill Sans MT" w:hAnsi="Gill Sans MT"/>
              </w:rPr>
            </w:pPr>
            <w:r>
              <w:rPr>
                <w:rFonts w:ascii="Gill Sans MT" w:hAnsi="Gill Sans MT"/>
              </w:rPr>
              <w:t xml:space="preserve">Los datos de la Estadística de Hipotecas publicados hoy por el INE correspondientes al pasado mes de agosto reflejan </w:t>
            </w:r>
            <w:r w:rsidRPr="00C8576B">
              <w:rPr>
                <w:rFonts w:ascii="Gill Sans MT" w:hAnsi="Gill Sans MT"/>
              </w:rPr>
              <w:t xml:space="preserve">una </w:t>
            </w:r>
            <w:r>
              <w:rPr>
                <w:rFonts w:ascii="Gill Sans MT" w:hAnsi="Gill Sans MT"/>
              </w:rPr>
              <w:t xml:space="preserve">subida del 6,4% en la concesión de hipotecas respecto al mismo mes del año anterior, </w:t>
            </w:r>
            <w:r w:rsidRPr="00CC116C">
              <w:rPr>
                <w:rFonts w:ascii="Gill Sans MT" w:hAnsi="Gill Sans MT"/>
              </w:rPr>
              <w:t xml:space="preserve">que retoma los crecimientos que se venían registrando en los últimos </w:t>
            </w:r>
            <w:r>
              <w:rPr>
                <w:rFonts w:ascii="Gill Sans MT" w:hAnsi="Gill Sans MT"/>
              </w:rPr>
              <w:t xml:space="preserve">meses </w:t>
            </w:r>
            <w:r w:rsidRPr="00CC116C">
              <w:rPr>
                <w:rFonts w:ascii="Gill Sans MT" w:hAnsi="Gill Sans MT"/>
              </w:rPr>
              <w:t>a excepción de julio, cuando se rompió esta tendencia como consecuencia de la aplicación de sentencia de Tribunal Supremo sobre las cláusulas suelo.</w:t>
            </w:r>
          </w:p>
          <w:p w:rsidR="00FD6B91" w:rsidRDefault="00FD6B91" w:rsidP="00FD6B91">
            <w:pPr>
              <w:jc w:val="both"/>
              <w:rPr>
                <w:rFonts w:ascii="Gill Sans MT" w:hAnsi="Gill Sans MT"/>
              </w:rPr>
            </w:pPr>
          </w:p>
          <w:p w:rsidR="00FD6B91" w:rsidRDefault="00FD6B91" w:rsidP="00FD6B91">
            <w:pPr>
              <w:jc w:val="both"/>
              <w:rPr>
                <w:rFonts w:ascii="Gill Sans MT" w:hAnsi="Gill Sans MT"/>
              </w:rPr>
            </w:pPr>
            <w:r>
              <w:rPr>
                <w:rFonts w:ascii="Gill Sans MT" w:hAnsi="Gill Sans MT"/>
              </w:rPr>
              <w:t xml:space="preserve">Aunque el crecimiento del mes de agosto es inferior al de meses anteriores, según Beatriz Toribio, responsable de Estudios de </w:t>
            </w:r>
            <w:hyperlink r:id="rId11" w:history="1">
              <w:proofErr w:type="spellStart"/>
              <w:r>
                <w:rPr>
                  <w:rStyle w:val="Hipervnculo"/>
                  <w:rFonts w:ascii="Gill Sans MT" w:hAnsi="Gill Sans MT"/>
                </w:rPr>
                <w:t>fotocasa</w:t>
              </w:r>
              <w:proofErr w:type="spellEnd"/>
            </w:hyperlink>
            <w:r>
              <w:rPr>
                <w:rFonts w:ascii="Gill Sans MT" w:hAnsi="Gill Sans MT"/>
              </w:rPr>
              <w:t>, “la concesión de hipotecas se está consolidando como consecuencia de la liquidez con la que cuentan las entidades bancarias y el escenario de bajos tipos de interés”.</w:t>
            </w:r>
          </w:p>
          <w:p w:rsidR="00FD6B91" w:rsidRDefault="00FD6B91" w:rsidP="00FD6B91">
            <w:pPr>
              <w:jc w:val="both"/>
              <w:rPr>
                <w:rFonts w:ascii="Gill Sans MT" w:hAnsi="Gill Sans MT"/>
              </w:rPr>
            </w:pPr>
          </w:p>
          <w:p w:rsidR="00FD6B91" w:rsidRDefault="00FD6B91" w:rsidP="00FD6B91">
            <w:pPr>
              <w:jc w:val="both"/>
              <w:rPr>
                <w:rFonts w:ascii="Gill Sans MT" w:hAnsi="Gill Sans MT"/>
              </w:rPr>
            </w:pPr>
            <w:r>
              <w:rPr>
                <w:rFonts w:ascii="Gill Sans MT" w:hAnsi="Gill Sans MT"/>
              </w:rPr>
              <w:t>Toribio destaca que pese a esta recuperación de la financiación, “más de un 40% de las operaciones que registró el INE en el mes de agosto se realizaron sin hipoteca”. Este hecho es una prueba más de que la reactivación del mercado inmobiliario “la están protagonizando grandes y medianos inversores que compran vivienda al contado en busca de las altas rentabilidades que ofrece ahora el alquiler, y no tanto particulares, a quienes aún les frena la inestabilidad económica y laboral”, explica Beatriz Toribio.</w:t>
            </w:r>
          </w:p>
          <w:p w:rsidR="00FD6B91" w:rsidRPr="00442C29" w:rsidRDefault="00FD6B91" w:rsidP="00FD6B91">
            <w:pPr>
              <w:jc w:val="both"/>
              <w:rPr>
                <w:rFonts w:ascii="Gill Sans MT" w:hAnsi="Gill Sans MT"/>
              </w:rPr>
            </w:pPr>
          </w:p>
          <w:p w:rsidR="00FD6B91" w:rsidRDefault="00FD6B91" w:rsidP="00FD6B91">
            <w:pPr>
              <w:jc w:val="both"/>
              <w:rPr>
                <w:rFonts w:ascii="Gill Sans MT" w:hAnsi="Gill Sans MT"/>
              </w:rPr>
            </w:pPr>
            <w:r w:rsidRPr="00442C29">
              <w:rPr>
                <w:rFonts w:ascii="Gill Sans MT" w:hAnsi="Gill Sans MT"/>
              </w:rPr>
              <w:t>La responsable de Estudios de fotocasa.es destaca que una vez más, los datos del INE reflejan</w:t>
            </w:r>
            <w:r>
              <w:rPr>
                <w:rFonts w:ascii="Gill Sans MT" w:hAnsi="Gill Sans MT"/>
              </w:rPr>
              <w:t xml:space="preserve"> “el espectacular crecimiento que están registrando las </w:t>
            </w:r>
            <w:r w:rsidRPr="00442C29">
              <w:rPr>
                <w:rFonts w:ascii="Gill Sans MT" w:hAnsi="Gill Sans MT"/>
              </w:rPr>
              <w:t>hipotecas a tipo fij</w:t>
            </w:r>
            <w:r>
              <w:rPr>
                <w:rFonts w:ascii="Gill Sans MT" w:hAnsi="Gill Sans MT"/>
              </w:rPr>
              <w:t>o, que ya representan casi un 30</w:t>
            </w:r>
            <w:r w:rsidRPr="00442C29">
              <w:rPr>
                <w:rFonts w:ascii="Gill Sans MT" w:hAnsi="Gill Sans MT"/>
              </w:rPr>
              <w:t>% del total</w:t>
            </w:r>
            <w:r>
              <w:rPr>
                <w:rFonts w:ascii="Gill Sans MT" w:hAnsi="Gill Sans MT"/>
              </w:rPr>
              <w:t>, un porcentaje nunca visto en nuestro país” y que contrasta con el que se veía hace tan solo un año, cuando un 89,2% de los préstamos hipotecarios se realizaron a tipo variable y un 10,8% a tipo fijo, según los datos del INE de agosto de 2015</w:t>
            </w:r>
            <w:r w:rsidRPr="00442C29">
              <w:rPr>
                <w:rFonts w:ascii="Gill Sans MT" w:hAnsi="Gill Sans MT"/>
              </w:rPr>
              <w:t xml:space="preserve">.  </w:t>
            </w:r>
          </w:p>
          <w:p w:rsidR="00FD6B91" w:rsidRDefault="00FD6B91" w:rsidP="00FD6B91">
            <w:pPr>
              <w:jc w:val="both"/>
              <w:rPr>
                <w:rFonts w:ascii="Gill Sans MT" w:hAnsi="Gill Sans MT"/>
              </w:rPr>
            </w:pPr>
          </w:p>
          <w:p w:rsidR="00FD6B91" w:rsidRPr="00442C29" w:rsidRDefault="00FD6B91" w:rsidP="00FD6B91">
            <w:pPr>
              <w:jc w:val="both"/>
              <w:rPr>
                <w:rFonts w:ascii="Gill Sans MT" w:hAnsi="Gill Sans MT"/>
              </w:rPr>
            </w:pPr>
            <w:r w:rsidRPr="00442C29">
              <w:rPr>
                <w:rFonts w:ascii="Gill Sans MT" w:hAnsi="Gill Sans MT"/>
              </w:rPr>
              <w:t xml:space="preserve">“En estos momentos la banca está muy interesada en conceder hipotecas y eso reactiva el mercado de la vivienda. Pero además, ofrecen nuevos productos que son muy atractivos para el cliente y que a las entidades les permite hacer frente a los mínimos históricos que está registrando el </w:t>
            </w:r>
            <w:proofErr w:type="spellStart"/>
            <w:r>
              <w:rPr>
                <w:rFonts w:ascii="Gill Sans MT" w:hAnsi="Gill Sans MT"/>
              </w:rPr>
              <w:t>euribor</w:t>
            </w:r>
            <w:proofErr w:type="spellEnd"/>
            <w:r>
              <w:rPr>
                <w:rFonts w:ascii="Gill Sans MT" w:hAnsi="Gill Sans MT"/>
              </w:rPr>
              <w:t>”, concluye Toribio</w:t>
            </w:r>
            <w:r w:rsidRPr="00442C29">
              <w:rPr>
                <w:rFonts w:ascii="Gill Sans MT" w:hAnsi="Gill Sans MT"/>
              </w:rPr>
              <w:t xml:space="preserve">. </w:t>
            </w:r>
          </w:p>
          <w:p w:rsidR="00FD6B91" w:rsidRDefault="00FD6B91" w:rsidP="00FD6B91">
            <w:pPr>
              <w:jc w:val="both"/>
              <w:rPr>
                <w:rFonts w:ascii="Gill Sans MT" w:hAnsi="Gill Sans MT"/>
              </w:rPr>
            </w:pPr>
          </w:p>
          <w:p w:rsidR="006E6F1C" w:rsidRDefault="006E6F1C" w:rsidP="006E6F1C">
            <w:pPr>
              <w:jc w:val="both"/>
              <w:rPr>
                <w:rFonts w:ascii="Gill Sans MT" w:hAnsi="Gill Sans MT"/>
              </w:rPr>
            </w:pPr>
          </w:p>
          <w:p w:rsidR="007629AE" w:rsidRDefault="007629AE" w:rsidP="007629AE"/>
          <w:p w:rsidR="00DC4B98" w:rsidRPr="00C337D8" w:rsidRDefault="00DC4B98" w:rsidP="00DC4B98">
            <w:pPr>
              <w:pStyle w:val="Cuerpo"/>
              <w:jc w:val="both"/>
              <w:rPr>
                <w:rStyle w:val="Ninguno"/>
                <w:rFonts w:ascii="Gill Sans MT" w:hAnsi="Gill Sans MT" w:cs="Gisha"/>
                <w:b/>
                <w:bCs/>
              </w:rPr>
            </w:pPr>
            <w:r w:rsidRPr="00C337D8">
              <w:rPr>
                <w:rStyle w:val="Ninguno"/>
                <w:rFonts w:ascii="Gill Sans MT" w:hAnsi="Gill Sans MT" w:cs="Gisha"/>
                <w:b/>
                <w:bCs/>
              </w:rPr>
              <w:t xml:space="preserve">Departamento de Comunicación de </w:t>
            </w:r>
            <w:proofErr w:type="spellStart"/>
            <w:r w:rsidRPr="00C337D8">
              <w:rPr>
                <w:rStyle w:val="Ninguno"/>
                <w:rFonts w:ascii="Gill Sans MT" w:hAnsi="Gill Sans MT" w:cs="Gisha"/>
                <w:b/>
                <w:bCs/>
              </w:rPr>
              <w:t>fotocasa</w:t>
            </w:r>
            <w:proofErr w:type="spellEnd"/>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Móvil: 620 66 29 26</w:t>
            </w:r>
          </w:p>
          <w:p w:rsidR="00DC4B98" w:rsidRPr="00C337D8" w:rsidRDefault="00FD6B91" w:rsidP="00DC4B98">
            <w:pPr>
              <w:pStyle w:val="Cuerpo"/>
              <w:jc w:val="both"/>
              <w:rPr>
                <w:rStyle w:val="Ninguno"/>
                <w:rFonts w:ascii="Gill Sans MT" w:hAnsi="Gill Sans MT" w:cs="Gisha"/>
                <w:lang w:val="en-US"/>
              </w:rPr>
            </w:pPr>
            <w:hyperlink r:id="rId12" w:history="1">
              <w:r w:rsidR="00DC4B98" w:rsidRPr="00C337D8">
                <w:rPr>
                  <w:rStyle w:val="Hyperlink1"/>
                  <w:rFonts w:ascii="Gill Sans MT" w:hAnsi="Gill Sans MT"/>
                </w:rPr>
                <w:t>comunicacion@fotocasa.es</w:t>
              </w:r>
            </w:hyperlink>
            <w:r w:rsidR="00DC4B98" w:rsidRPr="00C337D8">
              <w:rPr>
                <w:rStyle w:val="Ninguno"/>
                <w:rFonts w:ascii="Gill Sans MT" w:hAnsi="Gill Sans MT" w:cs="Gisha"/>
                <w:lang w:val="en-US"/>
              </w:rPr>
              <w:t xml:space="preserve"> </w:t>
            </w:r>
          </w:p>
          <w:p w:rsidR="00DC4B98" w:rsidRPr="00C337D8" w:rsidRDefault="00FD6B91" w:rsidP="00DC4B98">
            <w:pPr>
              <w:pStyle w:val="Cuerpo"/>
              <w:jc w:val="both"/>
              <w:rPr>
                <w:rStyle w:val="Ninguno"/>
                <w:rFonts w:ascii="Gill Sans MT" w:hAnsi="Gill Sans MT" w:cs="Gisha"/>
                <w:lang w:val="en-US"/>
              </w:rPr>
            </w:pPr>
            <w:hyperlink r:id="rId13" w:history="1">
              <w:r w:rsidR="00DC4B98" w:rsidRPr="009B2004">
                <w:rPr>
                  <w:rStyle w:val="Hyperlink1"/>
                  <w:rFonts w:ascii="Gill Sans MT" w:hAnsi="Gill Sans MT"/>
                </w:rPr>
                <w:t>http://prensa.fotocasa.es</w:t>
              </w:r>
            </w:hyperlink>
            <w:r w:rsidR="00DC4B98"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sidR="006E6F1C">
              <w:rPr>
                <w:rStyle w:val="Ninguno"/>
                <w:rFonts w:ascii="Gill Sans MT" w:hAnsi="Gill Sans MT" w:cs="Gisha"/>
              </w:rPr>
              <w:t>a</w:t>
            </w:r>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6E6F1C"/>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E6F1C"/>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D5A78"/>
    <w:rsid w:val="00EE06C1"/>
    <w:rsid w:val="00EE7F2C"/>
    <w:rsid w:val="00EF1D4E"/>
    <w:rsid w:val="00EF75C4"/>
    <w:rsid w:val="00F01FD9"/>
    <w:rsid w:val="00F028D8"/>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D6B91"/>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mailto:comunicacion@fotoca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335A-7949-4CEB-95AF-5F8A253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27</cp:revision>
  <cp:lastPrinted>2015-09-02T11:00:00Z</cp:lastPrinted>
  <dcterms:created xsi:type="dcterms:W3CDTF">2015-11-06T08:22:00Z</dcterms:created>
  <dcterms:modified xsi:type="dcterms:W3CDTF">2016-10-27T08:21:00Z</dcterms:modified>
</cp:coreProperties>
</file>