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08C" w:rsidRPr="00201404" w:rsidRDefault="00BE2674" w:rsidP="00BE2674">
      <w:pPr>
        <w:ind w:right="-1"/>
        <w:rPr>
          <w:rFonts w:ascii="Open Sans" w:hAnsi="Open Sans"/>
          <w:color w:val="00AAAB"/>
          <w:sz w:val="28"/>
          <w:szCs w:val="28"/>
          <w:lang w:val="es-ES"/>
        </w:rPr>
      </w:pPr>
      <w:r w:rsidRPr="00201404">
        <w:rPr>
          <w:noProof/>
          <w:lang w:val="es-ES" w:eastAsia="es-ES" w:bidi="ks-Deva"/>
        </w:rPr>
        <w:drawing>
          <wp:anchor distT="0" distB="0" distL="114300" distR="114300" simplePos="0" relativeHeight="251659264" behindDoc="0" locked="0" layoutInCell="1" allowOverlap="1" wp14:anchorId="0E4D4718" wp14:editId="59E6988C">
            <wp:simplePos x="0" y="0"/>
            <wp:positionH relativeFrom="margin">
              <wp:posOffset>354264</wp:posOffset>
            </wp:positionH>
            <wp:positionV relativeFrom="margin">
              <wp:posOffset>-1237615</wp:posOffset>
            </wp:positionV>
            <wp:extent cx="5388928" cy="3326257"/>
            <wp:effectExtent l="0" t="0" r="0" b="0"/>
            <wp:wrapThrough wrapText="bothSides">
              <wp:wrapPolygon edited="0">
                <wp:start x="11403" y="7258"/>
                <wp:lineTo x="4785" y="8082"/>
                <wp:lineTo x="3564" y="8577"/>
                <wp:lineTo x="3971" y="12866"/>
                <wp:lineTo x="3971" y="13526"/>
                <wp:lineTo x="17818" y="13526"/>
                <wp:lineTo x="17919" y="9237"/>
                <wp:lineTo x="17512" y="7588"/>
                <wp:lineTo x="17105" y="7258"/>
                <wp:lineTo x="11403" y="7258"/>
              </wp:wrapPolygon>
            </wp:wrapThrough>
            <wp:docPr id="4" name="Imagen 4" descr="/Users/dacilroca/Desktop/LOGO_PRE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dacilroca/Desktop/LOGO_PRENS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88928" cy="3326257"/>
                    </a:xfrm>
                    <a:prstGeom prst="rect">
                      <a:avLst/>
                    </a:prstGeom>
                    <a:noFill/>
                    <a:ln>
                      <a:noFill/>
                    </a:ln>
                  </pic:spPr>
                </pic:pic>
              </a:graphicData>
            </a:graphic>
            <wp14:sizeRelH relativeFrom="page">
              <wp14:pctWidth>0</wp14:pctWidth>
            </wp14:sizeRelH>
            <wp14:sizeRelV relativeFrom="page">
              <wp14:pctHeight>0</wp14:pctHeight>
            </wp14:sizeRelV>
          </wp:anchor>
        </w:drawing>
      </w:r>
      <w:r w:rsidR="0052608C" w:rsidRPr="00201404">
        <w:rPr>
          <w:noProof/>
          <w:lang w:val="es-ES" w:eastAsia="es-ES" w:bidi="ks-Deva"/>
        </w:rPr>
        <w:drawing>
          <wp:anchor distT="0" distB="0" distL="114300" distR="114300" simplePos="0" relativeHeight="251658240" behindDoc="0" locked="0" layoutInCell="1" allowOverlap="1" wp14:anchorId="1FE3625C" wp14:editId="0D1B2D0B">
            <wp:simplePos x="0" y="0"/>
            <wp:positionH relativeFrom="margin">
              <wp:posOffset>-2046605</wp:posOffset>
            </wp:positionH>
            <wp:positionV relativeFrom="margin">
              <wp:posOffset>-1012825</wp:posOffset>
            </wp:positionV>
            <wp:extent cx="2295525" cy="2334895"/>
            <wp:effectExtent l="0" t="0" r="0" b="1905"/>
            <wp:wrapSquare wrapText="bothSides"/>
            <wp:docPr id="3" name="Imagen 3" descr="/Users/dacilroca/Desktop/ESQUINA_PRE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acilroca/Desktop/ESQUINA_PRENS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5525" cy="2334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608C" w:rsidRPr="00201404" w:rsidRDefault="0052608C" w:rsidP="0052608C">
      <w:pPr>
        <w:rPr>
          <w:rFonts w:ascii="Open Sans" w:hAnsi="Open Sans"/>
          <w:color w:val="00AAAB"/>
          <w:sz w:val="28"/>
          <w:szCs w:val="28"/>
          <w:lang w:val="es-ES"/>
        </w:rPr>
      </w:pPr>
    </w:p>
    <w:p w:rsidR="0052608C" w:rsidRPr="00201404" w:rsidRDefault="0052608C" w:rsidP="0052608C">
      <w:pPr>
        <w:rPr>
          <w:rFonts w:ascii="Open Sans" w:hAnsi="Open Sans"/>
          <w:color w:val="00AAAB"/>
          <w:sz w:val="28"/>
          <w:szCs w:val="28"/>
          <w:lang w:val="es-ES"/>
        </w:rPr>
      </w:pPr>
    </w:p>
    <w:p w:rsidR="0052608C" w:rsidRPr="00201404" w:rsidRDefault="0052608C" w:rsidP="0052608C">
      <w:pPr>
        <w:rPr>
          <w:rFonts w:ascii="Open Sans" w:hAnsi="Open Sans"/>
          <w:color w:val="00AAAB"/>
          <w:sz w:val="28"/>
          <w:szCs w:val="28"/>
          <w:lang w:val="es-ES"/>
        </w:rPr>
      </w:pPr>
    </w:p>
    <w:p w:rsidR="0052608C" w:rsidRPr="00201404" w:rsidRDefault="0052608C" w:rsidP="0052608C">
      <w:pPr>
        <w:rPr>
          <w:rFonts w:ascii="Open Sans" w:hAnsi="Open Sans"/>
          <w:color w:val="00AAAB"/>
          <w:sz w:val="28"/>
          <w:szCs w:val="28"/>
          <w:lang w:val="es-ES"/>
        </w:rPr>
      </w:pPr>
    </w:p>
    <w:p w:rsidR="0052608C" w:rsidRPr="00201404" w:rsidRDefault="0052608C" w:rsidP="0052608C">
      <w:pPr>
        <w:rPr>
          <w:rFonts w:ascii="Open Sans" w:hAnsi="Open Sans"/>
          <w:color w:val="00AAAB"/>
          <w:sz w:val="28"/>
          <w:szCs w:val="28"/>
          <w:lang w:val="es-ES"/>
        </w:rPr>
      </w:pPr>
    </w:p>
    <w:p w:rsidR="0052608C" w:rsidRPr="00201404" w:rsidRDefault="0052608C" w:rsidP="0052608C">
      <w:pPr>
        <w:rPr>
          <w:rFonts w:ascii="Open Sans" w:hAnsi="Open Sans"/>
          <w:color w:val="00AAAB"/>
          <w:sz w:val="28"/>
          <w:szCs w:val="28"/>
          <w:lang w:val="es-ES"/>
        </w:rPr>
      </w:pPr>
    </w:p>
    <w:p w:rsidR="0052608C" w:rsidRPr="00201404" w:rsidRDefault="00763F0F" w:rsidP="00BC0CC9">
      <w:pPr>
        <w:ind w:left="-1134"/>
        <w:jc w:val="both"/>
        <w:rPr>
          <w:rFonts w:ascii="Open Sans" w:hAnsi="Open Sans"/>
          <w:color w:val="00AAAB"/>
          <w:sz w:val="28"/>
          <w:szCs w:val="28"/>
          <w:lang w:val="es-ES"/>
        </w:rPr>
      </w:pPr>
      <w:r w:rsidRPr="00201404">
        <w:rPr>
          <w:rFonts w:ascii="Open Sans" w:hAnsi="Open Sans"/>
          <w:color w:val="00AAAB"/>
          <w:sz w:val="28"/>
          <w:szCs w:val="28"/>
          <w:lang w:val="es-ES"/>
        </w:rPr>
        <w:t>PRIMER TRIMESTRE 2017</w:t>
      </w:r>
      <w:r w:rsidR="00930FDE" w:rsidRPr="00201404">
        <w:rPr>
          <w:rFonts w:ascii="Open Sans" w:hAnsi="Open Sans"/>
          <w:color w:val="00AAAB"/>
          <w:sz w:val="28"/>
          <w:szCs w:val="28"/>
          <w:lang w:val="es-ES"/>
        </w:rPr>
        <w:t>: PRECIO DE LA VIVIENDA EN ALQUILER</w:t>
      </w:r>
    </w:p>
    <w:p w:rsidR="00930FDE" w:rsidRPr="00201404" w:rsidRDefault="00930FDE" w:rsidP="00BC0CC9">
      <w:pPr>
        <w:ind w:left="-1134"/>
        <w:jc w:val="both"/>
        <w:rPr>
          <w:rFonts w:ascii="Open Sans" w:hAnsi="Open Sans"/>
          <w:color w:val="00AAAB"/>
          <w:sz w:val="28"/>
          <w:szCs w:val="28"/>
          <w:lang w:val="es-ES"/>
        </w:rPr>
      </w:pPr>
    </w:p>
    <w:p w:rsidR="00763F0F" w:rsidRPr="00201404" w:rsidRDefault="00405F66" w:rsidP="00405F66">
      <w:pPr>
        <w:pStyle w:val="Prrafodelista"/>
        <w:ind w:left="-1134"/>
        <w:jc w:val="both"/>
        <w:rPr>
          <w:rFonts w:ascii="Open Sans Light" w:hAnsi="Open Sans Light"/>
          <w:b/>
          <w:bCs/>
          <w:color w:val="404040" w:themeColor="text1" w:themeTint="BF"/>
          <w:lang w:val="es-ES"/>
        </w:rPr>
      </w:pPr>
      <w:r w:rsidRPr="00405F66">
        <w:rPr>
          <w:rFonts w:ascii="Open Sans" w:hAnsi="Open Sans"/>
          <w:b/>
          <w:bCs/>
          <w:color w:val="062151"/>
          <w:sz w:val="48"/>
          <w:szCs w:val="48"/>
          <w:lang w:val="es-ES"/>
        </w:rPr>
        <w:t>El precio del alquiler registra la mayor subida trimestral de los últimos 10 años</w:t>
      </w:r>
    </w:p>
    <w:p w:rsidR="00405F66" w:rsidRDefault="00405F66" w:rsidP="00405F66">
      <w:pPr>
        <w:pStyle w:val="Prrafodelista"/>
        <w:ind w:left="-851"/>
        <w:jc w:val="both"/>
        <w:rPr>
          <w:rFonts w:ascii="Open Sans Light" w:hAnsi="Open Sans Light"/>
          <w:b/>
          <w:bCs/>
          <w:lang w:val="es-ES"/>
        </w:rPr>
      </w:pPr>
    </w:p>
    <w:p w:rsidR="00405F66" w:rsidRPr="00405F66" w:rsidRDefault="00405F66" w:rsidP="00405F66">
      <w:pPr>
        <w:pStyle w:val="Prrafodelista"/>
        <w:numPr>
          <w:ilvl w:val="0"/>
          <w:numId w:val="2"/>
        </w:numPr>
        <w:ind w:left="-851"/>
        <w:jc w:val="both"/>
        <w:rPr>
          <w:rFonts w:ascii="Open Sans Light" w:hAnsi="Open Sans Light"/>
          <w:b/>
          <w:bCs/>
          <w:lang w:val="es-ES"/>
        </w:rPr>
      </w:pPr>
      <w:r w:rsidRPr="00405F66">
        <w:rPr>
          <w:rFonts w:ascii="Open Sans Light" w:hAnsi="Open Sans Light"/>
          <w:b/>
          <w:bCs/>
          <w:lang w:val="es-ES"/>
        </w:rPr>
        <w:t>En el primer trimestre el precio se incrementa un 5,9% y un 9,5% interanualmente</w:t>
      </w:r>
    </w:p>
    <w:p w:rsidR="00405F66" w:rsidRPr="00405F66" w:rsidRDefault="00405F66" w:rsidP="00405F66">
      <w:pPr>
        <w:pStyle w:val="Prrafodelista"/>
        <w:numPr>
          <w:ilvl w:val="0"/>
          <w:numId w:val="2"/>
        </w:numPr>
        <w:ind w:left="-851"/>
        <w:jc w:val="both"/>
        <w:rPr>
          <w:rFonts w:ascii="Open Sans Light" w:hAnsi="Open Sans Light"/>
          <w:b/>
          <w:bCs/>
          <w:lang w:val="es-ES"/>
        </w:rPr>
      </w:pPr>
      <w:r w:rsidRPr="00405F66">
        <w:rPr>
          <w:rFonts w:ascii="Open Sans Light" w:hAnsi="Open Sans Light"/>
          <w:b/>
          <w:bCs/>
          <w:lang w:val="es-ES"/>
        </w:rPr>
        <w:t xml:space="preserve">El precio medio del alquiler en marzo se sitúa en 7,93 €/m2 al mes </w:t>
      </w:r>
    </w:p>
    <w:p w:rsidR="00405F66" w:rsidRPr="00405F66" w:rsidRDefault="00405F66" w:rsidP="00405F66">
      <w:pPr>
        <w:pStyle w:val="Prrafodelista"/>
        <w:numPr>
          <w:ilvl w:val="0"/>
          <w:numId w:val="2"/>
        </w:numPr>
        <w:ind w:left="-851"/>
        <w:jc w:val="both"/>
        <w:rPr>
          <w:rFonts w:ascii="Open Sans Light" w:hAnsi="Open Sans Light"/>
          <w:b/>
          <w:bCs/>
          <w:lang w:val="es-ES"/>
        </w:rPr>
      </w:pPr>
      <w:r w:rsidRPr="00405F66">
        <w:rPr>
          <w:rFonts w:ascii="Open Sans Light" w:hAnsi="Open Sans Light"/>
          <w:b/>
          <w:bCs/>
          <w:lang w:val="es-ES"/>
        </w:rPr>
        <w:t>El precio sube en 14 comunidades autónomas a nivel trimestral y en todas a nivel interanual</w:t>
      </w:r>
    </w:p>
    <w:p w:rsidR="00405F66" w:rsidRPr="00405F66" w:rsidRDefault="00405F66" w:rsidP="00405F66">
      <w:pPr>
        <w:pStyle w:val="Prrafodelista"/>
        <w:numPr>
          <w:ilvl w:val="0"/>
          <w:numId w:val="2"/>
        </w:numPr>
        <w:ind w:left="-851"/>
        <w:jc w:val="both"/>
        <w:rPr>
          <w:rFonts w:ascii="Open Sans Light" w:hAnsi="Open Sans Light"/>
          <w:b/>
          <w:bCs/>
          <w:lang w:val="es-ES"/>
        </w:rPr>
      </w:pPr>
      <w:r w:rsidRPr="00405F66">
        <w:rPr>
          <w:rFonts w:ascii="Open Sans Light" w:hAnsi="Open Sans Light"/>
          <w:b/>
          <w:bCs/>
          <w:lang w:val="es-ES"/>
        </w:rPr>
        <w:t>Barcelona es el municipio más caro para alquilar una vivienda en marzo</w:t>
      </w:r>
    </w:p>
    <w:p w:rsidR="00405F66" w:rsidRDefault="00405F66" w:rsidP="00405F66">
      <w:pPr>
        <w:pStyle w:val="Prrafodelista"/>
        <w:ind w:left="-851"/>
        <w:jc w:val="both"/>
        <w:rPr>
          <w:rFonts w:ascii="Open Sans Light" w:hAnsi="Open Sans Light"/>
          <w:b/>
          <w:bCs/>
          <w:lang w:val="es-ES"/>
        </w:rPr>
      </w:pPr>
    </w:p>
    <w:p w:rsidR="0052608C" w:rsidRPr="00201404" w:rsidRDefault="0052608C" w:rsidP="00BC0CC9">
      <w:pPr>
        <w:ind w:left="-1134"/>
        <w:jc w:val="both"/>
        <w:rPr>
          <w:rFonts w:ascii="Open Sans" w:hAnsi="Open Sans"/>
          <w:color w:val="00AAAB"/>
          <w:sz w:val="28"/>
          <w:szCs w:val="28"/>
          <w:lang w:val="es-ES"/>
        </w:rPr>
      </w:pPr>
    </w:p>
    <w:p w:rsidR="0052608C" w:rsidRPr="00201404" w:rsidRDefault="0052608C" w:rsidP="00BC0CC9">
      <w:pPr>
        <w:ind w:left="-1134"/>
        <w:jc w:val="both"/>
        <w:rPr>
          <w:rFonts w:ascii="Open Sans Light" w:hAnsi="Open Sans Light"/>
          <w:b/>
          <w:color w:val="7F7F7F" w:themeColor="text1" w:themeTint="80"/>
          <w:lang w:val="es-ES"/>
        </w:rPr>
      </w:pPr>
      <w:r w:rsidRPr="00201404">
        <w:rPr>
          <w:rFonts w:ascii="Open Sans Light" w:hAnsi="Open Sans Light"/>
          <w:b/>
          <w:color w:val="7F7F7F" w:themeColor="text1" w:themeTint="80"/>
          <w:lang w:val="es-ES"/>
        </w:rPr>
        <w:t xml:space="preserve">Madrid, </w:t>
      </w:r>
      <w:r w:rsidR="00201404" w:rsidRPr="00201404">
        <w:rPr>
          <w:rFonts w:ascii="Open Sans Light" w:hAnsi="Open Sans Light"/>
          <w:b/>
          <w:color w:val="7F7F7F" w:themeColor="text1" w:themeTint="80"/>
          <w:lang w:val="es-ES"/>
        </w:rPr>
        <w:t>2</w:t>
      </w:r>
      <w:r w:rsidR="007A7768">
        <w:rPr>
          <w:rFonts w:ascii="Open Sans Light" w:hAnsi="Open Sans Light"/>
          <w:b/>
          <w:color w:val="7F7F7F" w:themeColor="text1" w:themeTint="80"/>
          <w:lang w:val="es-ES"/>
        </w:rPr>
        <w:t>7</w:t>
      </w:r>
      <w:r w:rsidR="00201404" w:rsidRPr="00201404">
        <w:rPr>
          <w:rFonts w:ascii="Open Sans Light" w:hAnsi="Open Sans Light"/>
          <w:b/>
          <w:color w:val="7F7F7F" w:themeColor="text1" w:themeTint="80"/>
          <w:lang w:val="es-ES"/>
        </w:rPr>
        <w:t xml:space="preserve"> </w:t>
      </w:r>
      <w:r w:rsidR="00763F0F" w:rsidRPr="00201404">
        <w:rPr>
          <w:rFonts w:ascii="Open Sans Light" w:hAnsi="Open Sans Light"/>
          <w:b/>
          <w:color w:val="7F7F7F" w:themeColor="text1" w:themeTint="80"/>
          <w:lang w:val="es-ES"/>
        </w:rPr>
        <w:t>de abril</w:t>
      </w:r>
      <w:r w:rsidR="00E8753C" w:rsidRPr="00201404">
        <w:rPr>
          <w:rFonts w:ascii="Open Sans Light" w:hAnsi="Open Sans Light"/>
          <w:b/>
          <w:color w:val="7F7F7F" w:themeColor="text1" w:themeTint="80"/>
          <w:lang w:val="es-ES"/>
        </w:rPr>
        <w:t xml:space="preserve"> de 2017</w:t>
      </w:r>
    </w:p>
    <w:p w:rsidR="00E8753C" w:rsidRPr="00201404" w:rsidRDefault="00E8753C" w:rsidP="00BC0CC9">
      <w:pPr>
        <w:ind w:left="-1134"/>
        <w:jc w:val="both"/>
        <w:rPr>
          <w:rFonts w:ascii="Open Sans Light" w:hAnsi="Open Sans Light"/>
          <w:b/>
          <w:color w:val="7F7F7F" w:themeColor="text1" w:themeTint="80"/>
          <w:lang w:val="es-ES"/>
        </w:rPr>
      </w:pPr>
    </w:p>
    <w:p w:rsidR="00405F66" w:rsidRPr="00405F66" w:rsidRDefault="00405F66" w:rsidP="00405F66">
      <w:pPr>
        <w:ind w:left="-1134"/>
        <w:jc w:val="both"/>
        <w:rPr>
          <w:rFonts w:ascii="Open Sans Light" w:hAnsi="Open Sans Light"/>
          <w:lang w:val="es-ES"/>
        </w:rPr>
      </w:pPr>
      <w:r w:rsidRPr="00405F66">
        <w:rPr>
          <w:rFonts w:ascii="Open Sans Light" w:hAnsi="Open Sans Light"/>
          <w:lang w:val="es-ES"/>
        </w:rPr>
        <w:t xml:space="preserve">El precio medio de la vivienda en alquiler en España se incrementa un 5,9% en el primer trimestre del año y sitúa el precio, a marzo de 2017, en 7,93 €/m2 al mes, según los últimos datos del Índice Inmobiliario </w:t>
      </w:r>
      <w:hyperlink r:id="rId10" w:history="1">
        <w:proofErr w:type="spellStart"/>
        <w:r w:rsidRPr="00201404">
          <w:rPr>
            <w:rStyle w:val="Hipervnculo"/>
            <w:rFonts w:ascii="Open Sans Light" w:hAnsi="Open Sans Light"/>
            <w:b/>
            <w:bCs/>
            <w:lang w:val="es-ES"/>
          </w:rPr>
          <w:t>fotocasa</w:t>
        </w:r>
        <w:proofErr w:type="spellEnd"/>
      </w:hyperlink>
      <w:r w:rsidRPr="00405F66">
        <w:rPr>
          <w:rFonts w:ascii="Open Sans Light" w:hAnsi="Open Sans Light"/>
          <w:lang w:val="es-ES"/>
        </w:rPr>
        <w:t>. Este incremento trimestral del precio de la vivienda en alquiler continúa con la tónica que ha reinado durante el 2016, con incrementos generalizados en el precio de la vivienda en alquiler.</w:t>
      </w:r>
    </w:p>
    <w:p w:rsidR="00405F66" w:rsidRPr="00405F66" w:rsidRDefault="00405F66" w:rsidP="00405F66">
      <w:pPr>
        <w:ind w:left="-1134"/>
        <w:jc w:val="both"/>
        <w:rPr>
          <w:rFonts w:ascii="Open Sans Light" w:hAnsi="Open Sans Light"/>
          <w:lang w:val="es-ES"/>
        </w:rPr>
      </w:pPr>
    </w:p>
    <w:p w:rsidR="00405F66" w:rsidRPr="00405F66" w:rsidRDefault="00405F66" w:rsidP="00405F66">
      <w:pPr>
        <w:ind w:left="-1134"/>
        <w:jc w:val="both"/>
        <w:rPr>
          <w:rFonts w:ascii="Open Sans Light" w:hAnsi="Open Sans Light"/>
          <w:lang w:val="es-ES"/>
        </w:rPr>
      </w:pPr>
      <w:r w:rsidRPr="00405F66">
        <w:rPr>
          <w:rFonts w:ascii="Open Sans Light" w:hAnsi="Open Sans Light"/>
          <w:lang w:val="es-ES"/>
        </w:rPr>
        <w:t xml:space="preserve">“Los precios de los alquileres están subiendo con fuerza porque la demanda es muy superior a la oferta, sobre todo en las zonas con una mayor actividad económica, turística y demográfica. Mes a mes vemos cómo en comunidades como Cataluña, Madrid o Baleares la distancia con respecto a los precios máximos alcanzados en 2007 y 2008 se acorta y, en algunas ciudades de estas zonas, el precio del metro cuadrado ya ha alcanzado los máximos previos a la </w:t>
      </w:r>
      <w:r w:rsidRPr="00405F66">
        <w:rPr>
          <w:rFonts w:ascii="Open Sans Light" w:hAnsi="Open Sans Light"/>
          <w:lang w:val="es-ES"/>
        </w:rPr>
        <w:lastRenderedPageBreak/>
        <w:t xml:space="preserve">crisis, como es el caso de Barcelona”, explica Beatriz Toribio responsable de estudios de </w:t>
      </w:r>
      <w:hyperlink r:id="rId11" w:history="1">
        <w:proofErr w:type="spellStart"/>
        <w:r w:rsidRPr="00201404">
          <w:rPr>
            <w:rStyle w:val="Hipervnculo"/>
            <w:rFonts w:ascii="Open Sans Light" w:hAnsi="Open Sans Light"/>
            <w:b/>
            <w:bCs/>
            <w:lang w:val="es-ES"/>
          </w:rPr>
          <w:t>fotocasa</w:t>
        </w:r>
        <w:proofErr w:type="spellEnd"/>
      </w:hyperlink>
      <w:r w:rsidRPr="00405F66">
        <w:rPr>
          <w:rFonts w:ascii="Open Sans Light" w:hAnsi="Open Sans Light"/>
          <w:lang w:val="es-ES"/>
        </w:rPr>
        <w:t>.</w:t>
      </w:r>
    </w:p>
    <w:p w:rsidR="00405F66" w:rsidRPr="00405F66" w:rsidRDefault="00405F66" w:rsidP="00405F66">
      <w:pPr>
        <w:ind w:left="-1134"/>
        <w:jc w:val="both"/>
        <w:rPr>
          <w:rFonts w:ascii="Open Sans Light" w:hAnsi="Open Sans Light"/>
          <w:lang w:val="es-ES"/>
        </w:rPr>
      </w:pPr>
    </w:p>
    <w:p w:rsidR="00405F66" w:rsidRDefault="00405F66" w:rsidP="00405F66">
      <w:pPr>
        <w:ind w:left="-1134"/>
        <w:jc w:val="both"/>
        <w:rPr>
          <w:rFonts w:ascii="Open Sans Light" w:hAnsi="Open Sans Light"/>
          <w:lang w:val="es-ES"/>
        </w:rPr>
      </w:pPr>
      <w:r w:rsidRPr="00405F66">
        <w:rPr>
          <w:rFonts w:ascii="Open Sans Light" w:hAnsi="Open Sans Light"/>
          <w:lang w:val="es-ES"/>
        </w:rPr>
        <w:t>De hecho, el incremento registrado este primer trimestre del año es el más acusado que se ha registrado en el histórico del Índice Inmobiliario desde el primer trimestre de 2007, cuando el precio se incrementó un 4,9%. Desde entonces, el precio trimestral del alquiler no había hecho más que caer, con alguna excepción en trimestre puntuales de 2011 y 2014. En 2015 el precio trimestral del alquiler empezó a remontar, con incrementos del 2,8% y 1,5% en el primer y segundo trimestre, respectivamente, tendencia que continuó durante 2016, a excepción del tercer trimestre de 2016, cuando el preció cayó un -2%.</w:t>
      </w:r>
    </w:p>
    <w:p w:rsidR="00405F66" w:rsidRDefault="00405F66" w:rsidP="00405F66">
      <w:pPr>
        <w:ind w:left="-1134"/>
        <w:jc w:val="both"/>
        <w:rPr>
          <w:rFonts w:ascii="Open Sans Light" w:hAnsi="Open Sans Light"/>
          <w:lang w:val="es-ES"/>
        </w:rPr>
      </w:pPr>
    </w:p>
    <w:p w:rsidR="00405F66" w:rsidRPr="00405F66" w:rsidRDefault="00405F66" w:rsidP="00405F66">
      <w:pPr>
        <w:ind w:left="-1134"/>
        <w:jc w:val="both"/>
        <w:rPr>
          <w:rFonts w:ascii="Open Sans Light" w:hAnsi="Open Sans Light"/>
          <w:lang w:val="es-ES"/>
        </w:rPr>
      </w:pPr>
      <w:r w:rsidRPr="00405F66">
        <w:rPr>
          <w:rFonts w:ascii="Open Sans Light" w:hAnsi="Open Sans Light"/>
          <w:lang w:val="es-ES"/>
        </w:rPr>
        <w:t xml:space="preserve">A nivel interanual, el precio del alquiler se incrementa un 9,5%, el incremento más acusado que se ha registrado nunca en todo el histórico del Índice Inmobiliario, que data desde enero de 2006. </w:t>
      </w:r>
    </w:p>
    <w:p w:rsidR="00405F66" w:rsidRPr="00405F66" w:rsidRDefault="00405F66" w:rsidP="00405F66">
      <w:pPr>
        <w:ind w:left="-1134"/>
        <w:jc w:val="both"/>
        <w:rPr>
          <w:rFonts w:ascii="Open Sans Light" w:hAnsi="Open Sans Light"/>
          <w:lang w:val="es-ES"/>
        </w:rPr>
      </w:pPr>
    </w:p>
    <w:p w:rsidR="00405F66" w:rsidRPr="00405F66" w:rsidRDefault="00405F66" w:rsidP="00405F66">
      <w:pPr>
        <w:ind w:left="-1134"/>
        <w:jc w:val="both"/>
        <w:rPr>
          <w:rFonts w:ascii="Open Sans Light" w:hAnsi="Open Sans Light"/>
          <w:lang w:val="es-ES"/>
        </w:rPr>
      </w:pPr>
      <w:r w:rsidRPr="00405F66">
        <w:rPr>
          <w:rFonts w:ascii="Open Sans Light" w:hAnsi="Open Sans Light"/>
          <w:lang w:val="es-ES"/>
        </w:rPr>
        <w:t xml:space="preserve">Además, en el primer trimestre del año el precio del alquiler se incrementa en 14 comunidades autónomas a nivel trimestral y en todas a nivel interanual. </w:t>
      </w:r>
    </w:p>
    <w:p w:rsidR="00405F66" w:rsidRPr="00405F66" w:rsidRDefault="00405F66" w:rsidP="00405F66">
      <w:pPr>
        <w:ind w:left="-1134"/>
        <w:jc w:val="both"/>
        <w:rPr>
          <w:rFonts w:ascii="Open Sans Light" w:hAnsi="Open Sans Light"/>
          <w:lang w:val="es-ES"/>
        </w:rPr>
      </w:pPr>
    </w:p>
    <w:p w:rsidR="00405F66" w:rsidRDefault="00405F66" w:rsidP="00405F66">
      <w:pPr>
        <w:ind w:left="-1134"/>
        <w:jc w:val="both"/>
        <w:rPr>
          <w:rFonts w:ascii="Open Sans Light" w:hAnsi="Open Sans Light"/>
          <w:lang w:val="es-ES"/>
        </w:rPr>
      </w:pPr>
      <w:r w:rsidRPr="00405F66">
        <w:rPr>
          <w:rFonts w:ascii="Open Sans Light" w:hAnsi="Open Sans Light"/>
          <w:lang w:val="es-ES"/>
        </w:rPr>
        <w:t xml:space="preserve">“Pese a la reapertura del crédito son todavía muchos los españoles que se ven obligados a alquilar ante la imposibilidad de poder costearse la compra de una vivienda debido a su situación económica y laboral. Y, además, en </w:t>
      </w:r>
      <w:proofErr w:type="spellStart"/>
      <w:r w:rsidRPr="00405F66">
        <w:rPr>
          <w:rFonts w:ascii="Open Sans Light" w:hAnsi="Open Sans Light"/>
          <w:lang w:val="es-ES"/>
        </w:rPr>
        <w:t>fotocasa</w:t>
      </w:r>
      <w:proofErr w:type="spellEnd"/>
      <w:r w:rsidRPr="00405F66">
        <w:rPr>
          <w:rFonts w:ascii="Open Sans Light" w:hAnsi="Open Sans Light"/>
          <w:lang w:val="es-ES"/>
        </w:rPr>
        <w:t xml:space="preserve"> apreciamos que ha habido un cambio de mentalidad en nuestro país a favor del alquiler que también se está notando en el mercado”, añade Toribio.</w:t>
      </w:r>
    </w:p>
    <w:p w:rsidR="00405F66" w:rsidRDefault="00405F66" w:rsidP="00405F66">
      <w:pPr>
        <w:ind w:left="-1134"/>
        <w:jc w:val="both"/>
        <w:rPr>
          <w:rFonts w:ascii="Open Sans Light" w:hAnsi="Open Sans Light"/>
          <w:lang w:val="es-ES"/>
        </w:rPr>
      </w:pPr>
    </w:p>
    <w:p w:rsidR="00405F66" w:rsidRPr="00405F66" w:rsidRDefault="00405F66" w:rsidP="00405F66">
      <w:pPr>
        <w:ind w:left="-1134"/>
        <w:jc w:val="center"/>
        <w:rPr>
          <w:rFonts w:ascii="Open Sans" w:hAnsi="Open Sans"/>
          <w:color w:val="00AAAB"/>
          <w:lang w:val="es-ES"/>
        </w:rPr>
      </w:pPr>
      <w:r w:rsidRPr="00405F66">
        <w:rPr>
          <w:rFonts w:ascii="Open Sans" w:hAnsi="Open Sans"/>
          <w:color w:val="00AAAB"/>
          <w:lang w:val="es-ES"/>
        </w:rPr>
        <w:t>Evolución trimestral del precio del alquiler en España</w:t>
      </w:r>
    </w:p>
    <w:p w:rsidR="00405F66" w:rsidRDefault="00405F66" w:rsidP="00405F66">
      <w:pPr>
        <w:ind w:left="-1134"/>
        <w:jc w:val="both"/>
        <w:rPr>
          <w:rFonts w:ascii="Open Sans Light" w:hAnsi="Open Sans Light"/>
          <w:lang w:val="es-ES"/>
        </w:rPr>
      </w:pPr>
    </w:p>
    <w:p w:rsidR="00405F66" w:rsidRDefault="00405F66" w:rsidP="00405F66">
      <w:pPr>
        <w:ind w:left="-1134"/>
        <w:jc w:val="both"/>
        <w:rPr>
          <w:rFonts w:ascii="Open Sans Light" w:hAnsi="Open Sans Light"/>
          <w:lang w:val="es-ES"/>
        </w:rPr>
      </w:pPr>
      <w:r>
        <w:rPr>
          <w:noProof/>
          <w:lang w:val="es-ES" w:eastAsia="es-ES" w:bidi="ks-Deva"/>
        </w:rPr>
        <w:drawing>
          <wp:inline distT="0" distB="0" distL="0" distR="0" wp14:anchorId="4EA4DD33" wp14:editId="25C6BB3B">
            <wp:extent cx="5562600" cy="266700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05F66" w:rsidRDefault="00405F66" w:rsidP="00BC0CC9">
      <w:pPr>
        <w:ind w:left="-1134"/>
        <w:jc w:val="both"/>
        <w:rPr>
          <w:rFonts w:ascii="Open Sans Light" w:hAnsi="Open Sans Light"/>
          <w:lang w:val="es-ES"/>
        </w:rPr>
      </w:pPr>
    </w:p>
    <w:p w:rsidR="00405F66" w:rsidRPr="00405F66" w:rsidRDefault="00405F66" w:rsidP="00405F66">
      <w:pPr>
        <w:ind w:left="-1134"/>
        <w:jc w:val="both"/>
        <w:rPr>
          <w:rFonts w:ascii="Open Sans Light" w:hAnsi="Open Sans Light"/>
          <w:lang w:val="es-ES"/>
        </w:rPr>
      </w:pPr>
      <w:r w:rsidRPr="00405F66">
        <w:rPr>
          <w:rFonts w:ascii="Open Sans Light" w:hAnsi="Open Sans Light"/>
          <w:lang w:val="es-ES"/>
        </w:rPr>
        <w:lastRenderedPageBreak/>
        <w:t>Desde que alcanzó el precio máximo en mayo de 2007 (10,12 €/m2 al mes) el precio de la vivienda lleva acumulada una caída del -21,7%. En este sentido, solo tres comunidades autónomas registran caídas superiores al -30% desde que alcanzasen el precio máximo hace cinco años. Así, Aragón es la comunidad que más ha visto descender el precio del alquiler (-38,7%), seguida de Castilla-La Mancha (-34,1%) y Cantabria (-31,3%).</w:t>
      </w:r>
    </w:p>
    <w:p w:rsidR="00405F66" w:rsidRPr="00405F66" w:rsidRDefault="00405F66" w:rsidP="00405F66">
      <w:pPr>
        <w:ind w:left="-1134"/>
        <w:jc w:val="both"/>
        <w:rPr>
          <w:rFonts w:ascii="Open Sans Light" w:hAnsi="Open Sans Light"/>
          <w:lang w:val="es-ES"/>
        </w:rPr>
      </w:pPr>
    </w:p>
    <w:p w:rsidR="00405F66" w:rsidRDefault="00405F66" w:rsidP="00405F66">
      <w:pPr>
        <w:ind w:left="-1134"/>
        <w:jc w:val="both"/>
        <w:rPr>
          <w:rFonts w:ascii="Open Sans Light" w:hAnsi="Open Sans Light"/>
          <w:lang w:val="es-ES"/>
        </w:rPr>
      </w:pPr>
      <w:r w:rsidRPr="00405F66">
        <w:rPr>
          <w:rFonts w:ascii="Open Sans Light" w:hAnsi="Open Sans Light"/>
          <w:lang w:val="es-ES"/>
        </w:rPr>
        <w:t>Por Comunidades Autónomas, en el primer trimestre del año se registran 14 incrementos en el precio del alquiler, con subidas que van desde el 5,4% de Cataluña al 0,4% de Castilla y León.</w:t>
      </w:r>
    </w:p>
    <w:p w:rsidR="00405F66" w:rsidRDefault="00405F66" w:rsidP="00BC0CC9">
      <w:pPr>
        <w:ind w:left="-1134"/>
        <w:jc w:val="both"/>
        <w:rPr>
          <w:rFonts w:ascii="Open Sans Light" w:hAnsi="Open Sans Light"/>
          <w:lang w:val="es-ES"/>
        </w:rPr>
      </w:pPr>
    </w:p>
    <w:p w:rsidR="00794CAF" w:rsidRPr="00201404" w:rsidRDefault="00794CAF" w:rsidP="00BC0CC9">
      <w:pPr>
        <w:ind w:left="-1134"/>
        <w:jc w:val="both"/>
        <w:rPr>
          <w:rFonts w:ascii="Open Sans Light" w:hAnsi="Open Sans Light"/>
          <w:color w:val="404040" w:themeColor="text1" w:themeTint="BF"/>
          <w:lang w:val="es-ES"/>
        </w:rPr>
      </w:pPr>
    </w:p>
    <w:p w:rsidR="00794CAF" w:rsidRDefault="00405F66" w:rsidP="00405F66">
      <w:pPr>
        <w:ind w:left="-1134"/>
        <w:jc w:val="center"/>
        <w:rPr>
          <w:rFonts w:ascii="Open Sans" w:hAnsi="Open Sans"/>
          <w:color w:val="00AAAB"/>
          <w:lang w:val="es-ES"/>
        </w:rPr>
      </w:pPr>
      <w:r w:rsidRPr="00405F66">
        <w:rPr>
          <w:rFonts w:ascii="Open Sans" w:hAnsi="Open Sans"/>
          <w:color w:val="00AAAB"/>
          <w:lang w:val="es-ES"/>
        </w:rPr>
        <w:t>Incrementos por CC.AA. en el primer trimestre</w:t>
      </w:r>
    </w:p>
    <w:p w:rsidR="00405F66" w:rsidRPr="00201404" w:rsidRDefault="00405F66" w:rsidP="00BC0CC9">
      <w:pPr>
        <w:ind w:left="-1134"/>
        <w:jc w:val="both"/>
        <w:rPr>
          <w:rFonts w:ascii="Open Sans Light" w:hAnsi="Open Sans Light"/>
          <w:color w:val="404040" w:themeColor="text1" w:themeTint="BF"/>
          <w:lang w:val="es-ES"/>
        </w:rPr>
      </w:pPr>
    </w:p>
    <w:tbl>
      <w:tblPr>
        <w:tblStyle w:val="Tabladecuadrcula5oscura-nfasis11"/>
        <w:tblW w:w="0" w:type="auto"/>
        <w:tblLook w:val="04A0" w:firstRow="1" w:lastRow="0" w:firstColumn="1" w:lastColumn="0" w:noHBand="0" w:noVBand="1"/>
      </w:tblPr>
      <w:tblGrid>
        <w:gridCol w:w="2552"/>
        <w:gridCol w:w="3260"/>
      </w:tblGrid>
      <w:tr w:rsidR="00405F66" w:rsidRPr="00201404" w:rsidTr="00405F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405F66" w:rsidRPr="00201404" w:rsidRDefault="00405F66" w:rsidP="00405F66">
            <w:pPr>
              <w:rPr>
                <w:rFonts w:ascii="Open Sans Light" w:hAnsi="Open Sans Light"/>
                <w:lang w:val="es-ES"/>
              </w:rPr>
            </w:pPr>
            <w:r>
              <w:rPr>
                <w:rFonts w:ascii="Open Sans Light" w:hAnsi="Open Sans Light"/>
                <w:lang w:val="es-ES"/>
              </w:rPr>
              <w:t>CC.AA.</w:t>
            </w:r>
          </w:p>
        </w:tc>
        <w:tc>
          <w:tcPr>
            <w:tcW w:w="3260" w:type="dxa"/>
          </w:tcPr>
          <w:p w:rsidR="00405F66" w:rsidRPr="00201404" w:rsidRDefault="00405F66" w:rsidP="00405F66">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lang w:val="es-ES"/>
              </w:rPr>
            </w:pPr>
            <w:r w:rsidRPr="00201404">
              <w:rPr>
                <w:rFonts w:ascii="Open Sans Light" w:hAnsi="Open Sans Light"/>
                <w:lang w:val="es-ES"/>
              </w:rPr>
              <w:t>Marzo 2017</w:t>
            </w:r>
          </w:p>
          <w:p w:rsidR="00405F66" w:rsidRPr="00201404" w:rsidRDefault="00405F66" w:rsidP="00405F66">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lang w:val="es-ES"/>
              </w:rPr>
            </w:pPr>
            <w:r w:rsidRPr="00201404">
              <w:rPr>
                <w:rFonts w:ascii="Open Sans Light" w:hAnsi="Open Sans Light"/>
                <w:lang w:val="es-ES"/>
              </w:rPr>
              <w:t>(€/m</w:t>
            </w:r>
            <w:r w:rsidRPr="00201404">
              <w:rPr>
                <w:rFonts w:ascii="Open Sans Light" w:hAnsi="Open Sans Light" w:cs="Open Sans Light"/>
                <w:lang w:val="es-ES"/>
              </w:rPr>
              <w:t>²</w:t>
            </w:r>
            <w:r w:rsidRPr="00201404">
              <w:rPr>
                <w:rFonts w:ascii="Open Sans Light" w:hAnsi="Open Sans Light"/>
                <w:lang w:val="es-ES"/>
              </w:rPr>
              <w:t>)</w:t>
            </w:r>
          </w:p>
        </w:tc>
      </w:tr>
      <w:tr w:rsidR="004E589B" w:rsidRPr="00201404" w:rsidTr="00B34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bottom"/>
          </w:tcPr>
          <w:p w:rsidR="004E589B" w:rsidRPr="004E589B" w:rsidRDefault="004E589B" w:rsidP="004E589B">
            <w:pPr>
              <w:rPr>
                <w:rFonts w:ascii="Calibri" w:hAnsi="Calibri"/>
                <w:b w:val="0"/>
                <w:bCs w:val="0"/>
              </w:rPr>
            </w:pPr>
            <w:r w:rsidRPr="004E589B">
              <w:rPr>
                <w:rFonts w:ascii="Calibri" w:hAnsi="Calibri"/>
                <w:b w:val="0"/>
                <w:bCs w:val="0"/>
              </w:rPr>
              <w:t>Cataluña</w:t>
            </w:r>
          </w:p>
        </w:tc>
        <w:tc>
          <w:tcPr>
            <w:tcW w:w="3260" w:type="dxa"/>
            <w:vAlign w:val="bottom"/>
          </w:tcPr>
          <w:p w:rsidR="004E589B" w:rsidRPr="004E589B" w:rsidRDefault="004E589B" w:rsidP="004E589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4E589B">
              <w:rPr>
                <w:rFonts w:ascii="Calibri" w:hAnsi="Calibri"/>
                <w:color w:val="000000"/>
              </w:rPr>
              <w:t>5,4 %</w:t>
            </w:r>
          </w:p>
        </w:tc>
      </w:tr>
      <w:tr w:rsidR="004E589B" w:rsidRPr="00201404" w:rsidTr="00B34333">
        <w:tc>
          <w:tcPr>
            <w:cnfStyle w:val="001000000000" w:firstRow="0" w:lastRow="0" w:firstColumn="1" w:lastColumn="0" w:oddVBand="0" w:evenVBand="0" w:oddHBand="0" w:evenHBand="0" w:firstRowFirstColumn="0" w:firstRowLastColumn="0" w:lastRowFirstColumn="0" w:lastRowLastColumn="0"/>
            <w:tcW w:w="2552" w:type="dxa"/>
            <w:vAlign w:val="bottom"/>
          </w:tcPr>
          <w:p w:rsidR="004E589B" w:rsidRPr="004E589B" w:rsidRDefault="004E589B" w:rsidP="004E589B">
            <w:pPr>
              <w:rPr>
                <w:rFonts w:ascii="Calibri" w:hAnsi="Calibri"/>
                <w:b w:val="0"/>
                <w:bCs w:val="0"/>
              </w:rPr>
            </w:pPr>
            <w:r w:rsidRPr="004E589B">
              <w:rPr>
                <w:rFonts w:ascii="Calibri" w:hAnsi="Calibri"/>
                <w:b w:val="0"/>
                <w:bCs w:val="0"/>
              </w:rPr>
              <w:t>Madrid</w:t>
            </w:r>
          </w:p>
        </w:tc>
        <w:tc>
          <w:tcPr>
            <w:tcW w:w="3260" w:type="dxa"/>
            <w:vAlign w:val="bottom"/>
          </w:tcPr>
          <w:p w:rsidR="004E589B" w:rsidRPr="004E589B" w:rsidRDefault="004E589B" w:rsidP="004E589B">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4E589B">
              <w:rPr>
                <w:rFonts w:ascii="Calibri" w:hAnsi="Calibri"/>
                <w:color w:val="000000"/>
              </w:rPr>
              <w:t>4,2 %</w:t>
            </w:r>
          </w:p>
        </w:tc>
      </w:tr>
      <w:tr w:rsidR="004E589B" w:rsidRPr="00201404" w:rsidTr="00B34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bottom"/>
          </w:tcPr>
          <w:p w:rsidR="004E589B" w:rsidRPr="004E589B" w:rsidRDefault="004E589B" w:rsidP="004E589B">
            <w:pPr>
              <w:rPr>
                <w:rFonts w:ascii="Calibri" w:hAnsi="Calibri"/>
                <w:b w:val="0"/>
                <w:bCs w:val="0"/>
              </w:rPr>
            </w:pPr>
            <w:r w:rsidRPr="004E589B">
              <w:rPr>
                <w:rFonts w:ascii="Calibri" w:hAnsi="Calibri"/>
                <w:b w:val="0"/>
                <w:bCs w:val="0"/>
              </w:rPr>
              <w:t>Canarias</w:t>
            </w:r>
          </w:p>
        </w:tc>
        <w:tc>
          <w:tcPr>
            <w:tcW w:w="3260" w:type="dxa"/>
            <w:vAlign w:val="bottom"/>
          </w:tcPr>
          <w:p w:rsidR="004E589B" w:rsidRPr="004E589B" w:rsidRDefault="004E589B" w:rsidP="004E589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4E589B">
              <w:rPr>
                <w:rFonts w:ascii="Calibri" w:hAnsi="Calibri"/>
                <w:color w:val="000000"/>
              </w:rPr>
              <w:t>3,7 %</w:t>
            </w:r>
          </w:p>
        </w:tc>
      </w:tr>
      <w:tr w:rsidR="004E589B" w:rsidRPr="00201404" w:rsidTr="00B34333">
        <w:tc>
          <w:tcPr>
            <w:cnfStyle w:val="001000000000" w:firstRow="0" w:lastRow="0" w:firstColumn="1" w:lastColumn="0" w:oddVBand="0" w:evenVBand="0" w:oddHBand="0" w:evenHBand="0" w:firstRowFirstColumn="0" w:firstRowLastColumn="0" w:lastRowFirstColumn="0" w:lastRowLastColumn="0"/>
            <w:tcW w:w="2552" w:type="dxa"/>
            <w:vAlign w:val="bottom"/>
          </w:tcPr>
          <w:p w:rsidR="004E589B" w:rsidRPr="004E589B" w:rsidRDefault="004E589B" w:rsidP="004E589B">
            <w:pPr>
              <w:rPr>
                <w:rFonts w:ascii="Calibri" w:hAnsi="Calibri"/>
                <w:b w:val="0"/>
                <w:bCs w:val="0"/>
              </w:rPr>
            </w:pPr>
            <w:r w:rsidRPr="004E589B">
              <w:rPr>
                <w:rFonts w:ascii="Calibri" w:hAnsi="Calibri"/>
                <w:b w:val="0"/>
                <w:bCs w:val="0"/>
              </w:rPr>
              <w:t>Baleares</w:t>
            </w:r>
          </w:p>
        </w:tc>
        <w:tc>
          <w:tcPr>
            <w:tcW w:w="3260" w:type="dxa"/>
            <w:vAlign w:val="bottom"/>
          </w:tcPr>
          <w:p w:rsidR="004E589B" w:rsidRPr="004E589B" w:rsidRDefault="004E589B" w:rsidP="004E589B">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4E589B">
              <w:rPr>
                <w:rFonts w:ascii="Calibri" w:hAnsi="Calibri"/>
                <w:color w:val="000000"/>
              </w:rPr>
              <w:t>3,7 %</w:t>
            </w:r>
          </w:p>
        </w:tc>
      </w:tr>
      <w:tr w:rsidR="004E589B" w:rsidRPr="00201404" w:rsidTr="00B34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bottom"/>
          </w:tcPr>
          <w:p w:rsidR="004E589B" w:rsidRPr="004E589B" w:rsidRDefault="004E589B" w:rsidP="004E589B">
            <w:pPr>
              <w:rPr>
                <w:rFonts w:ascii="Calibri" w:hAnsi="Calibri"/>
                <w:b w:val="0"/>
                <w:bCs w:val="0"/>
              </w:rPr>
            </w:pPr>
            <w:r w:rsidRPr="004E589B">
              <w:rPr>
                <w:rFonts w:ascii="Calibri" w:hAnsi="Calibri"/>
                <w:b w:val="0"/>
                <w:bCs w:val="0"/>
              </w:rPr>
              <w:t>Cantabria</w:t>
            </w:r>
          </w:p>
        </w:tc>
        <w:tc>
          <w:tcPr>
            <w:tcW w:w="3260" w:type="dxa"/>
            <w:vAlign w:val="bottom"/>
          </w:tcPr>
          <w:p w:rsidR="004E589B" w:rsidRPr="004E589B" w:rsidRDefault="004E589B" w:rsidP="004E589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4E589B">
              <w:rPr>
                <w:rFonts w:ascii="Calibri" w:hAnsi="Calibri"/>
                <w:color w:val="000000"/>
              </w:rPr>
              <w:t>2,4 %</w:t>
            </w:r>
          </w:p>
        </w:tc>
      </w:tr>
      <w:tr w:rsidR="004E589B" w:rsidRPr="00201404" w:rsidTr="00B34333">
        <w:tc>
          <w:tcPr>
            <w:cnfStyle w:val="001000000000" w:firstRow="0" w:lastRow="0" w:firstColumn="1" w:lastColumn="0" w:oddVBand="0" w:evenVBand="0" w:oddHBand="0" w:evenHBand="0" w:firstRowFirstColumn="0" w:firstRowLastColumn="0" w:lastRowFirstColumn="0" w:lastRowLastColumn="0"/>
            <w:tcW w:w="2552" w:type="dxa"/>
            <w:vAlign w:val="bottom"/>
          </w:tcPr>
          <w:p w:rsidR="004E589B" w:rsidRPr="004E589B" w:rsidRDefault="004E589B" w:rsidP="004E589B">
            <w:pPr>
              <w:rPr>
                <w:rFonts w:ascii="Calibri" w:hAnsi="Calibri"/>
                <w:b w:val="0"/>
                <w:bCs w:val="0"/>
              </w:rPr>
            </w:pPr>
            <w:r w:rsidRPr="004E589B">
              <w:rPr>
                <w:rFonts w:ascii="Calibri" w:hAnsi="Calibri"/>
                <w:b w:val="0"/>
                <w:bCs w:val="0"/>
              </w:rPr>
              <w:t>Navarra</w:t>
            </w:r>
          </w:p>
        </w:tc>
        <w:tc>
          <w:tcPr>
            <w:tcW w:w="3260" w:type="dxa"/>
            <w:vAlign w:val="bottom"/>
          </w:tcPr>
          <w:p w:rsidR="004E589B" w:rsidRPr="004E589B" w:rsidRDefault="004E589B" w:rsidP="004E589B">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4E589B">
              <w:rPr>
                <w:rFonts w:ascii="Calibri" w:hAnsi="Calibri"/>
                <w:color w:val="000000"/>
              </w:rPr>
              <w:t>2,4 %</w:t>
            </w:r>
          </w:p>
        </w:tc>
      </w:tr>
      <w:tr w:rsidR="004E589B" w:rsidRPr="00201404" w:rsidTr="00B34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bottom"/>
          </w:tcPr>
          <w:p w:rsidR="004E589B" w:rsidRPr="004E589B" w:rsidRDefault="004E589B" w:rsidP="004E589B">
            <w:pPr>
              <w:rPr>
                <w:rFonts w:ascii="Calibri" w:hAnsi="Calibri"/>
                <w:b w:val="0"/>
                <w:bCs w:val="0"/>
              </w:rPr>
            </w:pPr>
            <w:r w:rsidRPr="004E589B">
              <w:rPr>
                <w:rFonts w:ascii="Calibri" w:hAnsi="Calibri"/>
                <w:b w:val="0"/>
                <w:bCs w:val="0"/>
              </w:rPr>
              <w:t>Andalucía</w:t>
            </w:r>
          </w:p>
        </w:tc>
        <w:tc>
          <w:tcPr>
            <w:tcW w:w="3260" w:type="dxa"/>
            <w:vAlign w:val="bottom"/>
          </w:tcPr>
          <w:p w:rsidR="004E589B" w:rsidRPr="004E589B" w:rsidRDefault="004E589B" w:rsidP="004E589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4E589B">
              <w:rPr>
                <w:rFonts w:ascii="Calibri" w:hAnsi="Calibri"/>
                <w:color w:val="000000"/>
              </w:rPr>
              <w:t>2,2 %</w:t>
            </w:r>
          </w:p>
        </w:tc>
      </w:tr>
      <w:tr w:rsidR="004E589B" w:rsidRPr="00201404" w:rsidTr="00B34333">
        <w:tc>
          <w:tcPr>
            <w:cnfStyle w:val="001000000000" w:firstRow="0" w:lastRow="0" w:firstColumn="1" w:lastColumn="0" w:oddVBand="0" w:evenVBand="0" w:oddHBand="0" w:evenHBand="0" w:firstRowFirstColumn="0" w:firstRowLastColumn="0" w:lastRowFirstColumn="0" w:lastRowLastColumn="0"/>
            <w:tcW w:w="2552" w:type="dxa"/>
            <w:vAlign w:val="bottom"/>
          </w:tcPr>
          <w:p w:rsidR="004E589B" w:rsidRPr="004E589B" w:rsidRDefault="004E589B" w:rsidP="004E589B">
            <w:pPr>
              <w:rPr>
                <w:rFonts w:ascii="Calibri" w:hAnsi="Calibri"/>
                <w:b w:val="0"/>
                <w:bCs w:val="0"/>
              </w:rPr>
            </w:pPr>
            <w:r w:rsidRPr="004E589B">
              <w:rPr>
                <w:rFonts w:ascii="Calibri" w:hAnsi="Calibri"/>
                <w:b w:val="0"/>
                <w:bCs w:val="0"/>
              </w:rPr>
              <w:t>Comunitat Valenciana</w:t>
            </w:r>
          </w:p>
        </w:tc>
        <w:tc>
          <w:tcPr>
            <w:tcW w:w="3260" w:type="dxa"/>
            <w:vAlign w:val="bottom"/>
          </w:tcPr>
          <w:p w:rsidR="004E589B" w:rsidRPr="004E589B" w:rsidRDefault="004E589B" w:rsidP="004E589B">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4E589B">
              <w:rPr>
                <w:rFonts w:ascii="Calibri" w:hAnsi="Calibri"/>
                <w:color w:val="000000"/>
              </w:rPr>
              <w:t>2,0 %</w:t>
            </w:r>
          </w:p>
        </w:tc>
      </w:tr>
      <w:tr w:rsidR="004E589B" w:rsidRPr="00201404" w:rsidTr="00B34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bottom"/>
          </w:tcPr>
          <w:p w:rsidR="004E589B" w:rsidRPr="004E589B" w:rsidRDefault="004E589B" w:rsidP="004E589B">
            <w:pPr>
              <w:rPr>
                <w:rFonts w:ascii="Calibri" w:hAnsi="Calibri"/>
                <w:b w:val="0"/>
                <w:bCs w:val="0"/>
              </w:rPr>
            </w:pPr>
            <w:r w:rsidRPr="004E589B">
              <w:rPr>
                <w:rFonts w:ascii="Calibri" w:hAnsi="Calibri"/>
                <w:b w:val="0"/>
                <w:bCs w:val="0"/>
              </w:rPr>
              <w:t>Extremadura</w:t>
            </w:r>
          </w:p>
        </w:tc>
        <w:tc>
          <w:tcPr>
            <w:tcW w:w="3260" w:type="dxa"/>
            <w:vAlign w:val="bottom"/>
          </w:tcPr>
          <w:p w:rsidR="004E589B" w:rsidRPr="004E589B" w:rsidRDefault="004E589B" w:rsidP="004E589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4E589B">
              <w:rPr>
                <w:rFonts w:ascii="Calibri" w:hAnsi="Calibri"/>
                <w:color w:val="000000"/>
              </w:rPr>
              <w:t>1,3 %</w:t>
            </w:r>
          </w:p>
        </w:tc>
      </w:tr>
      <w:tr w:rsidR="004E589B" w:rsidRPr="00201404" w:rsidTr="00B34333">
        <w:tc>
          <w:tcPr>
            <w:cnfStyle w:val="001000000000" w:firstRow="0" w:lastRow="0" w:firstColumn="1" w:lastColumn="0" w:oddVBand="0" w:evenVBand="0" w:oddHBand="0" w:evenHBand="0" w:firstRowFirstColumn="0" w:firstRowLastColumn="0" w:lastRowFirstColumn="0" w:lastRowLastColumn="0"/>
            <w:tcW w:w="2552" w:type="dxa"/>
            <w:vAlign w:val="bottom"/>
          </w:tcPr>
          <w:p w:rsidR="004E589B" w:rsidRPr="004E589B" w:rsidRDefault="004E589B" w:rsidP="004E589B">
            <w:pPr>
              <w:rPr>
                <w:rFonts w:ascii="Calibri" w:hAnsi="Calibri"/>
                <w:b w:val="0"/>
                <w:bCs w:val="0"/>
              </w:rPr>
            </w:pPr>
            <w:r w:rsidRPr="004E589B">
              <w:rPr>
                <w:rFonts w:ascii="Calibri" w:hAnsi="Calibri"/>
                <w:b w:val="0"/>
                <w:bCs w:val="0"/>
              </w:rPr>
              <w:t>La Rioja</w:t>
            </w:r>
          </w:p>
        </w:tc>
        <w:tc>
          <w:tcPr>
            <w:tcW w:w="3260" w:type="dxa"/>
            <w:vAlign w:val="bottom"/>
          </w:tcPr>
          <w:p w:rsidR="004E589B" w:rsidRPr="004E589B" w:rsidRDefault="004E589B" w:rsidP="004E589B">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4E589B">
              <w:rPr>
                <w:rFonts w:ascii="Calibri" w:hAnsi="Calibri"/>
                <w:color w:val="000000"/>
              </w:rPr>
              <w:t>0,9 %</w:t>
            </w:r>
          </w:p>
        </w:tc>
      </w:tr>
      <w:tr w:rsidR="004E589B" w:rsidRPr="00201404" w:rsidTr="00B34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bottom"/>
          </w:tcPr>
          <w:p w:rsidR="004E589B" w:rsidRPr="004E589B" w:rsidRDefault="004E589B" w:rsidP="004E589B">
            <w:pPr>
              <w:rPr>
                <w:rFonts w:ascii="Calibri" w:hAnsi="Calibri"/>
                <w:b w:val="0"/>
                <w:bCs w:val="0"/>
              </w:rPr>
            </w:pPr>
            <w:r w:rsidRPr="004E589B">
              <w:rPr>
                <w:rFonts w:ascii="Calibri" w:hAnsi="Calibri"/>
                <w:b w:val="0"/>
                <w:bCs w:val="0"/>
              </w:rPr>
              <w:t>Castilla y León</w:t>
            </w:r>
          </w:p>
        </w:tc>
        <w:tc>
          <w:tcPr>
            <w:tcW w:w="3260" w:type="dxa"/>
            <w:vAlign w:val="bottom"/>
          </w:tcPr>
          <w:p w:rsidR="004E589B" w:rsidRPr="004E589B" w:rsidRDefault="004E589B" w:rsidP="004E589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4E589B">
              <w:rPr>
                <w:rFonts w:ascii="Calibri" w:hAnsi="Calibri"/>
                <w:color w:val="000000"/>
              </w:rPr>
              <w:t>0,7 %</w:t>
            </w:r>
          </w:p>
        </w:tc>
      </w:tr>
      <w:tr w:rsidR="004E589B" w:rsidRPr="00201404" w:rsidTr="00B34333">
        <w:tc>
          <w:tcPr>
            <w:cnfStyle w:val="001000000000" w:firstRow="0" w:lastRow="0" w:firstColumn="1" w:lastColumn="0" w:oddVBand="0" w:evenVBand="0" w:oddHBand="0" w:evenHBand="0" w:firstRowFirstColumn="0" w:firstRowLastColumn="0" w:lastRowFirstColumn="0" w:lastRowLastColumn="0"/>
            <w:tcW w:w="2552" w:type="dxa"/>
            <w:vAlign w:val="bottom"/>
          </w:tcPr>
          <w:p w:rsidR="004E589B" w:rsidRPr="004E589B" w:rsidRDefault="004E589B" w:rsidP="004E589B">
            <w:pPr>
              <w:rPr>
                <w:rFonts w:ascii="Calibri" w:hAnsi="Calibri"/>
                <w:b w:val="0"/>
                <w:bCs w:val="0"/>
              </w:rPr>
            </w:pPr>
            <w:r w:rsidRPr="004E589B">
              <w:rPr>
                <w:rFonts w:ascii="Calibri" w:hAnsi="Calibri"/>
                <w:b w:val="0"/>
                <w:bCs w:val="0"/>
              </w:rPr>
              <w:t>País Vasco</w:t>
            </w:r>
          </w:p>
        </w:tc>
        <w:tc>
          <w:tcPr>
            <w:tcW w:w="3260" w:type="dxa"/>
            <w:vAlign w:val="bottom"/>
          </w:tcPr>
          <w:p w:rsidR="004E589B" w:rsidRPr="004E589B" w:rsidRDefault="004E589B" w:rsidP="004E589B">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4E589B">
              <w:rPr>
                <w:rFonts w:ascii="Calibri" w:hAnsi="Calibri"/>
                <w:color w:val="000000"/>
              </w:rPr>
              <w:t>0,6 %</w:t>
            </w:r>
          </w:p>
        </w:tc>
      </w:tr>
      <w:tr w:rsidR="004E589B" w:rsidRPr="00201404" w:rsidTr="00B34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bottom"/>
          </w:tcPr>
          <w:p w:rsidR="004E589B" w:rsidRPr="004E589B" w:rsidRDefault="004E589B" w:rsidP="004E589B">
            <w:pPr>
              <w:rPr>
                <w:rFonts w:ascii="Calibri" w:hAnsi="Calibri"/>
                <w:b w:val="0"/>
                <w:bCs w:val="0"/>
              </w:rPr>
            </w:pPr>
            <w:r w:rsidRPr="004E589B">
              <w:rPr>
                <w:rFonts w:ascii="Calibri" w:hAnsi="Calibri"/>
                <w:b w:val="0"/>
                <w:bCs w:val="0"/>
              </w:rPr>
              <w:t>Región de Murcia</w:t>
            </w:r>
          </w:p>
        </w:tc>
        <w:tc>
          <w:tcPr>
            <w:tcW w:w="3260" w:type="dxa"/>
            <w:vAlign w:val="bottom"/>
          </w:tcPr>
          <w:p w:rsidR="004E589B" w:rsidRPr="004E589B" w:rsidRDefault="004E589B" w:rsidP="004E589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4E589B">
              <w:rPr>
                <w:rFonts w:ascii="Calibri" w:hAnsi="Calibri"/>
                <w:color w:val="000000"/>
              </w:rPr>
              <w:t>0,6 %</w:t>
            </w:r>
          </w:p>
        </w:tc>
      </w:tr>
      <w:tr w:rsidR="004E589B" w:rsidRPr="00201404" w:rsidTr="00B34333">
        <w:tc>
          <w:tcPr>
            <w:cnfStyle w:val="001000000000" w:firstRow="0" w:lastRow="0" w:firstColumn="1" w:lastColumn="0" w:oddVBand="0" w:evenVBand="0" w:oddHBand="0" w:evenHBand="0" w:firstRowFirstColumn="0" w:firstRowLastColumn="0" w:lastRowFirstColumn="0" w:lastRowLastColumn="0"/>
            <w:tcW w:w="2552" w:type="dxa"/>
            <w:vAlign w:val="bottom"/>
          </w:tcPr>
          <w:p w:rsidR="004E589B" w:rsidRPr="004E589B" w:rsidRDefault="004E589B" w:rsidP="004E589B">
            <w:pPr>
              <w:rPr>
                <w:rFonts w:ascii="Calibri" w:hAnsi="Calibri"/>
                <w:b w:val="0"/>
                <w:bCs w:val="0"/>
              </w:rPr>
            </w:pPr>
            <w:r w:rsidRPr="004E589B">
              <w:rPr>
                <w:rFonts w:ascii="Calibri" w:hAnsi="Calibri"/>
                <w:b w:val="0"/>
                <w:bCs w:val="0"/>
              </w:rPr>
              <w:t>Castilla-La Mancha</w:t>
            </w:r>
          </w:p>
        </w:tc>
        <w:tc>
          <w:tcPr>
            <w:tcW w:w="3260" w:type="dxa"/>
            <w:vAlign w:val="bottom"/>
          </w:tcPr>
          <w:p w:rsidR="004E589B" w:rsidRPr="004E589B" w:rsidRDefault="004E589B" w:rsidP="004E589B">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4E589B">
              <w:rPr>
                <w:rFonts w:ascii="Calibri" w:hAnsi="Calibri"/>
                <w:color w:val="000000"/>
              </w:rPr>
              <w:t>0,4 %</w:t>
            </w:r>
          </w:p>
        </w:tc>
      </w:tr>
    </w:tbl>
    <w:p w:rsidR="00FD62C7" w:rsidRDefault="00FD62C7" w:rsidP="00405F66">
      <w:pPr>
        <w:jc w:val="both"/>
        <w:rPr>
          <w:rFonts w:ascii="Open Sans Light" w:hAnsi="Open Sans Light"/>
          <w:color w:val="404040" w:themeColor="text1" w:themeTint="BF"/>
          <w:lang w:val="es-ES"/>
        </w:rPr>
      </w:pPr>
    </w:p>
    <w:p w:rsidR="00DD74F5" w:rsidRDefault="00DD74F5" w:rsidP="00BC0CC9">
      <w:pPr>
        <w:ind w:left="-1134"/>
        <w:jc w:val="both"/>
        <w:rPr>
          <w:rFonts w:ascii="Open Sans Light" w:hAnsi="Open Sans Light"/>
          <w:color w:val="404040" w:themeColor="text1" w:themeTint="BF"/>
          <w:lang w:val="es-ES"/>
        </w:rPr>
      </w:pPr>
    </w:p>
    <w:p w:rsidR="00405F66" w:rsidRPr="00405F66" w:rsidRDefault="00405F66" w:rsidP="00405F66">
      <w:pPr>
        <w:ind w:left="-1134"/>
        <w:jc w:val="both"/>
        <w:rPr>
          <w:rFonts w:ascii="Open Sans Light" w:hAnsi="Open Sans Light"/>
          <w:color w:val="404040" w:themeColor="text1" w:themeTint="BF"/>
          <w:lang w:val="es-ES"/>
        </w:rPr>
      </w:pPr>
    </w:p>
    <w:p w:rsidR="00405F66" w:rsidRDefault="00405F66" w:rsidP="00405F66">
      <w:pPr>
        <w:ind w:left="-1134"/>
        <w:jc w:val="both"/>
        <w:rPr>
          <w:rFonts w:ascii="Open Sans Light" w:hAnsi="Open Sans Light"/>
          <w:color w:val="404040" w:themeColor="text1" w:themeTint="BF"/>
          <w:lang w:val="es-ES"/>
        </w:rPr>
      </w:pPr>
      <w:r w:rsidRPr="00405F66">
        <w:rPr>
          <w:rFonts w:ascii="Open Sans Light" w:hAnsi="Open Sans Light"/>
          <w:color w:val="404040" w:themeColor="text1" w:themeTint="BF"/>
          <w:lang w:val="es-ES"/>
        </w:rPr>
        <w:t>En el otro extremo, dos comunidades descienden el precio del alquiler en el primer trimestre. Los descensos van desde el -0,6% de Asturias al -1,2% de Aragón.</w:t>
      </w:r>
    </w:p>
    <w:p w:rsidR="00405F66" w:rsidRDefault="00405F66" w:rsidP="00BC0CC9">
      <w:pPr>
        <w:ind w:left="-1134"/>
        <w:jc w:val="both"/>
        <w:rPr>
          <w:rFonts w:ascii="Open Sans Light" w:hAnsi="Open Sans Light"/>
          <w:color w:val="404040" w:themeColor="text1" w:themeTint="BF"/>
          <w:lang w:val="es-ES"/>
        </w:rPr>
      </w:pPr>
    </w:p>
    <w:p w:rsidR="00405F66" w:rsidRDefault="00405F66" w:rsidP="00BC0CC9">
      <w:pPr>
        <w:ind w:left="-1134"/>
        <w:jc w:val="both"/>
        <w:rPr>
          <w:rFonts w:ascii="Open Sans Light" w:hAnsi="Open Sans Light"/>
          <w:color w:val="404040" w:themeColor="text1" w:themeTint="BF"/>
          <w:lang w:val="es-ES"/>
        </w:rPr>
      </w:pPr>
    </w:p>
    <w:p w:rsidR="004E589B" w:rsidRDefault="004E589B" w:rsidP="00BC0CC9">
      <w:pPr>
        <w:ind w:left="-1134"/>
        <w:jc w:val="both"/>
        <w:rPr>
          <w:rFonts w:ascii="Open Sans Light" w:hAnsi="Open Sans Light"/>
          <w:color w:val="404040" w:themeColor="text1" w:themeTint="BF"/>
          <w:lang w:val="es-ES"/>
        </w:rPr>
      </w:pPr>
    </w:p>
    <w:p w:rsidR="004E589B" w:rsidRDefault="004E589B" w:rsidP="00BC0CC9">
      <w:pPr>
        <w:ind w:left="-1134"/>
        <w:jc w:val="both"/>
        <w:rPr>
          <w:rFonts w:ascii="Open Sans Light" w:hAnsi="Open Sans Light"/>
          <w:color w:val="404040" w:themeColor="text1" w:themeTint="BF"/>
          <w:lang w:val="es-ES"/>
        </w:rPr>
      </w:pPr>
    </w:p>
    <w:p w:rsidR="00405F66" w:rsidRDefault="00405F66" w:rsidP="00BC0CC9">
      <w:pPr>
        <w:ind w:left="-1134"/>
        <w:jc w:val="both"/>
        <w:rPr>
          <w:rFonts w:ascii="Open Sans Light" w:hAnsi="Open Sans Light"/>
          <w:color w:val="404040" w:themeColor="text1" w:themeTint="BF"/>
          <w:lang w:val="es-ES"/>
        </w:rPr>
      </w:pPr>
    </w:p>
    <w:p w:rsidR="00405F66" w:rsidRDefault="00405F66" w:rsidP="00BC0CC9">
      <w:pPr>
        <w:ind w:left="-1134"/>
        <w:jc w:val="both"/>
        <w:rPr>
          <w:rFonts w:ascii="Open Sans Light" w:hAnsi="Open Sans Light"/>
          <w:color w:val="404040" w:themeColor="text1" w:themeTint="BF"/>
          <w:lang w:val="es-ES"/>
        </w:rPr>
      </w:pPr>
    </w:p>
    <w:p w:rsidR="00405F66" w:rsidRDefault="00405F66" w:rsidP="00405F66">
      <w:pPr>
        <w:ind w:left="-1134"/>
        <w:rPr>
          <w:rFonts w:ascii="Open Sans" w:hAnsi="Open Sans"/>
          <w:color w:val="00AAAB"/>
          <w:lang w:val="es-ES"/>
        </w:rPr>
      </w:pPr>
      <w:r>
        <w:rPr>
          <w:rFonts w:ascii="Open Sans" w:hAnsi="Open Sans"/>
          <w:color w:val="00AAAB"/>
          <w:lang w:val="es-ES"/>
        </w:rPr>
        <w:lastRenderedPageBreak/>
        <w:t xml:space="preserve">                     Descensos</w:t>
      </w:r>
      <w:r w:rsidRPr="00405F66">
        <w:rPr>
          <w:rFonts w:ascii="Open Sans" w:hAnsi="Open Sans"/>
          <w:color w:val="00AAAB"/>
          <w:lang w:val="es-ES"/>
        </w:rPr>
        <w:t xml:space="preserve"> por CC.AA. en el primer trimestre</w:t>
      </w:r>
    </w:p>
    <w:p w:rsidR="00405F66" w:rsidRDefault="00405F66" w:rsidP="00BC0CC9">
      <w:pPr>
        <w:ind w:left="-1134"/>
        <w:jc w:val="both"/>
        <w:rPr>
          <w:rFonts w:ascii="Open Sans Light" w:hAnsi="Open Sans Light"/>
          <w:color w:val="404040" w:themeColor="text1" w:themeTint="BF"/>
          <w:lang w:val="es-ES"/>
        </w:rPr>
      </w:pPr>
    </w:p>
    <w:tbl>
      <w:tblPr>
        <w:tblStyle w:val="Tabladecuadrcula5oscura-nfasis11"/>
        <w:tblW w:w="0" w:type="auto"/>
        <w:tblLook w:val="04A0" w:firstRow="1" w:lastRow="0" w:firstColumn="1" w:lastColumn="0" w:noHBand="0" w:noVBand="1"/>
      </w:tblPr>
      <w:tblGrid>
        <w:gridCol w:w="2552"/>
        <w:gridCol w:w="3260"/>
      </w:tblGrid>
      <w:tr w:rsidR="00405F66" w:rsidRPr="00201404" w:rsidTr="007318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405F66" w:rsidRPr="00201404" w:rsidRDefault="00405F66" w:rsidP="00731826">
            <w:pPr>
              <w:rPr>
                <w:rFonts w:ascii="Open Sans Light" w:hAnsi="Open Sans Light"/>
                <w:lang w:val="es-ES"/>
              </w:rPr>
            </w:pPr>
            <w:r>
              <w:rPr>
                <w:rFonts w:ascii="Open Sans Light" w:hAnsi="Open Sans Light"/>
                <w:lang w:val="es-ES"/>
              </w:rPr>
              <w:t>CC.AA.</w:t>
            </w:r>
          </w:p>
        </w:tc>
        <w:tc>
          <w:tcPr>
            <w:tcW w:w="3260" w:type="dxa"/>
          </w:tcPr>
          <w:p w:rsidR="00405F66" w:rsidRPr="00201404" w:rsidRDefault="00405F66" w:rsidP="00731826">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lang w:val="es-ES"/>
              </w:rPr>
            </w:pPr>
            <w:r w:rsidRPr="00201404">
              <w:rPr>
                <w:rFonts w:ascii="Open Sans Light" w:hAnsi="Open Sans Light"/>
                <w:lang w:val="es-ES"/>
              </w:rPr>
              <w:t>Marzo 2017</w:t>
            </w:r>
          </w:p>
          <w:p w:rsidR="00405F66" w:rsidRPr="00201404" w:rsidRDefault="00405F66" w:rsidP="00731826">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lang w:val="es-ES"/>
              </w:rPr>
            </w:pPr>
            <w:r w:rsidRPr="00201404">
              <w:rPr>
                <w:rFonts w:ascii="Open Sans Light" w:hAnsi="Open Sans Light"/>
                <w:lang w:val="es-ES"/>
              </w:rPr>
              <w:t>(€/m</w:t>
            </w:r>
            <w:r w:rsidRPr="00201404">
              <w:rPr>
                <w:rFonts w:ascii="Open Sans Light" w:hAnsi="Open Sans Light" w:cs="Open Sans Light"/>
                <w:lang w:val="es-ES"/>
              </w:rPr>
              <w:t>²</w:t>
            </w:r>
            <w:r w:rsidRPr="00201404">
              <w:rPr>
                <w:rFonts w:ascii="Open Sans Light" w:hAnsi="Open Sans Light"/>
                <w:lang w:val="es-ES"/>
              </w:rPr>
              <w:t>)</w:t>
            </w:r>
          </w:p>
        </w:tc>
      </w:tr>
      <w:tr w:rsidR="004E589B" w:rsidRPr="00201404" w:rsidTr="00762F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bottom"/>
          </w:tcPr>
          <w:p w:rsidR="004E589B" w:rsidRPr="004E589B" w:rsidRDefault="004E589B" w:rsidP="004E589B">
            <w:pPr>
              <w:rPr>
                <w:rFonts w:ascii="Calibri" w:hAnsi="Calibri"/>
                <w:b w:val="0"/>
                <w:bCs w:val="0"/>
              </w:rPr>
            </w:pPr>
            <w:r w:rsidRPr="004E589B">
              <w:rPr>
                <w:rFonts w:ascii="Calibri" w:hAnsi="Calibri"/>
                <w:b w:val="0"/>
                <w:bCs w:val="0"/>
              </w:rPr>
              <w:t>Asturias</w:t>
            </w:r>
          </w:p>
        </w:tc>
        <w:tc>
          <w:tcPr>
            <w:tcW w:w="3260" w:type="dxa"/>
            <w:vAlign w:val="bottom"/>
          </w:tcPr>
          <w:p w:rsidR="004E589B" w:rsidRPr="004E589B" w:rsidRDefault="004E589B" w:rsidP="004E589B">
            <w:pPr>
              <w:jc w:val="center"/>
              <w:cnfStyle w:val="000000100000" w:firstRow="0" w:lastRow="0" w:firstColumn="0" w:lastColumn="0" w:oddVBand="0" w:evenVBand="0" w:oddHBand="1" w:evenHBand="0" w:firstRowFirstColumn="0" w:firstRowLastColumn="0" w:lastRowFirstColumn="0" w:lastRowLastColumn="0"/>
              <w:rPr>
                <w:rFonts w:ascii="Calibri" w:hAnsi="Calibri"/>
                <w:color w:val="FF0000"/>
              </w:rPr>
            </w:pPr>
            <w:r w:rsidRPr="004E589B">
              <w:rPr>
                <w:rFonts w:ascii="Calibri" w:hAnsi="Calibri"/>
                <w:color w:val="FF0000"/>
              </w:rPr>
              <w:t>-0,6 %</w:t>
            </w:r>
          </w:p>
        </w:tc>
      </w:tr>
      <w:tr w:rsidR="004E589B" w:rsidRPr="00201404" w:rsidTr="00762F50">
        <w:tc>
          <w:tcPr>
            <w:cnfStyle w:val="001000000000" w:firstRow="0" w:lastRow="0" w:firstColumn="1" w:lastColumn="0" w:oddVBand="0" w:evenVBand="0" w:oddHBand="0" w:evenHBand="0" w:firstRowFirstColumn="0" w:firstRowLastColumn="0" w:lastRowFirstColumn="0" w:lastRowLastColumn="0"/>
            <w:tcW w:w="2552" w:type="dxa"/>
            <w:vAlign w:val="bottom"/>
          </w:tcPr>
          <w:p w:rsidR="004E589B" w:rsidRPr="004E589B" w:rsidRDefault="004E589B" w:rsidP="004E589B">
            <w:pPr>
              <w:rPr>
                <w:rFonts w:ascii="Calibri" w:hAnsi="Calibri"/>
                <w:b w:val="0"/>
                <w:bCs w:val="0"/>
              </w:rPr>
            </w:pPr>
            <w:r w:rsidRPr="004E589B">
              <w:rPr>
                <w:rFonts w:ascii="Calibri" w:hAnsi="Calibri"/>
                <w:b w:val="0"/>
                <w:bCs w:val="0"/>
              </w:rPr>
              <w:t>Aragón</w:t>
            </w:r>
          </w:p>
        </w:tc>
        <w:tc>
          <w:tcPr>
            <w:tcW w:w="3260" w:type="dxa"/>
            <w:vAlign w:val="bottom"/>
          </w:tcPr>
          <w:p w:rsidR="004E589B" w:rsidRPr="004E589B" w:rsidRDefault="004E589B" w:rsidP="004E589B">
            <w:pPr>
              <w:jc w:val="center"/>
              <w:cnfStyle w:val="000000000000" w:firstRow="0" w:lastRow="0" w:firstColumn="0" w:lastColumn="0" w:oddVBand="0" w:evenVBand="0" w:oddHBand="0" w:evenHBand="0" w:firstRowFirstColumn="0" w:firstRowLastColumn="0" w:lastRowFirstColumn="0" w:lastRowLastColumn="0"/>
              <w:rPr>
                <w:rFonts w:ascii="Calibri" w:hAnsi="Calibri"/>
                <w:color w:val="FF0000"/>
              </w:rPr>
            </w:pPr>
            <w:r w:rsidRPr="004E589B">
              <w:rPr>
                <w:rFonts w:ascii="Calibri" w:hAnsi="Calibri"/>
                <w:color w:val="FF0000"/>
              </w:rPr>
              <w:t>-1,2 %</w:t>
            </w:r>
          </w:p>
        </w:tc>
      </w:tr>
    </w:tbl>
    <w:p w:rsidR="00405F66" w:rsidRDefault="00405F66" w:rsidP="00BC0CC9">
      <w:pPr>
        <w:ind w:left="-1134"/>
        <w:jc w:val="both"/>
        <w:rPr>
          <w:rFonts w:ascii="Open Sans Light" w:hAnsi="Open Sans Light"/>
          <w:color w:val="404040" w:themeColor="text1" w:themeTint="BF"/>
          <w:lang w:val="es-ES"/>
        </w:rPr>
      </w:pPr>
    </w:p>
    <w:p w:rsidR="00405F66" w:rsidRDefault="00405F66" w:rsidP="00BC0CC9">
      <w:pPr>
        <w:ind w:left="-1134"/>
        <w:jc w:val="both"/>
        <w:rPr>
          <w:rFonts w:ascii="Open Sans Light" w:hAnsi="Open Sans Light"/>
          <w:color w:val="404040" w:themeColor="text1" w:themeTint="BF"/>
          <w:lang w:val="es-ES"/>
        </w:rPr>
      </w:pPr>
    </w:p>
    <w:p w:rsidR="00405F66" w:rsidRDefault="00405F66" w:rsidP="00BC0CC9">
      <w:pPr>
        <w:ind w:left="-1134"/>
        <w:jc w:val="both"/>
        <w:rPr>
          <w:rFonts w:ascii="Open Sans Light" w:hAnsi="Open Sans Light"/>
          <w:color w:val="404040" w:themeColor="text1" w:themeTint="BF"/>
          <w:lang w:val="es-ES"/>
        </w:rPr>
      </w:pPr>
      <w:r w:rsidRPr="00405F66">
        <w:rPr>
          <w:rFonts w:ascii="Open Sans Light" w:hAnsi="Open Sans Light"/>
          <w:color w:val="404040" w:themeColor="text1" w:themeTint="BF"/>
          <w:lang w:val="es-ES"/>
        </w:rPr>
        <w:t>En cuanto al ranking de precios, por primera vez en los últimos años Cataluña es la comunidad más cara para alquilar una vivienda. En concreto el precio en Cataluña se sitúa en marzo en 11,85 €/m2 al mes, seguido de Madrid (11,22 €/m2 al mes) y País Vasco (10,58 €/m2 al mes). En el lado opuesto, Extremadura (4,62 €/m2 al mes) y Castilla-La Mancha (4,77 €/m2 al mes) son las dos comunidades con los precios de la vivienda en alquiler más asequibles.</w:t>
      </w:r>
    </w:p>
    <w:p w:rsidR="00405F66" w:rsidRDefault="00405F66" w:rsidP="00BC0CC9">
      <w:pPr>
        <w:ind w:left="-1134"/>
        <w:jc w:val="both"/>
        <w:rPr>
          <w:rFonts w:ascii="Open Sans Light" w:hAnsi="Open Sans Light"/>
          <w:color w:val="404040" w:themeColor="text1" w:themeTint="BF"/>
          <w:lang w:val="es-ES"/>
        </w:rPr>
      </w:pPr>
    </w:p>
    <w:p w:rsidR="00405F66" w:rsidRDefault="00405F66" w:rsidP="00BC0CC9">
      <w:pPr>
        <w:ind w:left="-1134"/>
        <w:jc w:val="both"/>
        <w:rPr>
          <w:rFonts w:ascii="Open Sans Light" w:hAnsi="Open Sans Light"/>
          <w:color w:val="404040" w:themeColor="text1" w:themeTint="BF"/>
          <w:lang w:val="es-ES"/>
        </w:rPr>
      </w:pPr>
    </w:p>
    <w:p w:rsidR="00FD62C7" w:rsidRDefault="00405F66" w:rsidP="00FD62C7">
      <w:pPr>
        <w:ind w:left="-1134"/>
        <w:jc w:val="both"/>
        <w:rPr>
          <w:rFonts w:ascii="Open Sans" w:hAnsi="Open Sans"/>
          <w:color w:val="00AAAB"/>
          <w:lang w:val="es-ES"/>
        </w:rPr>
      </w:pPr>
      <w:r w:rsidRPr="00405F66">
        <w:rPr>
          <w:rFonts w:ascii="Open Sans" w:hAnsi="Open Sans"/>
          <w:color w:val="00AAAB"/>
          <w:lang w:val="es-ES"/>
        </w:rPr>
        <w:t>Ranking del precio medio de la vivienda en alquiler más caro por CC.AA.</w:t>
      </w:r>
    </w:p>
    <w:p w:rsidR="00405F66" w:rsidRDefault="00405F66" w:rsidP="00FD62C7">
      <w:pPr>
        <w:ind w:left="-1134"/>
        <w:jc w:val="both"/>
        <w:rPr>
          <w:rFonts w:ascii="Open Sans" w:hAnsi="Open Sans"/>
          <w:color w:val="00AAAB"/>
          <w:lang w:val="es-ES"/>
        </w:rPr>
      </w:pPr>
    </w:p>
    <w:p w:rsidR="00405F66" w:rsidRPr="00201404" w:rsidRDefault="00405F66" w:rsidP="00FD62C7">
      <w:pPr>
        <w:ind w:left="-1134"/>
        <w:jc w:val="both"/>
        <w:rPr>
          <w:rFonts w:ascii="Open Sans Light" w:hAnsi="Open Sans Light"/>
          <w:color w:val="404040" w:themeColor="text1" w:themeTint="BF"/>
          <w:lang w:val="es-ES"/>
        </w:rPr>
      </w:pPr>
      <w:r>
        <w:rPr>
          <w:noProof/>
          <w:lang w:val="es-ES" w:eastAsia="es-ES" w:bidi="ks-Deva"/>
        </w:rPr>
        <w:drawing>
          <wp:inline distT="0" distB="0" distL="0" distR="0" wp14:anchorId="0FE0C237" wp14:editId="349F1D3E">
            <wp:extent cx="5562600" cy="2238375"/>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05F66" w:rsidRDefault="00405F66" w:rsidP="00FD62C7">
      <w:pPr>
        <w:ind w:left="-1134"/>
        <w:jc w:val="both"/>
        <w:rPr>
          <w:rFonts w:ascii="Open Sans Light" w:hAnsi="Open Sans Light"/>
          <w:lang w:val="es-ES"/>
        </w:rPr>
      </w:pPr>
    </w:p>
    <w:p w:rsidR="00405F66" w:rsidRDefault="00405F66" w:rsidP="00FD62C7">
      <w:pPr>
        <w:ind w:left="-1134"/>
        <w:jc w:val="both"/>
        <w:rPr>
          <w:rFonts w:ascii="Open Sans Light" w:hAnsi="Open Sans Light"/>
          <w:lang w:val="es-ES"/>
        </w:rPr>
      </w:pPr>
    </w:p>
    <w:p w:rsidR="00405F66" w:rsidRPr="00405F66" w:rsidRDefault="00405F66" w:rsidP="00405F66">
      <w:pPr>
        <w:ind w:left="-1134"/>
        <w:jc w:val="both"/>
        <w:rPr>
          <w:rFonts w:ascii="Open Sans Light" w:hAnsi="Open Sans Light"/>
          <w:lang w:val="es-ES"/>
        </w:rPr>
      </w:pPr>
      <w:r w:rsidRPr="00405F66">
        <w:rPr>
          <w:rFonts w:ascii="Open Sans Light" w:hAnsi="Open Sans Light"/>
          <w:lang w:val="es-ES"/>
        </w:rPr>
        <w:t xml:space="preserve">Respecto a la evolución por provincias, 36 de ellas registran aumentos del precio del alquiler respecto al mes de diciembre de 2016, con incrementos que van del 8,6% en Guadalajara al 0,2% de Alicante. Por el contrario, el precio del alquiler baja en 14 provincias con retrocesos que van desde el -0,2% de Toledo al -3,6% de Ávila. </w:t>
      </w:r>
    </w:p>
    <w:p w:rsidR="00405F66" w:rsidRPr="00405F66" w:rsidRDefault="00405F66" w:rsidP="00405F66">
      <w:pPr>
        <w:ind w:left="-1134"/>
        <w:jc w:val="both"/>
        <w:rPr>
          <w:rFonts w:ascii="Open Sans Light" w:hAnsi="Open Sans Light"/>
          <w:lang w:val="es-ES"/>
        </w:rPr>
      </w:pPr>
    </w:p>
    <w:p w:rsidR="00405F66" w:rsidRPr="00405F66" w:rsidRDefault="00405F66" w:rsidP="00405F66">
      <w:pPr>
        <w:ind w:left="-1134"/>
        <w:jc w:val="both"/>
        <w:rPr>
          <w:rFonts w:ascii="Open Sans Light" w:hAnsi="Open Sans Light"/>
          <w:lang w:val="es-ES"/>
        </w:rPr>
      </w:pPr>
      <w:r w:rsidRPr="00405F66">
        <w:rPr>
          <w:rFonts w:ascii="Open Sans Light" w:hAnsi="Open Sans Light"/>
          <w:lang w:val="es-ES"/>
        </w:rPr>
        <w:t xml:space="preserve">Del total de los 232 municipios de España analizados por </w:t>
      </w:r>
      <w:proofErr w:type="spellStart"/>
      <w:r w:rsidRPr="00405F66">
        <w:rPr>
          <w:rFonts w:ascii="Open Sans Light" w:hAnsi="Open Sans Light"/>
          <w:lang w:val="es-ES"/>
        </w:rPr>
        <w:t>fotocasa</w:t>
      </w:r>
      <w:proofErr w:type="spellEnd"/>
      <w:r w:rsidRPr="00405F66">
        <w:rPr>
          <w:rFonts w:ascii="Open Sans Light" w:hAnsi="Open Sans Light"/>
          <w:lang w:val="es-ES"/>
        </w:rPr>
        <w:t xml:space="preserve">, en 137 el precio del alquiler sube en el primer trimestre. En 79 municipios se registran descensos en el precio y en 16 localidades los precios permanecen estables. </w:t>
      </w:r>
    </w:p>
    <w:p w:rsidR="00405F66" w:rsidRPr="00405F66" w:rsidRDefault="00405F66" w:rsidP="00405F66">
      <w:pPr>
        <w:ind w:left="-1134"/>
        <w:jc w:val="both"/>
        <w:rPr>
          <w:rFonts w:ascii="Open Sans Light" w:hAnsi="Open Sans Light"/>
          <w:lang w:val="es-ES"/>
        </w:rPr>
      </w:pPr>
    </w:p>
    <w:p w:rsidR="00405F66" w:rsidRPr="00405F66" w:rsidRDefault="00405F66" w:rsidP="00405F66">
      <w:pPr>
        <w:ind w:left="-1134"/>
        <w:jc w:val="both"/>
        <w:rPr>
          <w:rFonts w:ascii="Open Sans Light" w:hAnsi="Open Sans Light"/>
          <w:lang w:val="es-ES"/>
        </w:rPr>
      </w:pPr>
      <w:r w:rsidRPr="00405F66">
        <w:rPr>
          <w:rFonts w:ascii="Open Sans Light" w:hAnsi="Open Sans Light"/>
          <w:lang w:val="es-ES"/>
        </w:rPr>
        <w:lastRenderedPageBreak/>
        <w:t xml:space="preserve">La localidad con el precio de alquiler más elevado es Barcelona, con 15,15 €/m2 al mes, seguido de </w:t>
      </w:r>
      <w:proofErr w:type="spellStart"/>
      <w:r w:rsidRPr="00405F66">
        <w:rPr>
          <w:rFonts w:ascii="Open Sans Light" w:hAnsi="Open Sans Light"/>
          <w:lang w:val="es-ES"/>
        </w:rPr>
        <w:t>Eivissa</w:t>
      </w:r>
      <w:proofErr w:type="spellEnd"/>
      <w:r w:rsidRPr="00405F66">
        <w:rPr>
          <w:rFonts w:ascii="Open Sans Light" w:hAnsi="Open Sans Light"/>
          <w:lang w:val="es-ES"/>
        </w:rPr>
        <w:t xml:space="preserve"> (14,60 €/m2 al mes), </w:t>
      </w:r>
      <w:proofErr w:type="spellStart"/>
      <w:r w:rsidRPr="00405F66">
        <w:rPr>
          <w:rFonts w:ascii="Open Sans Light" w:hAnsi="Open Sans Light"/>
          <w:lang w:val="es-ES"/>
        </w:rPr>
        <w:t>Sant</w:t>
      </w:r>
      <w:proofErr w:type="spellEnd"/>
      <w:r w:rsidRPr="00405F66">
        <w:rPr>
          <w:rFonts w:ascii="Open Sans Light" w:hAnsi="Open Sans Light"/>
          <w:lang w:val="es-ES"/>
        </w:rPr>
        <w:t xml:space="preserve"> </w:t>
      </w:r>
      <w:proofErr w:type="spellStart"/>
      <w:r w:rsidRPr="00405F66">
        <w:rPr>
          <w:rFonts w:ascii="Open Sans Light" w:hAnsi="Open Sans Light"/>
          <w:lang w:val="es-ES"/>
        </w:rPr>
        <w:t>Cugat</w:t>
      </w:r>
      <w:proofErr w:type="spellEnd"/>
      <w:r w:rsidRPr="00405F66">
        <w:rPr>
          <w:rFonts w:ascii="Open Sans Light" w:hAnsi="Open Sans Light"/>
          <w:lang w:val="es-ES"/>
        </w:rPr>
        <w:t xml:space="preserve"> del </w:t>
      </w:r>
      <w:proofErr w:type="spellStart"/>
      <w:r w:rsidRPr="00405F66">
        <w:rPr>
          <w:rFonts w:ascii="Open Sans Light" w:hAnsi="Open Sans Light"/>
          <w:lang w:val="es-ES"/>
        </w:rPr>
        <w:t>Vallès</w:t>
      </w:r>
      <w:proofErr w:type="spellEnd"/>
      <w:r w:rsidRPr="00405F66">
        <w:rPr>
          <w:rFonts w:ascii="Open Sans Light" w:hAnsi="Open Sans Light"/>
          <w:lang w:val="es-ES"/>
        </w:rPr>
        <w:t xml:space="preserve"> (13,41 €/m2 al mes), Sitges (12,85 €/m2 al mes) y </w:t>
      </w:r>
      <w:proofErr w:type="spellStart"/>
      <w:r w:rsidRPr="00405F66">
        <w:rPr>
          <w:rFonts w:ascii="Open Sans Light" w:hAnsi="Open Sans Light"/>
          <w:lang w:val="es-ES"/>
        </w:rPr>
        <w:t>Castelldefels</w:t>
      </w:r>
      <w:proofErr w:type="spellEnd"/>
      <w:r w:rsidRPr="00405F66">
        <w:rPr>
          <w:rFonts w:ascii="Open Sans Light" w:hAnsi="Open Sans Light"/>
          <w:lang w:val="es-ES"/>
        </w:rPr>
        <w:t xml:space="preserve"> (12,85 €/m2 al mes).</w:t>
      </w:r>
    </w:p>
    <w:p w:rsidR="00405F66" w:rsidRPr="00405F66" w:rsidRDefault="00405F66" w:rsidP="00405F66">
      <w:pPr>
        <w:jc w:val="both"/>
        <w:rPr>
          <w:rFonts w:ascii="Open Sans Light" w:hAnsi="Open Sans Light"/>
          <w:lang w:val="es-ES"/>
        </w:rPr>
      </w:pPr>
    </w:p>
    <w:p w:rsidR="00405F66" w:rsidRPr="00405F66" w:rsidRDefault="00405F66" w:rsidP="00405F66">
      <w:pPr>
        <w:ind w:left="-1134"/>
        <w:jc w:val="both"/>
        <w:rPr>
          <w:rFonts w:ascii="Open Sans" w:hAnsi="Open Sans"/>
          <w:color w:val="00AAAB"/>
          <w:lang w:val="es-ES"/>
        </w:rPr>
      </w:pPr>
      <w:r w:rsidRPr="00405F66">
        <w:rPr>
          <w:rFonts w:ascii="Open Sans" w:hAnsi="Open Sans"/>
          <w:color w:val="00AAAB"/>
          <w:lang w:val="es-ES"/>
        </w:rPr>
        <w:t>El precio sube en 16 distritos de Madrid y en seis de Barcelona</w:t>
      </w:r>
    </w:p>
    <w:p w:rsidR="00405F66" w:rsidRPr="00405F66" w:rsidRDefault="00405F66" w:rsidP="00405F66">
      <w:pPr>
        <w:ind w:left="-1134"/>
        <w:jc w:val="both"/>
        <w:rPr>
          <w:rFonts w:ascii="Open Sans Light" w:hAnsi="Open Sans Light"/>
          <w:lang w:val="es-ES"/>
        </w:rPr>
      </w:pPr>
    </w:p>
    <w:p w:rsidR="00405F66" w:rsidRPr="00405F66" w:rsidRDefault="00405F66" w:rsidP="00405F66">
      <w:pPr>
        <w:ind w:left="-1134"/>
        <w:jc w:val="both"/>
        <w:rPr>
          <w:rFonts w:ascii="Open Sans Light" w:hAnsi="Open Sans Light"/>
          <w:lang w:val="es-ES"/>
        </w:rPr>
      </w:pPr>
      <w:r w:rsidRPr="00405F66">
        <w:rPr>
          <w:rFonts w:ascii="Open Sans Light" w:hAnsi="Open Sans Light"/>
          <w:lang w:val="es-ES"/>
        </w:rPr>
        <w:t xml:space="preserve">El Índice Inmobiliario de </w:t>
      </w:r>
      <w:proofErr w:type="spellStart"/>
      <w:r w:rsidRPr="00405F66">
        <w:rPr>
          <w:rFonts w:ascii="Open Sans Light" w:hAnsi="Open Sans Light"/>
          <w:lang w:val="es-ES"/>
        </w:rPr>
        <w:t>fotocasa</w:t>
      </w:r>
      <w:proofErr w:type="spellEnd"/>
      <w:r w:rsidRPr="00405F66">
        <w:rPr>
          <w:rFonts w:ascii="Open Sans Light" w:hAnsi="Open Sans Light"/>
          <w:lang w:val="es-ES"/>
        </w:rPr>
        <w:t xml:space="preserve"> analiza el precio del alquiler por distritos de Madrid y Barcelona. Llama la atención que en Madrid, de los 21 distritos, el precio sube en 16 de ellos y en Barcelona el precio se incrementa en el primer trimestre en seis de los 10 distritos de la ciudad condal. </w:t>
      </w:r>
    </w:p>
    <w:p w:rsidR="00405F66" w:rsidRPr="00405F66" w:rsidRDefault="00405F66" w:rsidP="00405F66">
      <w:pPr>
        <w:ind w:left="-1134"/>
        <w:jc w:val="both"/>
        <w:rPr>
          <w:rFonts w:ascii="Open Sans Light" w:hAnsi="Open Sans Light"/>
          <w:lang w:val="es-ES"/>
        </w:rPr>
      </w:pPr>
    </w:p>
    <w:p w:rsidR="00405F66" w:rsidRPr="00405F66" w:rsidRDefault="00405F66" w:rsidP="00405F66">
      <w:pPr>
        <w:ind w:left="-1134"/>
        <w:jc w:val="both"/>
        <w:rPr>
          <w:rFonts w:ascii="Open Sans Light" w:hAnsi="Open Sans Light"/>
          <w:lang w:val="es-ES"/>
        </w:rPr>
      </w:pPr>
      <w:r w:rsidRPr="00405F66">
        <w:rPr>
          <w:rFonts w:ascii="Open Sans Light" w:hAnsi="Open Sans Light"/>
          <w:lang w:val="es-ES"/>
        </w:rPr>
        <w:t xml:space="preserve">En la ciudad de Madrid, 16 de los 21 distritos analizados por </w:t>
      </w:r>
      <w:proofErr w:type="spellStart"/>
      <w:r w:rsidRPr="00405F66">
        <w:rPr>
          <w:rFonts w:ascii="Open Sans Light" w:hAnsi="Open Sans Light"/>
          <w:lang w:val="es-ES"/>
        </w:rPr>
        <w:t>fotocasa</w:t>
      </w:r>
      <w:proofErr w:type="spellEnd"/>
      <w:r w:rsidRPr="00405F66">
        <w:rPr>
          <w:rFonts w:ascii="Open Sans Light" w:hAnsi="Open Sans Light"/>
          <w:lang w:val="es-ES"/>
        </w:rPr>
        <w:t xml:space="preserve"> incrementan el precio del alquiler en el primer trimestre del año. El mayor ascenso se da en Retiro, con una subida del 5,0%. Le sigue </w:t>
      </w:r>
      <w:proofErr w:type="spellStart"/>
      <w:r w:rsidRPr="00405F66">
        <w:rPr>
          <w:rFonts w:ascii="Open Sans Light" w:hAnsi="Open Sans Light"/>
          <w:lang w:val="es-ES"/>
        </w:rPr>
        <w:t>Chamartin</w:t>
      </w:r>
      <w:proofErr w:type="spellEnd"/>
      <w:r w:rsidRPr="00405F66">
        <w:rPr>
          <w:rFonts w:ascii="Open Sans Light" w:hAnsi="Open Sans Light"/>
          <w:lang w:val="es-ES"/>
        </w:rPr>
        <w:t xml:space="preserve">, con una subida de un 4,4%, </w:t>
      </w:r>
      <w:proofErr w:type="spellStart"/>
      <w:r w:rsidRPr="00405F66">
        <w:rPr>
          <w:rFonts w:ascii="Open Sans Light" w:hAnsi="Open Sans Light"/>
          <w:lang w:val="es-ES"/>
        </w:rPr>
        <w:t>Arganzuela</w:t>
      </w:r>
      <w:proofErr w:type="spellEnd"/>
      <w:r w:rsidRPr="00405F66">
        <w:rPr>
          <w:rFonts w:ascii="Open Sans Light" w:hAnsi="Open Sans Light"/>
          <w:lang w:val="es-ES"/>
        </w:rPr>
        <w:t xml:space="preserve"> (4,3%) y Moncloa (4,1%).</w:t>
      </w:r>
    </w:p>
    <w:p w:rsidR="00405F66" w:rsidRPr="00405F66" w:rsidRDefault="00405F66" w:rsidP="00405F66">
      <w:pPr>
        <w:ind w:left="-1134"/>
        <w:jc w:val="both"/>
        <w:rPr>
          <w:rFonts w:ascii="Open Sans Light" w:hAnsi="Open Sans Light"/>
          <w:lang w:val="es-ES"/>
        </w:rPr>
      </w:pPr>
    </w:p>
    <w:p w:rsidR="00405F66" w:rsidRPr="00405F66" w:rsidRDefault="00405F66" w:rsidP="00405F66">
      <w:pPr>
        <w:ind w:left="-1134"/>
        <w:jc w:val="both"/>
        <w:rPr>
          <w:rFonts w:ascii="Open Sans Light" w:hAnsi="Open Sans Light"/>
          <w:lang w:val="es-ES"/>
        </w:rPr>
      </w:pPr>
      <w:r w:rsidRPr="00405F66">
        <w:rPr>
          <w:rFonts w:ascii="Open Sans Light" w:hAnsi="Open Sans Light"/>
          <w:lang w:val="es-ES"/>
        </w:rPr>
        <w:t xml:space="preserve">A nivel trimestral, los barrios de la ciudad de Madrid que han sufrido un mayor descenso en el precio son zona Centro, con una caída de un -3,4%, y </w:t>
      </w:r>
      <w:proofErr w:type="spellStart"/>
      <w:r w:rsidRPr="00405F66">
        <w:rPr>
          <w:rFonts w:ascii="Open Sans Light" w:hAnsi="Open Sans Light"/>
          <w:lang w:val="es-ES"/>
        </w:rPr>
        <w:t>Vicálvaro</w:t>
      </w:r>
      <w:proofErr w:type="spellEnd"/>
      <w:r w:rsidRPr="00405F66">
        <w:rPr>
          <w:rFonts w:ascii="Open Sans Light" w:hAnsi="Open Sans Light"/>
          <w:lang w:val="es-ES"/>
        </w:rPr>
        <w:t xml:space="preserve"> con un -2,7%.</w:t>
      </w:r>
    </w:p>
    <w:p w:rsidR="00405F66" w:rsidRPr="00405F66" w:rsidRDefault="00405F66" w:rsidP="00405F66">
      <w:pPr>
        <w:ind w:left="-1134"/>
        <w:jc w:val="both"/>
        <w:rPr>
          <w:rFonts w:ascii="Open Sans Light" w:hAnsi="Open Sans Light"/>
          <w:lang w:val="es-ES"/>
        </w:rPr>
      </w:pPr>
    </w:p>
    <w:p w:rsidR="00405F66" w:rsidRPr="00405F66" w:rsidRDefault="00405F66" w:rsidP="00405F66">
      <w:pPr>
        <w:ind w:left="-1134"/>
        <w:jc w:val="both"/>
        <w:rPr>
          <w:rFonts w:ascii="Open Sans Light" w:hAnsi="Open Sans Light"/>
          <w:lang w:val="es-ES"/>
        </w:rPr>
      </w:pPr>
      <w:r w:rsidRPr="00405F66">
        <w:rPr>
          <w:rFonts w:ascii="Open Sans Light" w:hAnsi="Open Sans Light"/>
          <w:lang w:val="es-ES"/>
        </w:rPr>
        <w:t xml:space="preserve">De los diez distritos de la ciudad condal, el precio del alquiler sube en seis de ellos. El barrio de Les </w:t>
      </w:r>
      <w:proofErr w:type="spellStart"/>
      <w:r w:rsidRPr="00405F66">
        <w:rPr>
          <w:rFonts w:ascii="Open Sans Light" w:hAnsi="Open Sans Light"/>
          <w:lang w:val="es-ES"/>
        </w:rPr>
        <w:t>Corts</w:t>
      </w:r>
      <w:proofErr w:type="spellEnd"/>
      <w:r w:rsidRPr="00405F66">
        <w:rPr>
          <w:rFonts w:ascii="Open Sans Light" w:hAnsi="Open Sans Light"/>
          <w:lang w:val="es-ES"/>
        </w:rPr>
        <w:t xml:space="preserve"> es el que registra la mayor subida de precios en el primer trimestre, concretamente un 6,3% y sitúa el precio medio en 15,21 €/m2 al mes. En el lado opuesto, el distrito barcelonés de </w:t>
      </w:r>
      <w:proofErr w:type="spellStart"/>
      <w:r w:rsidRPr="00405F66">
        <w:rPr>
          <w:rFonts w:ascii="Open Sans Light" w:hAnsi="Open Sans Light"/>
          <w:lang w:val="es-ES"/>
        </w:rPr>
        <w:t>Ciutat</w:t>
      </w:r>
      <w:proofErr w:type="spellEnd"/>
      <w:r w:rsidRPr="00405F66">
        <w:rPr>
          <w:rFonts w:ascii="Open Sans Light" w:hAnsi="Open Sans Light"/>
          <w:lang w:val="es-ES"/>
        </w:rPr>
        <w:t xml:space="preserve"> Vella es el que más desciende en el primer trimestre y lo hace un -4,6% y sitúa el precio en 16,57 €/m2 al mes. </w:t>
      </w:r>
    </w:p>
    <w:p w:rsidR="00405F66" w:rsidRPr="00405F66" w:rsidRDefault="00405F66" w:rsidP="00405F66">
      <w:pPr>
        <w:ind w:left="-1134"/>
        <w:jc w:val="both"/>
        <w:rPr>
          <w:rFonts w:ascii="Open Sans Light" w:hAnsi="Open Sans Light"/>
          <w:lang w:val="es-ES"/>
        </w:rPr>
      </w:pPr>
    </w:p>
    <w:p w:rsidR="00405F66" w:rsidRDefault="00405F66" w:rsidP="00405F66">
      <w:pPr>
        <w:ind w:left="-1134"/>
        <w:jc w:val="both"/>
        <w:rPr>
          <w:rFonts w:ascii="Open Sans Light" w:hAnsi="Open Sans Light"/>
          <w:lang w:val="es-ES"/>
        </w:rPr>
      </w:pPr>
      <w:r w:rsidRPr="00405F66">
        <w:rPr>
          <w:rFonts w:ascii="Open Sans Light" w:hAnsi="Open Sans Light"/>
          <w:lang w:val="es-ES"/>
        </w:rPr>
        <w:t xml:space="preserve">En cuanto a los barrios barceloneses con el precio de la vivienda más alto en marzo, </w:t>
      </w:r>
      <w:proofErr w:type="spellStart"/>
      <w:r w:rsidRPr="00405F66">
        <w:rPr>
          <w:rFonts w:ascii="Open Sans Light" w:hAnsi="Open Sans Light"/>
          <w:lang w:val="es-ES"/>
        </w:rPr>
        <w:t>Ciutat</w:t>
      </w:r>
      <w:proofErr w:type="spellEnd"/>
      <w:r w:rsidRPr="00405F66">
        <w:rPr>
          <w:rFonts w:ascii="Open Sans Light" w:hAnsi="Open Sans Light"/>
          <w:lang w:val="es-ES"/>
        </w:rPr>
        <w:t xml:space="preserve"> Vella lidera el ranking de la ciudad como el distrito más caro para alquilar una vivienda. El precio medio de la vivienda de segunda mano en marzo en este distrito es de 16,57 €/m2 al mes. Por otro lado, el distrito de </w:t>
      </w:r>
      <w:proofErr w:type="spellStart"/>
      <w:r w:rsidRPr="00405F66">
        <w:rPr>
          <w:rFonts w:ascii="Open Sans Light" w:hAnsi="Open Sans Light"/>
          <w:lang w:val="es-ES"/>
        </w:rPr>
        <w:t>Nou</w:t>
      </w:r>
      <w:proofErr w:type="spellEnd"/>
      <w:r w:rsidRPr="00405F66">
        <w:rPr>
          <w:rFonts w:ascii="Open Sans Light" w:hAnsi="Open Sans Light"/>
          <w:lang w:val="es-ES"/>
        </w:rPr>
        <w:t xml:space="preserve"> </w:t>
      </w:r>
      <w:proofErr w:type="spellStart"/>
      <w:r w:rsidRPr="00405F66">
        <w:rPr>
          <w:rFonts w:ascii="Open Sans Light" w:hAnsi="Open Sans Light"/>
          <w:lang w:val="es-ES"/>
        </w:rPr>
        <w:t>Barris</w:t>
      </w:r>
      <w:proofErr w:type="spellEnd"/>
      <w:r w:rsidRPr="00405F66">
        <w:rPr>
          <w:rFonts w:ascii="Open Sans Light" w:hAnsi="Open Sans Light"/>
          <w:lang w:val="es-ES"/>
        </w:rPr>
        <w:t xml:space="preserve"> es el que registra el precio más bajo, 10,99 €/m2 al mes.</w:t>
      </w:r>
    </w:p>
    <w:p w:rsidR="00405F66" w:rsidRDefault="00405F66" w:rsidP="00FD62C7">
      <w:pPr>
        <w:ind w:left="-1134"/>
        <w:jc w:val="both"/>
        <w:rPr>
          <w:rFonts w:ascii="Open Sans Light" w:hAnsi="Open Sans Light"/>
          <w:lang w:val="es-ES"/>
        </w:rPr>
      </w:pPr>
    </w:p>
    <w:p w:rsidR="00405F66" w:rsidRPr="00201404" w:rsidRDefault="00405F66" w:rsidP="00E8753C">
      <w:pPr>
        <w:jc w:val="both"/>
        <w:rPr>
          <w:rFonts w:ascii="Open Sans Light" w:hAnsi="Open Sans Light"/>
          <w:color w:val="404040" w:themeColor="text1" w:themeTint="BF"/>
          <w:lang w:val="es-ES"/>
        </w:rPr>
      </w:pPr>
    </w:p>
    <w:p w:rsidR="00AD3BC9" w:rsidRPr="00201404" w:rsidRDefault="00AD3BC9" w:rsidP="0095197E">
      <w:pPr>
        <w:pStyle w:val="Cuerpo"/>
        <w:ind w:left="5238" w:firstLine="426"/>
        <w:jc w:val="center"/>
        <w:rPr>
          <w:rStyle w:val="Ninguno"/>
          <w:rFonts w:ascii="Open Sans Light" w:hAnsi="Open Sans Light" w:cs="Gisha"/>
          <w:b/>
          <w:color w:val="00AAAB"/>
        </w:rPr>
      </w:pPr>
      <w:bookmarkStart w:id="0" w:name="_GoBack"/>
      <w:bookmarkEnd w:id="0"/>
      <w:r w:rsidRPr="00201404">
        <w:rPr>
          <w:rStyle w:val="Ninguno"/>
          <w:rFonts w:ascii="Open Sans Light" w:hAnsi="Open Sans Light" w:cs="Gisha"/>
          <w:b/>
          <w:color w:val="00AAAB"/>
        </w:rPr>
        <w:t xml:space="preserve">Sobre </w:t>
      </w:r>
      <w:proofErr w:type="spellStart"/>
      <w:r w:rsidRPr="00201404">
        <w:rPr>
          <w:rStyle w:val="Ninguno"/>
          <w:rFonts w:ascii="Open Sans Light" w:hAnsi="Open Sans Light" w:cs="Gisha"/>
          <w:b/>
          <w:color w:val="00AAAB"/>
        </w:rPr>
        <w:t>fotocasa</w:t>
      </w:r>
      <w:proofErr w:type="spellEnd"/>
    </w:p>
    <w:p w:rsidR="00AD3BC9" w:rsidRPr="00201404" w:rsidRDefault="00AD3BC9" w:rsidP="00AD3BC9">
      <w:pPr>
        <w:pStyle w:val="Cuerpo"/>
        <w:ind w:left="-1134"/>
        <w:jc w:val="both"/>
        <w:rPr>
          <w:rFonts w:ascii="Gill Sans MT" w:eastAsia="Gisha" w:hAnsi="Gill Sans MT" w:cs="Gisha"/>
          <w:lang w:val="es-ES_tradnl"/>
        </w:rPr>
      </w:pPr>
    </w:p>
    <w:p w:rsidR="00AD3BC9" w:rsidRPr="00201404" w:rsidRDefault="00AD3BC9" w:rsidP="00AD3BC9">
      <w:pPr>
        <w:autoSpaceDE w:val="0"/>
        <w:autoSpaceDN w:val="0"/>
        <w:adjustRightInd w:val="0"/>
        <w:ind w:left="-1134"/>
        <w:jc w:val="both"/>
        <w:rPr>
          <w:rFonts w:ascii="Open Sans Light" w:hAnsi="Open Sans Light" w:cs="Gisha"/>
          <w:sz w:val="22"/>
          <w:szCs w:val="22"/>
          <w:lang w:val="es-ES"/>
        </w:rPr>
      </w:pPr>
      <w:r w:rsidRPr="00201404">
        <w:rPr>
          <w:rFonts w:ascii="Open Sans Light" w:hAnsi="Open Sans Light" w:cs="Gisha"/>
          <w:sz w:val="22"/>
          <w:szCs w:val="22"/>
          <w:lang w:val="es-ES"/>
        </w:rPr>
        <w:t xml:space="preserve">Portal inmobiliario que dispone de la mayor oferta del mercado, tanto inmuebles de segunda mano como promociones de obra nueva y alquiler. Cada mes genera un tráfico de </w:t>
      </w:r>
      <w:r w:rsidRPr="00201404">
        <w:rPr>
          <w:rFonts w:ascii="Open Sans Light" w:hAnsi="Open Sans Light" w:cs="Gisha"/>
          <w:b/>
          <w:bCs/>
          <w:sz w:val="22"/>
          <w:szCs w:val="22"/>
          <w:lang w:val="es-ES"/>
        </w:rPr>
        <w:t>19 millones de visitas al mes</w:t>
      </w:r>
      <w:r w:rsidRPr="00201404">
        <w:rPr>
          <w:rFonts w:ascii="Open Sans Light" w:hAnsi="Open Sans Light" w:cs="Gisha"/>
          <w:sz w:val="22"/>
          <w:szCs w:val="22"/>
          <w:lang w:val="es-ES"/>
        </w:rPr>
        <w:t xml:space="preserve"> (62% a través de dispositivos móviles) y </w:t>
      </w:r>
      <w:r w:rsidRPr="00201404">
        <w:rPr>
          <w:rFonts w:ascii="Open Sans Light" w:hAnsi="Open Sans Light" w:cs="Gisha"/>
          <w:b/>
          <w:bCs/>
          <w:sz w:val="22"/>
          <w:szCs w:val="22"/>
          <w:lang w:val="es-ES"/>
        </w:rPr>
        <w:t>650 millones de páginas vistas</w:t>
      </w:r>
      <w:r w:rsidRPr="00201404">
        <w:rPr>
          <w:rFonts w:ascii="Open Sans Light" w:hAnsi="Open Sans Light" w:cs="Gisha"/>
          <w:sz w:val="22"/>
          <w:szCs w:val="22"/>
          <w:lang w:val="es-ES"/>
        </w:rPr>
        <w:t xml:space="preserve"> y cada día la visitan un </w:t>
      </w:r>
      <w:r w:rsidRPr="00201404">
        <w:rPr>
          <w:rFonts w:ascii="Open Sans Light" w:hAnsi="Open Sans Light" w:cs="Gisha"/>
          <w:b/>
          <w:bCs/>
          <w:sz w:val="22"/>
          <w:szCs w:val="22"/>
          <w:lang w:val="es-ES"/>
        </w:rPr>
        <w:t>promedio de 493.000 usuarios únicos</w:t>
      </w:r>
      <w:r w:rsidRPr="00201404">
        <w:rPr>
          <w:rFonts w:ascii="Open Sans Light" w:hAnsi="Open Sans Light" w:cs="Gisha"/>
          <w:sz w:val="22"/>
          <w:szCs w:val="22"/>
          <w:lang w:val="es-ES"/>
        </w:rPr>
        <w:t xml:space="preserve">. Mensualmente elabora el </w:t>
      </w:r>
      <w:hyperlink r:id="rId14" w:history="1">
        <w:r w:rsidRPr="00201404">
          <w:rPr>
            <w:rStyle w:val="Hipervnculo"/>
            <w:rFonts w:ascii="Open Sans Light" w:hAnsi="Open Sans Light" w:cs="Gisha"/>
            <w:i/>
            <w:iCs/>
            <w:sz w:val="22"/>
            <w:szCs w:val="22"/>
            <w:lang w:val="es-ES"/>
          </w:rPr>
          <w:t xml:space="preserve">índice inmobiliario </w:t>
        </w:r>
        <w:proofErr w:type="spellStart"/>
        <w:r w:rsidRPr="00201404">
          <w:rPr>
            <w:rStyle w:val="Hipervnculo"/>
            <w:rFonts w:ascii="Open Sans Light" w:hAnsi="Open Sans Light" w:cs="Gisha"/>
            <w:i/>
            <w:iCs/>
            <w:sz w:val="22"/>
            <w:szCs w:val="22"/>
            <w:lang w:val="es-ES"/>
          </w:rPr>
          <w:t>fotocasa</w:t>
        </w:r>
        <w:proofErr w:type="spellEnd"/>
      </w:hyperlink>
      <w:r w:rsidRPr="00201404">
        <w:rPr>
          <w:rFonts w:ascii="Open Sans Light" w:hAnsi="Open Sans Light" w:cs="Gisha"/>
          <w:sz w:val="22"/>
          <w:szCs w:val="22"/>
          <w:lang w:val="es-ES"/>
        </w:rPr>
        <w:t xml:space="preserve">, un informe de referencia sobre la evolución del precio medio de la vivienda en España, tanto en venta como en alquiler. </w:t>
      </w:r>
    </w:p>
    <w:p w:rsidR="00AD3BC9" w:rsidRPr="00201404" w:rsidRDefault="00AD3BC9" w:rsidP="00AD3BC9">
      <w:pPr>
        <w:autoSpaceDE w:val="0"/>
        <w:autoSpaceDN w:val="0"/>
        <w:adjustRightInd w:val="0"/>
        <w:ind w:left="-1134"/>
        <w:jc w:val="both"/>
        <w:rPr>
          <w:rFonts w:ascii="Open Sans Light" w:hAnsi="Open Sans Light" w:cs="Gisha"/>
          <w:sz w:val="22"/>
          <w:szCs w:val="22"/>
          <w:lang w:val="es-ES"/>
        </w:rPr>
      </w:pPr>
    </w:p>
    <w:p w:rsidR="00AD3BC9" w:rsidRPr="00201404" w:rsidRDefault="004E589B" w:rsidP="00AD3BC9">
      <w:pPr>
        <w:autoSpaceDE w:val="0"/>
        <w:autoSpaceDN w:val="0"/>
        <w:adjustRightInd w:val="0"/>
        <w:ind w:left="-1134"/>
        <w:jc w:val="both"/>
        <w:rPr>
          <w:rFonts w:ascii="Open Sans Light" w:hAnsi="Open Sans Light" w:cs="Gisha"/>
          <w:sz w:val="22"/>
          <w:szCs w:val="22"/>
          <w:lang w:val="es-ES"/>
        </w:rPr>
      </w:pPr>
      <w:hyperlink r:id="rId15" w:history="1">
        <w:proofErr w:type="spellStart"/>
        <w:r w:rsidR="00AD3BC9" w:rsidRPr="00201404">
          <w:rPr>
            <w:rStyle w:val="Hipervnculo"/>
            <w:rFonts w:ascii="Open Sans Light" w:hAnsi="Open Sans Light" w:cs="Gisha"/>
            <w:sz w:val="22"/>
            <w:szCs w:val="22"/>
            <w:lang w:val="es-ES"/>
          </w:rPr>
          <w:t>Fotocasa</w:t>
        </w:r>
        <w:proofErr w:type="spellEnd"/>
      </w:hyperlink>
      <w:r w:rsidR="00AD3BC9" w:rsidRPr="00201404">
        <w:rPr>
          <w:rFonts w:ascii="Open Sans Light" w:hAnsi="Open Sans Light" w:cs="Gisha"/>
          <w:sz w:val="22"/>
          <w:szCs w:val="22"/>
          <w:lang w:val="es-ES"/>
        </w:rPr>
        <w:t xml:space="preserve"> pertenece a </w:t>
      </w:r>
      <w:hyperlink r:id="rId16" w:history="1">
        <w:proofErr w:type="spellStart"/>
        <w:r w:rsidR="00AD3BC9" w:rsidRPr="00201404">
          <w:rPr>
            <w:rStyle w:val="Hipervnculo"/>
            <w:rFonts w:ascii="Open Sans Light" w:hAnsi="Open Sans Light" w:cs="Gisha"/>
            <w:sz w:val="22"/>
            <w:szCs w:val="22"/>
            <w:lang w:val="es-ES"/>
          </w:rPr>
          <w:t>Schibsted</w:t>
        </w:r>
        <w:proofErr w:type="spellEnd"/>
        <w:r w:rsidR="00AD3BC9" w:rsidRPr="00201404">
          <w:rPr>
            <w:rStyle w:val="Hipervnculo"/>
            <w:rFonts w:ascii="Open Sans Light" w:hAnsi="Open Sans Light" w:cs="Gisha"/>
            <w:sz w:val="22"/>
            <w:szCs w:val="22"/>
            <w:lang w:val="es-ES"/>
          </w:rPr>
          <w:t xml:space="preserve"> </w:t>
        </w:r>
        <w:proofErr w:type="spellStart"/>
        <w:r w:rsidR="00AD3BC9" w:rsidRPr="00201404">
          <w:rPr>
            <w:rStyle w:val="Hipervnculo"/>
            <w:rFonts w:ascii="Open Sans Light" w:hAnsi="Open Sans Light" w:cs="Gisha"/>
            <w:sz w:val="22"/>
            <w:szCs w:val="22"/>
            <w:lang w:val="es-ES"/>
          </w:rPr>
          <w:t>Spain</w:t>
        </w:r>
        <w:proofErr w:type="spellEnd"/>
      </w:hyperlink>
      <w:r w:rsidR="00AD3BC9" w:rsidRPr="00201404">
        <w:rPr>
          <w:rFonts w:ascii="Open Sans Light" w:hAnsi="Open Sans Light" w:cs="Gisha"/>
          <w:sz w:val="22"/>
          <w:szCs w:val="22"/>
          <w:lang w:val="es-ES"/>
        </w:rPr>
        <w:t xml:space="preserve">, la compañía de anuncios clasificados y de ofertas de empleo más grande y </w:t>
      </w:r>
      <w:proofErr w:type="gramStart"/>
      <w:r w:rsidR="00AD3BC9" w:rsidRPr="00201404">
        <w:rPr>
          <w:rFonts w:ascii="Open Sans Light" w:hAnsi="Open Sans Light" w:cs="Gisha"/>
          <w:sz w:val="22"/>
          <w:szCs w:val="22"/>
          <w:lang w:val="es-ES"/>
        </w:rPr>
        <w:t>diversificada</w:t>
      </w:r>
      <w:proofErr w:type="gramEnd"/>
      <w:r w:rsidR="00AD3BC9" w:rsidRPr="00201404">
        <w:rPr>
          <w:rFonts w:ascii="Open Sans Light" w:hAnsi="Open Sans Light" w:cs="Gisha"/>
          <w:sz w:val="22"/>
          <w:szCs w:val="22"/>
          <w:lang w:val="es-ES"/>
        </w:rPr>
        <w:t xml:space="preserve"> del país. Además de gestionar el portal inmobiliario </w:t>
      </w:r>
      <w:hyperlink r:id="rId17" w:history="1">
        <w:proofErr w:type="spellStart"/>
        <w:r w:rsidR="00AD3BC9" w:rsidRPr="00201404">
          <w:rPr>
            <w:rFonts w:ascii="Open Sans Light" w:hAnsi="Open Sans Light" w:cs="Gisha"/>
            <w:sz w:val="22"/>
            <w:szCs w:val="22"/>
            <w:lang w:val="es-ES"/>
          </w:rPr>
          <w:t>fotocasa</w:t>
        </w:r>
        <w:proofErr w:type="spellEnd"/>
      </w:hyperlink>
      <w:r w:rsidR="00AD3BC9" w:rsidRPr="00201404">
        <w:rPr>
          <w:rFonts w:ascii="Open Sans Light" w:hAnsi="Open Sans Light" w:cs="Gisha"/>
          <w:sz w:val="22"/>
          <w:szCs w:val="22"/>
          <w:lang w:val="es-ES"/>
        </w:rPr>
        <w:t xml:space="preserve">, cuenta con los siguientes portales de referencia: </w:t>
      </w:r>
      <w:hyperlink r:id="rId18" w:history="1">
        <w:proofErr w:type="spellStart"/>
        <w:r w:rsidR="00AD3BC9" w:rsidRPr="00201404">
          <w:rPr>
            <w:rStyle w:val="Hipervnculo"/>
            <w:rFonts w:ascii="Open Sans Light" w:hAnsi="Open Sans Light" w:cs="Gisha"/>
            <w:sz w:val="22"/>
            <w:szCs w:val="22"/>
            <w:lang w:val="es-ES"/>
          </w:rPr>
          <w:t>vibbo</w:t>
        </w:r>
        <w:proofErr w:type="spellEnd"/>
      </w:hyperlink>
      <w:r w:rsidR="00AD3BC9" w:rsidRPr="00201404">
        <w:rPr>
          <w:rFonts w:ascii="Open Sans Light" w:hAnsi="Open Sans Light" w:cs="Gisha"/>
          <w:sz w:val="22"/>
          <w:szCs w:val="22"/>
          <w:lang w:val="es-ES"/>
        </w:rPr>
        <w:t xml:space="preserve">, </w:t>
      </w:r>
      <w:hyperlink r:id="rId19" w:history="1">
        <w:r w:rsidR="00AD3BC9" w:rsidRPr="00201404">
          <w:rPr>
            <w:rStyle w:val="Hipervnculo"/>
            <w:rFonts w:ascii="Open Sans Light" w:hAnsi="Open Sans Light" w:cs="Gisha"/>
            <w:sz w:val="22"/>
            <w:szCs w:val="22"/>
            <w:lang w:val="es-ES"/>
          </w:rPr>
          <w:t>infojobs.net</w:t>
        </w:r>
      </w:hyperlink>
      <w:r w:rsidR="00AD3BC9" w:rsidRPr="00201404">
        <w:rPr>
          <w:rFonts w:ascii="Open Sans Light" w:hAnsi="Open Sans Light" w:cs="Gisha"/>
          <w:sz w:val="22"/>
          <w:szCs w:val="22"/>
          <w:lang w:val="es-ES"/>
        </w:rPr>
        <w:t xml:space="preserve">, </w:t>
      </w:r>
      <w:hyperlink r:id="rId20" w:history="1">
        <w:proofErr w:type="spellStart"/>
        <w:r w:rsidR="00AD3BC9" w:rsidRPr="00201404">
          <w:rPr>
            <w:rStyle w:val="Hipervnculo"/>
            <w:rFonts w:ascii="Open Sans Light" w:hAnsi="Open Sans Light" w:cs="Gisha"/>
            <w:sz w:val="22"/>
            <w:szCs w:val="22"/>
            <w:lang w:val="es-ES"/>
          </w:rPr>
          <w:t>habitaclia</w:t>
        </w:r>
        <w:proofErr w:type="spellEnd"/>
      </w:hyperlink>
      <w:r w:rsidR="00AD3BC9" w:rsidRPr="00201404">
        <w:rPr>
          <w:rFonts w:ascii="Open Sans Light" w:hAnsi="Open Sans Light" w:cs="Gisha"/>
          <w:sz w:val="22"/>
          <w:szCs w:val="22"/>
          <w:lang w:val="es-ES"/>
        </w:rPr>
        <w:t xml:space="preserve">, </w:t>
      </w:r>
      <w:hyperlink r:id="rId21" w:history="1">
        <w:r w:rsidR="00AD3BC9" w:rsidRPr="00201404">
          <w:rPr>
            <w:rStyle w:val="Hipervnculo"/>
            <w:rFonts w:ascii="Open Sans Light" w:hAnsi="Open Sans Light" w:cs="Gisha"/>
            <w:sz w:val="22"/>
            <w:szCs w:val="22"/>
            <w:lang w:val="es-ES"/>
          </w:rPr>
          <w:t>coches.net</w:t>
        </w:r>
      </w:hyperlink>
      <w:r w:rsidR="00AD3BC9" w:rsidRPr="00201404">
        <w:rPr>
          <w:rFonts w:ascii="Open Sans Light" w:hAnsi="Open Sans Light" w:cs="Gisha"/>
          <w:sz w:val="22"/>
          <w:szCs w:val="22"/>
          <w:lang w:val="es-ES"/>
        </w:rPr>
        <w:t xml:space="preserve">, </w:t>
      </w:r>
      <w:hyperlink r:id="rId22" w:history="1">
        <w:r w:rsidR="00AD3BC9" w:rsidRPr="00201404">
          <w:rPr>
            <w:rStyle w:val="Hipervnculo"/>
            <w:rFonts w:ascii="Open Sans Light" w:hAnsi="Open Sans Light" w:cs="Gisha"/>
            <w:sz w:val="22"/>
            <w:szCs w:val="22"/>
            <w:lang w:val="es-ES"/>
          </w:rPr>
          <w:t>motos.net</w:t>
        </w:r>
      </w:hyperlink>
      <w:r w:rsidR="00AD3BC9" w:rsidRPr="00201404">
        <w:rPr>
          <w:rFonts w:ascii="Open Sans Light" w:hAnsi="Open Sans Light" w:cs="Gisha"/>
          <w:sz w:val="22"/>
          <w:szCs w:val="22"/>
          <w:lang w:val="es-ES"/>
        </w:rPr>
        <w:t xml:space="preserve"> y </w:t>
      </w:r>
      <w:hyperlink r:id="rId23" w:history="1">
        <w:proofErr w:type="spellStart"/>
        <w:r w:rsidR="00AD3BC9" w:rsidRPr="00201404">
          <w:rPr>
            <w:rStyle w:val="Hipervnculo"/>
            <w:rFonts w:ascii="Open Sans Light" w:hAnsi="Open Sans Light" w:cs="Gisha"/>
            <w:sz w:val="22"/>
            <w:szCs w:val="22"/>
            <w:lang w:val="es-ES"/>
          </w:rPr>
          <w:t>milanuncios</w:t>
        </w:r>
        <w:proofErr w:type="spellEnd"/>
      </w:hyperlink>
      <w:r w:rsidR="00AD3BC9" w:rsidRPr="00201404">
        <w:rPr>
          <w:rFonts w:ascii="Open Sans Light" w:hAnsi="Open Sans Light" w:cs="Gisha"/>
          <w:sz w:val="22"/>
          <w:szCs w:val="22"/>
          <w:lang w:val="es-ES"/>
        </w:rPr>
        <w:t xml:space="preserve">. </w:t>
      </w:r>
      <w:proofErr w:type="spellStart"/>
      <w:r w:rsidR="00AD3BC9" w:rsidRPr="00201404">
        <w:rPr>
          <w:rFonts w:ascii="Open Sans Light" w:hAnsi="Open Sans Light" w:cs="Gisha"/>
          <w:sz w:val="22"/>
          <w:szCs w:val="22"/>
          <w:lang w:val="es-ES"/>
        </w:rPr>
        <w:t>Schibsted</w:t>
      </w:r>
      <w:proofErr w:type="spellEnd"/>
      <w:r w:rsidR="00AD3BC9" w:rsidRPr="00201404">
        <w:rPr>
          <w:rFonts w:ascii="Open Sans Light" w:hAnsi="Open Sans Light" w:cs="Gisha"/>
          <w:sz w:val="22"/>
          <w:szCs w:val="22"/>
          <w:lang w:val="es-ES"/>
        </w:rPr>
        <w:t xml:space="preserve"> </w:t>
      </w:r>
      <w:proofErr w:type="spellStart"/>
      <w:r w:rsidR="00AD3BC9" w:rsidRPr="00201404">
        <w:rPr>
          <w:rFonts w:ascii="Open Sans Light" w:hAnsi="Open Sans Light" w:cs="Gisha"/>
          <w:sz w:val="22"/>
          <w:szCs w:val="22"/>
          <w:lang w:val="es-ES"/>
        </w:rPr>
        <w:t>Spain</w:t>
      </w:r>
      <w:proofErr w:type="spellEnd"/>
      <w:r w:rsidR="00AD3BC9" w:rsidRPr="00201404">
        <w:rPr>
          <w:rFonts w:ascii="Open Sans Light" w:hAnsi="Open Sans Light" w:cs="Gisha"/>
          <w:sz w:val="22"/>
          <w:szCs w:val="22"/>
          <w:lang w:val="es-ES"/>
        </w:rPr>
        <w:t xml:space="preserve"> forma parte del grupo internacional de origen noruego </w:t>
      </w:r>
      <w:proofErr w:type="spellStart"/>
      <w:r w:rsidR="00AD3BC9" w:rsidRPr="00201404">
        <w:rPr>
          <w:rFonts w:ascii="Open Sans Light" w:hAnsi="Open Sans Light" w:cs="Gisha"/>
          <w:sz w:val="22"/>
          <w:szCs w:val="22"/>
          <w:lang w:val="es-ES"/>
        </w:rPr>
        <w:t>Schibsted</w:t>
      </w:r>
      <w:proofErr w:type="spellEnd"/>
      <w:r w:rsidR="00AD3BC9" w:rsidRPr="00201404">
        <w:rPr>
          <w:rFonts w:ascii="Open Sans Light" w:hAnsi="Open Sans Light" w:cs="Gisha"/>
          <w:sz w:val="22"/>
          <w:szCs w:val="22"/>
          <w:lang w:val="es-ES"/>
        </w:rPr>
        <w:t xml:space="preserve"> Media </w:t>
      </w:r>
      <w:proofErr w:type="spellStart"/>
      <w:r w:rsidR="00AD3BC9" w:rsidRPr="00201404">
        <w:rPr>
          <w:rFonts w:ascii="Open Sans Light" w:hAnsi="Open Sans Light" w:cs="Gisha"/>
          <w:sz w:val="22"/>
          <w:szCs w:val="22"/>
          <w:lang w:val="es-ES"/>
        </w:rPr>
        <w:t>Group</w:t>
      </w:r>
      <w:proofErr w:type="spellEnd"/>
      <w:r w:rsidR="00AD3BC9" w:rsidRPr="00201404">
        <w:rPr>
          <w:rFonts w:ascii="Open Sans Light" w:hAnsi="Open Sans Light" w:cs="Gisha"/>
          <w:sz w:val="22"/>
          <w:szCs w:val="22"/>
          <w:lang w:val="es-ES"/>
        </w:rPr>
        <w:t xml:space="preserve">, que está presente en más de 30 países y cuenta con 6.800 empleados. Más información en la </w:t>
      </w:r>
      <w:hyperlink r:id="rId24" w:history="1">
        <w:r w:rsidR="00AD3BC9" w:rsidRPr="00201404">
          <w:rPr>
            <w:rFonts w:ascii="Open Sans Light" w:hAnsi="Open Sans Light" w:cs="Gisha"/>
            <w:sz w:val="22"/>
            <w:szCs w:val="22"/>
            <w:lang w:val="es-ES"/>
          </w:rPr>
          <w:t xml:space="preserve">web de </w:t>
        </w:r>
        <w:proofErr w:type="spellStart"/>
        <w:r w:rsidR="00AD3BC9" w:rsidRPr="00201404">
          <w:rPr>
            <w:rFonts w:ascii="Open Sans Light" w:hAnsi="Open Sans Light" w:cs="Gisha"/>
            <w:sz w:val="22"/>
            <w:szCs w:val="22"/>
            <w:lang w:val="es-ES"/>
          </w:rPr>
          <w:t>Schibsted</w:t>
        </w:r>
        <w:proofErr w:type="spellEnd"/>
        <w:r w:rsidR="00AD3BC9" w:rsidRPr="00201404">
          <w:rPr>
            <w:rFonts w:ascii="Open Sans Light" w:hAnsi="Open Sans Light" w:cs="Gisha"/>
            <w:sz w:val="22"/>
            <w:szCs w:val="22"/>
            <w:lang w:val="es-ES"/>
          </w:rPr>
          <w:t xml:space="preserve"> Media </w:t>
        </w:r>
        <w:proofErr w:type="spellStart"/>
        <w:r w:rsidR="00AD3BC9" w:rsidRPr="00201404">
          <w:rPr>
            <w:rFonts w:ascii="Open Sans Light" w:hAnsi="Open Sans Light" w:cs="Gisha"/>
            <w:sz w:val="22"/>
            <w:szCs w:val="22"/>
            <w:lang w:val="es-ES"/>
          </w:rPr>
          <w:t>Group</w:t>
        </w:r>
        <w:proofErr w:type="spellEnd"/>
      </w:hyperlink>
      <w:r w:rsidR="00AD3BC9" w:rsidRPr="00201404">
        <w:rPr>
          <w:rFonts w:ascii="Open Sans Light" w:hAnsi="Open Sans Light" w:cs="Gisha"/>
          <w:sz w:val="22"/>
          <w:szCs w:val="22"/>
          <w:lang w:val="es-ES"/>
        </w:rPr>
        <w:t>.</w:t>
      </w:r>
    </w:p>
    <w:p w:rsidR="00AD3BC9" w:rsidRPr="00201404" w:rsidRDefault="00AD3BC9" w:rsidP="00AD3BC9">
      <w:pPr>
        <w:autoSpaceDE w:val="0"/>
        <w:autoSpaceDN w:val="0"/>
        <w:adjustRightInd w:val="0"/>
        <w:ind w:left="-1134"/>
        <w:jc w:val="both"/>
        <w:rPr>
          <w:rFonts w:ascii="Open Sans Light" w:hAnsi="Open Sans Light" w:cs="Gisha"/>
          <w:sz w:val="22"/>
          <w:szCs w:val="22"/>
          <w:lang w:val="es-ES"/>
        </w:rPr>
      </w:pPr>
    </w:p>
    <w:p w:rsidR="006F6A28" w:rsidRPr="00201404" w:rsidRDefault="006F6A28" w:rsidP="00AD3BC9">
      <w:pPr>
        <w:ind w:left="-1134"/>
        <w:jc w:val="both"/>
        <w:rPr>
          <w:rFonts w:ascii="Open Sans Light" w:hAnsi="Open Sans Light"/>
          <w:color w:val="404040" w:themeColor="text1" w:themeTint="BF"/>
          <w:lang w:val="es-ES"/>
        </w:rPr>
      </w:pPr>
    </w:p>
    <w:p w:rsidR="00AF0800" w:rsidRPr="00201404" w:rsidRDefault="00AF0800" w:rsidP="00AD3BC9">
      <w:pPr>
        <w:ind w:left="-1134"/>
        <w:jc w:val="both"/>
        <w:rPr>
          <w:rFonts w:ascii="Open Sans Light" w:hAnsi="Open Sans Light"/>
          <w:color w:val="404040" w:themeColor="text1" w:themeTint="BF"/>
          <w:lang w:val="es-ES"/>
        </w:rPr>
      </w:pPr>
    </w:p>
    <w:p w:rsidR="006F6A28" w:rsidRPr="00201404" w:rsidRDefault="006F6A28" w:rsidP="006F6A28">
      <w:pPr>
        <w:pStyle w:val="Cuerpo"/>
        <w:jc w:val="right"/>
        <w:rPr>
          <w:rStyle w:val="Ninguno"/>
          <w:rFonts w:ascii="Open Sans Light" w:hAnsi="Open Sans Light" w:cs="Gisha"/>
          <w:b/>
          <w:color w:val="00AAAB"/>
        </w:rPr>
      </w:pPr>
      <w:r w:rsidRPr="00201404">
        <w:rPr>
          <w:rStyle w:val="Ninguno"/>
          <w:rFonts w:ascii="Open Sans Light" w:hAnsi="Open Sans Light" w:cs="Gisha"/>
          <w:b/>
          <w:color w:val="00AAAB"/>
        </w:rPr>
        <w:t xml:space="preserve">Departamento de Comunicación de </w:t>
      </w:r>
      <w:proofErr w:type="spellStart"/>
      <w:r w:rsidRPr="00201404">
        <w:rPr>
          <w:rStyle w:val="Ninguno"/>
          <w:rFonts w:ascii="Open Sans Light" w:hAnsi="Open Sans Light" w:cs="Gisha"/>
          <w:b/>
          <w:color w:val="00AAAB"/>
        </w:rPr>
        <w:t>fotocasa</w:t>
      </w:r>
      <w:proofErr w:type="spellEnd"/>
    </w:p>
    <w:p w:rsidR="001E55E9" w:rsidRPr="00CE21FC" w:rsidRDefault="006F6A28" w:rsidP="006F6A28">
      <w:pPr>
        <w:autoSpaceDE w:val="0"/>
        <w:autoSpaceDN w:val="0"/>
        <w:adjustRightInd w:val="0"/>
        <w:jc w:val="right"/>
        <w:rPr>
          <w:rFonts w:ascii="Open Sans Light" w:hAnsi="Open Sans Light" w:cs="Gisha"/>
          <w:lang w:val="en-US"/>
        </w:rPr>
      </w:pPr>
      <w:r w:rsidRPr="00201404">
        <w:rPr>
          <w:rFonts w:ascii="Open Sans Light" w:hAnsi="Open Sans Light" w:cs="Gisha"/>
          <w:b/>
          <w:bCs/>
          <w:lang w:val="en-US"/>
        </w:rPr>
        <w:t>Anaïs López</w:t>
      </w:r>
      <w:r w:rsidRPr="00201404">
        <w:rPr>
          <w:rFonts w:ascii="Open Sans Light" w:eastAsia="MingLiU" w:hAnsi="Open Sans Light" w:cs="MingLiU"/>
          <w:lang w:val="en-US"/>
        </w:rPr>
        <w:br/>
      </w:r>
      <w:proofErr w:type="spellStart"/>
      <w:proofErr w:type="gramStart"/>
      <w:r w:rsidRPr="00201404">
        <w:rPr>
          <w:rFonts w:ascii="Open Sans Light" w:hAnsi="Open Sans Light" w:cs="Gisha"/>
          <w:lang w:val="en-US"/>
        </w:rPr>
        <w:t>Tlf</w:t>
      </w:r>
      <w:proofErr w:type="spellEnd"/>
      <w:r w:rsidRPr="00201404">
        <w:rPr>
          <w:rFonts w:ascii="Open Sans Light" w:hAnsi="Open Sans Light" w:cs="Gisha"/>
          <w:lang w:val="en-US"/>
        </w:rPr>
        <w:t>.:</w:t>
      </w:r>
      <w:proofErr w:type="gramEnd"/>
      <w:r w:rsidRPr="00201404">
        <w:rPr>
          <w:rFonts w:ascii="Open Sans Light" w:hAnsi="Open Sans Light" w:cs="Gisha"/>
          <w:lang w:val="en-US"/>
        </w:rPr>
        <w:t xml:space="preserve"> 93 576 56 79 </w:t>
      </w:r>
      <w:r w:rsidRPr="00201404">
        <w:rPr>
          <w:rFonts w:ascii="Open Sans Light" w:eastAsia="MingLiU" w:hAnsi="Open Sans Light" w:cs="MingLiU"/>
          <w:lang w:val="en-US"/>
        </w:rPr>
        <w:br/>
      </w:r>
      <w:proofErr w:type="spellStart"/>
      <w:r w:rsidRPr="00201404">
        <w:rPr>
          <w:rFonts w:ascii="Open Sans Light" w:hAnsi="Open Sans Light" w:cs="Gisha"/>
          <w:lang w:val="en-US"/>
        </w:rPr>
        <w:t>Móvil</w:t>
      </w:r>
      <w:proofErr w:type="spellEnd"/>
      <w:r w:rsidRPr="00201404">
        <w:rPr>
          <w:rFonts w:ascii="Open Sans Light" w:hAnsi="Open Sans Light" w:cs="Gisha"/>
          <w:lang w:val="en-US"/>
        </w:rPr>
        <w:t>: 620 66 29 26</w:t>
      </w:r>
      <w:r w:rsidRPr="00201404">
        <w:rPr>
          <w:rFonts w:ascii="Open Sans Light" w:eastAsia="MingLiU" w:hAnsi="Open Sans Light" w:cs="MingLiU"/>
          <w:lang w:val="en-US"/>
        </w:rPr>
        <w:br/>
      </w:r>
      <w:hyperlink r:id="rId25" w:history="1">
        <w:r w:rsidRPr="00201404">
          <w:rPr>
            <w:rStyle w:val="Hyperlink1"/>
            <w:rFonts w:ascii="Open Sans Light" w:hAnsi="Open Sans Light"/>
          </w:rPr>
          <w:t>comunicacion@fotocasa.es</w:t>
        </w:r>
      </w:hyperlink>
      <w:r w:rsidRPr="00201404">
        <w:rPr>
          <w:rStyle w:val="Ninguno"/>
          <w:rFonts w:ascii="Open Sans Light" w:hAnsi="Open Sans Light" w:cs="Gisha"/>
          <w:lang w:val="en-US"/>
        </w:rPr>
        <w:t xml:space="preserve"> </w:t>
      </w:r>
      <w:r w:rsidRPr="00201404">
        <w:rPr>
          <w:rStyle w:val="Ninguno"/>
          <w:rFonts w:ascii="Open Sans Light" w:hAnsi="Open Sans Light" w:cs="Gisha"/>
          <w:lang w:val="en-US"/>
        </w:rPr>
        <w:br/>
      </w:r>
      <w:hyperlink r:id="rId26" w:history="1">
        <w:r w:rsidRPr="00201404">
          <w:rPr>
            <w:rStyle w:val="Hyperlink1"/>
            <w:rFonts w:ascii="Open Sans Light" w:hAnsi="Open Sans Light"/>
          </w:rPr>
          <w:t>http://prensa.fotocasa.es</w:t>
        </w:r>
      </w:hyperlink>
      <w:r w:rsidRPr="00201404">
        <w:rPr>
          <w:rStyle w:val="Ninguno"/>
          <w:rFonts w:ascii="Open Sans Light" w:hAnsi="Open Sans Light" w:cs="Gisha"/>
          <w:lang w:val="en-US"/>
        </w:rPr>
        <w:t xml:space="preserve"> </w:t>
      </w:r>
      <w:r w:rsidRPr="00201404">
        <w:rPr>
          <w:rStyle w:val="Ninguno"/>
          <w:rFonts w:ascii="Open Sans Light" w:hAnsi="Open Sans Light" w:cs="Gisha"/>
          <w:lang w:val="en-US"/>
        </w:rPr>
        <w:br/>
        <w:t>twitter: @</w:t>
      </w:r>
      <w:proofErr w:type="spellStart"/>
      <w:r w:rsidRPr="00201404">
        <w:rPr>
          <w:rStyle w:val="Ninguno"/>
          <w:rFonts w:ascii="Open Sans Light" w:hAnsi="Open Sans Light" w:cs="Gisha"/>
          <w:lang w:val="en-US"/>
        </w:rPr>
        <w:t>fotocasa</w:t>
      </w:r>
      <w:proofErr w:type="spellEnd"/>
    </w:p>
    <w:sectPr w:rsidR="001E55E9" w:rsidRPr="00CE21FC" w:rsidSect="0052608C">
      <w:footerReference w:type="default" r:id="rId27"/>
      <w:pgSz w:w="11900" w:h="16840"/>
      <w:pgMar w:top="1417" w:right="1126" w:bottom="1417" w:left="31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27C" w:rsidRDefault="00B6627C" w:rsidP="0052608C">
      <w:r>
        <w:separator/>
      </w:r>
    </w:p>
  </w:endnote>
  <w:endnote w:type="continuationSeparator" w:id="0">
    <w:p w:rsidR="00B6627C" w:rsidRDefault="00B6627C" w:rsidP="0052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MingLiU">
    <w:altName w:val="細明體"/>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08C" w:rsidRDefault="0052608C">
    <w:pPr>
      <w:pStyle w:val="Piedepgina"/>
      <w:rPr>
        <w:lang w:val="es-ES"/>
      </w:rPr>
    </w:pPr>
  </w:p>
  <w:p w:rsidR="0052608C" w:rsidRDefault="0052608C">
    <w:pPr>
      <w:pStyle w:val="Piedepgina"/>
      <w:rPr>
        <w:lang w:val="es-ES"/>
      </w:rPr>
    </w:pPr>
  </w:p>
  <w:p w:rsidR="0052608C" w:rsidRDefault="0052608C">
    <w:pPr>
      <w:pStyle w:val="Piedepgina"/>
      <w:rPr>
        <w:lang w:val="es-ES"/>
      </w:rPr>
    </w:pPr>
  </w:p>
  <w:p w:rsidR="0052608C" w:rsidRPr="0052608C" w:rsidRDefault="0052608C">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27C" w:rsidRDefault="00B6627C" w:rsidP="0052608C">
      <w:r>
        <w:separator/>
      </w:r>
    </w:p>
  </w:footnote>
  <w:footnote w:type="continuationSeparator" w:id="0">
    <w:p w:rsidR="00B6627C" w:rsidRDefault="00B6627C" w:rsidP="005260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82FEA"/>
    <w:multiLevelType w:val="hybridMultilevel"/>
    <w:tmpl w:val="A6CC5F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9481C16"/>
    <w:multiLevelType w:val="hybridMultilevel"/>
    <w:tmpl w:val="5D8C24C2"/>
    <w:lvl w:ilvl="0" w:tplc="0C0A0001">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53C"/>
    <w:rsid w:val="00051CE3"/>
    <w:rsid w:val="001E55E9"/>
    <w:rsid w:val="00201404"/>
    <w:rsid w:val="0030499F"/>
    <w:rsid w:val="00365EE5"/>
    <w:rsid w:val="003C30FC"/>
    <w:rsid w:val="00405F66"/>
    <w:rsid w:val="0040699F"/>
    <w:rsid w:val="004E589B"/>
    <w:rsid w:val="0052608C"/>
    <w:rsid w:val="006B3404"/>
    <w:rsid w:val="006F6A28"/>
    <w:rsid w:val="00700B0C"/>
    <w:rsid w:val="00763F0F"/>
    <w:rsid w:val="00794CAF"/>
    <w:rsid w:val="007A55E0"/>
    <w:rsid w:val="007A7435"/>
    <w:rsid w:val="007A7768"/>
    <w:rsid w:val="007B60EB"/>
    <w:rsid w:val="007D466D"/>
    <w:rsid w:val="00905EAB"/>
    <w:rsid w:val="00930FDE"/>
    <w:rsid w:val="0095197E"/>
    <w:rsid w:val="00A974F3"/>
    <w:rsid w:val="00AB5432"/>
    <w:rsid w:val="00AD3BC9"/>
    <w:rsid w:val="00AD62DD"/>
    <w:rsid w:val="00AF0800"/>
    <w:rsid w:val="00B408A9"/>
    <w:rsid w:val="00B41C6D"/>
    <w:rsid w:val="00B6627C"/>
    <w:rsid w:val="00BA1ECD"/>
    <w:rsid w:val="00BC0CC9"/>
    <w:rsid w:val="00BE2674"/>
    <w:rsid w:val="00C521E4"/>
    <w:rsid w:val="00C9258D"/>
    <w:rsid w:val="00CE21FC"/>
    <w:rsid w:val="00D55A42"/>
    <w:rsid w:val="00DC2D13"/>
    <w:rsid w:val="00DD5A0B"/>
    <w:rsid w:val="00DD74F5"/>
    <w:rsid w:val="00E8753C"/>
    <w:rsid w:val="00EB7C25"/>
    <w:rsid w:val="00FD62C7"/>
    <w:rsid w:val="00FE735D"/>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954FC1-8AB5-4684-97E0-97A370899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4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608C"/>
    <w:pPr>
      <w:tabs>
        <w:tab w:val="center" w:pos="4252"/>
        <w:tab w:val="right" w:pos="8504"/>
      </w:tabs>
    </w:pPr>
  </w:style>
  <w:style w:type="character" w:customStyle="1" w:styleId="EncabezadoCar">
    <w:name w:val="Encabezado Car"/>
    <w:basedOn w:val="Fuentedeprrafopredeter"/>
    <w:link w:val="Encabezado"/>
    <w:uiPriority w:val="99"/>
    <w:rsid w:val="0052608C"/>
  </w:style>
  <w:style w:type="paragraph" w:styleId="Piedepgina">
    <w:name w:val="footer"/>
    <w:basedOn w:val="Normal"/>
    <w:link w:val="PiedepginaCar"/>
    <w:uiPriority w:val="99"/>
    <w:unhideWhenUsed/>
    <w:rsid w:val="0052608C"/>
    <w:pPr>
      <w:tabs>
        <w:tab w:val="center" w:pos="4252"/>
        <w:tab w:val="right" w:pos="8504"/>
      </w:tabs>
    </w:pPr>
  </w:style>
  <w:style w:type="character" w:customStyle="1" w:styleId="PiedepginaCar">
    <w:name w:val="Pie de página Car"/>
    <w:basedOn w:val="Fuentedeprrafopredeter"/>
    <w:link w:val="Piedepgina"/>
    <w:uiPriority w:val="99"/>
    <w:rsid w:val="0052608C"/>
  </w:style>
  <w:style w:type="paragraph" w:styleId="Subttulo">
    <w:name w:val="Subtitle"/>
    <w:basedOn w:val="Normal"/>
    <w:next w:val="Normal"/>
    <w:link w:val="SubttuloCar"/>
    <w:uiPriority w:val="11"/>
    <w:qFormat/>
    <w:rsid w:val="001E55E9"/>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1E55E9"/>
    <w:rPr>
      <w:rFonts w:eastAsiaTheme="minorEastAsia"/>
      <w:color w:val="5A5A5A" w:themeColor="text1" w:themeTint="A5"/>
      <w:spacing w:val="15"/>
      <w:sz w:val="22"/>
      <w:szCs w:val="22"/>
    </w:rPr>
  </w:style>
  <w:style w:type="paragraph" w:customStyle="1" w:styleId="Cuerpo">
    <w:name w:val="Cuerpo"/>
    <w:rsid w:val="001E55E9"/>
    <w:rPr>
      <w:rFonts w:ascii="Times New Roman" w:eastAsia="Arial Unicode MS" w:hAnsi="Times New Roman" w:cs="Arial Unicode MS"/>
      <w:color w:val="000000"/>
      <w:u w:color="000000"/>
      <w:lang w:val="en-US"/>
    </w:rPr>
  </w:style>
  <w:style w:type="character" w:customStyle="1" w:styleId="Ninguno">
    <w:name w:val="Ninguno"/>
    <w:rsid w:val="001E55E9"/>
    <w:rPr>
      <w:lang w:val="es-ES_tradnl"/>
    </w:rPr>
  </w:style>
  <w:style w:type="character" w:customStyle="1" w:styleId="Hyperlink1">
    <w:name w:val="Hyperlink.1"/>
    <w:basedOn w:val="Fuentedeprrafopredeter"/>
    <w:rsid w:val="001E55E9"/>
    <w:rPr>
      <w:rFonts w:ascii="Gisha" w:eastAsia="Gisha" w:hAnsi="Gisha" w:cs="Gisha" w:hint="default"/>
      <w:color w:val="0000FF"/>
      <w:sz w:val="22"/>
      <w:szCs w:val="22"/>
      <w:u w:val="single" w:color="0000FF"/>
      <w:lang w:val="en-US"/>
    </w:rPr>
  </w:style>
  <w:style w:type="table" w:styleId="Tablaconcuadrcula">
    <w:name w:val="Table Grid"/>
    <w:basedOn w:val="Tablanormal"/>
    <w:uiPriority w:val="39"/>
    <w:rsid w:val="00E87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nfasis11">
    <w:name w:val="Tabla de cuadrícula 5 oscura - Énfasis 11"/>
    <w:basedOn w:val="Tablanormal"/>
    <w:uiPriority w:val="50"/>
    <w:rsid w:val="00E875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Hipervnculo">
    <w:name w:val="Hyperlink"/>
    <w:basedOn w:val="Fuentedeprrafopredeter"/>
    <w:uiPriority w:val="99"/>
    <w:unhideWhenUsed/>
    <w:rsid w:val="00BC0CC9"/>
    <w:rPr>
      <w:color w:val="0563C1" w:themeColor="hyperlink"/>
      <w:u w:val="single"/>
    </w:rPr>
  </w:style>
  <w:style w:type="paragraph" w:styleId="Prrafodelista">
    <w:name w:val="List Paragraph"/>
    <w:basedOn w:val="Normal"/>
    <w:uiPriority w:val="34"/>
    <w:qFormat/>
    <w:rsid w:val="00CE21FC"/>
    <w:pPr>
      <w:ind w:left="720"/>
      <w:contextualSpacing/>
    </w:pPr>
  </w:style>
  <w:style w:type="paragraph" w:customStyle="1" w:styleId="Texto">
    <w:name w:val="Texto"/>
    <w:basedOn w:val="Normal"/>
    <w:uiPriority w:val="99"/>
    <w:rsid w:val="00FD62C7"/>
    <w:rPr>
      <w:rFonts w:ascii="Gill Sans MT" w:eastAsia="Times New Roman" w:hAnsi="Gill Sans MT" w:cs="Arial"/>
      <w:sz w:val="22"/>
      <w:szCs w:val="22"/>
      <w:lang w:val="pt-BR" w:eastAsia="es-ES"/>
    </w:rPr>
  </w:style>
  <w:style w:type="paragraph" w:customStyle="1" w:styleId="Listavistosa-nfasis11">
    <w:name w:val="Lista vistosa - Énfasis 11"/>
    <w:basedOn w:val="Normal"/>
    <w:qFormat/>
    <w:rsid w:val="00FD62C7"/>
    <w:pPr>
      <w:ind w:left="708"/>
    </w:pPr>
    <w:rPr>
      <w:rFonts w:ascii="Times New Roman" w:eastAsia="Times New Roman" w:hAnsi="Times New Roman" w:cs="Times New Roman"/>
      <w:lang w:val="es-ES" w:eastAsia="es-ES"/>
    </w:rPr>
  </w:style>
  <w:style w:type="character" w:styleId="nfasis">
    <w:name w:val="Emphasis"/>
    <w:qFormat/>
    <w:rsid w:val="00FD62C7"/>
    <w:rPr>
      <w:i/>
      <w:iCs/>
    </w:rPr>
  </w:style>
  <w:style w:type="paragraph" w:styleId="Textodeglobo">
    <w:name w:val="Balloon Text"/>
    <w:basedOn w:val="Normal"/>
    <w:link w:val="TextodegloboCar"/>
    <w:uiPriority w:val="99"/>
    <w:semiHidden/>
    <w:unhideWhenUsed/>
    <w:rsid w:val="00930FDE"/>
    <w:rPr>
      <w:rFonts w:ascii="Tahoma" w:hAnsi="Tahoma" w:cs="Tahoma"/>
      <w:sz w:val="16"/>
      <w:szCs w:val="16"/>
    </w:rPr>
  </w:style>
  <w:style w:type="character" w:customStyle="1" w:styleId="TextodegloboCar">
    <w:name w:val="Texto de globo Car"/>
    <w:basedOn w:val="Fuentedeprrafopredeter"/>
    <w:link w:val="Textodeglobo"/>
    <w:uiPriority w:val="99"/>
    <w:semiHidden/>
    <w:rsid w:val="00930F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05050">
      <w:bodyDiv w:val="1"/>
      <w:marLeft w:val="0"/>
      <w:marRight w:val="0"/>
      <w:marTop w:val="0"/>
      <w:marBottom w:val="0"/>
      <w:divBdr>
        <w:top w:val="none" w:sz="0" w:space="0" w:color="auto"/>
        <w:left w:val="none" w:sz="0" w:space="0" w:color="auto"/>
        <w:bottom w:val="none" w:sz="0" w:space="0" w:color="auto"/>
        <w:right w:val="none" w:sz="0" w:space="0" w:color="auto"/>
      </w:divBdr>
    </w:div>
    <w:div w:id="47342039">
      <w:bodyDiv w:val="1"/>
      <w:marLeft w:val="0"/>
      <w:marRight w:val="0"/>
      <w:marTop w:val="0"/>
      <w:marBottom w:val="0"/>
      <w:divBdr>
        <w:top w:val="none" w:sz="0" w:space="0" w:color="auto"/>
        <w:left w:val="none" w:sz="0" w:space="0" w:color="auto"/>
        <w:bottom w:val="none" w:sz="0" w:space="0" w:color="auto"/>
        <w:right w:val="none" w:sz="0" w:space="0" w:color="auto"/>
      </w:divBdr>
    </w:div>
    <w:div w:id="201211343">
      <w:bodyDiv w:val="1"/>
      <w:marLeft w:val="0"/>
      <w:marRight w:val="0"/>
      <w:marTop w:val="0"/>
      <w:marBottom w:val="0"/>
      <w:divBdr>
        <w:top w:val="none" w:sz="0" w:space="0" w:color="auto"/>
        <w:left w:val="none" w:sz="0" w:space="0" w:color="auto"/>
        <w:bottom w:val="none" w:sz="0" w:space="0" w:color="auto"/>
        <w:right w:val="none" w:sz="0" w:space="0" w:color="auto"/>
      </w:divBdr>
    </w:div>
    <w:div w:id="211159634">
      <w:bodyDiv w:val="1"/>
      <w:marLeft w:val="0"/>
      <w:marRight w:val="0"/>
      <w:marTop w:val="0"/>
      <w:marBottom w:val="0"/>
      <w:divBdr>
        <w:top w:val="none" w:sz="0" w:space="0" w:color="auto"/>
        <w:left w:val="none" w:sz="0" w:space="0" w:color="auto"/>
        <w:bottom w:val="none" w:sz="0" w:space="0" w:color="auto"/>
        <w:right w:val="none" w:sz="0" w:space="0" w:color="auto"/>
      </w:divBdr>
    </w:div>
    <w:div w:id="303244485">
      <w:bodyDiv w:val="1"/>
      <w:marLeft w:val="0"/>
      <w:marRight w:val="0"/>
      <w:marTop w:val="0"/>
      <w:marBottom w:val="0"/>
      <w:divBdr>
        <w:top w:val="none" w:sz="0" w:space="0" w:color="auto"/>
        <w:left w:val="none" w:sz="0" w:space="0" w:color="auto"/>
        <w:bottom w:val="none" w:sz="0" w:space="0" w:color="auto"/>
        <w:right w:val="none" w:sz="0" w:space="0" w:color="auto"/>
      </w:divBdr>
    </w:div>
    <w:div w:id="311105690">
      <w:bodyDiv w:val="1"/>
      <w:marLeft w:val="0"/>
      <w:marRight w:val="0"/>
      <w:marTop w:val="0"/>
      <w:marBottom w:val="0"/>
      <w:divBdr>
        <w:top w:val="none" w:sz="0" w:space="0" w:color="auto"/>
        <w:left w:val="none" w:sz="0" w:space="0" w:color="auto"/>
        <w:bottom w:val="none" w:sz="0" w:space="0" w:color="auto"/>
        <w:right w:val="none" w:sz="0" w:space="0" w:color="auto"/>
      </w:divBdr>
    </w:div>
    <w:div w:id="513034406">
      <w:bodyDiv w:val="1"/>
      <w:marLeft w:val="0"/>
      <w:marRight w:val="0"/>
      <w:marTop w:val="0"/>
      <w:marBottom w:val="0"/>
      <w:divBdr>
        <w:top w:val="none" w:sz="0" w:space="0" w:color="auto"/>
        <w:left w:val="none" w:sz="0" w:space="0" w:color="auto"/>
        <w:bottom w:val="none" w:sz="0" w:space="0" w:color="auto"/>
        <w:right w:val="none" w:sz="0" w:space="0" w:color="auto"/>
      </w:divBdr>
    </w:div>
    <w:div w:id="679234081">
      <w:bodyDiv w:val="1"/>
      <w:marLeft w:val="0"/>
      <w:marRight w:val="0"/>
      <w:marTop w:val="0"/>
      <w:marBottom w:val="0"/>
      <w:divBdr>
        <w:top w:val="none" w:sz="0" w:space="0" w:color="auto"/>
        <w:left w:val="none" w:sz="0" w:space="0" w:color="auto"/>
        <w:bottom w:val="none" w:sz="0" w:space="0" w:color="auto"/>
        <w:right w:val="none" w:sz="0" w:space="0" w:color="auto"/>
      </w:divBdr>
    </w:div>
    <w:div w:id="772284480">
      <w:bodyDiv w:val="1"/>
      <w:marLeft w:val="0"/>
      <w:marRight w:val="0"/>
      <w:marTop w:val="0"/>
      <w:marBottom w:val="0"/>
      <w:divBdr>
        <w:top w:val="none" w:sz="0" w:space="0" w:color="auto"/>
        <w:left w:val="none" w:sz="0" w:space="0" w:color="auto"/>
        <w:bottom w:val="none" w:sz="0" w:space="0" w:color="auto"/>
        <w:right w:val="none" w:sz="0" w:space="0" w:color="auto"/>
      </w:divBdr>
    </w:div>
    <w:div w:id="788426677">
      <w:bodyDiv w:val="1"/>
      <w:marLeft w:val="0"/>
      <w:marRight w:val="0"/>
      <w:marTop w:val="0"/>
      <w:marBottom w:val="0"/>
      <w:divBdr>
        <w:top w:val="none" w:sz="0" w:space="0" w:color="auto"/>
        <w:left w:val="none" w:sz="0" w:space="0" w:color="auto"/>
        <w:bottom w:val="none" w:sz="0" w:space="0" w:color="auto"/>
        <w:right w:val="none" w:sz="0" w:space="0" w:color="auto"/>
      </w:divBdr>
    </w:div>
    <w:div w:id="857814615">
      <w:bodyDiv w:val="1"/>
      <w:marLeft w:val="0"/>
      <w:marRight w:val="0"/>
      <w:marTop w:val="0"/>
      <w:marBottom w:val="0"/>
      <w:divBdr>
        <w:top w:val="none" w:sz="0" w:space="0" w:color="auto"/>
        <w:left w:val="none" w:sz="0" w:space="0" w:color="auto"/>
        <w:bottom w:val="none" w:sz="0" w:space="0" w:color="auto"/>
        <w:right w:val="none" w:sz="0" w:space="0" w:color="auto"/>
      </w:divBdr>
    </w:div>
    <w:div w:id="865097280">
      <w:bodyDiv w:val="1"/>
      <w:marLeft w:val="0"/>
      <w:marRight w:val="0"/>
      <w:marTop w:val="0"/>
      <w:marBottom w:val="0"/>
      <w:divBdr>
        <w:top w:val="none" w:sz="0" w:space="0" w:color="auto"/>
        <w:left w:val="none" w:sz="0" w:space="0" w:color="auto"/>
        <w:bottom w:val="none" w:sz="0" w:space="0" w:color="auto"/>
        <w:right w:val="none" w:sz="0" w:space="0" w:color="auto"/>
      </w:divBdr>
    </w:div>
    <w:div w:id="991710841">
      <w:bodyDiv w:val="1"/>
      <w:marLeft w:val="0"/>
      <w:marRight w:val="0"/>
      <w:marTop w:val="0"/>
      <w:marBottom w:val="0"/>
      <w:divBdr>
        <w:top w:val="none" w:sz="0" w:space="0" w:color="auto"/>
        <w:left w:val="none" w:sz="0" w:space="0" w:color="auto"/>
        <w:bottom w:val="none" w:sz="0" w:space="0" w:color="auto"/>
        <w:right w:val="none" w:sz="0" w:space="0" w:color="auto"/>
      </w:divBdr>
    </w:div>
    <w:div w:id="1120608371">
      <w:bodyDiv w:val="1"/>
      <w:marLeft w:val="0"/>
      <w:marRight w:val="0"/>
      <w:marTop w:val="0"/>
      <w:marBottom w:val="0"/>
      <w:divBdr>
        <w:top w:val="none" w:sz="0" w:space="0" w:color="auto"/>
        <w:left w:val="none" w:sz="0" w:space="0" w:color="auto"/>
        <w:bottom w:val="none" w:sz="0" w:space="0" w:color="auto"/>
        <w:right w:val="none" w:sz="0" w:space="0" w:color="auto"/>
      </w:divBdr>
    </w:div>
    <w:div w:id="1128623782">
      <w:bodyDiv w:val="1"/>
      <w:marLeft w:val="0"/>
      <w:marRight w:val="0"/>
      <w:marTop w:val="0"/>
      <w:marBottom w:val="0"/>
      <w:divBdr>
        <w:top w:val="none" w:sz="0" w:space="0" w:color="auto"/>
        <w:left w:val="none" w:sz="0" w:space="0" w:color="auto"/>
        <w:bottom w:val="none" w:sz="0" w:space="0" w:color="auto"/>
        <w:right w:val="none" w:sz="0" w:space="0" w:color="auto"/>
      </w:divBdr>
    </w:div>
    <w:div w:id="1137647295">
      <w:bodyDiv w:val="1"/>
      <w:marLeft w:val="0"/>
      <w:marRight w:val="0"/>
      <w:marTop w:val="0"/>
      <w:marBottom w:val="0"/>
      <w:divBdr>
        <w:top w:val="none" w:sz="0" w:space="0" w:color="auto"/>
        <w:left w:val="none" w:sz="0" w:space="0" w:color="auto"/>
        <w:bottom w:val="none" w:sz="0" w:space="0" w:color="auto"/>
        <w:right w:val="none" w:sz="0" w:space="0" w:color="auto"/>
      </w:divBdr>
    </w:div>
    <w:div w:id="1140729445">
      <w:bodyDiv w:val="1"/>
      <w:marLeft w:val="0"/>
      <w:marRight w:val="0"/>
      <w:marTop w:val="0"/>
      <w:marBottom w:val="0"/>
      <w:divBdr>
        <w:top w:val="none" w:sz="0" w:space="0" w:color="auto"/>
        <w:left w:val="none" w:sz="0" w:space="0" w:color="auto"/>
        <w:bottom w:val="none" w:sz="0" w:space="0" w:color="auto"/>
        <w:right w:val="none" w:sz="0" w:space="0" w:color="auto"/>
      </w:divBdr>
    </w:div>
    <w:div w:id="1159269543">
      <w:bodyDiv w:val="1"/>
      <w:marLeft w:val="0"/>
      <w:marRight w:val="0"/>
      <w:marTop w:val="0"/>
      <w:marBottom w:val="0"/>
      <w:divBdr>
        <w:top w:val="none" w:sz="0" w:space="0" w:color="auto"/>
        <w:left w:val="none" w:sz="0" w:space="0" w:color="auto"/>
        <w:bottom w:val="none" w:sz="0" w:space="0" w:color="auto"/>
        <w:right w:val="none" w:sz="0" w:space="0" w:color="auto"/>
      </w:divBdr>
    </w:div>
    <w:div w:id="1200775630">
      <w:bodyDiv w:val="1"/>
      <w:marLeft w:val="0"/>
      <w:marRight w:val="0"/>
      <w:marTop w:val="0"/>
      <w:marBottom w:val="0"/>
      <w:divBdr>
        <w:top w:val="none" w:sz="0" w:space="0" w:color="auto"/>
        <w:left w:val="none" w:sz="0" w:space="0" w:color="auto"/>
        <w:bottom w:val="none" w:sz="0" w:space="0" w:color="auto"/>
        <w:right w:val="none" w:sz="0" w:space="0" w:color="auto"/>
      </w:divBdr>
    </w:div>
    <w:div w:id="1295059061">
      <w:bodyDiv w:val="1"/>
      <w:marLeft w:val="0"/>
      <w:marRight w:val="0"/>
      <w:marTop w:val="0"/>
      <w:marBottom w:val="0"/>
      <w:divBdr>
        <w:top w:val="none" w:sz="0" w:space="0" w:color="auto"/>
        <w:left w:val="none" w:sz="0" w:space="0" w:color="auto"/>
        <w:bottom w:val="none" w:sz="0" w:space="0" w:color="auto"/>
        <w:right w:val="none" w:sz="0" w:space="0" w:color="auto"/>
      </w:divBdr>
    </w:div>
    <w:div w:id="1339041262">
      <w:bodyDiv w:val="1"/>
      <w:marLeft w:val="0"/>
      <w:marRight w:val="0"/>
      <w:marTop w:val="0"/>
      <w:marBottom w:val="0"/>
      <w:divBdr>
        <w:top w:val="none" w:sz="0" w:space="0" w:color="auto"/>
        <w:left w:val="none" w:sz="0" w:space="0" w:color="auto"/>
        <w:bottom w:val="none" w:sz="0" w:space="0" w:color="auto"/>
        <w:right w:val="none" w:sz="0" w:space="0" w:color="auto"/>
      </w:divBdr>
    </w:div>
    <w:div w:id="1883517994">
      <w:bodyDiv w:val="1"/>
      <w:marLeft w:val="0"/>
      <w:marRight w:val="0"/>
      <w:marTop w:val="0"/>
      <w:marBottom w:val="0"/>
      <w:divBdr>
        <w:top w:val="none" w:sz="0" w:space="0" w:color="auto"/>
        <w:left w:val="none" w:sz="0" w:space="0" w:color="auto"/>
        <w:bottom w:val="none" w:sz="0" w:space="0" w:color="auto"/>
        <w:right w:val="none" w:sz="0" w:space="0" w:color="auto"/>
      </w:divBdr>
    </w:div>
    <w:div w:id="1938439136">
      <w:bodyDiv w:val="1"/>
      <w:marLeft w:val="0"/>
      <w:marRight w:val="0"/>
      <w:marTop w:val="0"/>
      <w:marBottom w:val="0"/>
      <w:divBdr>
        <w:top w:val="none" w:sz="0" w:space="0" w:color="auto"/>
        <w:left w:val="none" w:sz="0" w:space="0" w:color="auto"/>
        <w:bottom w:val="none" w:sz="0" w:space="0" w:color="auto"/>
        <w:right w:val="none" w:sz="0" w:space="0" w:color="auto"/>
      </w:divBdr>
    </w:div>
    <w:div w:id="1968850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hyperlink" Target="http://www.vibbo.com/" TargetMode="External"/><Relationship Id="rId26" Type="http://schemas.openxmlformats.org/officeDocument/2006/relationships/hyperlink" Target="http://prensa.fotocasa.es" TargetMode="External"/><Relationship Id="rId3" Type="http://schemas.openxmlformats.org/officeDocument/2006/relationships/styles" Target="styles.xml"/><Relationship Id="rId21" Type="http://schemas.openxmlformats.org/officeDocument/2006/relationships/hyperlink" Target="http://www.coches.net/"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www.fotocasa.es/" TargetMode="External"/><Relationship Id="rId25" Type="http://schemas.openxmlformats.org/officeDocument/2006/relationships/hyperlink" Target="mailto:comunicacion@fotocasa.es" TargetMode="External"/><Relationship Id="rId2" Type="http://schemas.openxmlformats.org/officeDocument/2006/relationships/numbering" Target="numbering.xml"/><Relationship Id="rId16" Type="http://schemas.openxmlformats.org/officeDocument/2006/relationships/hyperlink" Target="http://www.schibsted.es/" TargetMode="External"/><Relationship Id="rId20" Type="http://schemas.openxmlformats.org/officeDocument/2006/relationships/hyperlink" Target="http://www.habitaclia.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tocasa.es" TargetMode="External"/><Relationship Id="rId24" Type="http://schemas.openxmlformats.org/officeDocument/2006/relationships/hyperlink" Target="http://www.schibsted.com/en/" TargetMode="External"/><Relationship Id="rId5" Type="http://schemas.openxmlformats.org/officeDocument/2006/relationships/webSettings" Target="webSettings.xml"/><Relationship Id="rId15" Type="http://schemas.openxmlformats.org/officeDocument/2006/relationships/hyperlink" Target="http://www.fotocasa.es" TargetMode="External"/><Relationship Id="rId23" Type="http://schemas.openxmlformats.org/officeDocument/2006/relationships/hyperlink" Target="http://www.milanuncios.es/" TargetMode="External"/><Relationship Id="rId28" Type="http://schemas.openxmlformats.org/officeDocument/2006/relationships/fontTable" Target="fontTable.xml"/><Relationship Id="rId10" Type="http://schemas.openxmlformats.org/officeDocument/2006/relationships/hyperlink" Target="http://www.fotocasa.es" TargetMode="External"/><Relationship Id="rId19" Type="http://schemas.openxmlformats.org/officeDocument/2006/relationships/hyperlink" Target="https://www.infojobs.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otocasa.es/indice-inmobiliario__fotocasa.aspx" TargetMode="External"/><Relationship Id="rId22" Type="http://schemas.openxmlformats.org/officeDocument/2006/relationships/hyperlink" Target="http://motos.coches.net/"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is.lopez\Documents\Plantillas%20personalizadas%20de%20Office\nota%20de%20prensa.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fileserver01.corp.scmspain.com\prensa\Prensa%20Inmobiliaria\Fotocasa\&#205;NDICE%20INMOBILIARIO\01_&#205;NDICE%20ALQUILER\HISTORICO%20ALQUILER\GR&#193;FICA%20INFORMES%20ALQUILER%20-%20IMPORTANT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ileserver01.corp.scmspain.com\prensa\Prensa%20Inmobiliaria\Fotocasa\&#205;NDICE%20INMOBILIARIO\01_&#205;NDICE%20ALQUILER\2017\03.%20MARZO\PRENSA\Resumen_PM_Alquiler%20Prensa%20Marzo%202017.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[GRÁFICA INFORMES ALQUILER - IMPORTANTE.xlsx]1 España!Tabla dinámica2</c:name>
    <c:fmtId val="55"/>
  </c:pivotSource>
  <c:chart>
    <c:autoTitleDeleted val="1"/>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1"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pivotFmt>
      <c:pivotFmt>
        <c:idx val="2"/>
        <c:spPr>
          <a:solidFill>
            <a:schemeClr val="accent1"/>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1000" b="0" i="1"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1000" b="0" i="1"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1000" b="0" i="1"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1000" b="0" i="1"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1000" b="0" i="1"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pivotFmt>
      <c:pivotFmt>
        <c:idx val="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1"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pivotFmt>
      <c:pivotFmt>
        <c:idx val="10"/>
        <c:spPr>
          <a:solidFill>
            <a:schemeClr val="accent1"/>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1000" b="0" i="1"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1000" b="0" i="1"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1000" b="0" i="1"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1000" b="0" i="1"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1000" b="0" i="1"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5"/>
        <c:spPr>
          <a:solidFill>
            <a:schemeClr val="accent1"/>
          </a:solidFill>
          <a:ln>
            <a:noFill/>
          </a:ln>
          <a:effectLst/>
        </c:spPr>
      </c:pivotFmt>
      <c:pivotFmt>
        <c:idx val="1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1"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1"/>
          </a:solidFill>
          <a:ln>
            <a:noFill/>
          </a:ln>
          <a:effectLst/>
        </c:spPr>
      </c:pivotFmt>
      <c:pivotFmt>
        <c:idx val="18"/>
        <c:spPr>
          <a:solidFill>
            <a:schemeClr val="accent1"/>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1000" b="0" i="1"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9"/>
        <c:spPr>
          <a:solidFill>
            <a:schemeClr val="accent1"/>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1000" b="0" i="1"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20"/>
        <c:spPr>
          <a:solidFill>
            <a:schemeClr val="accent1"/>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1000" b="0" i="1"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21"/>
        <c:spPr>
          <a:solidFill>
            <a:schemeClr val="accent1"/>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1000" b="0" i="1"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22"/>
        <c:spPr>
          <a:solidFill>
            <a:schemeClr val="accent1"/>
          </a:solidFill>
          <a:ln>
            <a:noFill/>
          </a:ln>
          <a:effectLst/>
        </c:spPr>
        <c:dLbl>
          <c:idx val="0"/>
          <c:spPr>
            <a:noFill/>
            <a:ln>
              <a:noFill/>
            </a:ln>
            <a:effectLst/>
          </c:spPr>
          <c:txPr>
            <a:bodyPr rot="0" spcFirstLastPara="1" vertOverflow="ellipsis" vert="horz" wrap="square" lIns="38100" tIns="19050" rIns="38100" bIns="19050" anchor="ctr" anchorCtr="1">
              <a:spAutoFit/>
            </a:bodyPr>
            <a:lstStyle/>
            <a:p>
              <a:pPr>
                <a:defRPr sz="1000" b="0" i="1"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23"/>
        <c:spPr>
          <a:solidFill>
            <a:schemeClr val="accent1"/>
          </a:solidFill>
          <a:ln>
            <a:noFill/>
          </a:ln>
          <a:effectLst/>
        </c:spPr>
      </c:pivotFmt>
    </c:pivotFmts>
    <c:plotArea>
      <c:layout>
        <c:manualLayout>
          <c:layoutTarget val="inner"/>
          <c:xMode val="edge"/>
          <c:yMode val="edge"/>
          <c:x val="0.10112292213473315"/>
          <c:y val="5.2196010289966233E-2"/>
          <c:w val="0.85721041119860009"/>
          <c:h val="0.76309770423826251"/>
        </c:manualLayout>
      </c:layout>
      <c:barChart>
        <c:barDir val="col"/>
        <c:grouping val="clustered"/>
        <c:varyColors val="0"/>
        <c:ser>
          <c:idx val="0"/>
          <c:order val="0"/>
          <c:tx>
            <c:strRef>
              <c:f>'1 España'!$F$4</c:f>
              <c:strCache>
                <c:ptCount val="1"/>
                <c:pt idx="0">
                  <c:v>Total</c:v>
                </c:pt>
              </c:strCache>
            </c:strRef>
          </c:tx>
          <c:spPr>
            <a:solidFill>
              <a:schemeClr val="accent1"/>
            </a:solidFill>
            <a:ln>
              <a:noFill/>
            </a:ln>
            <a:effectLst/>
          </c:spPr>
          <c:invertIfNegative val="0"/>
          <c:dPt>
            <c:idx val="0"/>
            <c:invertIfNegative val="0"/>
            <c:bubble3D val="0"/>
            <c:spPr>
              <a:solidFill>
                <a:schemeClr val="accent1"/>
              </a:solidFill>
              <a:ln>
                <a:noFill/>
              </a:ln>
              <a:effectLst/>
            </c:spPr>
          </c:dPt>
          <c:dPt>
            <c:idx val="2"/>
            <c:invertIfNegative val="0"/>
            <c:bubble3D val="0"/>
            <c:spPr>
              <a:solidFill>
                <a:schemeClr val="accent1"/>
              </a:solidFill>
              <a:ln>
                <a:noFill/>
              </a:ln>
              <a:effectLst/>
            </c:spPr>
          </c:dPt>
          <c:dPt>
            <c:idx val="4"/>
            <c:invertIfNegative val="0"/>
            <c:bubble3D val="0"/>
          </c:dPt>
          <c:dPt>
            <c:idx val="7"/>
            <c:invertIfNegative val="0"/>
            <c:bubble3D val="0"/>
          </c:dPt>
          <c:dPt>
            <c:idx val="8"/>
            <c:invertIfNegative val="0"/>
            <c:bubble3D val="0"/>
          </c:dPt>
          <c:dPt>
            <c:idx val="11"/>
            <c:invertIfNegative val="0"/>
            <c:bubble3D val="0"/>
            <c:spPr>
              <a:solidFill>
                <a:schemeClr val="accent1"/>
              </a:solidFill>
              <a:ln>
                <a:noFill/>
              </a:ln>
              <a:effectLst/>
            </c:spPr>
          </c:dPt>
          <c:dPt>
            <c:idx val="17"/>
            <c:invertIfNegative val="0"/>
            <c:bubble3D val="0"/>
            <c:spPr>
              <a:solidFill>
                <a:schemeClr val="accent1"/>
              </a:solidFill>
              <a:ln>
                <a:noFill/>
              </a:ln>
              <a:effectLst/>
            </c:spPr>
          </c:dPt>
          <c:dPt>
            <c:idx val="18"/>
            <c:invertIfNegative val="0"/>
            <c:bubble3D val="0"/>
            <c:spPr>
              <a:solidFill>
                <a:schemeClr val="accent1"/>
              </a:solidFill>
              <a:ln>
                <a:noFill/>
              </a:ln>
              <a:effectLst/>
            </c:spPr>
          </c:dPt>
          <c:dPt>
            <c:idx val="30"/>
            <c:invertIfNegative val="0"/>
            <c:bubble3D val="0"/>
            <c:spPr>
              <a:solidFill>
                <a:schemeClr val="accent1"/>
              </a:solidFill>
              <a:ln>
                <a:noFill/>
              </a:ln>
              <a:effectLst/>
            </c:spPr>
          </c:dPt>
          <c:dPt>
            <c:idx val="32"/>
            <c:invertIfNegative val="0"/>
            <c:bubble3D val="0"/>
            <c:spPr>
              <a:solidFill>
                <a:schemeClr val="accent1"/>
              </a:solidFill>
              <a:ln>
                <a:noFill/>
              </a:ln>
              <a:effectLst/>
            </c:spPr>
          </c:dPt>
          <c:dLbls>
            <c:dLbl>
              <c:idx val="0"/>
              <c:layout/>
              <c:showLegendKey val="0"/>
              <c:showVal val="1"/>
              <c:showCatName val="0"/>
              <c:showSerName val="0"/>
              <c:showPercent val="0"/>
              <c:showBubbleSize val="0"/>
              <c:extLst>
                <c:ext xmlns:c15="http://schemas.microsoft.com/office/drawing/2012/chart" uri="{CE6537A1-D6FC-4f65-9D91-7224C49458BB}">
                  <c15:layout/>
                </c:ext>
              </c:extLst>
            </c:dLbl>
            <c:dLbl>
              <c:idx val="2"/>
              <c:layout/>
              <c:showLegendKey val="0"/>
              <c:showVal val="1"/>
              <c:showCatName val="0"/>
              <c:showSerName val="0"/>
              <c:showPercent val="0"/>
              <c:showBubbleSize val="0"/>
              <c:extLst>
                <c:ext xmlns:c15="http://schemas.microsoft.com/office/drawing/2012/chart" uri="{CE6537A1-D6FC-4f65-9D91-7224C49458BB}">
                  <c15:layout/>
                </c:ext>
              </c:extLst>
            </c:dLbl>
            <c:dLbl>
              <c:idx val="6"/>
              <c:layout/>
              <c:showLegendKey val="0"/>
              <c:showVal val="1"/>
              <c:showCatName val="0"/>
              <c:showSerName val="0"/>
              <c:showPercent val="0"/>
              <c:showBubbleSize val="0"/>
              <c:extLst>
                <c:ext xmlns:c15="http://schemas.microsoft.com/office/drawing/2012/chart" uri="{CE6537A1-D6FC-4f65-9D91-7224C49458BB}">
                  <c15:layout/>
                </c:ext>
              </c:extLst>
            </c:dLbl>
            <c:dLbl>
              <c:idx val="11"/>
              <c:layout/>
              <c:showLegendKey val="0"/>
              <c:showVal val="1"/>
              <c:showCatName val="0"/>
              <c:showSerName val="0"/>
              <c:showPercent val="0"/>
              <c:showBubbleSize val="0"/>
              <c:extLst>
                <c:ext xmlns:c15="http://schemas.microsoft.com/office/drawing/2012/chart" uri="{CE6537A1-D6FC-4f65-9D91-7224C49458BB}">
                  <c15:layout/>
                </c:ext>
              </c:extLst>
            </c:dLbl>
            <c:dLbl>
              <c:idx val="17"/>
              <c:layout/>
              <c:showLegendKey val="0"/>
              <c:showVal val="1"/>
              <c:showCatName val="0"/>
              <c:showSerName val="0"/>
              <c:showPercent val="0"/>
              <c:showBubbleSize val="0"/>
              <c:extLst>
                <c:ext xmlns:c15="http://schemas.microsoft.com/office/drawing/2012/chart" uri="{CE6537A1-D6FC-4f65-9D91-7224C49458BB}">
                  <c15:layout/>
                </c:ext>
              </c:extLst>
            </c:dLbl>
            <c:dLbl>
              <c:idx val="18"/>
              <c:layout/>
              <c:showLegendKey val="0"/>
              <c:showVal val="1"/>
              <c:showCatName val="0"/>
              <c:showSerName val="0"/>
              <c:showPercent val="0"/>
              <c:showBubbleSize val="0"/>
              <c:extLst>
                <c:ext xmlns:c15="http://schemas.microsoft.com/office/drawing/2012/chart" uri="{CE6537A1-D6FC-4f65-9D91-7224C49458BB}">
                  <c15:layout/>
                </c:ext>
              </c:extLst>
            </c:dLbl>
            <c:dLbl>
              <c:idx val="23"/>
              <c:layout/>
              <c:showLegendKey val="0"/>
              <c:showVal val="1"/>
              <c:showCatName val="0"/>
              <c:showSerName val="0"/>
              <c:showPercent val="0"/>
              <c:showBubbleSize val="0"/>
              <c:extLst>
                <c:ext xmlns:c15="http://schemas.microsoft.com/office/drawing/2012/chart" uri="{CE6537A1-D6FC-4f65-9D91-7224C49458BB}">
                  <c15:layout/>
                </c:ext>
              </c:extLst>
            </c:dLbl>
            <c:dLbl>
              <c:idx val="26"/>
              <c:layout/>
              <c:showLegendKey val="0"/>
              <c:showVal val="1"/>
              <c:showCatName val="0"/>
              <c:showSerName val="0"/>
              <c:showPercent val="0"/>
              <c:showBubbleSize val="0"/>
              <c:extLst>
                <c:ext xmlns:c15="http://schemas.microsoft.com/office/drawing/2012/chart" uri="{CE6537A1-D6FC-4f65-9D91-7224C49458BB}">
                  <c15:layout/>
                </c:ext>
              </c:extLst>
            </c:dLbl>
            <c:dLbl>
              <c:idx val="30"/>
              <c:layout/>
              <c:showLegendKey val="0"/>
              <c:showVal val="1"/>
              <c:showCatName val="0"/>
              <c:showSerName val="0"/>
              <c:showPercent val="0"/>
              <c:showBubbleSize val="0"/>
              <c:extLst>
                <c:ext xmlns:c15="http://schemas.microsoft.com/office/drawing/2012/chart" uri="{CE6537A1-D6FC-4f65-9D91-7224C49458BB}">
                  <c15:layout/>
                </c:ext>
              </c:extLst>
            </c:dLbl>
            <c:dLbl>
              <c:idx val="36"/>
              <c:layout/>
              <c:showLegendKey val="0"/>
              <c:showVal val="1"/>
              <c:showCatName val="0"/>
              <c:showSerName val="0"/>
              <c:showPercent val="0"/>
              <c:showBubbleSize val="0"/>
              <c:extLst>
                <c:ext xmlns:c15="http://schemas.microsoft.com/office/drawing/2012/chart" uri="{CE6537A1-D6FC-4f65-9D91-7224C49458BB}">
                  <c15:layout/>
                </c:ext>
              </c:extLst>
            </c:dLbl>
            <c:dLbl>
              <c:idx val="38"/>
              <c:layout/>
              <c:showLegendKey val="0"/>
              <c:showVal val="1"/>
              <c:showCatName val="0"/>
              <c:showSerName val="0"/>
              <c:showPercent val="0"/>
              <c:showBubbleSize val="0"/>
              <c:extLst>
                <c:ext xmlns:c15="http://schemas.microsoft.com/office/drawing/2012/chart" uri="{CE6537A1-D6FC-4f65-9D91-7224C49458BB}">
                  <c15:layout/>
                </c:ext>
              </c:extLst>
            </c:dLbl>
            <c:dLbl>
              <c:idx val="40"/>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'1 España'!$E$5:$E$56</c:f>
              <c:multiLvlStrCache>
                <c:ptCount val="41"/>
                <c:lvl>
                  <c:pt idx="0">
                    <c:v>1T</c:v>
                  </c:pt>
                  <c:pt idx="1">
                    <c:v>2T</c:v>
                  </c:pt>
                  <c:pt idx="2">
                    <c:v>3T</c:v>
                  </c:pt>
                  <c:pt idx="3">
                    <c:v>4T</c:v>
                  </c:pt>
                  <c:pt idx="4">
                    <c:v>1T</c:v>
                  </c:pt>
                  <c:pt idx="5">
                    <c:v>2T</c:v>
                  </c:pt>
                  <c:pt idx="6">
                    <c:v>3T</c:v>
                  </c:pt>
                  <c:pt idx="7">
                    <c:v>4T</c:v>
                  </c:pt>
                  <c:pt idx="8">
                    <c:v>1T</c:v>
                  </c:pt>
                  <c:pt idx="9">
                    <c:v>2T</c:v>
                  </c:pt>
                  <c:pt idx="10">
                    <c:v>3T</c:v>
                  </c:pt>
                  <c:pt idx="11">
                    <c:v>4T</c:v>
                  </c:pt>
                  <c:pt idx="12">
                    <c:v>1T</c:v>
                  </c:pt>
                  <c:pt idx="13">
                    <c:v>2T</c:v>
                  </c:pt>
                  <c:pt idx="14">
                    <c:v>3T</c:v>
                  </c:pt>
                  <c:pt idx="15">
                    <c:v>4T</c:v>
                  </c:pt>
                  <c:pt idx="16">
                    <c:v>1T</c:v>
                  </c:pt>
                  <c:pt idx="17">
                    <c:v>2T</c:v>
                  </c:pt>
                  <c:pt idx="18">
                    <c:v>3T</c:v>
                  </c:pt>
                  <c:pt idx="19">
                    <c:v>4T</c:v>
                  </c:pt>
                  <c:pt idx="20">
                    <c:v>1T</c:v>
                  </c:pt>
                  <c:pt idx="21">
                    <c:v>2T</c:v>
                  </c:pt>
                  <c:pt idx="22">
                    <c:v>3T</c:v>
                  </c:pt>
                  <c:pt idx="23">
                    <c:v>4T</c:v>
                  </c:pt>
                  <c:pt idx="24">
                    <c:v>1T</c:v>
                  </c:pt>
                  <c:pt idx="25">
                    <c:v>2T</c:v>
                  </c:pt>
                  <c:pt idx="26">
                    <c:v>3T</c:v>
                  </c:pt>
                  <c:pt idx="27">
                    <c:v>4T</c:v>
                  </c:pt>
                  <c:pt idx="28">
                    <c:v>1T</c:v>
                  </c:pt>
                  <c:pt idx="29">
                    <c:v>2T</c:v>
                  </c:pt>
                  <c:pt idx="30">
                    <c:v>3T</c:v>
                  </c:pt>
                  <c:pt idx="31">
                    <c:v>4T</c:v>
                  </c:pt>
                  <c:pt idx="32">
                    <c:v>1T</c:v>
                  </c:pt>
                  <c:pt idx="33">
                    <c:v>2T</c:v>
                  </c:pt>
                  <c:pt idx="34">
                    <c:v>3T</c:v>
                  </c:pt>
                  <c:pt idx="35">
                    <c:v>4T</c:v>
                  </c:pt>
                  <c:pt idx="36">
                    <c:v>1T</c:v>
                  </c:pt>
                  <c:pt idx="37">
                    <c:v>2T</c:v>
                  </c:pt>
                  <c:pt idx="38">
                    <c:v>3T</c:v>
                  </c:pt>
                  <c:pt idx="39">
                    <c:v>4T</c:v>
                  </c:pt>
                  <c:pt idx="40">
                    <c:v>1T</c:v>
                  </c:pt>
                </c:lvl>
                <c:lvl>
                  <c:pt idx="0">
                    <c:v>2007</c:v>
                  </c:pt>
                  <c:pt idx="4">
                    <c:v>2008</c:v>
                  </c:pt>
                  <c:pt idx="8">
                    <c:v>2009</c:v>
                  </c:pt>
                  <c:pt idx="12">
                    <c:v>2010</c:v>
                  </c:pt>
                  <c:pt idx="16">
                    <c:v>2011</c:v>
                  </c:pt>
                  <c:pt idx="20">
                    <c:v>2012</c:v>
                  </c:pt>
                  <c:pt idx="24">
                    <c:v>2013</c:v>
                  </c:pt>
                  <c:pt idx="28">
                    <c:v>2014</c:v>
                  </c:pt>
                  <c:pt idx="32">
                    <c:v>2015</c:v>
                  </c:pt>
                  <c:pt idx="36">
                    <c:v>2016</c:v>
                  </c:pt>
                  <c:pt idx="40">
                    <c:v>2017</c:v>
                  </c:pt>
                </c:lvl>
              </c:multiLvlStrCache>
            </c:multiLvlStrRef>
          </c:cat>
          <c:val>
            <c:numRef>
              <c:f>'1 España'!$F$5:$F$56</c:f>
              <c:numCache>
                <c:formatCode>0.0%</c:formatCode>
                <c:ptCount val="41"/>
                <c:pt idx="0">
                  <c:v>4.908507223113949E-2</c:v>
                </c:pt>
                <c:pt idx="1">
                  <c:v>2.7714026336995313E-2</c:v>
                </c:pt>
                <c:pt idx="2">
                  <c:v>-4.4702939833654261E-2</c:v>
                </c:pt>
                <c:pt idx="3">
                  <c:v>3.0129870129870042E-3</c:v>
                </c:pt>
                <c:pt idx="4">
                  <c:v>-4.1640770665009796E-3</c:v>
                </c:pt>
                <c:pt idx="5">
                  <c:v>-8.5814142170629274E-3</c:v>
                </c:pt>
                <c:pt idx="6">
                  <c:v>-3.9658808347234911E-2</c:v>
                </c:pt>
                <c:pt idx="7">
                  <c:v>-1.9249888018528803E-2</c:v>
                </c:pt>
                <c:pt idx="8">
                  <c:v>-2.8962582571200827E-4</c:v>
                </c:pt>
                <c:pt idx="9">
                  <c:v>-2.7856705108920111E-3</c:v>
                </c:pt>
                <c:pt idx="10">
                  <c:v>-1.2492318006592609E-2</c:v>
                </c:pt>
                <c:pt idx="11">
                  <c:v>-3.302895549747107E-2</c:v>
                </c:pt>
                <c:pt idx="12">
                  <c:v>-1.446324510285751E-2</c:v>
                </c:pt>
                <c:pt idx="13">
                  <c:v>-1.334568165087518E-2</c:v>
                </c:pt>
                <c:pt idx="14">
                  <c:v>-1.7280800981973009E-2</c:v>
                </c:pt>
                <c:pt idx="15">
                  <c:v>-1.3788543018784806E-2</c:v>
                </c:pt>
                <c:pt idx="16">
                  <c:v>-3.1029601668818834E-2</c:v>
                </c:pt>
                <c:pt idx="17">
                  <c:v>1.2981021822981428E-2</c:v>
                </c:pt>
                <c:pt idx="18">
                  <c:v>-2.9702719797596443E-2</c:v>
                </c:pt>
                <c:pt idx="19">
                  <c:v>-1.3402518839143727E-2</c:v>
                </c:pt>
                <c:pt idx="20">
                  <c:v>-2.206834579908576E-3</c:v>
                </c:pt>
                <c:pt idx="21">
                  <c:v>-7.7873574635463922E-3</c:v>
                </c:pt>
                <c:pt idx="22">
                  <c:v>-1.1011892844271875E-2</c:v>
                </c:pt>
                <c:pt idx="23">
                  <c:v>-1.7005425540529522E-2</c:v>
                </c:pt>
                <c:pt idx="24">
                  <c:v>-1.1999890161188536E-2</c:v>
                </c:pt>
                <c:pt idx="25">
                  <c:v>-1.0158421345191796E-2</c:v>
                </c:pt>
                <c:pt idx="26">
                  <c:v>-1.8391385531174007E-2</c:v>
                </c:pt>
                <c:pt idx="27">
                  <c:v>-1.2943548963801036E-2</c:v>
                </c:pt>
                <c:pt idx="28">
                  <c:v>-2.8689831048772773E-3</c:v>
                </c:pt>
                <c:pt idx="29">
                  <c:v>1.5040106951871713E-2</c:v>
                </c:pt>
                <c:pt idx="30">
                  <c:v>-3.3743253496728819E-2</c:v>
                </c:pt>
                <c:pt idx="31">
                  <c:v>2.8743295700358676E-3</c:v>
                </c:pt>
                <c:pt idx="32">
                  <c:v>2.8291573100106437E-2</c:v>
                </c:pt>
                <c:pt idx="33">
                  <c:v>1.5372900593365258E-2</c:v>
                </c:pt>
                <c:pt idx="34">
                  <c:v>-7.0465382819464694E-3</c:v>
                </c:pt>
                <c:pt idx="35">
                  <c:v>-3.7050231563949521E-4</c:v>
                </c:pt>
                <c:pt idx="36">
                  <c:v>3.1461603158990138E-2</c:v>
                </c:pt>
                <c:pt idx="37">
                  <c:v>2.4103046050085734E-2</c:v>
                </c:pt>
                <c:pt idx="38">
                  <c:v>-1.9838056680161975E-2</c:v>
                </c:pt>
                <c:pt idx="39">
                  <c:v>3.0620955528018776E-2</c:v>
                </c:pt>
                <c:pt idx="40">
                  <c:v>5.8834531220776372E-2</c:v>
                </c:pt>
              </c:numCache>
            </c:numRef>
          </c:val>
        </c:ser>
        <c:dLbls>
          <c:showLegendKey val="0"/>
          <c:showVal val="0"/>
          <c:showCatName val="0"/>
          <c:showSerName val="0"/>
          <c:showPercent val="0"/>
          <c:showBubbleSize val="0"/>
        </c:dLbls>
        <c:gapWidth val="219"/>
        <c:axId val="-1714024416"/>
        <c:axId val="-1714023872"/>
      </c:barChart>
      <c:catAx>
        <c:axId val="-171402441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714023872"/>
        <c:crosses val="autoZero"/>
        <c:auto val="1"/>
        <c:lblAlgn val="ctr"/>
        <c:lblOffset val="100"/>
        <c:noMultiLvlLbl val="0"/>
      </c:catAx>
      <c:valAx>
        <c:axId val="-1714023872"/>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714024416"/>
        <c:crosses val="autoZero"/>
        <c:crossBetween val="between"/>
        <c:majorUnit val="2.0000000000000004E-2"/>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3">
    <c:autoUpdate val="0"/>
  </c:externalData>
  <c:extLst>
    <c:ext xmlns:c14="http://schemas.microsoft.com/office/drawing/2007/8/2/chart" uri="{781A3756-C4B2-4CAC-9D66-4F8BD8637D16}">
      <c14:pivotOptions>
        <c14:dropZoneFilter val="1"/>
        <c14:dropZoneCategories val="1"/>
        <c14:dropZoneData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778915135608049"/>
          <c:y val="7.8703703703703706E-2"/>
          <c:w val="0.84165529308836395"/>
          <c:h val="0.56511592300962388"/>
        </c:manualLayout>
      </c:layout>
      <c:barChart>
        <c:barDir val="col"/>
        <c:grouping val="clustered"/>
        <c:varyColors val="0"/>
        <c:ser>
          <c:idx val="0"/>
          <c:order val="0"/>
          <c:spPr>
            <a:solidFill>
              <a:schemeClr val="accent1"/>
            </a:solidFill>
            <a:ln>
              <a:noFill/>
            </a:ln>
            <a:effectLst/>
          </c:spPr>
          <c:invertIfNegative val="0"/>
          <c:dPt>
            <c:idx val="4"/>
            <c:invertIfNegative val="0"/>
            <c:bubble3D val="0"/>
            <c:spPr>
              <a:solidFill>
                <a:srgbClr val="FF0000"/>
              </a:solidFill>
              <a:ln>
                <a:noFill/>
              </a:ln>
              <a:effectLst/>
            </c:spPr>
          </c:dPt>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CCAA!$B$26:$B$43</c:f>
              <c:strCache>
                <c:ptCount val="18"/>
                <c:pt idx="0">
                  <c:v>Cataluña</c:v>
                </c:pt>
                <c:pt idx="1">
                  <c:v>Madrid</c:v>
                </c:pt>
                <c:pt idx="2">
                  <c:v>País Vasco</c:v>
                </c:pt>
                <c:pt idx="3">
                  <c:v>Baleares</c:v>
                </c:pt>
                <c:pt idx="4">
                  <c:v>España</c:v>
                </c:pt>
                <c:pt idx="5">
                  <c:v>Navarra</c:v>
                </c:pt>
                <c:pt idx="6">
                  <c:v>Cantabria</c:v>
                </c:pt>
                <c:pt idx="7">
                  <c:v>Canarias</c:v>
                </c:pt>
                <c:pt idx="8">
                  <c:v>Aragón</c:v>
                </c:pt>
                <c:pt idx="9">
                  <c:v>Andalucía</c:v>
                </c:pt>
                <c:pt idx="10">
                  <c:v>Asturias</c:v>
                </c:pt>
                <c:pt idx="11">
                  <c:v>Castilla y León</c:v>
                </c:pt>
                <c:pt idx="12">
                  <c:v>Comunitat Valenciana</c:v>
                </c:pt>
                <c:pt idx="13">
                  <c:v>Galicia</c:v>
                </c:pt>
                <c:pt idx="14">
                  <c:v>Región de Murcia</c:v>
                </c:pt>
                <c:pt idx="15">
                  <c:v>La Rioja</c:v>
                </c:pt>
                <c:pt idx="16">
                  <c:v>Castilla-La Mancha</c:v>
                </c:pt>
                <c:pt idx="17">
                  <c:v>Extremadura</c:v>
                </c:pt>
              </c:strCache>
            </c:strRef>
          </c:cat>
          <c:val>
            <c:numRef>
              <c:f>CCAA!$C$26:$C$43</c:f>
              <c:numCache>
                <c:formatCode>_("€"* #,##0.00_);_("€"* \(#,##0.00\);_("€"* "-"??_);_(@_)</c:formatCode>
                <c:ptCount val="18"/>
                <c:pt idx="0">
                  <c:v>11.845499999999999</c:v>
                </c:pt>
                <c:pt idx="1">
                  <c:v>11.222</c:v>
                </c:pt>
                <c:pt idx="2">
                  <c:v>10.581099999999999</c:v>
                </c:pt>
                <c:pt idx="3">
                  <c:v>9.9591999999999992</c:v>
                </c:pt>
                <c:pt idx="4">
                  <c:v>7.9257999999999997</c:v>
                </c:pt>
                <c:pt idx="5">
                  <c:v>7.2224000000000004</c:v>
                </c:pt>
                <c:pt idx="6">
                  <c:v>7.0087000000000002</c:v>
                </c:pt>
                <c:pt idx="7">
                  <c:v>6.8632</c:v>
                </c:pt>
                <c:pt idx="8">
                  <c:v>6.6533999999999995</c:v>
                </c:pt>
                <c:pt idx="9">
                  <c:v>6.4420000000000002</c:v>
                </c:pt>
                <c:pt idx="10">
                  <c:v>6.2882999999999996</c:v>
                </c:pt>
                <c:pt idx="11">
                  <c:v>5.8918999999999997</c:v>
                </c:pt>
                <c:pt idx="12">
                  <c:v>5.8794000000000004</c:v>
                </c:pt>
                <c:pt idx="13">
                  <c:v>5.5289999999999999</c:v>
                </c:pt>
                <c:pt idx="14">
                  <c:v>5.3758999999999997</c:v>
                </c:pt>
                <c:pt idx="15">
                  <c:v>5.1510999999999996</c:v>
                </c:pt>
                <c:pt idx="16">
                  <c:v>4.7702</c:v>
                </c:pt>
                <c:pt idx="17">
                  <c:v>4.6185999999999998</c:v>
                </c:pt>
              </c:numCache>
            </c:numRef>
          </c:val>
        </c:ser>
        <c:dLbls>
          <c:showLegendKey val="0"/>
          <c:showVal val="0"/>
          <c:showCatName val="0"/>
          <c:showSerName val="0"/>
          <c:showPercent val="0"/>
          <c:showBubbleSize val="0"/>
        </c:dLbls>
        <c:gapWidth val="219"/>
        <c:overlap val="-27"/>
        <c:axId val="-1714022784"/>
        <c:axId val="-1769592640"/>
      </c:barChart>
      <c:catAx>
        <c:axId val="-1714022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769592640"/>
        <c:crosses val="autoZero"/>
        <c:auto val="1"/>
        <c:lblAlgn val="ctr"/>
        <c:lblOffset val="100"/>
        <c:noMultiLvlLbl val="0"/>
      </c:catAx>
      <c:valAx>
        <c:axId val="-1769592640"/>
        <c:scaling>
          <c:orientation val="minMax"/>
        </c:scaling>
        <c:delete val="0"/>
        <c:axPos val="l"/>
        <c:numFmt formatCode="_(&quot;€&quot;* #,##0.00_);_(&quot;€&quot;* \(#,##0.0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71402278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0FFEB-A389-4D04-ACAC-CFE60678B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 de prensa</Template>
  <TotalTime>206</TotalTime>
  <Pages>6</Pages>
  <Words>1372</Words>
  <Characters>7551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Anaïs López García</dc:creator>
  <cp:keywords/>
  <dc:description/>
  <cp:lastModifiedBy>Anaïs López García</cp:lastModifiedBy>
  <cp:revision>27</cp:revision>
  <dcterms:created xsi:type="dcterms:W3CDTF">2017-03-02T14:09:00Z</dcterms:created>
  <dcterms:modified xsi:type="dcterms:W3CDTF">2017-04-27T13:28:00Z</dcterms:modified>
</cp:coreProperties>
</file>