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763F0F" w:rsidP="00BC0CC9">
      <w:pPr>
        <w:ind w:left="-1134"/>
        <w:jc w:val="both"/>
        <w:rPr>
          <w:rFonts w:ascii="Open Sans" w:hAnsi="Open Sans"/>
          <w:color w:val="00AAAB"/>
          <w:sz w:val="28"/>
          <w:szCs w:val="28"/>
          <w:lang w:val="es-ES"/>
        </w:rPr>
      </w:pPr>
      <w:r>
        <w:rPr>
          <w:rFonts w:ascii="Open Sans" w:hAnsi="Open Sans"/>
          <w:color w:val="00AAAB"/>
          <w:sz w:val="28"/>
          <w:szCs w:val="28"/>
          <w:lang w:val="es-ES"/>
        </w:rPr>
        <w:t>PRIMER TRIMESTRE 2017</w:t>
      </w:r>
      <w:r w:rsidR="00E8753C">
        <w:rPr>
          <w:rFonts w:ascii="Open Sans" w:hAnsi="Open Sans"/>
          <w:color w:val="00AAAB"/>
          <w:sz w:val="28"/>
          <w:szCs w:val="28"/>
          <w:lang w:val="es-ES"/>
        </w:rPr>
        <w:t>: PRECIO DE LA VIVIENDA EN VENTA</w:t>
      </w:r>
    </w:p>
    <w:p w:rsidR="0052608C" w:rsidRDefault="0052608C" w:rsidP="00BC0CC9">
      <w:pPr>
        <w:ind w:left="-1134"/>
        <w:jc w:val="both"/>
        <w:rPr>
          <w:rFonts w:ascii="Open Sans" w:hAnsi="Open Sans"/>
          <w:color w:val="00AAAB"/>
          <w:sz w:val="28"/>
          <w:szCs w:val="28"/>
          <w:lang w:val="es-ES"/>
        </w:rPr>
      </w:pPr>
    </w:p>
    <w:p w:rsidR="00D15046" w:rsidRDefault="00D15046" w:rsidP="00BC0CC9">
      <w:pPr>
        <w:ind w:left="-1134"/>
        <w:jc w:val="both"/>
        <w:rPr>
          <w:rFonts w:ascii="Open Sans" w:hAnsi="Open Sans"/>
          <w:b/>
          <w:bCs/>
          <w:color w:val="062151"/>
          <w:sz w:val="48"/>
          <w:szCs w:val="48"/>
          <w:lang w:val="es-ES"/>
        </w:rPr>
      </w:pPr>
      <w:r w:rsidRPr="00D15046">
        <w:rPr>
          <w:rFonts w:ascii="Open Sans" w:hAnsi="Open Sans"/>
          <w:b/>
          <w:bCs/>
          <w:color w:val="062151"/>
          <w:sz w:val="48"/>
          <w:szCs w:val="48"/>
          <w:lang w:val="es-ES"/>
        </w:rPr>
        <w:t>El precio de la vivienda de segunda mano sube un 0,9% en el primer trimestre del año</w:t>
      </w:r>
    </w:p>
    <w:p w:rsidR="00D15046" w:rsidRDefault="00D15046" w:rsidP="00763F0F">
      <w:pPr>
        <w:pStyle w:val="Prrafodelista"/>
        <w:ind w:left="-851"/>
        <w:jc w:val="both"/>
        <w:rPr>
          <w:rFonts w:ascii="Open Sans Light" w:hAnsi="Open Sans Light"/>
          <w:b/>
          <w:bCs/>
          <w:color w:val="404040" w:themeColor="text1" w:themeTint="BF"/>
          <w:lang w:val="es-ES"/>
        </w:rPr>
      </w:pPr>
    </w:p>
    <w:p w:rsidR="00D15046" w:rsidRPr="00D15046" w:rsidRDefault="00D15046" w:rsidP="00D15046">
      <w:pPr>
        <w:pStyle w:val="Prrafodelista"/>
        <w:numPr>
          <w:ilvl w:val="0"/>
          <w:numId w:val="2"/>
        </w:numPr>
        <w:ind w:left="-851"/>
        <w:jc w:val="both"/>
        <w:rPr>
          <w:rFonts w:ascii="Open Sans Light" w:hAnsi="Open Sans Light"/>
          <w:b/>
          <w:bCs/>
          <w:color w:val="404040" w:themeColor="text1" w:themeTint="BF"/>
          <w:lang w:val="es-ES"/>
        </w:rPr>
      </w:pPr>
      <w:r w:rsidRPr="00D15046">
        <w:rPr>
          <w:rFonts w:ascii="Open Sans Light" w:hAnsi="Open Sans Light"/>
          <w:b/>
          <w:bCs/>
          <w:color w:val="404040" w:themeColor="text1" w:themeTint="BF"/>
          <w:lang w:val="es-ES"/>
        </w:rPr>
        <w:t>Es el incremento trimestral más acusado que se registra en un primer trimestre desde 2007</w:t>
      </w:r>
    </w:p>
    <w:p w:rsidR="00D15046" w:rsidRPr="00D15046" w:rsidRDefault="00D15046" w:rsidP="00D15046">
      <w:pPr>
        <w:pStyle w:val="Prrafodelista"/>
        <w:numPr>
          <w:ilvl w:val="0"/>
          <w:numId w:val="2"/>
        </w:numPr>
        <w:ind w:left="-851"/>
        <w:jc w:val="both"/>
        <w:rPr>
          <w:rFonts w:ascii="Open Sans Light" w:hAnsi="Open Sans Light"/>
          <w:b/>
          <w:bCs/>
          <w:color w:val="404040" w:themeColor="text1" w:themeTint="BF"/>
          <w:lang w:val="es-ES"/>
        </w:rPr>
      </w:pPr>
      <w:r w:rsidRPr="00D15046">
        <w:rPr>
          <w:rFonts w:ascii="Open Sans Light" w:hAnsi="Open Sans Light"/>
          <w:b/>
          <w:bCs/>
          <w:color w:val="404040" w:themeColor="text1" w:themeTint="BF"/>
          <w:lang w:val="es-ES"/>
        </w:rPr>
        <w:t xml:space="preserve">El precio de la vivienda se incrementa en 13 comunidades autónomas </w:t>
      </w:r>
    </w:p>
    <w:p w:rsidR="00D15046" w:rsidRDefault="00D15046" w:rsidP="00D15046">
      <w:pPr>
        <w:pStyle w:val="Prrafodelista"/>
        <w:numPr>
          <w:ilvl w:val="0"/>
          <w:numId w:val="2"/>
        </w:numPr>
        <w:ind w:left="-851"/>
        <w:jc w:val="both"/>
        <w:rPr>
          <w:rFonts w:ascii="Open Sans Light" w:hAnsi="Open Sans Light"/>
          <w:b/>
          <w:bCs/>
          <w:color w:val="404040" w:themeColor="text1" w:themeTint="BF"/>
          <w:lang w:val="es-ES"/>
        </w:rPr>
      </w:pPr>
      <w:r w:rsidRPr="00D15046">
        <w:rPr>
          <w:rFonts w:ascii="Open Sans Light" w:hAnsi="Open Sans Light"/>
          <w:b/>
          <w:bCs/>
          <w:color w:val="404040" w:themeColor="text1" w:themeTint="BF"/>
          <w:lang w:val="es-ES"/>
        </w:rPr>
        <w:t>El precio sube en 18 distritos de Madrid y en todos los de Barcelona</w:t>
      </w:r>
    </w:p>
    <w:p w:rsidR="0052608C" w:rsidRDefault="0052608C" w:rsidP="00BC0CC9">
      <w:pPr>
        <w:ind w:left="-1134"/>
        <w:jc w:val="both"/>
        <w:rPr>
          <w:rFonts w:ascii="Open Sans" w:hAnsi="Open Sans"/>
          <w:color w:val="00AAAB"/>
          <w:sz w:val="28"/>
          <w:szCs w:val="28"/>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763F0F">
        <w:rPr>
          <w:rFonts w:ascii="Open Sans Light" w:hAnsi="Open Sans Light"/>
          <w:b/>
          <w:color w:val="7F7F7F" w:themeColor="text1" w:themeTint="80"/>
          <w:lang w:val="es-ES"/>
        </w:rPr>
        <w:t>1</w:t>
      </w:r>
      <w:r w:rsidR="0030499F">
        <w:rPr>
          <w:rFonts w:ascii="Open Sans Light" w:hAnsi="Open Sans Light"/>
          <w:b/>
          <w:color w:val="7F7F7F" w:themeColor="text1" w:themeTint="80"/>
          <w:lang w:val="es-ES"/>
        </w:rPr>
        <w:t>1</w:t>
      </w:r>
      <w:r w:rsidR="00763F0F">
        <w:rPr>
          <w:rFonts w:ascii="Open Sans Light" w:hAnsi="Open Sans Light"/>
          <w:b/>
          <w:color w:val="7F7F7F" w:themeColor="text1" w:themeTint="80"/>
          <w:lang w:val="es-ES"/>
        </w:rPr>
        <w:t xml:space="preserve"> de abril</w:t>
      </w:r>
      <w:r w:rsidR="00E8753C">
        <w:rPr>
          <w:rFonts w:ascii="Open Sans Light" w:hAnsi="Open Sans Light"/>
          <w:b/>
          <w:color w:val="7F7F7F" w:themeColor="text1" w:themeTint="80"/>
          <w:lang w:val="es-ES"/>
        </w:rPr>
        <w:t xml:space="preserve"> de 2017</w:t>
      </w:r>
    </w:p>
    <w:p w:rsidR="00D15046" w:rsidRPr="00D15046" w:rsidRDefault="00D15046" w:rsidP="00D15046">
      <w:pPr>
        <w:ind w:left="-1134"/>
        <w:jc w:val="both"/>
        <w:rPr>
          <w:rFonts w:ascii="Open Sans Light" w:hAnsi="Open Sans Light"/>
          <w:color w:val="404040" w:themeColor="text1" w:themeTint="BF"/>
          <w:lang w:val="es-ES"/>
        </w:rPr>
      </w:pPr>
      <w:r w:rsidRPr="00D15046">
        <w:rPr>
          <w:rFonts w:ascii="Open Sans Light" w:hAnsi="Open Sans Light"/>
          <w:color w:val="404040" w:themeColor="text1" w:themeTint="BF"/>
          <w:lang w:val="es-ES"/>
        </w:rPr>
        <w:t xml:space="preserve">El precio de la vivienda de segunda mano en España registra una subida del 0,9% en el primer trimestre del año y sitúa el precio, a marzo de 2017, en 1.664 €/m2, según los datos del Índice Inmobiliario </w:t>
      </w:r>
      <w:hyperlink r:id="rId10" w:history="1">
        <w:proofErr w:type="spellStart"/>
        <w:r w:rsidRPr="00BC0CC9">
          <w:rPr>
            <w:rStyle w:val="Hipervnculo"/>
            <w:rFonts w:ascii="Open Sans Light" w:hAnsi="Open Sans Light"/>
            <w:b/>
            <w:bCs/>
            <w:lang w:val="es-ES"/>
          </w:rPr>
          <w:t>fotocasa</w:t>
        </w:r>
        <w:proofErr w:type="spellEnd"/>
      </w:hyperlink>
      <w:r w:rsidRPr="00D15046">
        <w:rPr>
          <w:rFonts w:ascii="Open Sans Light" w:hAnsi="Open Sans Light"/>
          <w:color w:val="404040" w:themeColor="text1" w:themeTint="BF"/>
          <w:lang w:val="es-ES"/>
        </w:rPr>
        <w:t xml:space="preserve">. Es el incremento más acusado que se registra en un primer trimestre del año desde 2007, cuando el precio se incrementó un 1,6%. </w:t>
      </w:r>
    </w:p>
    <w:p w:rsidR="00D15046" w:rsidRPr="00D15046" w:rsidRDefault="00D15046" w:rsidP="00D15046">
      <w:pPr>
        <w:ind w:left="-1134"/>
        <w:jc w:val="both"/>
        <w:rPr>
          <w:rFonts w:ascii="Open Sans Light" w:hAnsi="Open Sans Light"/>
          <w:color w:val="404040" w:themeColor="text1" w:themeTint="BF"/>
          <w:lang w:val="es-ES"/>
        </w:rPr>
      </w:pPr>
    </w:p>
    <w:p w:rsidR="00D15046" w:rsidRDefault="00D15046" w:rsidP="00D15046">
      <w:pPr>
        <w:ind w:left="-1134"/>
        <w:jc w:val="both"/>
        <w:rPr>
          <w:rFonts w:ascii="Open Sans Light" w:hAnsi="Open Sans Light"/>
          <w:color w:val="404040" w:themeColor="text1" w:themeTint="BF"/>
          <w:lang w:val="es-ES"/>
        </w:rPr>
      </w:pPr>
      <w:r w:rsidRPr="00D15046">
        <w:rPr>
          <w:rFonts w:ascii="Open Sans Light" w:hAnsi="Open Sans Light"/>
          <w:color w:val="404040" w:themeColor="text1" w:themeTint="BF"/>
          <w:lang w:val="es-ES"/>
        </w:rPr>
        <w:t xml:space="preserve">No obstante, éste no es el primer incremento trimestral que ha registrado en los últimos meses el Índice Inmobiliario </w:t>
      </w:r>
      <w:hyperlink r:id="rId11" w:history="1">
        <w:proofErr w:type="spellStart"/>
        <w:r w:rsidRPr="00BC0CC9">
          <w:rPr>
            <w:rStyle w:val="Hipervnculo"/>
            <w:rFonts w:ascii="Open Sans Light" w:hAnsi="Open Sans Light"/>
            <w:b/>
            <w:bCs/>
            <w:lang w:val="es-ES"/>
          </w:rPr>
          <w:t>fotocasa</w:t>
        </w:r>
        <w:proofErr w:type="spellEnd"/>
      </w:hyperlink>
      <w:r w:rsidRPr="00D15046">
        <w:rPr>
          <w:rFonts w:ascii="Open Sans Light" w:hAnsi="Open Sans Light"/>
          <w:color w:val="404040" w:themeColor="text1" w:themeTint="BF"/>
          <w:lang w:val="es-ES"/>
        </w:rPr>
        <w:t>. De hecho, en 2016 todos los trimestres incrementaron el precio de la vivienda de segunda mano, a excepción del segundo trimestre.</w:t>
      </w:r>
    </w:p>
    <w:p w:rsidR="00D15046" w:rsidRDefault="00D15046" w:rsidP="00BC0CC9">
      <w:pPr>
        <w:ind w:left="-1134"/>
        <w:jc w:val="both"/>
        <w:rPr>
          <w:rFonts w:ascii="Open Sans Light" w:hAnsi="Open Sans Light"/>
          <w:color w:val="404040" w:themeColor="text1" w:themeTint="BF"/>
          <w:lang w:val="es-ES"/>
        </w:rPr>
      </w:pPr>
    </w:p>
    <w:p w:rsidR="00D15046" w:rsidRDefault="00D15046" w:rsidP="00D15046">
      <w:pPr>
        <w:ind w:left="-1134"/>
        <w:jc w:val="both"/>
        <w:rPr>
          <w:rFonts w:ascii="Open Sans Light" w:hAnsi="Open Sans Light"/>
          <w:color w:val="404040" w:themeColor="text1" w:themeTint="BF"/>
          <w:lang w:val="es-ES"/>
        </w:rPr>
      </w:pPr>
      <w:r w:rsidRPr="00794CAF">
        <w:rPr>
          <w:rFonts w:ascii="Open Sans Light" w:hAnsi="Open Sans Light"/>
          <w:color w:val="404040" w:themeColor="text1" w:themeTint="BF"/>
          <w:lang w:val="es-ES"/>
        </w:rPr>
        <w:t xml:space="preserve">“Por sexto mes consecutivo, el Índice </w:t>
      </w:r>
      <w:hyperlink r:id="rId12" w:history="1">
        <w:proofErr w:type="spellStart"/>
        <w:r w:rsidRPr="00BC0CC9">
          <w:rPr>
            <w:rStyle w:val="Hipervnculo"/>
            <w:rFonts w:ascii="Open Sans Light" w:hAnsi="Open Sans Light"/>
            <w:b/>
            <w:bCs/>
            <w:lang w:val="es-ES"/>
          </w:rPr>
          <w:t>fotocasa</w:t>
        </w:r>
        <w:proofErr w:type="spellEnd"/>
      </w:hyperlink>
      <w:r w:rsidRPr="00794CAF">
        <w:rPr>
          <w:rFonts w:ascii="Open Sans Light" w:hAnsi="Open Sans Light"/>
          <w:color w:val="404040" w:themeColor="text1" w:themeTint="BF"/>
          <w:lang w:val="es-ES"/>
        </w:rPr>
        <w:t xml:space="preserve"> registró en marzo una subida interanual de los precios que refleja que el coste de la vivienda se está normalizando después de una crisis muy profunda. Pero esta recuperación se está produciendo por zonas, ya que mientras que Madrid, Cataluña, las islas y los puntos neurálgicos de la costa mediterránea registran incrementos de precios, en buena parte del país continúan los números rojos”, explica Beatriz Toribio responsable de estudios de </w:t>
      </w:r>
      <w:hyperlink r:id="rId13" w:history="1">
        <w:proofErr w:type="spellStart"/>
        <w:r w:rsidRPr="00BC0CC9">
          <w:rPr>
            <w:rStyle w:val="Hipervnculo"/>
            <w:rFonts w:ascii="Open Sans Light" w:hAnsi="Open Sans Light"/>
            <w:b/>
            <w:bCs/>
            <w:lang w:val="es-ES"/>
          </w:rPr>
          <w:t>fotocasa</w:t>
        </w:r>
        <w:proofErr w:type="spellEnd"/>
      </w:hyperlink>
      <w:r w:rsidRPr="00794CAF">
        <w:rPr>
          <w:rFonts w:ascii="Open Sans Light" w:hAnsi="Open Sans Light"/>
          <w:color w:val="404040" w:themeColor="text1" w:themeTint="BF"/>
          <w:lang w:val="es-ES"/>
        </w:rPr>
        <w:t>.</w:t>
      </w:r>
    </w:p>
    <w:p w:rsidR="00D15046" w:rsidRDefault="00D15046" w:rsidP="00D15046">
      <w:pPr>
        <w:ind w:left="-1134"/>
        <w:jc w:val="center"/>
        <w:rPr>
          <w:rFonts w:ascii="Open Sans" w:hAnsi="Open Sans"/>
          <w:color w:val="00AAAB"/>
          <w:sz w:val="28"/>
          <w:szCs w:val="28"/>
          <w:lang w:val="es-ES"/>
        </w:rPr>
      </w:pPr>
      <w:r w:rsidRPr="00D15046">
        <w:rPr>
          <w:rFonts w:ascii="Open Sans" w:hAnsi="Open Sans"/>
          <w:color w:val="00AAAB"/>
          <w:sz w:val="28"/>
          <w:szCs w:val="28"/>
          <w:lang w:val="es-ES"/>
        </w:rPr>
        <w:t>Evolución trimestral del precio de la vivienda de segunda mano</w:t>
      </w:r>
    </w:p>
    <w:p w:rsidR="00D15046" w:rsidRPr="00D15046" w:rsidRDefault="00D15046" w:rsidP="00D15046">
      <w:pPr>
        <w:ind w:left="-1134"/>
        <w:jc w:val="both"/>
        <w:rPr>
          <w:rFonts w:ascii="Open Sans" w:hAnsi="Open Sans"/>
          <w:color w:val="00AAAB"/>
          <w:sz w:val="28"/>
          <w:szCs w:val="28"/>
          <w:lang w:val="es-ES"/>
        </w:rPr>
      </w:pPr>
    </w:p>
    <w:p w:rsidR="00763F0F" w:rsidRDefault="00D15046" w:rsidP="00D15046">
      <w:pPr>
        <w:ind w:left="-1134"/>
        <w:jc w:val="both"/>
        <w:rPr>
          <w:rFonts w:ascii="Open Sans Light" w:hAnsi="Open Sans Light"/>
          <w:color w:val="404040" w:themeColor="text1" w:themeTint="BF"/>
          <w:lang w:val="es-ES"/>
        </w:rPr>
      </w:pPr>
      <w:r>
        <w:rPr>
          <w:noProof/>
          <w:lang w:bidi="ks-Deva"/>
        </w:rPr>
        <w:drawing>
          <wp:inline distT="0" distB="0" distL="0" distR="0" wp14:anchorId="3FD381A6" wp14:editId="30218B4E">
            <wp:extent cx="5572125" cy="280987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94CAF">
        <w:rPr>
          <w:rFonts w:ascii="Open Sans Light" w:hAnsi="Open Sans Light"/>
          <w:color w:val="404040" w:themeColor="text1" w:themeTint="BF"/>
          <w:lang w:val="es-ES"/>
        </w:rPr>
        <w:t xml:space="preserve"> </w:t>
      </w:r>
    </w:p>
    <w:p w:rsidR="0025238E" w:rsidRDefault="0025238E" w:rsidP="0025238E">
      <w:pPr>
        <w:jc w:val="both"/>
        <w:rPr>
          <w:rFonts w:ascii="Open Sans Light" w:hAnsi="Open Sans Light"/>
          <w:color w:val="404040" w:themeColor="text1" w:themeTint="BF"/>
          <w:lang w:val="es-ES"/>
        </w:rPr>
      </w:pPr>
    </w:p>
    <w:p w:rsidR="00B81DEC" w:rsidRPr="00B81DEC" w:rsidRDefault="00B81DEC" w:rsidP="00B81DEC">
      <w:pPr>
        <w:ind w:left="-1134"/>
        <w:rPr>
          <w:rFonts w:ascii="Open Sans" w:hAnsi="Open Sans"/>
          <w:color w:val="00AAAB"/>
          <w:lang w:val="es-ES"/>
        </w:rPr>
      </w:pPr>
      <w:r w:rsidRPr="00B81DEC">
        <w:rPr>
          <w:rFonts w:ascii="Open Sans" w:hAnsi="Open Sans"/>
          <w:color w:val="00AAAB"/>
          <w:lang w:val="es-ES"/>
        </w:rPr>
        <w:t>Se registra la segunda subida interanual más elevada de los últimos diez años</w:t>
      </w:r>
    </w:p>
    <w:p w:rsidR="00B81DEC" w:rsidRPr="00B81DEC" w:rsidRDefault="00B81DEC" w:rsidP="00B81DEC">
      <w:pPr>
        <w:ind w:left="-1134"/>
        <w:jc w:val="both"/>
        <w:rPr>
          <w:rFonts w:ascii="Open Sans Light" w:hAnsi="Open Sans Light"/>
          <w:color w:val="404040" w:themeColor="text1" w:themeTint="BF"/>
          <w:lang w:val="es-ES"/>
        </w:rPr>
      </w:pPr>
    </w:p>
    <w:p w:rsidR="00B81DEC" w:rsidRPr="00B81DEC" w:rsidRDefault="00B81DEC" w:rsidP="00B81DEC">
      <w:pPr>
        <w:ind w:left="-1134"/>
        <w:jc w:val="both"/>
        <w:rPr>
          <w:rFonts w:ascii="Open Sans Light" w:hAnsi="Open Sans Light"/>
          <w:color w:val="404040" w:themeColor="text1" w:themeTint="BF"/>
          <w:lang w:val="es-ES"/>
        </w:rPr>
      </w:pPr>
      <w:r w:rsidRPr="00B81DEC">
        <w:rPr>
          <w:rFonts w:ascii="Open Sans Light" w:hAnsi="Open Sans Light"/>
          <w:color w:val="404040" w:themeColor="text1" w:themeTint="BF"/>
          <w:lang w:val="es-ES"/>
        </w:rPr>
        <w:t xml:space="preserve">A nivel interanual, el precio de la vivienda de segunda mano en España se incrementa un 2,2% y es la segunda subida interanual más alta desde agosto de 2007, cuando el precio subió un 2,7%. De hecho, el pasado mes de febrero fue cuando se registró la mayor subida interanual de los últimos 10 años (3,2%). Además, en el mes de marzo de registra el sexto incremento consecutivo en cuanto a variación interanual se refiere.  </w:t>
      </w:r>
    </w:p>
    <w:p w:rsidR="00B81DEC" w:rsidRPr="00B81DEC" w:rsidRDefault="00B81DEC" w:rsidP="00B81DEC">
      <w:pPr>
        <w:ind w:left="-1134"/>
        <w:jc w:val="both"/>
        <w:rPr>
          <w:rFonts w:ascii="Open Sans Light" w:hAnsi="Open Sans Light"/>
          <w:color w:val="404040" w:themeColor="text1" w:themeTint="BF"/>
          <w:lang w:val="es-ES"/>
        </w:rPr>
      </w:pPr>
    </w:p>
    <w:p w:rsidR="00B81DEC" w:rsidRPr="00B81DEC" w:rsidRDefault="00B81DEC" w:rsidP="00B81DEC">
      <w:pPr>
        <w:ind w:left="-1134"/>
        <w:jc w:val="both"/>
        <w:rPr>
          <w:rFonts w:ascii="Open Sans Light" w:hAnsi="Open Sans Light"/>
          <w:color w:val="404040" w:themeColor="text1" w:themeTint="BF"/>
          <w:lang w:val="es-ES"/>
        </w:rPr>
      </w:pPr>
      <w:r w:rsidRPr="00B81DEC">
        <w:rPr>
          <w:rFonts w:ascii="Open Sans Light" w:hAnsi="Open Sans Light"/>
          <w:color w:val="404040" w:themeColor="text1" w:themeTint="BF"/>
          <w:lang w:val="es-ES"/>
        </w:rPr>
        <w:t>“Los mensajes sobre la recuperación del mercado de la vivienda que se lanzan desde parte del sector, están calando en la población y por ello vemos que los precios de oferta registran ligeras subidas respecto a años anteriores. Es cierto que el sector se está reactivando, pero aún no se ha recuperado y todavía hay muchos riesgos que acechan al sector, como el abultado stock de  vivienda, el menor crecimiento demográfico o la precariedad del empleo”, añade Toribio</w:t>
      </w:r>
    </w:p>
    <w:p w:rsidR="00B81DEC" w:rsidRPr="00B81DEC" w:rsidRDefault="00B81DEC" w:rsidP="00B81DEC">
      <w:pPr>
        <w:ind w:left="-1134"/>
        <w:jc w:val="both"/>
        <w:rPr>
          <w:rFonts w:ascii="Open Sans Light" w:hAnsi="Open Sans Light"/>
          <w:color w:val="404040" w:themeColor="text1" w:themeTint="BF"/>
          <w:lang w:val="es-ES"/>
        </w:rPr>
      </w:pPr>
    </w:p>
    <w:p w:rsidR="00794CAF" w:rsidRDefault="00B81DEC" w:rsidP="00B81DEC">
      <w:pPr>
        <w:ind w:left="-1134"/>
        <w:jc w:val="both"/>
        <w:rPr>
          <w:rFonts w:ascii="Open Sans Light" w:hAnsi="Open Sans Light"/>
          <w:color w:val="404040" w:themeColor="text1" w:themeTint="BF"/>
          <w:lang w:val="es-ES"/>
        </w:rPr>
      </w:pPr>
      <w:r w:rsidRPr="00B81DEC">
        <w:rPr>
          <w:rFonts w:ascii="Open Sans Light" w:hAnsi="Open Sans Light"/>
          <w:color w:val="404040" w:themeColor="text1" w:themeTint="BF"/>
          <w:lang w:val="es-ES"/>
        </w:rPr>
        <w:t xml:space="preserve">El precio de la vivienda en España alcanzó su máximo histórico en abril de 2007 con un valor de 2.952 €/m2. Desde entonces ha acumulado un descenso del -43,6%. Las comunidades que experimentan una mayor caída desde máximos son La Rioja, con un descenso acumulado de -56,1%, Castilla-La Mancha (-52,5%), Navarra (-52,4%), Aragón (-52%), Murcia (-50,2%), </w:t>
      </w:r>
      <w:proofErr w:type="spellStart"/>
      <w:r w:rsidRPr="00B81DEC">
        <w:rPr>
          <w:rFonts w:ascii="Open Sans Light" w:hAnsi="Open Sans Light"/>
          <w:color w:val="404040" w:themeColor="text1" w:themeTint="BF"/>
          <w:lang w:val="es-ES"/>
        </w:rPr>
        <w:t>Comunitat</w:t>
      </w:r>
      <w:proofErr w:type="spellEnd"/>
      <w:r w:rsidRPr="00B81DEC">
        <w:rPr>
          <w:rFonts w:ascii="Open Sans Light" w:hAnsi="Open Sans Light"/>
          <w:color w:val="404040" w:themeColor="text1" w:themeTint="BF"/>
          <w:lang w:val="es-ES"/>
        </w:rPr>
        <w:t xml:space="preserve"> Valenciana (-47,6%), Cataluña (-46,6%) y Asturias (-46,1%).</w:t>
      </w:r>
    </w:p>
    <w:p w:rsidR="00B81DEC" w:rsidRDefault="00B81DEC" w:rsidP="00BC0CC9">
      <w:pPr>
        <w:ind w:left="-1134"/>
        <w:jc w:val="both"/>
        <w:rPr>
          <w:rFonts w:ascii="Open Sans Light" w:hAnsi="Open Sans Light"/>
          <w:color w:val="404040" w:themeColor="text1" w:themeTint="BF"/>
          <w:lang w:val="es-ES"/>
        </w:rPr>
      </w:pPr>
    </w:p>
    <w:p w:rsidR="00BF7329" w:rsidRDefault="00BF7329" w:rsidP="00BC0CC9">
      <w:pPr>
        <w:ind w:left="-1134"/>
        <w:jc w:val="both"/>
        <w:rPr>
          <w:rFonts w:ascii="Open Sans Light" w:hAnsi="Open Sans Light"/>
          <w:color w:val="404040" w:themeColor="text1" w:themeTint="BF"/>
          <w:lang w:val="es-ES"/>
        </w:rPr>
      </w:pPr>
    </w:p>
    <w:p w:rsidR="00B81DEC" w:rsidRPr="00B81DEC" w:rsidRDefault="00B81DEC" w:rsidP="00B81DEC">
      <w:pPr>
        <w:ind w:left="-1134"/>
        <w:rPr>
          <w:rFonts w:ascii="Open Sans" w:hAnsi="Open Sans"/>
          <w:color w:val="00AAAB"/>
          <w:lang w:val="es-ES"/>
        </w:rPr>
      </w:pPr>
      <w:r w:rsidRPr="00B81DEC">
        <w:rPr>
          <w:rFonts w:ascii="Open Sans" w:hAnsi="Open Sans"/>
          <w:color w:val="00AAAB"/>
          <w:lang w:val="es-ES"/>
        </w:rPr>
        <w:t>El precio trimestral sube en 13 comunidades autónomas</w:t>
      </w:r>
    </w:p>
    <w:p w:rsidR="00B81DEC" w:rsidRPr="00B81DEC" w:rsidRDefault="00B81DEC" w:rsidP="00B81DEC">
      <w:pPr>
        <w:ind w:left="-1134"/>
        <w:jc w:val="both"/>
        <w:rPr>
          <w:rFonts w:ascii="Open Sans Light" w:hAnsi="Open Sans Light"/>
          <w:color w:val="404040" w:themeColor="text1" w:themeTint="BF"/>
          <w:lang w:val="es-ES"/>
        </w:rPr>
      </w:pPr>
    </w:p>
    <w:p w:rsidR="00B81DEC" w:rsidRPr="00B81DEC" w:rsidRDefault="00B81DEC" w:rsidP="00B81DEC">
      <w:pPr>
        <w:ind w:left="-1134"/>
        <w:jc w:val="both"/>
        <w:rPr>
          <w:rFonts w:ascii="Open Sans Light" w:hAnsi="Open Sans Light"/>
          <w:color w:val="404040" w:themeColor="text1" w:themeTint="BF"/>
          <w:lang w:val="es-ES"/>
        </w:rPr>
      </w:pPr>
      <w:r w:rsidRPr="00B81DEC">
        <w:rPr>
          <w:rFonts w:ascii="Open Sans Light" w:hAnsi="Open Sans Light"/>
          <w:color w:val="404040" w:themeColor="text1" w:themeTint="BF"/>
          <w:lang w:val="es-ES"/>
        </w:rPr>
        <w:t xml:space="preserve">Por Comunidades Autónomas, con respecto a diciembre de 2016, 13 comunidades autónomas presentan una variación trimestral positiva, con Cataluña a la cabeza, con una variación de 3,4%. Le sigue Baleares (2,7%), La Rioja (2,3%), Castilla y León (1,2%) y Canarias (1%). </w:t>
      </w:r>
    </w:p>
    <w:p w:rsidR="00B81DEC" w:rsidRPr="00B81DEC" w:rsidRDefault="00B81DEC" w:rsidP="00B81DEC">
      <w:pPr>
        <w:ind w:left="-1134"/>
        <w:jc w:val="both"/>
        <w:rPr>
          <w:rFonts w:ascii="Open Sans Light" w:hAnsi="Open Sans Light"/>
          <w:color w:val="404040" w:themeColor="text1" w:themeTint="BF"/>
          <w:lang w:val="es-ES"/>
        </w:rPr>
      </w:pPr>
    </w:p>
    <w:p w:rsidR="00B81DEC" w:rsidRDefault="00B81DEC" w:rsidP="00B81DEC">
      <w:pPr>
        <w:ind w:left="-1134"/>
        <w:jc w:val="both"/>
        <w:rPr>
          <w:rFonts w:ascii="Open Sans Light" w:hAnsi="Open Sans Light"/>
          <w:color w:val="404040" w:themeColor="text1" w:themeTint="BF"/>
          <w:lang w:val="es-ES"/>
        </w:rPr>
      </w:pPr>
      <w:r w:rsidRPr="00B81DEC">
        <w:rPr>
          <w:rFonts w:ascii="Open Sans Light" w:hAnsi="Open Sans Light"/>
          <w:color w:val="404040" w:themeColor="text1" w:themeTint="BF"/>
          <w:lang w:val="es-ES"/>
        </w:rPr>
        <w:t>En términos de precio medio, el País Vasco (2.706 €/m2), Madrid (2.267 €/m2) y Cataluña (2.161 €/m2) ocupan los primeros puestos en el ranking de marzo de comunidades más caras para comprar una vivienda de segunda mano. Por el contrario, Castilla-La Mancha (1.035 €/m2), Extremadura (1.098 €/m2) y Murcia (1.127 €/m2) son las autonomías con los precios de la vivienda de segunda mano más asequibles.</w:t>
      </w:r>
    </w:p>
    <w:p w:rsidR="00FD62C7" w:rsidRDefault="00FD62C7" w:rsidP="00BC0CC9">
      <w:pPr>
        <w:ind w:left="-1134"/>
        <w:jc w:val="both"/>
        <w:rPr>
          <w:rFonts w:ascii="Open Sans Light" w:hAnsi="Open Sans Light"/>
          <w:color w:val="404040" w:themeColor="text1" w:themeTint="BF"/>
          <w:lang w:val="es-ES"/>
        </w:rPr>
      </w:pPr>
    </w:p>
    <w:p w:rsidR="00BF7329" w:rsidRDefault="00BF7329" w:rsidP="00BC0CC9">
      <w:pPr>
        <w:ind w:left="-1134"/>
        <w:jc w:val="both"/>
        <w:rPr>
          <w:rFonts w:ascii="Open Sans Light" w:hAnsi="Open Sans Light"/>
          <w:color w:val="404040" w:themeColor="text1" w:themeTint="BF"/>
          <w:lang w:val="es-ES"/>
        </w:rPr>
      </w:pPr>
    </w:p>
    <w:p w:rsidR="00B81DEC" w:rsidRPr="00B81DEC" w:rsidRDefault="00B81DEC" w:rsidP="00B81DEC">
      <w:pPr>
        <w:ind w:left="-1134"/>
        <w:rPr>
          <w:rFonts w:ascii="Open Sans" w:hAnsi="Open Sans"/>
          <w:color w:val="00AAAB"/>
          <w:lang w:val="es-ES"/>
        </w:rPr>
      </w:pPr>
      <w:r w:rsidRPr="00B81DEC">
        <w:rPr>
          <w:rFonts w:ascii="Open Sans" w:hAnsi="Open Sans"/>
          <w:color w:val="00AAAB"/>
          <w:lang w:val="es-ES"/>
        </w:rPr>
        <w:t>Precio medio de la vivienda por CC.AA y variaciones</w:t>
      </w:r>
    </w:p>
    <w:p w:rsidR="00B81DEC" w:rsidRDefault="00B81DEC" w:rsidP="00BC0CC9">
      <w:pPr>
        <w:ind w:left="-1134"/>
        <w:jc w:val="both"/>
        <w:rPr>
          <w:rFonts w:ascii="Open Sans Light" w:hAnsi="Open Sans Light"/>
          <w:color w:val="404040" w:themeColor="text1" w:themeTint="BF"/>
          <w:lang w:val="es-ES"/>
        </w:rPr>
      </w:pPr>
    </w:p>
    <w:tbl>
      <w:tblPr>
        <w:tblStyle w:val="Tabladecuadrcula5oscura-nfasis1"/>
        <w:tblW w:w="0" w:type="auto"/>
        <w:tblInd w:w="-1139" w:type="dxa"/>
        <w:tblLook w:val="04A0" w:firstRow="1" w:lastRow="0" w:firstColumn="1" w:lastColumn="0" w:noHBand="0" w:noVBand="1"/>
      </w:tblPr>
      <w:tblGrid>
        <w:gridCol w:w="1704"/>
        <w:gridCol w:w="1273"/>
        <w:gridCol w:w="1276"/>
        <w:gridCol w:w="1276"/>
        <w:gridCol w:w="1275"/>
        <w:gridCol w:w="1979"/>
      </w:tblGrid>
      <w:tr w:rsidR="00B81DEC" w:rsidTr="00B81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B81DEC" w:rsidRPr="005A301B" w:rsidRDefault="00B81DEC" w:rsidP="00B81DEC">
            <w:r w:rsidRPr="005A301B">
              <w:t>CC.AA.</w:t>
            </w:r>
          </w:p>
        </w:tc>
        <w:tc>
          <w:tcPr>
            <w:tcW w:w="1273" w:type="dxa"/>
          </w:tcPr>
          <w:p w:rsidR="00B81DEC" w:rsidRPr="005A301B" w:rsidRDefault="00B81DEC" w:rsidP="00B81DEC">
            <w:pPr>
              <w:cnfStyle w:val="100000000000" w:firstRow="1" w:lastRow="0" w:firstColumn="0" w:lastColumn="0" w:oddVBand="0" w:evenVBand="0" w:oddHBand="0" w:evenHBand="0" w:firstRowFirstColumn="0" w:firstRowLastColumn="0" w:lastRowFirstColumn="0" w:lastRowLastColumn="0"/>
            </w:pPr>
            <w:r w:rsidRPr="005A301B">
              <w:t>Marzo 2017</w:t>
            </w:r>
          </w:p>
        </w:tc>
        <w:tc>
          <w:tcPr>
            <w:tcW w:w="1276" w:type="dxa"/>
          </w:tcPr>
          <w:p w:rsidR="00B81DEC" w:rsidRPr="005A301B" w:rsidRDefault="00B81DEC" w:rsidP="00B81DEC">
            <w:pPr>
              <w:cnfStyle w:val="100000000000" w:firstRow="1" w:lastRow="0" w:firstColumn="0" w:lastColumn="0" w:oddVBand="0" w:evenVBand="0" w:oddHBand="0" w:evenHBand="0" w:firstRowFirstColumn="0" w:firstRowLastColumn="0" w:lastRowFirstColumn="0" w:lastRowLastColumn="0"/>
            </w:pPr>
            <w:r w:rsidRPr="005A301B">
              <w:t>Variación mensual</w:t>
            </w:r>
          </w:p>
        </w:tc>
        <w:tc>
          <w:tcPr>
            <w:tcW w:w="1276" w:type="dxa"/>
          </w:tcPr>
          <w:p w:rsidR="00B81DEC" w:rsidRPr="005A301B" w:rsidRDefault="00B81DEC" w:rsidP="00B81DEC">
            <w:pPr>
              <w:cnfStyle w:val="100000000000" w:firstRow="1" w:lastRow="0" w:firstColumn="0" w:lastColumn="0" w:oddVBand="0" w:evenVBand="0" w:oddHBand="0" w:evenHBand="0" w:firstRowFirstColumn="0" w:firstRowLastColumn="0" w:lastRowFirstColumn="0" w:lastRowLastColumn="0"/>
            </w:pPr>
            <w:r>
              <w:t>Variación trimestral</w:t>
            </w:r>
          </w:p>
        </w:tc>
        <w:tc>
          <w:tcPr>
            <w:tcW w:w="1275" w:type="dxa"/>
          </w:tcPr>
          <w:p w:rsidR="00B81DEC" w:rsidRPr="005A301B" w:rsidRDefault="00B81DEC" w:rsidP="00B81DEC">
            <w:pPr>
              <w:cnfStyle w:val="100000000000" w:firstRow="1" w:lastRow="0" w:firstColumn="0" w:lastColumn="0" w:oddVBand="0" w:evenVBand="0" w:oddHBand="0" w:evenHBand="0" w:firstRowFirstColumn="0" w:firstRowLastColumn="0" w:lastRowFirstColumn="0" w:lastRowLastColumn="0"/>
            </w:pPr>
            <w:r>
              <w:t>Variación interanual</w:t>
            </w:r>
          </w:p>
        </w:tc>
        <w:tc>
          <w:tcPr>
            <w:tcW w:w="1979" w:type="dxa"/>
          </w:tcPr>
          <w:p w:rsidR="00B81DEC" w:rsidRPr="005A301B" w:rsidRDefault="00B81DEC" w:rsidP="00B81DEC">
            <w:pPr>
              <w:cnfStyle w:val="100000000000" w:firstRow="1" w:lastRow="0" w:firstColumn="0" w:lastColumn="0" w:oddVBand="0" w:evenVBand="0" w:oddHBand="0" w:evenHBand="0" w:firstRowFirstColumn="0" w:firstRowLastColumn="0" w:lastRowFirstColumn="0" w:lastRowLastColumn="0"/>
            </w:pPr>
            <w:r>
              <w:t>Variación respecto media nacional</w:t>
            </w:r>
          </w:p>
        </w:tc>
      </w:tr>
      <w:tr w:rsidR="00BF7329" w:rsidTr="00CF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País Vasco</w:t>
            </w:r>
          </w:p>
        </w:tc>
        <w:tc>
          <w:tcPr>
            <w:tcW w:w="1273" w:type="dxa"/>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404040" w:themeColor="text1" w:themeTint="BF"/>
                <w:sz w:val="22"/>
                <w:szCs w:val="22"/>
                <w:lang w:val="es-ES"/>
              </w:rPr>
            </w:pPr>
            <w:r>
              <w:rPr>
                <w:rFonts w:ascii="Open Sans Light" w:hAnsi="Open Sans Light"/>
                <w:b/>
                <w:bCs/>
                <w:color w:val="404040" w:themeColor="text1" w:themeTint="BF"/>
                <w:sz w:val="22"/>
                <w:szCs w:val="22"/>
                <w:lang w:val="es-ES"/>
              </w:rPr>
              <w:t xml:space="preserve">    2.706</w:t>
            </w:r>
            <w:r w:rsidRPr="00BF7329">
              <w:rPr>
                <w:rFonts w:ascii="Open Sans Light" w:hAnsi="Open Sans Light"/>
                <w:b/>
                <w:bCs/>
                <w:color w:val="404040" w:themeColor="text1" w:themeTint="BF"/>
                <w:sz w:val="22"/>
                <w:szCs w:val="22"/>
                <w:lang w:val="es-ES"/>
              </w:rPr>
              <w:t xml:space="preserve"> €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0,1 %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0,3 %</w:t>
            </w:r>
          </w:p>
        </w:tc>
        <w:tc>
          <w:tcPr>
            <w:tcW w:w="1275"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-1,1 %</w:t>
            </w:r>
          </w:p>
        </w:tc>
        <w:tc>
          <w:tcPr>
            <w:tcW w:w="1979"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62,7%</w:t>
            </w:r>
          </w:p>
        </w:tc>
      </w:tr>
      <w:tr w:rsidR="00BF7329" w:rsidTr="00CF4F2A">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Madrid</w:t>
            </w:r>
          </w:p>
        </w:tc>
        <w:tc>
          <w:tcPr>
            <w:tcW w:w="1273" w:type="dxa"/>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2.267</w:t>
            </w:r>
            <w:r>
              <w:rPr>
                <w:rFonts w:ascii="Open Sans Light" w:hAnsi="Open Sans Light"/>
                <w:b/>
                <w:bCs/>
                <w:color w:val="404040" w:themeColor="text1" w:themeTint="BF"/>
                <w:sz w:val="22"/>
                <w:szCs w:val="22"/>
                <w:lang w:val="es-ES"/>
              </w:rPr>
              <w:t xml:space="preserve"> </w:t>
            </w:r>
            <w:r w:rsidRPr="00BF7329">
              <w:rPr>
                <w:rFonts w:ascii="Open Sans Light" w:hAnsi="Open Sans Light"/>
                <w:b/>
                <w:bCs/>
                <w:color w:val="404040" w:themeColor="text1" w:themeTint="BF"/>
                <w:sz w:val="22"/>
                <w:szCs w:val="22"/>
                <w:lang w:val="es-ES"/>
              </w:rPr>
              <w:t xml:space="preserve">€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0,7 %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0,5 %</w:t>
            </w:r>
          </w:p>
        </w:tc>
        <w:tc>
          <w:tcPr>
            <w:tcW w:w="1275"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1,9 %</w:t>
            </w:r>
          </w:p>
        </w:tc>
        <w:tc>
          <w:tcPr>
            <w:tcW w:w="1979"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36,3%</w:t>
            </w:r>
          </w:p>
        </w:tc>
      </w:tr>
      <w:tr w:rsidR="00BF7329" w:rsidTr="00CF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Cataluña</w:t>
            </w:r>
          </w:p>
        </w:tc>
        <w:tc>
          <w:tcPr>
            <w:tcW w:w="1273" w:type="dxa"/>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2.161€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1,3 %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3,4 %</w:t>
            </w:r>
          </w:p>
        </w:tc>
        <w:tc>
          <w:tcPr>
            <w:tcW w:w="1275"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4,7 %</w:t>
            </w:r>
          </w:p>
        </w:tc>
        <w:tc>
          <w:tcPr>
            <w:tcW w:w="1979"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29,9%</w:t>
            </w:r>
          </w:p>
        </w:tc>
      </w:tr>
      <w:tr w:rsidR="00BF7329" w:rsidTr="00CF4F2A">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Baleares</w:t>
            </w:r>
          </w:p>
        </w:tc>
        <w:tc>
          <w:tcPr>
            <w:tcW w:w="1273" w:type="dxa"/>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2.050</w:t>
            </w:r>
            <w:r>
              <w:rPr>
                <w:rFonts w:ascii="Open Sans Light" w:hAnsi="Open Sans Light"/>
                <w:b/>
                <w:bCs/>
                <w:color w:val="404040" w:themeColor="text1" w:themeTint="BF"/>
                <w:sz w:val="22"/>
                <w:szCs w:val="22"/>
                <w:lang w:val="es-ES"/>
              </w:rPr>
              <w:t xml:space="preserve"> </w:t>
            </w:r>
            <w:r w:rsidRPr="00BF7329">
              <w:rPr>
                <w:rFonts w:ascii="Open Sans Light" w:hAnsi="Open Sans Light"/>
                <w:b/>
                <w:bCs/>
                <w:color w:val="404040" w:themeColor="text1" w:themeTint="BF"/>
                <w:sz w:val="22"/>
                <w:szCs w:val="22"/>
                <w:lang w:val="es-ES"/>
              </w:rPr>
              <w:t xml:space="preserve">€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0,9 %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2,7 %</w:t>
            </w:r>
          </w:p>
        </w:tc>
        <w:tc>
          <w:tcPr>
            <w:tcW w:w="1275"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8,6 %</w:t>
            </w:r>
          </w:p>
        </w:tc>
        <w:tc>
          <w:tcPr>
            <w:tcW w:w="1979"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23,2%</w:t>
            </w:r>
          </w:p>
        </w:tc>
      </w:tr>
      <w:tr w:rsidR="00BF7329" w:rsidTr="00CF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Cantabria</w:t>
            </w:r>
          </w:p>
        </w:tc>
        <w:tc>
          <w:tcPr>
            <w:tcW w:w="1273" w:type="dxa"/>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1.666</w:t>
            </w:r>
            <w:r>
              <w:rPr>
                <w:rFonts w:ascii="Open Sans Light" w:hAnsi="Open Sans Light"/>
                <w:b/>
                <w:bCs/>
                <w:color w:val="404040" w:themeColor="text1" w:themeTint="BF"/>
                <w:sz w:val="22"/>
                <w:szCs w:val="22"/>
                <w:lang w:val="es-ES"/>
              </w:rPr>
              <w:t xml:space="preserve"> </w:t>
            </w:r>
            <w:r w:rsidRPr="00BF7329">
              <w:rPr>
                <w:rFonts w:ascii="Open Sans Light" w:hAnsi="Open Sans Light"/>
                <w:b/>
                <w:bCs/>
                <w:color w:val="404040" w:themeColor="text1" w:themeTint="BF"/>
                <w:sz w:val="22"/>
                <w:szCs w:val="22"/>
                <w:lang w:val="es-ES"/>
              </w:rPr>
              <w:t xml:space="preserve">€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0,3 %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-1,2 %</w:t>
            </w:r>
          </w:p>
        </w:tc>
        <w:tc>
          <w:tcPr>
            <w:tcW w:w="1275"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-3,5 %</w:t>
            </w:r>
          </w:p>
        </w:tc>
        <w:tc>
          <w:tcPr>
            <w:tcW w:w="1979"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0,1%</w:t>
            </w:r>
          </w:p>
        </w:tc>
      </w:tr>
      <w:tr w:rsidR="00BF7329" w:rsidTr="00CF4F2A">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Galicia</w:t>
            </w:r>
          </w:p>
        </w:tc>
        <w:tc>
          <w:tcPr>
            <w:tcW w:w="1273" w:type="dxa"/>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1.605</w:t>
            </w:r>
            <w:r>
              <w:rPr>
                <w:rFonts w:ascii="Open Sans Light" w:hAnsi="Open Sans Light"/>
                <w:b/>
                <w:bCs/>
                <w:color w:val="404040" w:themeColor="text1" w:themeTint="BF"/>
                <w:sz w:val="22"/>
                <w:szCs w:val="22"/>
                <w:lang w:val="es-ES"/>
              </w:rPr>
              <w:t xml:space="preserve"> </w:t>
            </w:r>
            <w:r w:rsidRPr="00BF7329">
              <w:rPr>
                <w:rFonts w:ascii="Open Sans Light" w:hAnsi="Open Sans Light"/>
                <w:b/>
                <w:bCs/>
                <w:color w:val="404040" w:themeColor="text1" w:themeTint="BF"/>
                <w:sz w:val="22"/>
                <w:szCs w:val="22"/>
                <w:lang w:val="es-ES"/>
              </w:rPr>
              <w:t xml:space="preserve">€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-0,4 %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0,2 %</w:t>
            </w:r>
          </w:p>
        </w:tc>
        <w:tc>
          <w:tcPr>
            <w:tcW w:w="1275"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-0,8 %</w:t>
            </w:r>
          </w:p>
        </w:tc>
        <w:tc>
          <w:tcPr>
            <w:tcW w:w="1979"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-3,5%</w:t>
            </w:r>
          </w:p>
        </w:tc>
      </w:tr>
      <w:tr w:rsidR="00BF7329" w:rsidTr="00CF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Navarra</w:t>
            </w:r>
          </w:p>
        </w:tc>
        <w:tc>
          <w:tcPr>
            <w:tcW w:w="1273" w:type="dxa"/>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1.601€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-0,5 %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0,4 %</w:t>
            </w:r>
          </w:p>
        </w:tc>
        <w:tc>
          <w:tcPr>
            <w:tcW w:w="1275"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-0,9 %</w:t>
            </w:r>
          </w:p>
        </w:tc>
        <w:tc>
          <w:tcPr>
            <w:tcW w:w="1979"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-3,8%</w:t>
            </w:r>
          </w:p>
        </w:tc>
      </w:tr>
      <w:tr w:rsidR="00BF7329" w:rsidTr="00CF4F2A">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Asturias</w:t>
            </w:r>
          </w:p>
        </w:tc>
        <w:tc>
          <w:tcPr>
            <w:tcW w:w="1273" w:type="dxa"/>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1.544</w:t>
            </w:r>
            <w:r>
              <w:rPr>
                <w:rFonts w:ascii="Open Sans Light" w:hAnsi="Open Sans Light"/>
                <w:b/>
                <w:bCs/>
                <w:color w:val="404040" w:themeColor="text1" w:themeTint="BF"/>
                <w:sz w:val="22"/>
                <w:szCs w:val="22"/>
                <w:lang w:val="es-ES"/>
              </w:rPr>
              <w:t xml:space="preserve"> </w:t>
            </w:r>
            <w:r w:rsidRPr="00BF7329">
              <w:rPr>
                <w:rFonts w:ascii="Open Sans Light" w:hAnsi="Open Sans Light"/>
                <w:b/>
                <w:bCs/>
                <w:color w:val="404040" w:themeColor="text1" w:themeTint="BF"/>
                <w:sz w:val="22"/>
                <w:szCs w:val="22"/>
                <w:lang w:val="es-ES"/>
              </w:rPr>
              <w:t xml:space="preserve">€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-0,6 %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-2,3 %</w:t>
            </w:r>
          </w:p>
        </w:tc>
        <w:tc>
          <w:tcPr>
            <w:tcW w:w="1275"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-2,4 %</w:t>
            </w:r>
          </w:p>
        </w:tc>
        <w:tc>
          <w:tcPr>
            <w:tcW w:w="1979"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-7,2%</w:t>
            </w:r>
          </w:p>
        </w:tc>
      </w:tr>
      <w:tr w:rsidR="00BF7329" w:rsidTr="00CF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Andalucía</w:t>
            </w:r>
          </w:p>
        </w:tc>
        <w:tc>
          <w:tcPr>
            <w:tcW w:w="1273" w:type="dxa"/>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1.482</w:t>
            </w:r>
            <w:r>
              <w:rPr>
                <w:rFonts w:ascii="Open Sans Light" w:hAnsi="Open Sans Light"/>
                <w:b/>
                <w:bCs/>
                <w:color w:val="404040" w:themeColor="text1" w:themeTint="BF"/>
                <w:sz w:val="22"/>
                <w:szCs w:val="22"/>
                <w:lang w:val="es-ES"/>
              </w:rPr>
              <w:t xml:space="preserve"> </w:t>
            </w:r>
            <w:r w:rsidRPr="00BF7329">
              <w:rPr>
                <w:rFonts w:ascii="Open Sans Light" w:hAnsi="Open Sans Light"/>
                <w:b/>
                <w:bCs/>
                <w:color w:val="404040" w:themeColor="text1" w:themeTint="BF"/>
                <w:sz w:val="22"/>
                <w:szCs w:val="22"/>
                <w:lang w:val="es-ES"/>
              </w:rPr>
              <w:t xml:space="preserve">€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-0,3 %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0,9 %</w:t>
            </w:r>
          </w:p>
        </w:tc>
        <w:tc>
          <w:tcPr>
            <w:tcW w:w="1275"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000000" w:themeColor="text1"/>
                <w:lang w:val="es-ES"/>
              </w:rPr>
              <w:t>2,8 %</w:t>
            </w:r>
          </w:p>
        </w:tc>
        <w:tc>
          <w:tcPr>
            <w:tcW w:w="1979"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-10,9%</w:t>
            </w:r>
          </w:p>
        </w:tc>
      </w:tr>
      <w:tr w:rsidR="00BF7329" w:rsidTr="00CF4F2A">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Aragón</w:t>
            </w:r>
          </w:p>
        </w:tc>
        <w:tc>
          <w:tcPr>
            <w:tcW w:w="1273" w:type="dxa"/>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1.480</w:t>
            </w:r>
            <w:r>
              <w:rPr>
                <w:rFonts w:ascii="Open Sans Light" w:hAnsi="Open Sans Light"/>
                <w:b/>
                <w:bCs/>
                <w:color w:val="404040" w:themeColor="text1" w:themeTint="BF"/>
                <w:sz w:val="22"/>
                <w:szCs w:val="22"/>
                <w:lang w:val="es-ES"/>
              </w:rPr>
              <w:t xml:space="preserve"> </w:t>
            </w:r>
            <w:r w:rsidRPr="00BF7329">
              <w:rPr>
                <w:rFonts w:ascii="Open Sans Light" w:hAnsi="Open Sans Light"/>
                <w:b/>
                <w:bCs/>
                <w:color w:val="404040" w:themeColor="text1" w:themeTint="BF"/>
                <w:sz w:val="22"/>
                <w:szCs w:val="22"/>
                <w:lang w:val="es-ES"/>
              </w:rPr>
              <w:t xml:space="preserve">€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-0,2 %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0,8 %</w:t>
            </w:r>
          </w:p>
        </w:tc>
        <w:tc>
          <w:tcPr>
            <w:tcW w:w="1275"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-0,6 %</w:t>
            </w:r>
          </w:p>
        </w:tc>
        <w:tc>
          <w:tcPr>
            <w:tcW w:w="1979"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-11,0%</w:t>
            </w:r>
          </w:p>
        </w:tc>
      </w:tr>
      <w:tr w:rsidR="00BF7329" w:rsidTr="00CF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Castilla y León</w:t>
            </w:r>
          </w:p>
        </w:tc>
        <w:tc>
          <w:tcPr>
            <w:tcW w:w="1273" w:type="dxa"/>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1.448</w:t>
            </w:r>
            <w:r>
              <w:rPr>
                <w:rFonts w:ascii="Open Sans Light" w:hAnsi="Open Sans Light"/>
                <w:b/>
                <w:bCs/>
                <w:color w:val="404040" w:themeColor="text1" w:themeTint="BF"/>
                <w:sz w:val="22"/>
                <w:szCs w:val="22"/>
                <w:lang w:val="es-ES"/>
              </w:rPr>
              <w:t xml:space="preserve"> </w:t>
            </w:r>
            <w:r w:rsidRPr="00BF7329">
              <w:rPr>
                <w:rFonts w:ascii="Open Sans Light" w:hAnsi="Open Sans Light"/>
                <w:b/>
                <w:bCs/>
                <w:color w:val="404040" w:themeColor="text1" w:themeTint="BF"/>
                <w:sz w:val="22"/>
                <w:szCs w:val="22"/>
                <w:lang w:val="es-ES"/>
              </w:rPr>
              <w:t xml:space="preserve">€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-0,2 %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1,2 %</w:t>
            </w:r>
          </w:p>
        </w:tc>
        <w:tc>
          <w:tcPr>
            <w:tcW w:w="1275"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-0,2 %</w:t>
            </w:r>
          </w:p>
        </w:tc>
        <w:tc>
          <w:tcPr>
            <w:tcW w:w="1979"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-13,0%</w:t>
            </w:r>
          </w:p>
        </w:tc>
      </w:tr>
      <w:tr w:rsidR="00BF7329" w:rsidTr="00CF4F2A">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Canarias</w:t>
            </w:r>
          </w:p>
        </w:tc>
        <w:tc>
          <w:tcPr>
            <w:tcW w:w="1273" w:type="dxa"/>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1.398</w:t>
            </w:r>
            <w:r>
              <w:rPr>
                <w:rFonts w:ascii="Open Sans Light" w:hAnsi="Open Sans Light"/>
                <w:b/>
                <w:bCs/>
                <w:color w:val="404040" w:themeColor="text1" w:themeTint="BF"/>
                <w:sz w:val="22"/>
                <w:szCs w:val="22"/>
                <w:lang w:val="es-ES"/>
              </w:rPr>
              <w:t xml:space="preserve"> </w:t>
            </w:r>
            <w:r w:rsidRPr="00BF7329">
              <w:rPr>
                <w:rFonts w:ascii="Open Sans Light" w:hAnsi="Open Sans Light"/>
                <w:b/>
                <w:bCs/>
                <w:color w:val="404040" w:themeColor="text1" w:themeTint="BF"/>
                <w:sz w:val="22"/>
                <w:szCs w:val="22"/>
                <w:lang w:val="es-ES"/>
              </w:rPr>
              <w:t xml:space="preserve">€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-0,2 %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1,0 %</w:t>
            </w:r>
          </w:p>
        </w:tc>
        <w:tc>
          <w:tcPr>
            <w:tcW w:w="1275"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2,5 %</w:t>
            </w:r>
          </w:p>
        </w:tc>
        <w:tc>
          <w:tcPr>
            <w:tcW w:w="1979"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-16,0%</w:t>
            </w:r>
          </w:p>
        </w:tc>
      </w:tr>
      <w:tr w:rsidR="00BF7329" w:rsidTr="00CF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proofErr w:type="spellStart"/>
            <w:r w:rsidRPr="00BF7329">
              <w:rPr>
                <w:rFonts w:ascii="Open Sans Light" w:hAnsi="Open Sans Light"/>
                <w:lang w:val="es-ES"/>
              </w:rPr>
              <w:t>Comunitat</w:t>
            </w:r>
            <w:proofErr w:type="spellEnd"/>
            <w:r w:rsidRPr="00BF7329">
              <w:rPr>
                <w:rFonts w:ascii="Open Sans Light" w:hAnsi="Open Sans Light"/>
                <w:lang w:val="es-ES"/>
              </w:rPr>
              <w:t xml:space="preserve"> Valenciana</w:t>
            </w:r>
          </w:p>
        </w:tc>
        <w:tc>
          <w:tcPr>
            <w:tcW w:w="1273" w:type="dxa"/>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1.296</w:t>
            </w:r>
            <w:r>
              <w:rPr>
                <w:rFonts w:ascii="Open Sans Light" w:hAnsi="Open Sans Light"/>
                <w:b/>
                <w:bCs/>
                <w:color w:val="404040" w:themeColor="text1" w:themeTint="BF"/>
                <w:sz w:val="22"/>
                <w:szCs w:val="22"/>
                <w:lang w:val="es-ES"/>
              </w:rPr>
              <w:t xml:space="preserve"> </w:t>
            </w:r>
            <w:r w:rsidRPr="00BF7329">
              <w:rPr>
                <w:rFonts w:ascii="Open Sans Light" w:hAnsi="Open Sans Light"/>
                <w:b/>
                <w:bCs/>
                <w:color w:val="404040" w:themeColor="text1" w:themeTint="BF"/>
                <w:sz w:val="22"/>
                <w:szCs w:val="22"/>
                <w:lang w:val="es-ES"/>
              </w:rPr>
              <w:t xml:space="preserve">€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-0,5 %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0,8 %</w:t>
            </w:r>
          </w:p>
        </w:tc>
        <w:tc>
          <w:tcPr>
            <w:tcW w:w="1275"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1,8 %</w:t>
            </w:r>
          </w:p>
        </w:tc>
        <w:tc>
          <w:tcPr>
            <w:tcW w:w="1979"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-22,1%</w:t>
            </w:r>
          </w:p>
        </w:tc>
      </w:tr>
      <w:tr w:rsidR="00BF7329" w:rsidTr="00CF4F2A">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La Rioja</w:t>
            </w:r>
          </w:p>
        </w:tc>
        <w:tc>
          <w:tcPr>
            <w:tcW w:w="1273" w:type="dxa"/>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1.273 €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-0,2 %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2,3 %</w:t>
            </w:r>
          </w:p>
        </w:tc>
        <w:tc>
          <w:tcPr>
            <w:tcW w:w="1275"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-2,4 %</w:t>
            </w:r>
          </w:p>
        </w:tc>
        <w:tc>
          <w:tcPr>
            <w:tcW w:w="1979"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-23,5%</w:t>
            </w:r>
          </w:p>
        </w:tc>
      </w:tr>
      <w:tr w:rsidR="00BF7329" w:rsidTr="00CF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Región de Murcia</w:t>
            </w:r>
          </w:p>
        </w:tc>
        <w:tc>
          <w:tcPr>
            <w:tcW w:w="1273" w:type="dxa"/>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1.127</w:t>
            </w:r>
            <w:r>
              <w:rPr>
                <w:rFonts w:ascii="Open Sans Light" w:hAnsi="Open Sans Light"/>
                <w:b/>
                <w:bCs/>
                <w:color w:val="404040" w:themeColor="text1" w:themeTint="BF"/>
                <w:sz w:val="22"/>
                <w:szCs w:val="22"/>
                <w:lang w:val="es-ES"/>
              </w:rPr>
              <w:t xml:space="preserve"> </w:t>
            </w:r>
            <w:r w:rsidRPr="00BF7329">
              <w:rPr>
                <w:rFonts w:ascii="Open Sans Light" w:hAnsi="Open Sans Light"/>
                <w:b/>
                <w:bCs/>
                <w:color w:val="404040" w:themeColor="text1" w:themeTint="BF"/>
                <w:sz w:val="22"/>
                <w:szCs w:val="22"/>
                <w:lang w:val="es-ES"/>
              </w:rPr>
              <w:t xml:space="preserve">€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-0,2 %</w:t>
            </w:r>
          </w:p>
        </w:tc>
        <w:tc>
          <w:tcPr>
            <w:tcW w:w="1276"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-1,5 %</w:t>
            </w:r>
          </w:p>
        </w:tc>
        <w:tc>
          <w:tcPr>
            <w:tcW w:w="1275"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-1,4 %</w:t>
            </w:r>
          </w:p>
        </w:tc>
        <w:tc>
          <w:tcPr>
            <w:tcW w:w="1979" w:type="dxa"/>
            <w:vAlign w:val="bottom"/>
          </w:tcPr>
          <w:p w:rsidR="00BF7329" w:rsidRPr="00BF7329" w:rsidRDefault="00BF7329"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-32,3%</w:t>
            </w:r>
          </w:p>
        </w:tc>
      </w:tr>
      <w:tr w:rsidR="00BF7329" w:rsidTr="00CF4F2A">
        <w:tc>
          <w:tcPr>
            <w:cnfStyle w:val="001000000000" w:firstRow="0" w:lastRow="0" w:firstColumn="1" w:lastColumn="0" w:oddVBand="0" w:evenVBand="0" w:oddHBand="0" w:evenHBand="0" w:firstRowFirstColumn="0" w:firstRowLastColumn="0" w:lastRowFirstColumn="0" w:lastRowLastColumn="0"/>
            <w:tcW w:w="1704" w:type="dxa"/>
            <w:vAlign w:val="bottom"/>
          </w:tcPr>
          <w:p w:rsidR="00BF7329" w:rsidRPr="00BF7329" w:rsidRDefault="00BF7329" w:rsidP="00BF7329">
            <w:pPr>
              <w:rPr>
                <w:rFonts w:ascii="Open Sans Light" w:hAnsi="Open Sans Light"/>
                <w:lang w:val="es-ES"/>
              </w:rPr>
            </w:pPr>
            <w:r w:rsidRPr="00BF7329">
              <w:rPr>
                <w:rFonts w:ascii="Open Sans Light" w:hAnsi="Open Sans Light"/>
                <w:lang w:val="es-ES"/>
              </w:rPr>
              <w:t>Extremadura</w:t>
            </w:r>
          </w:p>
        </w:tc>
        <w:tc>
          <w:tcPr>
            <w:tcW w:w="1273" w:type="dxa"/>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404040" w:themeColor="text1" w:themeTint="BF"/>
                <w:sz w:val="22"/>
                <w:szCs w:val="22"/>
                <w:lang w:val="es-ES"/>
              </w:rPr>
            </w:pPr>
            <w:r w:rsidRPr="00BF7329">
              <w:rPr>
                <w:rFonts w:ascii="Open Sans Light" w:hAnsi="Open Sans Light"/>
                <w:b/>
                <w:bCs/>
                <w:color w:val="404040" w:themeColor="text1" w:themeTint="BF"/>
                <w:sz w:val="22"/>
                <w:szCs w:val="22"/>
                <w:lang w:val="es-ES"/>
              </w:rPr>
              <w:t xml:space="preserve">    1.098</w:t>
            </w:r>
            <w:r>
              <w:rPr>
                <w:rFonts w:ascii="Open Sans Light" w:hAnsi="Open Sans Light"/>
                <w:b/>
                <w:bCs/>
                <w:color w:val="404040" w:themeColor="text1" w:themeTint="BF"/>
                <w:sz w:val="22"/>
                <w:szCs w:val="22"/>
                <w:lang w:val="es-ES"/>
              </w:rPr>
              <w:t xml:space="preserve"> </w:t>
            </w:r>
            <w:r w:rsidRPr="00BF7329">
              <w:rPr>
                <w:rFonts w:ascii="Open Sans Light" w:hAnsi="Open Sans Light"/>
                <w:b/>
                <w:bCs/>
                <w:color w:val="404040" w:themeColor="text1" w:themeTint="BF"/>
                <w:sz w:val="22"/>
                <w:szCs w:val="22"/>
                <w:lang w:val="es-ES"/>
              </w:rPr>
              <w:t xml:space="preserve">€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-0,1 %</w:t>
            </w:r>
          </w:p>
        </w:tc>
        <w:tc>
          <w:tcPr>
            <w:tcW w:w="1276"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000000" w:themeColor="text1"/>
                <w:lang w:val="es-ES"/>
              </w:rPr>
              <w:t>0,7 %</w:t>
            </w:r>
          </w:p>
        </w:tc>
        <w:tc>
          <w:tcPr>
            <w:tcW w:w="1275"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000000" w:themeColor="text1"/>
                <w:lang w:val="es-ES"/>
              </w:rPr>
              <w:t>0,9 %</w:t>
            </w:r>
          </w:p>
        </w:tc>
        <w:tc>
          <w:tcPr>
            <w:tcW w:w="1979" w:type="dxa"/>
            <w:vAlign w:val="bottom"/>
          </w:tcPr>
          <w:p w:rsidR="00BF7329" w:rsidRPr="00BF7329" w:rsidRDefault="00BF7329" w:rsidP="00BF7329">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FF0000"/>
                <w:lang w:val="es-ES"/>
              </w:rPr>
            </w:pPr>
            <w:r w:rsidRPr="00BF7329">
              <w:rPr>
                <w:rFonts w:ascii="Open Sans Light" w:hAnsi="Open Sans Light"/>
                <w:b/>
                <w:bCs/>
                <w:color w:val="FF0000"/>
                <w:lang w:val="es-ES"/>
              </w:rPr>
              <w:t>-34,0%</w:t>
            </w:r>
          </w:p>
        </w:tc>
      </w:tr>
      <w:tr w:rsidR="00B81DEC" w:rsidTr="00B81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B81DEC" w:rsidRPr="003C30FC" w:rsidRDefault="00BF7329" w:rsidP="0070349E">
            <w:pPr>
              <w:rPr>
                <w:rFonts w:ascii="Open Sans Light" w:hAnsi="Open Sans Light"/>
                <w:lang w:val="es-ES"/>
              </w:rPr>
            </w:pPr>
            <w:r>
              <w:rPr>
                <w:rFonts w:ascii="Open Sans Light" w:hAnsi="Open Sans Light"/>
                <w:lang w:val="es-ES"/>
              </w:rPr>
              <w:t>España</w:t>
            </w:r>
          </w:p>
        </w:tc>
        <w:tc>
          <w:tcPr>
            <w:tcW w:w="1273" w:type="dxa"/>
          </w:tcPr>
          <w:p w:rsidR="00B81DEC" w:rsidRPr="003C30FC" w:rsidRDefault="00B81DEC" w:rsidP="00BF732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404040" w:themeColor="text1" w:themeTint="BF"/>
                <w:lang w:val="es-ES"/>
              </w:rPr>
            </w:pPr>
            <w:r w:rsidRPr="003C30FC">
              <w:rPr>
                <w:rFonts w:ascii="Open Sans Light" w:hAnsi="Open Sans Light"/>
                <w:b/>
                <w:bCs/>
                <w:color w:val="404040" w:themeColor="text1" w:themeTint="BF"/>
                <w:lang w:val="es-ES"/>
              </w:rPr>
              <w:t>1.</w:t>
            </w:r>
            <w:r w:rsidR="00BF7329">
              <w:rPr>
                <w:rFonts w:ascii="Open Sans Light" w:hAnsi="Open Sans Light"/>
                <w:b/>
                <w:bCs/>
                <w:color w:val="404040" w:themeColor="text1" w:themeTint="BF"/>
                <w:lang w:val="es-ES"/>
              </w:rPr>
              <w:t>664</w:t>
            </w:r>
            <w:r w:rsidRPr="003C30FC">
              <w:rPr>
                <w:rFonts w:ascii="Open Sans Light" w:hAnsi="Open Sans Light"/>
                <w:b/>
                <w:bCs/>
                <w:color w:val="404040" w:themeColor="text1" w:themeTint="BF"/>
                <w:lang w:val="es-ES"/>
              </w:rPr>
              <w:t xml:space="preserve"> €</w:t>
            </w:r>
          </w:p>
        </w:tc>
        <w:tc>
          <w:tcPr>
            <w:tcW w:w="1276" w:type="dxa"/>
          </w:tcPr>
          <w:p w:rsidR="00B81DEC" w:rsidRPr="00BF7329" w:rsidRDefault="00BF7329" w:rsidP="007034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0,2</w:t>
            </w:r>
            <w:r w:rsidR="00B81DEC" w:rsidRPr="00BF7329">
              <w:rPr>
                <w:rFonts w:ascii="Open Sans Light" w:hAnsi="Open Sans Light"/>
                <w:b/>
                <w:bCs/>
                <w:color w:val="000000" w:themeColor="text1"/>
                <w:lang w:val="es-ES"/>
              </w:rPr>
              <w:t>%</w:t>
            </w:r>
          </w:p>
        </w:tc>
        <w:tc>
          <w:tcPr>
            <w:tcW w:w="1276" w:type="dxa"/>
          </w:tcPr>
          <w:p w:rsidR="00B81DEC" w:rsidRPr="00BF7329" w:rsidRDefault="00BF7329" w:rsidP="007034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0,9%</w:t>
            </w:r>
          </w:p>
        </w:tc>
        <w:tc>
          <w:tcPr>
            <w:tcW w:w="1275" w:type="dxa"/>
          </w:tcPr>
          <w:p w:rsidR="00B81DEC" w:rsidRPr="00BF7329" w:rsidRDefault="00BF7329" w:rsidP="007034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2,2%</w:t>
            </w:r>
          </w:p>
        </w:tc>
        <w:tc>
          <w:tcPr>
            <w:tcW w:w="1979" w:type="dxa"/>
          </w:tcPr>
          <w:p w:rsidR="00B81DEC" w:rsidRPr="00BF7329" w:rsidRDefault="00BF7329" w:rsidP="007034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000000" w:themeColor="text1"/>
                <w:lang w:val="es-ES"/>
              </w:rPr>
            </w:pPr>
            <w:r w:rsidRPr="00BF7329">
              <w:rPr>
                <w:rFonts w:ascii="Open Sans Light" w:hAnsi="Open Sans Light"/>
                <w:b/>
                <w:bCs/>
                <w:color w:val="000000" w:themeColor="text1"/>
                <w:lang w:val="es-ES"/>
              </w:rPr>
              <w:t>------</w:t>
            </w:r>
          </w:p>
        </w:tc>
      </w:tr>
    </w:tbl>
    <w:p w:rsidR="00763F0F" w:rsidRDefault="00763F0F" w:rsidP="00BC0CC9">
      <w:pPr>
        <w:ind w:left="-1134"/>
        <w:jc w:val="both"/>
        <w:rPr>
          <w:rFonts w:ascii="Open Sans Light" w:hAnsi="Open Sans Light"/>
          <w:color w:val="404040" w:themeColor="text1" w:themeTint="BF"/>
          <w:lang w:val="es-ES"/>
        </w:rPr>
      </w:pPr>
    </w:p>
    <w:p w:rsidR="00FD62C7" w:rsidRDefault="00FD62C7" w:rsidP="00BC0CC9">
      <w:pPr>
        <w:ind w:left="-1134"/>
        <w:jc w:val="both"/>
        <w:rPr>
          <w:rFonts w:ascii="Open Sans Light" w:hAnsi="Open Sans Light"/>
          <w:color w:val="404040" w:themeColor="text1" w:themeTint="BF"/>
          <w:lang w:val="es-ES"/>
        </w:rPr>
      </w:pPr>
    </w:p>
    <w:p w:rsidR="00BF7329" w:rsidRPr="00BF7329" w:rsidRDefault="00BF7329" w:rsidP="00BF7329">
      <w:pPr>
        <w:ind w:left="-1134"/>
        <w:jc w:val="both"/>
        <w:rPr>
          <w:rFonts w:ascii="Open Sans Light" w:hAnsi="Open Sans Light"/>
          <w:color w:val="404040" w:themeColor="text1" w:themeTint="BF"/>
          <w:lang w:val="es-ES"/>
        </w:rPr>
      </w:pPr>
      <w:r w:rsidRPr="00BF7329">
        <w:rPr>
          <w:rFonts w:ascii="Open Sans Light" w:hAnsi="Open Sans Light"/>
          <w:color w:val="404040" w:themeColor="text1" w:themeTint="BF"/>
          <w:lang w:val="es-ES"/>
        </w:rPr>
        <w:t>Respecto a la evolución de las provincias, de las 50 provincias estudiadas, 33 presentan una variación trimestral positiva. La provincia con mayor variación trimestral de precio es Almería (3,9%), seguida de Barcelona (3,5%) y Baleares (2,7%), mientras Teruel es la provincia que más desciende de precio este trimestre (-2,4%).</w:t>
      </w:r>
    </w:p>
    <w:p w:rsidR="00BF7329" w:rsidRPr="00BF7329" w:rsidRDefault="00BF7329" w:rsidP="00BF7329">
      <w:pPr>
        <w:ind w:left="-1134"/>
        <w:jc w:val="both"/>
        <w:rPr>
          <w:rFonts w:ascii="Open Sans Light" w:hAnsi="Open Sans Light"/>
          <w:b/>
          <w:bCs/>
          <w:color w:val="404040" w:themeColor="text1" w:themeTint="BF"/>
          <w:lang w:val="es-ES"/>
        </w:rPr>
      </w:pPr>
    </w:p>
    <w:p w:rsidR="00BF7329" w:rsidRPr="00BF7329" w:rsidRDefault="00BF7329" w:rsidP="00BF7329">
      <w:pPr>
        <w:ind w:left="-1134"/>
        <w:jc w:val="both"/>
        <w:rPr>
          <w:rFonts w:ascii="Open Sans Light" w:hAnsi="Open Sans Light"/>
          <w:b/>
          <w:bCs/>
          <w:color w:val="404040" w:themeColor="text1" w:themeTint="BF"/>
          <w:lang w:val="es-ES"/>
        </w:rPr>
      </w:pPr>
    </w:p>
    <w:p w:rsidR="00BF7329" w:rsidRPr="00BF7329" w:rsidRDefault="00BF7329" w:rsidP="00BF7329">
      <w:pPr>
        <w:ind w:left="-1134"/>
        <w:rPr>
          <w:rFonts w:ascii="Open Sans" w:hAnsi="Open Sans"/>
          <w:color w:val="00AAAB"/>
          <w:lang w:val="es-ES"/>
        </w:rPr>
      </w:pPr>
      <w:r w:rsidRPr="00BF7329">
        <w:rPr>
          <w:rFonts w:ascii="Open Sans" w:hAnsi="Open Sans"/>
          <w:color w:val="00AAAB"/>
          <w:lang w:val="es-ES"/>
        </w:rPr>
        <w:t>El precio sube en 18 distritos de Madrid y en todos los de Barcelona</w:t>
      </w:r>
    </w:p>
    <w:p w:rsidR="00BF7329" w:rsidRPr="00BF7329" w:rsidRDefault="00BF7329" w:rsidP="00BF7329">
      <w:pPr>
        <w:ind w:left="-1134"/>
        <w:jc w:val="both"/>
        <w:rPr>
          <w:rFonts w:ascii="Open Sans Light" w:hAnsi="Open Sans Light"/>
          <w:b/>
          <w:bCs/>
          <w:color w:val="404040" w:themeColor="text1" w:themeTint="BF"/>
          <w:lang w:val="es-ES"/>
        </w:rPr>
      </w:pPr>
    </w:p>
    <w:p w:rsidR="00BF7329" w:rsidRPr="00BF7329" w:rsidRDefault="00BF7329" w:rsidP="00BF7329">
      <w:pPr>
        <w:ind w:left="-1134"/>
        <w:jc w:val="both"/>
        <w:rPr>
          <w:rFonts w:ascii="Open Sans Light" w:hAnsi="Open Sans Light"/>
          <w:color w:val="404040" w:themeColor="text1" w:themeTint="BF"/>
          <w:lang w:val="es-ES"/>
        </w:rPr>
      </w:pPr>
      <w:r w:rsidRPr="00BF7329">
        <w:rPr>
          <w:rFonts w:ascii="Open Sans Light" w:hAnsi="Open Sans Light"/>
          <w:color w:val="404040" w:themeColor="text1" w:themeTint="BF"/>
          <w:lang w:val="es-ES"/>
        </w:rPr>
        <w:t xml:space="preserve">El Índice Inmobiliario </w:t>
      </w:r>
      <w:hyperlink r:id="rId15" w:history="1">
        <w:proofErr w:type="spellStart"/>
        <w:r w:rsidRPr="00BC0CC9">
          <w:rPr>
            <w:rStyle w:val="Hipervnculo"/>
            <w:rFonts w:ascii="Open Sans Light" w:hAnsi="Open Sans Light"/>
            <w:b/>
            <w:bCs/>
            <w:lang w:val="es-ES"/>
          </w:rPr>
          <w:t>fotocasa</w:t>
        </w:r>
        <w:proofErr w:type="spellEnd"/>
      </w:hyperlink>
      <w:r w:rsidRPr="00BF7329">
        <w:rPr>
          <w:rFonts w:ascii="Open Sans Light" w:hAnsi="Open Sans Light"/>
          <w:color w:val="404040" w:themeColor="text1" w:themeTint="BF"/>
          <w:lang w:val="es-ES"/>
        </w:rPr>
        <w:t xml:space="preserve"> también estudia los distritos de las ciudades españolas. Una vez más, destacan los distritos de las ciudades de Madrid y Barcelona en las que se incrementa el precio en la mayoría de los barrios. </w:t>
      </w:r>
    </w:p>
    <w:p w:rsidR="00BF7329" w:rsidRPr="00BF7329" w:rsidRDefault="00BF7329" w:rsidP="00BF7329">
      <w:pPr>
        <w:ind w:left="-1134"/>
        <w:jc w:val="both"/>
        <w:rPr>
          <w:rFonts w:ascii="Open Sans Light" w:hAnsi="Open Sans Light"/>
          <w:color w:val="404040" w:themeColor="text1" w:themeTint="BF"/>
          <w:lang w:val="es-ES"/>
        </w:rPr>
      </w:pPr>
    </w:p>
    <w:p w:rsidR="00BF7329" w:rsidRPr="00BF7329" w:rsidRDefault="00BF7329" w:rsidP="00BF7329">
      <w:pPr>
        <w:ind w:left="-1134"/>
        <w:jc w:val="both"/>
        <w:rPr>
          <w:rFonts w:ascii="Open Sans Light" w:hAnsi="Open Sans Light"/>
          <w:color w:val="404040" w:themeColor="text1" w:themeTint="BF"/>
          <w:lang w:val="es-ES"/>
        </w:rPr>
      </w:pPr>
      <w:r w:rsidRPr="00BF7329">
        <w:rPr>
          <w:rFonts w:ascii="Open Sans Light" w:hAnsi="Open Sans Light"/>
          <w:color w:val="404040" w:themeColor="text1" w:themeTint="BF"/>
          <w:lang w:val="es-ES"/>
        </w:rPr>
        <w:t xml:space="preserve">En la ciudad de Madrid, 18 de los 21 distritos analizados por </w:t>
      </w:r>
      <w:r>
        <w:fldChar w:fldCharType="begin"/>
      </w:r>
      <w:r>
        <w:instrText xml:space="preserve"> HYPERLINK "http://www.fotocasa.es" </w:instrText>
      </w:r>
      <w:r>
        <w:fldChar w:fldCharType="separate"/>
      </w:r>
      <w:r w:rsidRPr="00BC0CC9">
        <w:rPr>
          <w:rStyle w:val="Hipervnculo"/>
          <w:rFonts w:ascii="Open Sans Light" w:hAnsi="Open Sans Light"/>
          <w:b/>
          <w:bCs/>
          <w:lang w:val="es-ES"/>
        </w:rPr>
        <w:t>fotocasa</w:t>
      </w:r>
      <w:r>
        <w:rPr>
          <w:rStyle w:val="Hipervnculo"/>
          <w:rFonts w:ascii="Open Sans Light" w:hAnsi="Open Sans Light"/>
          <w:b/>
          <w:bCs/>
          <w:lang w:val="es-ES"/>
        </w:rPr>
        <w:fldChar w:fldCharType="end"/>
      </w:r>
      <w:bookmarkStart w:id="0" w:name="_GoBack"/>
      <w:bookmarkEnd w:id="0"/>
      <w:r w:rsidRPr="00BF7329">
        <w:rPr>
          <w:rFonts w:ascii="Open Sans Light" w:hAnsi="Open Sans Light"/>
          <w:color w:val="404040" w:themeColor="text1" w:themeTint="BF"/>
          <w:lang w:val="es-ES"/>
        </w:rPr>
        <w:t xml:space="preserve"> incrementan el precio en el primer trimestre del año. El mayor ascenso se da en </w:t>
      </w:r>
      <w:proofErr w:type="spellStart"/>
      <w:r w:rsidRPr="00BF7329">
        <w:rPr>
          <w:rFonts w:ascii="Open Sans Light" w:hAnsi="Open Sans Light"/>
          <w:color w:val="404040" w:themeColor="text1" w:themeTint="BF"/>
          <w:lang w:val="es-ES"/>
        </w:rPr>
        <w:t>Arganzuela</w:t>
      </w:r>
      <w:proofErr w:type="spellEnd"/>
      <w:r w:rsidRPr="00BF7329">
        <w:rPr>
          <w:rFonts w:ascii="Open Sans Light" w:hAnsi="Open Sans Light"/>
          <w:color w:val="404040" w:themeColor="text1" w:themeTint="BF"/>
          <w:lang w:val="es-ES"/>
        </w:rPr>
        <w:t>, con una subida del 5,6%. Le sigue la zona de Chamartín, con una subida de un 5,0%, Chamberí (4,9%) y San Blas (4,7%).</w:t>
      </w:r>
    </w:p>
    <w:p w:rsidR="00BF7329" w:rsidRPr="00BF7329" w:rsidRDefault="00BF7329" w:rsidP="00BF7329">
      <w:pPr>
        <w:ind w:left="-1134"/>
        <w:jc w:val="both"/>
        <w:rPr>
          <w:rFonts w:ascii="Open Sans Light" w:hAnsi="Open Sans Light"/>
          <w:color w:val="404040" w:themeColor="text1" w:themeTint="BF"/>
          <w:lang w:val="es-ES"/>
        </w:rPr>
      </w:pPr>
    </w:p>
    <w:p w:rsidR="00BF7329" w:rsidRPr="00BF7329" w:rsidRDefault="00BF7329" w:rsidP="00BF7329">
      <w:pPr>
        <w:ind w:left="-1134"/>
        <w:jc w:val="both"/>
        <w:rPr>
          <w:rFonts w:ascii="Open Sans Light" w:hAnsi="Open Sans Light"/>
          <w:color w:val="404040" w:themeColor="text1" w:themeTint="BF"/>
          <w:lang w:val="es-ES"/>
        </w:rPr>
      </w:pPr>
      <w:r w:rsidRPr="00BF7329">
        <w:rPr>
          <w:rFonts w:ascii="Open Sans Light" w:hAnsi="Open Sans Light"/>
          <w:color w:val="404040" w:themeColor="text1" w:themeTint="BF"/>
          <w:lang w:val="es-ES"/>
        </w:rPr>
        <w:t>En cuanto a los precios, el barrio de Salamanca sigue siendo el más caro para adquirir una vivienda de segunda mano, (4.499 €/m2), seguido de Chamberí (4.366 €/m2), Chamartín (4.302 €/m2), Centro (3.878 €/m2) y Retiro (3.626 €/m2).</w:t>
      </w:r>
    </w:p>
    <w:p w:rsidR="00BF7329" w:rsidRPr="00BF7329" w:rsidRDefault="00BF7329" w:rsidP="00BF7329">
      <w:pPr>
        <w:ind w:left="-1134"/>
        <w:jc w:val="both"/>
        <w:rPr>
          <w:rFonts w:ascii="Open Sans Light" w:hAnsi="Open Sans Light"/>
          <w:color w:val="404040" w:themeColor="text1" w:themeTint="BF"/>
          <w:lang w:val="es-ES"/>
        </w:rPr>
      </w:pPr>
    </w:p>
    <w:p w:rsidR="00BF7329" w:rsidRPr="00BF7329" w:rsidRDefault="00BF7329" w:rsidP="00BF7329">
      <w:pPr>
        <w:ind w:left="-1134"/>
        <w:jc w:val="both"/>
        <w:rPr>
          <w:rFonts w:ascii="Open Sans Light" w:hAnsi="Open Sans Light"/>
          <w:color w:val="404040" w:themeColor="text1" w:themeTint="BF"/>
          <w:lang w:val="es-ES"/>
        </w:rPr>
      </w:pPr>
      <w:r w:rsidRPr="00BF7329">
        <w:rPr>
          <w:rFonts w:ascii="Open Sans Light" w:hAnsi="Open Sans Light"/>
          <w:color w:val="404040" w:themeColor="text1" w:themeTint="BF"/>
          <w:lang w:val="es-ES"/>
        </w:rPr>
        <w:t xml:space="preserve">El precio sube en los diez distritos de Barcelona. El barrio de </w:t>
      </w:r>
      <w:proofErr w:type="spellStart"/>
      <w:r w:rsidRPr="00BF7329">
        <w:rPr>
          <w:rFonts w:ascii="Open Sans Light" w:hAnsi="Open Sans Light"/>
          <w:color w:val="404040" w:themeColor="text1" w:themeTint="BF"/>
          <w:lang w:val="es-ES"/>
        </w:rPr>
        <w:t>Sants</w:t>
      </w:r>
      <w:proofErr w:type="spellEnd"/>
      <w:r w:rsidRPr="00BF7329">
        <w:rPr>
          <w:rFonts w:ascii="Open Sans Light" w:hAnsi="Open Sans Light"/>
          <w:color w:val="404040" w:themeColor="text1" w:themeTint="BF"/>
          <w:lang w:val="es-ES"/>
        </w:rPr>
        <w:t xml:space="preserve"> – </w:t>
      </w:r>
      <w:proofErr w:type="spellStart"/>
      <w:r w:rsidRPr="00BF7329">
        <w:rPr>
          <w:rFonts w:ascii="Open Sans Light" w:hAnsi="Open Sans Light"/>
          <w:color w:val="404040" w:themeColor="text1" w:themeTint="BF"/>
          <w:lang w:val="es-ES"/>
        </w:rPr>
        <w:t>Montjuïc</w:t>
      </w:r>
      <w:proofErr w:type="spellEnd"/>
      <w:r w:rsidRPr="00BF7329">
        <w:rPr>
          <w:rFonts w:ascii="Open Sans Light" w:hAnsi="Open Sans Light"/>
          <w:color w:val="404040" w:themeColor="text1" w:themeTint="BF"/>
          <w:lang w:val="es-ES"/>
        </w:rPr>
        <w:t xml:space="preserve"> es el que registra la mayor subida de precios en el primer trimestre, concretamente un 7,3 % y sitúa el precio medio en  3.310 €/m2. En el lado opuesto, el distrito barcelonés de </w:t>
      </w:r>
      <w:proofErr w:type="spellStart"/>
      <w:r w:rsidRPr="00BF7329">
        <w:rPr>
          <w:rFonts w:ascii="Open Sans Light" w:hAnsi="Open Sans Light"/>
          <w:color w:val="404040" w:themeColor="text1" w:themeTint="BF"/>
          <w:lang w:val="es-ES"/>
        </w:rPr>
        <w:t>Nou</w:t>
      </w:r>
      <w:proofErr w:type="spellEnd"/>
      <w:r w:rsidRPr="00BF7329">
        <w:rPr>
          <w:rFonts w:ascii="Open Sans Light" w:hAnsi="Open Sans Light"/>
          <w:color w:val="404040" w:themeColor="text1" w:themeTint="BF"/>
          <w:lang w:val="es-ES"/>
        </w:rPr>
        <w:t xml:space="preserve"> </w:t>
      </w:r>
      <w:proofErr w:type="spellStart"/>
      <w:r w:rsidRPr="00BF7329">
        <w:rPr>
          <w:rFonts w:ascii="Open Sans Light" w:hAnsi="Open Sans Light"/>
          <w:color w:val="404040" w:themeColor="text1" w:themeTint="BF"/>
          <w:lang w:val="es-ES"/>
        </w:rPr>
        <w:t>Barris</w:t>
      </w:r>
      <w:proofErr w:type="spellEnd"/>
      <w:r w:rsidRPr="00BF7329">
        <w:rPr>
          <w:rFonts w:ascii="Open Sans Light" w:hAnsi="Open Sans Light"/>
          <w:color w:val="404040" w:themeColor="text1" w:themeTint="BF"/>
          <w:lang w:val="es-ES"/>
        </w:rPr>
        <w:t xml:space="preserve"> registra la menor subida de precios, un -2,3% y sitúa el precio de la vivienda de segunda mano en 2.099 €/m2. </w:t>
      </w:r>
    </w:p>
    <w:p w:rsidR="00BF7329" w:rsidRPr="00BF7329" w:rsidRDefault="00BF7329" w:rsidP="00BF7329">
      <w:pPr>
        <w:ind w:left="-1134"/>
        <w:jc w:val="both"/>
        <w:rPr>
          <w:rFonts w:ascii="Open Sans Light" w:hAnsi="Open Sans Light"/>
          <w:color w:val="404040" w:themeColor="text1" w:themeTint="BF"/>
          <w:lang w:val="es-ES"/>
        </w:rPr>
      </w:pPr>
    </w:p>
    <w:p w:rsidR="00AF0800" w:rsidRDefault="00BF7329" w:rsidP="00BF7329">
      <w:pPr>
        <w:ind w:left="-1134"/>
        <w:jc w:val="both"/>
        <w:rPr>
          <w:rFonts w:ascii="Open Sans Light" w:hAnsi="Open Sans Light"/>
          <w:color w:val="404040" w:themeColor="text1" w:themeTint="BF"/>
          <w:lang w:val="es-ES"/>
        </w:rPr>
      </w:pPr>
      <w:r w:rsidRPr="00BF7329">
        <w:rPr>
          <w:rFonts w:ascii="Open Sans Light" w:hAnsi="Open Sans Light"/>
          <w:color w:val="404040" w:themeColor="text1" w:themeTint="BF"/>
          <w:lang w:val="es-ES"/>
        </w:rPr>
        <w:t xml:space="preserve">En cuanto a los barrios barceloneses con el precio de la vivienda más alto en marzo, </w:t>
      </w:r>
      <w:proofErr w:type="spellStart"/>
      <w:r w:rsidRPr="00BF7329">
        <w:rPr>
          <w:rFonts w:ascii="Open Sans Light" w:hAnsi="Open Sans Light"/>
          <w:color w:val="404040" w:themeColor="text1" w:themeTint="BF"/>
          <w:lang w:val="es-ES"/>
        </w:rPr>
        <w:t>Sarrià-Sant</w:t>
      </w:r>
      <w:proofErr w:type="spellEnd"/>
      <w:r w:rsidRPr="00BF7329">
        <w:rPr>
          <w:rFonts w:ascii="Open Sans Light" w:hAnsi="Open Sans Light"/>
          <w:color w:val="404040" w:themeColor="text1" w:themeTint="BF"/>
          <w:lang w:val="es-ES"/>
        </w:rPr>
        <w:t xml:space="preserve"> </w:t>
      </w:r>
      <w:proofErr w:type="spellStart"/>
      <w:r w:rsidRPr="00BF7329">
        <w:rPr>
          <w:rFonts w:ascii="Open Sans Light" w:hAnsi="Open Sans Light"/>
          <w:color w:val="404040" w:themeColor="text1" w:themeTint="BF"/>
          <w:lang w:val="es-ES"/>
        </w:rPr>
        <w:t>Gervasi</w:t>
      </w:r>
      <w:proofErr w:type="spellEnd"/>
      <w:r w:rsidRPr="00BF7329">
        <w:rPr>
          <w:rFonts w:ascii="Open Sans Light" w:hAnsi="Open Sans Light"/>
          <w:color w:val="404040" w:themeColor="text1" w:themeTint="BF"/>
          <w:lang w:val="es-ES"/>
        </w:rPr>
        <w:t xml:space="preserve"> lidera el ranking de la ciudad como el distrito más caro para comprar una vivienda. El precio medio de la vivienda de segunda mano en marzo en este distrito es de  5.271 €/m2. Por otro lado, el distrito de </w:t>
      </w:r>
      <w:proofErr w:type="spellStart"/>
      <w:r w:rsidRPr="00BF7329">
        <w:rPr>
          <w:rFonts w:ascii="Open Sans Light" w:hAnsi="Open Sans Light"/>
          <w:color w:val="404040" w:themeColor="text1" w:themeTint="BF"/>
          <w:lang w:val="es-ES"/>
        </w:rPr>
        <w:t>Nou</w:t>
      </w:r>
      <w:proofErr w:type="spellEnd"/>
      <w:r w:rsidRPr="00BF7329">
        <w:rPr>
          <w:rFonts w:ascii="Open Sans Light" w:hAnsi="Open Sans Light"/>
          <w:color w:val="404040" w:themeColor="text1" w:themeTint="BF"/>
          <w:lang w:val="es-ES"/>
        </w:rPr>
        <w:t xml:space="preserve"> </w:t>
      </w:r>
      <w:proofErr w:type="spellStart"/>
      <w:r w:rsidRPr="00BF7329">
        <w:rPr>
          <w:rFonts w:ascii="Open Sans Light" w:hAnsi="Open Sans Light"/>
          <w:color w:val="404040" w:themeColor="text1" w:themeTint="BF"/>
          <w:lang w:val="es-ES"/>
        </w:rPr>
        <w:t>Barris</w:t>
      </w:r>
      <w:proofErr w:type="spellEnd"/>
      <w:r w:rsidRPr="00BF7329">
        <w:rPr>
          <w:rFonts w:ascii="Open Sans Light" w:hAnsi="Open Sans Light"/>
          <w:color w:val="404040" w:themeColor="text1" w:themeTint="BF"/>
          <w:lang w:val="es-ES"/>
        </w:rPr>
        <w:t xml:space="preserve"> es el que registra el precio más bajo, 2.099 €/m2.</w:t>
      </w:r>
    </w:p>
    <w:p w:rsidR="00794CAF" w:rsidRDefault="00794CAF" w:rsidP="00BC0CC9">
      <w:pPr>
        <w:ind w:left="-1134"/>
        <w:jc w:val="both"/>
        <w:rPr>
          <w:rFonts w:ascii="Open Sans Light" w:hAnsi="Open Sans Light"/>
          <w:color w:val="404040" w:themeColor="text1" w:themeTint="BF"/>
          <w:lang w:val="es-ES"/>
        </w:rPr>
      </w:pPr>
    </w:p>
    <w:p w:rsidR="00E8753C" w:rsidRDefault="00E8753C" w:rsidP="00E8753C">
      <w:pPr>
        <w:jc w:val="both"/>
        <w:rPr>
          <w:rFonts w:ascii="Open Sans Light" w:hAnsi="Open Sans Light"/>
          <w:color w:val="404040" w:themeColor="text1" w:themeTint="BF"/>
          <w:lang w:val="es-ES"/>
        </w:rPr>
      </w:pPr>
    </w:p>
    <w:p w:rsidR="00BF7329" w:rsidRDefault="00BF7329" w:rsidP="00E8753C">
      <w:pPr>
        <w:jc w:val="both"/>
        <w:rPr>
          <w:rFonts w:ascii="Open Sans Light" w:hAnsi="Open Sans Light"/>
          <w:color w:val="404040" w:themeColor="text1" w:themeTint="BF"/>
          <w:lang w:val="es-ES"/>
        </w:rPr>
      </w:pPr>
    </w:p>
    <w:p w:rsidR="00BF7329" w:rsidRDefault="00BF7329" w:rsidP="00E8753C">
      <w:pPr>
        <w:jc w:val="both"/>
        <w:rPr>
          <w:rFonts w:ascii="Open Sans Light" w:hAnsi="Open Sans Light"/>
          <w:color w:val="404040" w:themeColor="text1" w:themeTint="BF"/>
          <w:lang w:val="es-ES"/>
        </w:rPr>
      </w:pPr>
    </w:p>
    <w:p w:rsidR="00BF7329" w:rsidRDefault="00BF7329" w:rsidP="00E8753C">
      <w:pPr>
        <w:jc w:val="both"/>
        <w:rPr>
          <w:rFonts w:ascii="Open Sans Light" w:hAnsi="Open Sans Light"/>
          <w:color w:val="404040" w:themeColor="text1" w:themeTint="BF"/>
          <w:lang w:val="es-ES"/>
        </w:rPr>
      </w:pPr>
    </w:p>
    <w:p w:rsidR="00BF7329" w:rsidRDefault="00BF7329" w:rsidP="00E8753C">
      <w:pPr>
        <w:jc w:val="both"/>
        <w:rPr>
          <w:rFonts w:ascii="Open Sans Light" w:hAnsi="Open Sans Light"/>
          <w:color w:val="404040" w:themeColor="text1" w:themeTint="BF"/>
          <w:lang w:val="es-ES"/>
        </w:rPr>
      </w:pPr>
    </w:p>
    <w:p w:rsidR="00BF7329" w:rsidRPr="0052608C" w:rsidRDefault="00BF7329" w:rsidP="00E8753C">
      <w:pPr>
        <w:jc w:val="both"/>
        <w:rPr>
          <w:rFonts w:ascii="Open Sans Light" w:hAnsi="Open Sans Light"/>
          <w:color w:val="404040" w:themeColor="text1" w:themeTint="BF"/>
          <w:lang w:val="es-ES"/>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Pr="00AD3BC9">
        <w:rPr>
          <w:rFonts w:ascii="Open Sans Light" w:hAnsi="Open Sans Light" w:cs="Gisha"/>
          <w:b/>
          <w:bCs/>
          <w:sz w:val="22"/>
          <w:szCs w:val="22"/>
          <w:lang w:val="es-ES"/>
        </w:rPr>
        <w:t>19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16" w:history="1">
        <w:r w:rsidRPr="001606E5">
          <w:rPr>
            <w:rStyle w:val="Hipervnculo"/>
            <w:rFonts w:ascii="Open Sans Light" w:hAnsi="Open Sans Light" w:cs="Gisha"/>
            <w:i/>
            <w:iCs/>
            <w:sz w:val="22"/>
            <w:szCs w:val="22"/>
            <w:lang w:val="es-ES"/>
          </w:rPr>
          <w:t xml:space="preserve">índice inmobiliario </w:t>
        </w:r>
        <w:proofErr w:type="spellStart"/>
        <w:r w:rsidRPr="001606E5">
          <w:rPr>
            <w:rStyle w:val="Hipervnculo"/>
            <w:rFonts w:ascii="Open Sans Light" w:hAnsi="Open Sans Light" w:cs="Gisha"/>
            <w:i/>
            <w:iCs/>
            <w:sz w:val="22"/>
            <w:szCs w:val="22"/>
            <w:lang w:val="es-ES"/>
          </w:rPr>
          <w:t>fotocasa</w:t>
        </w:r>
        <w:proofErr w:type="spellEnd"/>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BF7329" w:rsidP="00AD3BC9">
      <w:pPr>
        <w:autoSpaceDE w:val="0"/>
        <w:autoSpaceDN w:val="0"/>
        <w:adjustRightInd w:val="0"/>
        <w:ind w:left="-1134"/>
        <w:jc w:val="both"/>
        <w:rPr>
          <w:rFonts w:ascii="Open Sans Light" w:hAnsi="Open Sans Light" w:cs="Gisha"/>
          <w:sz w:val="22"/>
          <w:szCs w:val="22"/>
          <w:lang w:val="es-ES"/>
        </w:rPr>
      </w:pPr>
      <w:hyperlink r:id="rId17"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8"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19"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0"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2"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3"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4"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5"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6"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6F6A28" w:rsidRDefault="006F6A28" w:rsidP="00AD3BC9">
      <w:pPr>
        <w:ind w:left="-1134"/>
        <w:jc w:val="both"/>
        <w:rPr>
          <w:rFonts w:ascii="Open Sans Light" w:hAnsi="Open Sans Light"/>
          <w:color w:val="404040" w:themeColor="text1" w:themeTint="BF"/>
          <w:lang w:val="es-ES"/>
        </w:rPr>
      </w:pPr>
    </w:p>
    <w:p w:rsidR="00AF0800" w:rsidRDefault="00AF0800"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spellStart"/>
      <w:proofErr w:type="gramStart"/>
      <w:r w:rsidRPr="00CE21FC">
        <w:rPr>
          <w:rFonts w:ascii="Open Sans Light" w:hAnsi="Open Sans Light" w:cs="Gisha"/>
          <w:lang w:val="en-US"/>
        </w:rPr>
        <w:t>Tlf</w:t>
      </w:r>
      <w:proofErr w:type="spellEnd"/>
      <w:r w:rsidRPr="00CE21FC">
        <w:rPr>
          <w:rFonts w:ascii="Open Sans Light" w:hAnsi="Open Sans Light" w:cs="Gisha"/>
          <w:lang w:val="en-US"/>
        </w:rPr>
        <w:t>.:</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27"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28"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29"/>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3C" w:rsidRDefault="00E8753C" w:rsidP="0052608C">
      <w:r>
        <w:separator/>
      </w:r>
    </w:p>
  </w:endnote>
  <w:endnote w:type="continuationSeparator" w:id="0">
    <w:p w:rsidR="00E8753C" w:rsidRDefault="00E8753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3C" w:rsidRDefault="00E8753C" w:rsidP="0052608C">
      <w:r>
        <w:separator/>
      </w:r>
    </w:p>
  </w:footnote>
  <w:footnote w:type="continuationSeparator" w:id="0">
    <w:p w:rsidR="00E8753C" w:rsidRDefault="00E8753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51CE3"/>
    <w:rsid w:val="001E55E9"/>
    <w:rsid w:val="0025238E"/>
    <w:rsid w:val="0030499F"/>
    <w:rsid w:val="00365EE5"/>
    <w:rsid w:val="003C30FC"/>
    <w:rsid w:val="0052608C"/>
    <w:rsid w:val="006B3404"/>
    <w:rsid w:val="006F6A28"/>
    <w:rsid w:val="00700B0C"/>
    <w:rsid w:val="00763F0F"/>
    <w:rsid w:val="00794CAF"/>
    <w:rsid w:val="007A55E0"/>
    <w:rsid w:val="007A7435"/>
    <w:rsid w:val="00905EAB"/>
    <w:rsid w:val="00AB5432"/>
    <w:rsid w:val="00AD3BC9"/>
    <w:rsid w:val="00AD62DD"/>
    <w:rsid w:val="00AF0800"/>
    <w:rsid w:val="00B81DEC"/>
    <w:rsid w:val="00BA1ECD"/>
    <w:rsid w:val="00BC0CC9"/>
    <w:rsid w:val="00BE2674"/>
    <w:rsid w:val="00BF7329"/>
    <w:rsid w:val="00C521E4"/>
    <w:rsid w:val="00CE21FC"/>
    <w:rsid w:val="00D15046"/>
    <w:rsid w:val="00E8753C"/>
    <w:rsid w:val="00EB7C25"/>
    <w:rsid w:val="00FD62C7"/>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schibsted.es/" TargetMode="External"/><Relationship Id="rId26" Type="http://schemas.openxmlformats.org/officeDocument/2006/relationships/hyperlink" Target="http://www.schibsted.com/en/"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http://www.milanuncios.es/" TargetMode="External"/><Relationship Id="rId2" Type="http://schemas.openxmlformats.org/officeDocument/2006/relationships/numbering" Target="numbering.xml"/><Relationship Id="rId16" Type="http://schemas.openxmlformats.org/officeDocument/2006/relationships/hyperlink" Target="http://www.fotocasa.es/indice-inmobiliario__fotocasa.aspx" TargetMode="External"/><Relationship Id="rId20" Type="http://schemas.openxmlformats.org/officeDocument/2006/relationships/hyperlink" Target="http://www.vibb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motos.coches.net/"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coches.net/" TargetMode="External"/><Relationship Id="rId28"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www.habitaclia.com/"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dPt>
          <c:dPt>
            <c:idx val="1"/>
            <c:invertIfNegative val="0"/>
            <c:bubble3D val="0"/>
            <c:spPr>
              <a:solidFill>
                <a:srgbClr val="FF0000"/>
              </a:solidFill>
              <a:ln>
                <a:noFill/>
              </a:ln>
              <a:effectLst/>
            </c:spPr>
          </c:dPt>
          <c:dPt>
            <c:idx val="2"/>
            <c:invertIfNegative val="0"/>
            <c:bubble3D val="0"/>
            <c:spPr>
              <a:solidFill>
                <a:srgbClr val="FF0000"/>
              </a:solidFill>
              <a:ln>
                <a:noFill/>
              </a:ln>
              <a:effectLst/>
            </c:spPr>
          </c:dPt>
          <c:dPt>
            <c:idx val="3"/>
            <c:invertIfNegative val="0"/>
            <c:bubble3D val="0"/>
            <c:spPr>
              <a:solidFill>
                <a:srgbClr val="FF0000"/>
              </a:solidFill>
              <a:ln>
                <a:noFill/>
              </a:ln>
              <a:effectLst/>
            </c:spPr>
          </c:dPt>
          <c:dPt>
            <c:idx val="4"/>
            <c:invertIfNegative val="0"/>
            <c:bubble3D val="0"/>
            <c:spPr>
              <a:solidFill>
                <a:srgbClr val="FF0000"/>
              </a:solidFill>
              <a:ln>
                <a:noFill/>
              </a:ln>
              <a:effectLst/>
            </c:spPr>
          </c:dPt>
          <c:dPt>
            <c:idx val="5"/>
            <c:invertIfNegative val="0"/>
            <c:bubble3D val="0"/>
            <c:spPr>
              <a:solidFill>
                <a:srgbClr val="FF0000"/>
              </a:solidFill>
              <a:ln>
                <a:noFill/>
              </a:ln>
              <a:effectLst/>
            </c:spPr>
          </c:dPt>
          <c:dPt>
            <c:idx val="6"/>
            <c:invertIfNegative val="0"/>
            <c:bubble3D val="0"/>
            <c:spPr>
              <a:solidFill>
                <a:srgbClr val="FF0000"/>
              </a:solidFill>
              <a:ln>
                <a:noFill/>
              </a:ln>
              <a:effectLst/>
            </c:spPr>
          </c:dPt>
          <c:dPt>
            <c:idx val="7"/>
            <c:invertIfNegative val="0"/>
            <c:bubble3D val="0"/>
            <c:spPr>
              <a:solidFill>
                <a:srgbClr val="FF0000"/>
              </a:solidFill>
              <a:ln>
                <a:noFill/>
              </a:ln>
              <a:effectLst/>
            </c:spPr>
          </c:dPt>
          <c:dPt>
            <c:idx val="8"/>
            <c:invertIfNegative val="0"/>
            <c:bubble3D val="0"/>
            <c:spPr>
              <a:solidFill>
                <a:srgbClr val="FF0000"/>
              </a:solidFill>
              <a:ln>
                <a:noFill/>
              </a:ln>
              <a:effectLst/>
            </c:spPr>
          </c:dPt>
          <c:dPt>
            <c:idx val="9"/>
            <c:invertIfNegative val="0"/>
            <c:bubble3D val="0"/>
            <c:spPr>
              <a:solidFill>
                <a:srgbClr val="FF0000"/>
              </a:solidFill>
              <a:ln>
                <a:noFill/>
              </a:ln>
              <a:effectLst/>
            </c:spPr>
          </c:dPt>
          <c:dPt>
            <c:idx val="11"/>
            <c:invertIfNegative val="0"/>
            <c:bubble3D val="0"/>
            <c:spPr>
              <a:solidFill>
                <a:srgbClr val="FF0000"/>
              </a:solidFill>
              <a:ln>
                <a:noFill/>
              </a:ln>
              <a:effectLst/>
            </c:spPr>
          </c:dPt>
          <c:dPt>
            <c:idx val="12"/>
            <c:invertIfNegative val="0"/>
            <c:bubble3D val="0"/>
            <c:spPr>
              <a:solidFill>
                <a:srgbClr val="FF0000"/>
              </a:solidFill>
              <a:ln>
                <a:noFill/>
              </a:ln>
              <a:effectLst/>
            </c:spPr>
          </c:dPt>
          <c:dPt>
            <c:idx val="13"/>
            <c:invertIfNegative val="0"/>
            <c:bubble3D val="0"/>
            <c:spPr>
              <a:solidFill>
                <a:srgbClr val="FF0000"/>
              </a:solidFill>
              <a:ln>
                <a:noFill/>
              </a:ln>
              <a:effectLst/>
            </c:spPr>
          </c:dPt>
          <c:dPt>
            <c:idx val="15"/>
            <c:invertIfNegative val="0"/>
            <c:bubble3D val="0"/>
            <c:spPr>
              <a:solidFill>
                <a:srgbClr val="FF0000"/>
              </a:solidFill>
              <a:ln>
                <a:noFill/>
              </a:ln>
              <a:effectLst/>
            </c:spPr>
          </c:dPt>
          <c:dPt>
            <c:idx val="16"/>
            <c:invertIfNegative val="0"/>
            <c:bubble3D val="0"/>
            <c:spPr>
              <a:solidFill>
                <a:srgbClr val="FF0000"/>
              </a:solidFill>
              <a:ln>
                <a:noFill/>
              </a:ln>
              <a:effectLst/>
            </c:spPr>
          </c:dPt>
          <c:dPt>
            <c:idx val="19"/>
            <c:invertIfNegative val="0"/>
            <c:bubble3D val="0"/>
            <c:spPr>
              <a:solidFill>
                <a:srgbClr val="FF0000"/>
              </a:solidFill>
              <a:ln>
                <a:noFill/>
              </a:ln>
              <a:effectLst/>
            </c:spPr>
          </c:dPt>
          <c:dPt>
            <c:idx val="21"/>
            <c:invertIfNegative val="0"/>
            <c:bubble3D val="0"/>
            <c:spPr>
              <a:solidFill>
                <a:srgbClr val="FF0000"/>
              </a:solidFill>
              <a:ln>
                <a:noFill/>
              </a:ln>
              <a:effectLst/>
            </c:spPr>
          </c:dPt>
          <c:dLbls>
            <c:dLbl>
              <c:idx val="6"/>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layout>
                <c:manualLayout>
                  <c:x val="-8.2118661465819618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Hoja1!$A$5:$B$29</c:f>
              <c:multiLvlStrCache>
                <c:ptCount val="25"/>
                <c:lvl>
                  <c:pt idx="0">
                    <c:v>1T</c:v>
                  </c:pt>
                  <c:pt idx="1">
                    <c:v>2T</c:v>
                  </c:pt>
                  <c:pt idx="2">
                    <c:v>3T</c:v>
                  </c:pt>
                  <c:pt idx="3">
                    <c:v>4T</c:v>
                  </c:pt>
                  <c:pt idx="4">
                    <c:v>1T</c:v>
                  </c:pt>
                  <c:pt idx="5">
                    <c:v>2T</c:v>
                  </c:pt>
                  <c:pt idx="6">
                    <c:v>3T</c:v>
                  </c:pt>
                  <c:pt idx="7">
                    <c:v>4T</c:v>
                  </c:pt>
                  <c:pt idx="8">
                    <c:v>1T</c:v>
                  </c:pt>
                  <c:pt idx="9">
                    <c:v>2T</c:v>
                  </c:pt>
                  <c:pt idx="10">
                    <c:v>3T</c:v>
                  </c:pt>
                  <c:pt idx="11">
                    <c:v>4T</c:v>
                  </c:pt>
                  <c:pt idx="12">
                    <c:v>1T</c:v>
                  </c:pt>
                  <c:pt idx="13">
                    <c:v>2T</c:v>
                  </c:pt>
                  <c:pt idx="14">
                    <c:v>3T</c:v>
                  </c:pt>
                  <c:pt idx="15">
                    <c:v>4T</c:v>
                  </c:pt>
                  <c:pt idx="16">
                    <c:v>1T</c:v>
                  </c:pt>
                  <c:pt idx="17">
                    <c:v>2T</c:v>
                  </c:pt>
                  <c:pt idx="18">
                    <c:v>3T</c:v>
                  </c:pt>
                  <c:pt idx="19">
                    <c:v>4T</c:v>
                  </c:pt>
                  <c:pt idx="20">
                    <c:v>1T</c:v>
                  </c:pt>
                  <c:pt idx="21">
                    <c:v>2T</c:v>
                  </c:pt>
                  <c:pt idx="22">
                    <c:v>3T</c:v>
                  </c:pt>
                  <c:pt idx="23">
                    <c:v>4T</c:v>
                  </c:pt>
                  <c:pt idx="24">
                    <c:v>1T</c:v>
                  </c:pt>
                </c:lvl>
                <c:lvl>
                  <c:pt idx="0">
                    <c:v>2011</c:v>
                  </c:pt>
                  <c:pt idx="4">
                    <c:v>2012</c:v>
                  </c:pt>
                  <c:pt idx="8">
                    <c:v>2013</c:v>
                  </c:pt>
                  <c:pt idx="12">
                    <c:v>2014</c:v>
                  </c:pt>
                  <c:pt idx="16">
                    <c:v>2015</c:v>
                  </c:pt>
                  <c:pt idx="20">
                    <c:v>2016</c:v>
                  </c:pt>
                  <c:pt idx="24">
                    <c:v>2017</c:v>
                  </c:pt>
                </c:lvl>
              </c:multiLvlStrCache>
            </c:multiLvlStrRef>
          </c:cat>
          <c:val>
            <c:numRef>
              <c:f>Hoja1!$C$5:$C$29</c:f>
              <c:numCache>
                <c:formatCode>0.0%</c:formatCode>
                <c:ptCount val="25"/>
                <c:pt idx="0">
                  <c:v>-1.4115164244587003E-2</c:v>
                </c:pt>
                <c:pt idx="1">
                  <c:v>-2.2292671523685859E-2</c:v>
                </c:pt>
                <c:pt idx="2">
                  <c:v>-1.2479078557036328E-2</c:v>
                </c:pt>
                <c:pt idx="3">
                  <c:v>-1.8907050081964579E-2</c:v>
                </c:pt>
                <c:pt idx="4">
                  <c:v>-2.4934456547897558E-2</c:v>
                </c:pt>
                <c:pt idx="5">
                  <c:v>-2.9935298111906324E-2</c:v>
                </c:pt>
                <c:pt idx="6">
                  <c:v>-2.7208158241272547E-2</c:v>
                </c:pt>
                <c:pt idx="7">
                  <c:v>-2.7183439406361722E-2</c:v>
                </c:pt>
                <c:pt idx="8">
                  <c:v>-3.1967090215799882E-2</c:v>
                </c:pt>
                <c:pt idx="9">
                  <c:v>-3.763252395122442E-2</c:v>
                </c:pt>
                <c:pt idx="10">
                  <c:v>1.8464226536413797E-4</c:v>
                </c:pt>
                <c:pt idx="11">
                  <c:v>-1.7671902799129949E-2</c:v>
                </c:pt>
                <c:pt idx="12">
                  <c:v>-1.0689267696354365E-2</c:v>
                </c:pt>
                <c:pt idx="13">
                  <c:v>-3.269594805411969E-2</c:v>
                </c:pt>
                <c:pt idx="14">
                  <c:v>-5.2039132919460464E-3</c:v>
                </c:pt>
                <c:pt idx="15">
                  <c:v>-9.5993582136428869E-3</c:v>
                </c:pt>
                <c:pt idx="16">
                  <c:v>-8.4783669012479957E-3</c:v>
                </c:pt>
                <c:pt idx="17">
                  <c:v>1.06752903067004E-2</c:v>
                </c:pt>
                <c:pt idx="18">
                  <c:v>6.655435031375132E-3</c:v>
                </c:pt>
                <c:pt idx="19">
                  <c:v>-1.6154563831819332E-2</c:v>
                </c:pt>
                <c:pt idx="20">
                  <c:v>5.3096443409028533E-3</c:v>
                </c:pt>
                <c:pt idx="21">
                  <c:v>-4.2480706154588892E-3</c:v>
                </c:pt>
                <c:pt idx="22">
                  <c:v>9.4440468846391235E-3</c:v>
                </c:pt>
                <c:pt idx="23">
                  <c:v>7.9815619154525539E-3</c:v>
                </c:pt>
                <c:pt idx="24">
                  <c:v>8.9999999999999993E-3</c:v>
                </c:pt>
              </c:numCache>
            </c:numRef>
          </c:val>
        </c:ser>
        <c:dLbls>
          <c:showLegendKey val="0"/>
          <c:showVal val="0"/>
          <c:showCatName val="0"/>
          <c:showSerName val="0"/>
          <c:showPercent val="0"/>
          <c:showBubbleSize val="0"/>
        </c:dLbls>
        <c:gapWidth val="219"/>
        <c:overlap val="-27"/>
        <c:axId val="1477311920"/>
        <c:axId val="1477311376"/>
      </c:barChart>
      <c:catAx>
        <c:axId val="14773119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s-ES"/>
          </a:p>
        </c:txPr>
        <c:crossAx val="1477311376"/>
        <c:crosses val="autoZero"/>
        <c:auto val="1"/>
        <c:lblAlgn val="ctr"/>
        <c:lblOffset val="100"/>
        <c:noMultiLvlLbl val="0"/>
      </c:catAx>
      <c:valAx>
        <c:axId val="147731137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77311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2F70-F1E4-4580-AE40-9AE08E30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109</TotalTime>
  <Pages>5</Pages>
  <Words>1329</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13</cp:revision>
  <dcterms:created xsi:type="dcterms:W3CDTF">2017-03-02T14:09:00Z</dcterms:created>
  <dcterms:modified xsi:type="dcterms:W3CDTF">2017-04-11T07:18:00Z</dcterms:modified>
</cp:coreProperties>
</file>