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Pr="00201404" w:rsidRDefault="00BE2674" w:rsidP="00BE2674">
      <w:pPr>
        <w:ind w:right="-1"/>
        <w:rPr>
          <w:rFonts w:ascii="Open Sans" w:hAnsi="Open Sans"/>
          <w:color w:val="00AAAB"/>
          <w:sz w:val="28"/>
          <w:szCs w:val="28"/>
          <w:lang w:val="es-ES"/>
        </w:rPr>
      </w:pPr>
      <w:r w:rsidRPr="00201404">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sidRPr="00201404">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930FDE" w:rsidRPr="00201404" w:rsidRDefault="00AF58FD" w:rsidP="00BC0CC9">
      <w:pPr>
        <w:ind w:left="-1134"/>
        <w:jc w:val="both"/>
        <w:rPr>
          <w:rFonts w:ascii="Open Sans" w:hAnsi="Open Sans"/>
          <w:color w:val="00AAAB"/>
          <w:sz w:val="28"/>
          <w:szCs w:val="28"/>
          <w:lang w:val="es-ES"/>
        </w:rPr>
      </w:pPr>
      <w:r w:rsidRPr="00AF58FD">
        <w:rPr>
          <w:rFonts w:ascii="Open Sans" w:hAnsi="Open Sans"/>
          <w:color w:val="00AAAB"/>
          <w:sz w:val="28"/>
          <w:szCs w:val="28"/>
          <w:lang w:val="es-ES"/>
        </w:rPr>
        <w:t>LA VIVIENDA EN ALQUILER EN EL SEGUNDO TRIMESTRE DE 2017</w:t>
      </w:r>
    </w:p>
    <w:p w:rsidR="00763F0F" w:rsidRPr="00201404" w:rsidRDefault="00AF58FD" w:rsidP="00405F66">
      <w:pPr>
        <w:pStyle w:val="Prrafodelista"/>
        <w:ind w:left="-1134"/>
        <w:jc w:val="both"/>
        <w:rPr>
          <w:rFonts w:ascii="Open Sans Light" w:hAnsi="Open Sans Light"/>
          <w:b/>
          <w:bCs/>
          <w:color w:val="404040" w:themeColor="text1" w:themeTint="BF"/>
          <w:lang w:val="es-ES"/>
        </w:rPr>
      </w:pPr>
      <w:r w:rsidRPr="00AF58FD">
        <w:rPr>
          <w:rFonts w:ascii="Open Sans" w:hAnsi="Open Sans"/>
          <w:b/>
          <w:bCs/>
          <w:color w:val="062151"/>
          <w:sz w:val="48"/>
          <w:szCs w:val="48"/>
          <w:lang w:val="es-ES"/>
        </w:rPr>
        <w:t>El precio del alquiler sube un 2,3% en el segundo trimestre del año</w:t>
      </w:r>
    </w:p>
    <w:p w:rsidR="00405F66" w:rsidRDefault="00405F66" w:rsidP="00405F66">
      <w:pPr>
        <w:pStyle w:val="Prrafodelista"/>
        <w:ind w:left="-851"/>
        <w:jc w:val="both"/>
        <w:rPr>
          <w:rFonts w:ascii="Open Sans Light" w:hAnsi="Open Sans Light"/>
          <w:b/>
          <w:bCs/>
          <w:lang w:val="es-ES"/>
        </w:rPr>
      </w:pPr>
    </w:p>
    <w:p w:rsidR="00AF58FD" w:rsidRPr="00AF58FD" w:rsidRDefault="00AF58FD" w:rsidP="00AF58FD">
      <w:pPr>
        <w:pStyle w:val="Prrafodelista"/>
        <w:numPr>
          <w:ilvl w:val="0"/>
          <w:numId w:val="2"/>
        </w:numPr>
        <w:ind w:left="-851"/>
        <w:jc w:val="both"/>
        <w:rPr>
          <w:rFonts w:ascii="Open Sans Light" w:hAnsi="Open Sans Light"/>
          <w:b/>
          <w:bCs/>
          <w:lang w:val="es-ES"/>
        </w:rPr>
      </w:pPr>
      <w:r w:rsidRPr="00AF58FD">
        <w:rPr>
          <w:rFonts w:ascii="Open Sans Light" w:hAnsi="Open Sans Light"/>
          <w:b/>
          <w:bCs/>
          <w:lang w:val="es-ES"/>
        </w:rPr>
        <w:t xml:space="preserve">El precio medio del alquiler en junio se sitúa en 8,11 €/m2 al mes </w:t>
      </w:r>
    </w:p>
    <w:p w:rsidR="00AF58FD" w:rsidRPr="00AF58FD" w:rsidRDefault="00AF58FD" w:rsidP="00AF58FD">
      <w:pPr>
        <w:pStyle w:val="Prrafodelista"/>
        <w:numPr>
          <w:ilvl w:val="0"/>
          <w:numId w:val="2"/>
        </w:numPr>
        <w:ind w:left="-851"/>
        <w:jc w:val="both"/>
        <w:rPr>
          <w:rFonts w:ascii="Open Sans Light" w:hAnsi="Open Sans Light"/>
          <w:b/>
          <w:bCs/>
          <w:lang w:val="es-ES"/>
        </w:rPr>
      </w:pPr>
      <w:r w:rsidRPr="00AF58FD">
        <w:rPr>
          <w:rFonts w:ascii="Open Sans Light" w:hAnsi="Open Sans Light"/>
          <w:b/>
          <w:bCs/>
          <w:lang w:val="es-ES"/>
        </w:rPr>
        <w:t>El precio sube en 16 comunidades autónomas a nivel trimestral</w:t>
      </w:r>
    </w:p>
    <w:p w:rsidR="00AF58FD" w:rsidRPr="00AF58FD" w:rsidRDefault="00AF58FD" w:rsidP="00AF58FD">
      <w:pPr>
        <w:pStyle w:val="Prrafodelista"/>
        <w:numPr>
          <w:ilvl w:val="0"/>
          <w:numId w:val="2"/>
        </w:numPr>
        <w:ind w:left="-851"/>
        <w:jc w:val="both"/>
        <w:rPr>
          <w:rFonts w:ascii="Open Sans Light" w:hAnsi="Open Sans Light"/>
          <w:b/>
          <w:bCs/>
          <w:lang w:val="es-ES"/>
        </w:rPr>
      </w:pPr>
      <w:r w:rsidRPr="00AF58FD">
        <w:rPr>
          <w:rFonts w:ascii="Open Sans Light" w:hAnsi="Open Sans Light"/>
          <w:b/>
          <w:bCs/>
          <w:lang w:val="es-ES"/>
        </w:rPr>
        <w:t>La variación interanual es del 9,4%</w:t>
      </w:r>
    </w:p>
    <w:p w:rsidR="00AF58FD" w:rsidRPr="00AF58FD" w:rsidRDefault="00AF58FD" w:rsidP="00AF58FD">
      <w:pPr>
        <w:pStyle w:val="Prrafodelista"/>
        <w:numPr>
          <w:ilvl w:val="0"/>
          <w:numId w:val="2"/>
        </w:numPr>
        <w:ind w:left="-851"/>
        <w:jc w:val="both"/>
        <w:rPr>
          <w:rFonts w:ascii="Open Sans Light" w:hAnsi="Open Sans Light"/>
          <w:b/>
          <w:bCs/>
          <w:lang w:val="es-ES"/>
        </w:rPr>
      </w:pPr>
      <w:r w:rsidRPr="00AF58FD">
        <w:rPr>
          <w:rFonts w:ascii="Open Sans Light" w:hAnsi="Open Sans Light"/>
          <w:b/>
          <w:bCs/>
          <w:lang w:val="es-ES"/>
        </w:rPr>
        <w:t>Se incrementa el precio en 13 distritos madrileños y en tres de Barcelona</w:t>
      </w:r>
    </w:p>
    <w:p w:rsidR="00AF58FD" w:rsidRDefault="00AF58FD" w:rsidP="00AF58FD">
      <w:pPr>
        <w:pStyle w:val="Prrafodelista"/>
        <w:ind w:left="-851"/>
        <w:jc w:val="both"/>
        <w:rPr>
          <w:rFonts w:ascii="Open Sans Light" w:hAnsi="Open Sans Light"/>
          <w:b/>
          <w:bCs/>
          <w:lang w:val="es-ES"/>
        </w:rPr>
      </w:pPr>
    </w:p>
    <w:p w:rsidR="00405F66" w:rsidRDefault="00405F66" w:rsidP="00405F66">
      <w:pPr>
        <w:pStyle w:val="Prrafodelista"/>
        <w:ind w:left="-851"/>
        <w:jc w:val="both"/>
        <w:rPr>
          <w:rFonts w:ascii="Open Sans Light" w:hAnsi="Open Sans Light"/>
          <w:b/>
          <w:bCs/>
          <w:lang w:val="es-ES"/>
        </w:rPr>
      </w:pPr>
    </w:p>
    <w:p w:rsidR="0052608C" w:rsidRPr="00201404" w:rsidRDefault="0052608C" w:rsidP="00BC0CC9">
      <w:pPr>
        <w:ind w:left="-1134"/>
        <w:jc w:val="both"/>
        <w:rPr>
          <w:rFonts w:ascii="Open Sans Light" w:hAnsi="Open Sans Light"/>
          <w:b/>
          <w:color w:val="7F7F7F" w:themeColor="text1" w:themeTint="80"/>
          <w:lang w:val="es-ES"/>
        </w:rPr>
      </w:pPr>
      <w:r w:rsidRPr="00201404">
        <w:rPr>
          <w:rFonts w:ascii="Open Sans Light" w:hAnsi="Open Sans Light"/>
          <w:b/>
          <w:color w:val="7F7F7F" w:themeColor="text1" w:themeTint="80"/>
          <w:lang w:val="es-ES"/>
        </w:rPr>
        <w:t xml:space="preserve">Madrid, </w:t>
      </w:r>
      <w:r w:rsidR="00AF58FD">
        <w:rPr>
          <w:rFonts w:ascii="Open Sans Light" w:hAnsi="Open Sans Light"/>
          <w:b/>
          <w:color w:val="7F7F7F" w:themeColor="text1" w:themeTint="80"/>
          <w:lang w:val="es-ES"/>
        </w:rPr>
        <w:t>10 de julio</w:t>
      </w:r>
      <w:r w:rsidR="00137EDD">
        <w:rPr>
          <w:rFonts w:ascii="Open Sans Light" w:hAnsi="Open Sans Light"/>
          <w:b/>
          <w:color w:val="7F7F7F" w:themeColor="text1" w:themeTint="80"/>
          <w:lang w:val="es-ES"/>
        </w:rPr>
        <w:t xml:space="preserve"> </w:t>
      </w:r>
      <w:r w:rsidR="00E8753C" w:rsidRPr="00201404">
        <w:rPr>
          <w:rFonts w:ascii="Open Sans Light" w:hAnsi="Open Sans Light"/>
          <w:b/>
          <w:color w:val="7F7F7F" w:themeColor="text1" w:themeTint="80"/>
          <w:lang w:val="es-ES"/>
        </w:rPr>
        <w:t>de 2017</w:t>
      </w:r>
    </w:p>
    <w:p w:rsidR="00E8753C" w:rsidRPr="00201404" w:rsidRDefault="00E8753C" w:rsidP="00BC0CC9">
      <w:pPr>
        <w:ind w:left="-1134"/>
        <w:jc w:val="both"/>
        <w:rPr>
          <w:rFonts w:ascii="Open Sans Light" w:hAnsi="Open Sans Light"/>
          <w:b/>
          <w:color w:val="7F7F7F" w:themeColor="text1" w:themeTint="80"/>
          <w:lang w:val="es-ES"/>
        </w:rPr>
      </w:pPr>
    </w:p>
    <w:p w:rsidR="00AF58FD" w:rsidRDefault="00AF58FD" w:rsidP="0006369A">
      <w:pPr>
        <w:ind w:left="-1134"/>
        <w:jc w:val="both"/>
        <w:rPr>
          <w:rFonts w:ascii="Open Sans Light" w:hAnsi="Open Sans Light"/>
          <w:lang w:val="es-ES"/>
        </w:rPr>
      </w:pPr>
      <w:r w:rsidRPr="00AF58FD">
        <w:rPr>
          <w:rFonts w:ascii="Open Sans Light" w:hAnsi="Open Sans Light"/>
          <w:lang w:val="es-ES"/>
        </w:rPr>
        <w:t xml:space="preserve">El precio medio de la vivienda en alquiler en España se incrementa un 2,3% en el segundo trimestre del año y sitúa el precio, a junio de 2017, en 8,11 €/m2 al mes, según los últimos datos del Índice Inmobiliario </w:t>
      </w:r>
      <w:hyperlink r:id="rId10" w:history="1">
        <w:proofErr w:type="spellStart"/>
        <w:r w:rsidRPr="00201404">
          <w:rPr>
            <w:rStyle w:val="Hipervnculo"/>
            <w:rFonts w:ascii="Open Sans Light" w:hAnsi="Open Sans Light"/>
            <w:b/>
            <w:bCs/>
            <w:lang w:val="es-ES"/>
          </w:rPr>
          <w:t>fotocasa</w:t>
        </w:r>
        <w:proofErr w:type="spellEnd"/>
      </w:hyperlink>
      <w:r w:rsidRPr="00AF58FD">
        <w:rPr>
          <w:rFonts w:ascii="Open Sans Light" w:hAnsi="Open Sans Light"/>
          <w:lang w:val="es-ES"/>
        </w:rPr>
        <w:t>. Este incremento trimestral del precio de la vivienda en alquiler continúa con la tónica alcista que ha reinado durante el 2016, tan sólo con la excepción del tercer trimestre de 2016, cuando el precio cayó un -2%</w:t>
      </w:r>
      <w:r>
        <w:rPr>
          <w:rFonts w:ascii="Open Sans Light" w:hAnsi="Open Sans Light"/>
          <w:lang w:val="es-ES"/>
        </w:rPr>
        <w:t>.</w:t>
      </w:r>
    </w:p>
    <w:p w:rsidR="00AF58FD" w:rsidRDefault="00AF58FD" w:rsidP="0006369A">
      <w:pPr>
        <w:ind w:left="-1134"/>
        <w:jc w:val="both"/>
        <w:rPr>
          <w:rFonts w:ascii="Open Sans Light" w:hAnsi="Open Sans Light"/>
          <w:lang w:val="es-ES"/>
        </w:rPr>
      </w:pPr>
    </w:p>
    <w:p w:rsidR="00AF58FD" w:rsidRPr="007E3CE2" w:rsidRDefault="00AF58FD" w:rsidP="00AF58FD">
      <w:pPr>
        <w:ind w:left="-1134"/>
        <w:jc w:val="center"/>
        <w:rPr>
          <w:rFonts w:ascii="Open Sans" w:hAnsi="Open Sans"/>
          <w:color w:val="00AAAB"/>
        </w:rPr>
      </w:pPr>
      <w:r w:rsidRPr="007E3CE2">
        <w:rPr>
          <w:rFonts w:ascii="Open Sans" w:hAnsi="Open Sans"/>
          <w:color w:val="00AAAB"/>
        </w:rPr>
        <w:t xml:space="preserve">Evolución trimestral del precio </w:t>
      </w:r>
      <w:r>
        <w:rPr>
          <w:rFonts w:ascii="Open Sans" w:hAnsi="Open Sans"/>
          <w:color w:val="00AAAB"/>
        </w:rPr>
        <w:t>del alquiler</w:t>
      </w:r>
    </w:p>
    <w:p w:rsidR="00AF58FD" w:rsidRDefault="00AF58FD" w:rsidP="0006369A">
      <w:pPr>
        <w:ind w:left="-1134"/>
        <w:jc w:val="both"/>
        <w:rPr>
          <w:rFonts w:ascii="Open Sans Light" w:hAnsi="Open Sans Light"/>
        </w:rPr>
      </w:pPr>
    </w:p>
    <w:p w:rsidR="00AF58FD" w:rsidRPr="00AF58FD" w:rsidRDefault="00AF58FD" w:rsidP="0006369A">
      <w:pPr>
        <w:ind w:left="-1134"/>
        <w:jc w:val="both"/>
        <w:rPr>
          <w:rFonts w:ascii="Open Sans Light" w:hAnsi="Open Sans Light"/>
        </w:rPr>
      </w:pPr>
      <w:r>
        <w:rPr>
          <w:noProof/>
          <w:lang w:val="es-ES" w:eastAsia="es-ES" w:bidi="ks-Deva"/>
        </w:rPr>
        <w:drawing>
          <wp:inline distT="0" distB="0" distL="0" distR="0" wp14:anchorId="49502D16" wp14:editId="23DE916A">
            <wp:extent cx="5638800" cy="22383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58FD" w:rsidRDefault="00AF58FD" w:rsidP="00AF58FD">
      <w:pPr>
        <w:ind w:left="-1134"/>
        <w:jc w:val="both"/>
        <w:rPr>
          <w:rFonts w:ascii="Open Sans Light" w:hAnsi="Open Sans Light"/>
          <w:lang w:val="es-ES"/>
        </w:rPr>
      </w:pPr>
      <w:r w:rsidRPr="00AF58FD">
        <w:rPr>
          <w:rFonts w:ascii="Open Sans Light" w:hAnsi="Open Sans Light"/>
          <w:lang w:val="es-ES"/>
        </w:rPr>
        <w:lastRenderedPageBreak/>
        <w:t xml:space="preserve">“La apuesta de los inversores por las altas rentabilidades que ofrece la compra de vivienda para ponerla en alquiler; el hecho de que muchos españoles se vean obligados a refugiarse en este mercado ante la imposibilidad de poder acceder a la compra de una vivienda; el  cambio de mentalidad a favor de esta forma de vida y el ‘boom’ del alquiler turístico son los factores que están detrás de las fuertes tensiones que registra el precio del alquiler. Aunque las mayores subidas se concentran en Cataluña, Madrid y las principales zonas turísticas, los datos de </w:t>
      </w:r>
      <w:hyperlink r:id="rId12" w:history="1">
        <w:proofErr w:type="spellStart"/>
        <w:r w:rsidRPr="00201404">
          <w:rPr>
            <w:rStyle w:val="Hipervnculo"/>
            <w:rFonts w:ascii="Open Sans Light" w:hAnsi="Open Sans Light"/>
            <w:b/>
            <w:bCs/>
            <w:lang w:val="es-ES"/>
          </w:rPr>
          <w:t>fotocasa</w:t>
        </w:r>
        <w:proofErr w:type="spellEnd"/>
      </w:hyperlink>
      <w:r w:rsidRPr="00AF58FD">
        <w:rPr>
          <w:rFonts w:ascii="Open Sans Light" w:hAnsi="Open Sans Light"/>
          <w:lang w:val="es-ES"/>
        </w:rPr>
        <w:t xml:space="preserve"> ponen de relieve mes a mes que encarecimiento de los alquileres es generalizado en todo el país”, explica Beatriz Toribio, responsable de Estudios de </w:t>
      </w:r>
      <w:hyperlink r:id="rId13" w:history="1">
        <w:proofErr w:type="spellStart"/>
        <w:r w:rsidRPr="00201404">
          <w:rPr>
            <w:rStyle w:val="Hipervnculo"/>
            <w:rFonts w:ascii="Open Sans Light" w:hAnsi="Open Sans Light"/>
            <w:b/>
            <w:bCs/>
            <w:lang w:val="es-ES"/>
          </w:rPr>
          <w:t>fotocasa</w:t>
        </w:r>
        <w:proofErr w:type="spellEnd"/>
      </w:hyperlink>
      <w:r w:rsidRPr="00AF58FD">
        <w:rPr>
          <w:rFonts w:ascii="Open Sans Light" w:hAnsi="Open Sans Light"/>
          <w:lang w:val="es-ES"/>
        </w:rPr>
        <w:t>.</w:t>
      </w:r>
    </w:p>
    <w:p w:rsidR="00AF58FD" w:rsidRP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r w:rsidRPr="00AF58FD">
        <w:rPr>
          <w:rFonts w:ascii="Open Sans Light" w:hAnsi="Open Sans Light"/>
          <w:lang w:val="es-ES"/>
        </w:rPr>
        <w:t xml:space="preserve">En el segundo trimestre del año el precio del alquiler se incrementa en 16 comunidades autónomas a nivel trimestral y en 16 a nivel interanual. De hecho, la variación interanual registrada este segundo trimestre del año (9,4%) es de las más elevadas de toda la serie histórica del Índice Inmobiliario </w:t>
      </w:r>
      <w:hyperlink r:id="rId14" w:history="1">
        <w:proofErr w:type="spellStart"/>
        <w:r w:rsidR="001A4E64" w:rsidRPr="00201404">
          <w:rPr>
            <w:rStyle w:val="Hipervnculo"/>
            <w:rFonts w:ascii="Open Sans Light" w:hAnsi="Open Sans Light"/>
            <w:b/>
            <w:bCs/>
            <w:lang w:val="es-ES"/>
          </w:rPr>
          <w:t>fotocasa</w:t>
        </w:r>
        <w:proofErr w:type="spellEnd"/>
      </w:hyperlink>
      <w:r w:rsidRPr="00AF58FD">
        <w:rPr>
          <w:rFonts w:ascii="Open Sans Light" w:hAnsi="Open Sans Light"/>
          <w:lang w:val="es-ES"/>
        </w:rPr>
        <w:t xml:space="preserve">, que se remonta a 2006. Fue el pasado mes de marzo de 2017 cuando se registró la variación interanual más elevada de toda la serie histórica, en concreto un 10,5%. </w:t>
      </w:r>
    </w:p>
    <w:p w:rsid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r w:rsidRPr="00AF58FD">
        <w:rPr>
          <w:rFonts w:ascii="Open Sans Light" w:hAnsi="Open Sans Light"/>
          <w:lang w:val="es-ES"/>
        </w:rPr>
        <w:t>Además, cabe destacar que el precio del alquiler lleva registrando incrementos positivos a nivel trimestral desde hace ocho meses, desde noviembre de 2016, y a nivel interanual 28 meses consecutivos, en concreto desde marzo de 2015.</w:t>
      </w:r>
    </w:p>
    <w:p w:rsid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r w:rsidRPr="00AF58FD">
        <w:rPr>
          <w:rFonts w:ascii="Open Sans Light" w:hAnsi="Open Sans Light"/>
          <w:lang w:val="es-ES"/>
        </w:rPr>
        <w:t xml:space="preserve">Desde que alcanzó el precio máximo en mayo de 2007 (10,12 €/m2 al mes) el precio de la vivienda lleva acumulada una caída del -19,9%. En este sentido, nueve comunidades autónomas registran caídas superiores al -20% desde que alcanzasen el precio máximo hace nueve años. Así, Aragón es la comunidad que más ha visto descender el precio del alquiler (-38,4%), seguida de Castilla-La Mancha (-32,3 %), Cantabria (-30,6%), La Rioja (-27,2%), Asturias (-25,6%), Galicia (-24,6%), </w:t>
      </w:r>
      <w:proofErr w:type="spellStart"/>
      <w:r w:rsidRPr="00AF58FD">
        <w:rPr>
          <w:rFonts w:ascii="Open Sans Light" w:hAnsi="Open Sans Light"/>
          <w:lang w:val="es-ES"/>
        </w:rPr>
        <w:t>Comunitat</w:t>
      </w:r>
      <w:proofErr w:type="spellEnd"/>
      <w:r w:rsidRPr="00AF58FD">
        <w:rPr>
          <w:rFonts w:ascii="Open Sans Light" w:hAnsi="Open Sans Light"/>
          <w:lang w:val="es-ES"/>
        </w:rPr>
        <w:t xml:space="preserve"> Valenciana (-23,9%), Murcia (-21,8%) y Andalucía (-20,5%).</w:t>
      </w:r>
    </w:p>
    <w:p w:rsidR="00AF58FD" w:rsidRPr="00AF58FD" w:rsidRDefault="00AF58FD" w:rsidP="00AF58FD">
      <w:pPr>
        <w:ind w:left="-1134"/>
        <w:jc w:val="both"/>
        <w:rPr>
          <w:rFonts w:ascii="Open Sans Light" w:hAnsi="Open Sans Light"/>
          <w:lang w:val="es-ES"/>
        </w:rPr>
      </w:pPr>
    </w:p>
    <w:p w:rsidR="00AF58FD" w:rsidRPr="00AF58FD" w:rsidRDefault="00AF58FD" w:rsidP="00AF58FD">
      <w:pPr>
        <w:ind w:left="-1134"/>
        <w:jc w:val="both"/>
        <w:rPr>
          <w:rFonts w:ascii="Open Sans Light" w:hAnsi="Open Sans Light"/>
          <w:lang w:val="es-ES"/>
        </w:rPr>
      </w:pPr>
    </w:p>
    <w:p w:rsidR="00AF58FD" w:rsidRDefault="00AF58FD" w:rsidP="00AF58FD">
      <w:pPr>
        <w:ind w:left="-1134"/>
        <w:jc w:val="both"/>
        <w:rPr>
          <w:rFonts w:ascii="Open Sans Light" w:hAnsi="Open Sans Light"/>
          <w:lang w:val="es-ES"/>
        </w:rPr>
      </w:pPr>
      <w:r w:rsidRPr="00AF58FD">
        <w:rPr>
          <w:rFonts w:ascii="Open Sans Light" w:hAnsi="Open Sans Light"/>
          <w:lang w:val="es-ES"/>
        </w:rPr>
        <w:t xml:space="preserve">Por Comunidades Autónomas, en el segundo trimestre del año se registran </w:t>
      </w:r>
      <w:r w:rsidRPr="008B2012">
        <w:rPr>
          <w:rFonts w:ascii="Open Sans Light" w:hAnsi="Open Sans Light"/>
          <w:b/>
          <w:bCs/>
          <w:lang w:val="es-ES"/>
        </w:rPr>
        <w:t>16 incrementos en el precio del alquiler</w:t>
      </w:r>
      <w:r w:rsidRPr="00AF58FD">
        <w:rPr>
          <w:rFonts w:ascii="Open Sans Light" w:hAnsi="Open Sans Light"/>
          <w:lang w:val="es-ES"/>
        </w:rPr>
        <w:t>, con subidas que van desde el 7,3% de Murcia al 0,4% de Cataluña.</w:t>
      </w:r>
    </w:p>
    <w:p w:rsidR="00AF58FD" w:rsidRDefault="00AF58FD" w:rsidP="0006369A">
      <w:pPr>
        <w:ind w:left="-1134"/>
        <w:jc w:val="both"/>
        <w:rPr>
          <w:rFonts w:ascii="Open Sans Light" w:hAnsi="Open Sans Light"/>
          <w:lang w:val="es-ES"/>
        </w:rPr>
      </w:pPr>
    </w:p>
    <w:p w:rsidR="00AF58FD" w:rsidRDefault="00AF58FD" w:rsidP="0006369A">
      <w:pPr>
        <w:ind w:left="-1134"/>
        <w:jc w:val="both"/>
        <w:rPr>
          <w:rFonts w:ascii="Open Sans Light" w:hAnsi="Open Sans Light"/>
          <w:lang w:val="es-ES"/>
        </w:rPr>
      </w:pPr>
    </w:p>
    <w:p w:rsidR="00AF58FD" w:rsidRDefault="00AF58FD" w:rsidP="0006369A">
      <w:pPr>
        <w:ind w:left="-1134"/>
        <w:jc w:val="both"/>
        <w:rPr>
          <w:rFonts w:ascii="Open Sans Light" w:hAnsi="Open Sans Light"/>
          <w:lang w:val="es-ES"/>
        </w:rPr>
      </w:pPr>
    </w:p>
    <w:p w:rsidR="008B2012" w:rsidRDefault="008B2012" w:rsidP="0006369A">
      <w:pPr>
        <w:ind w:left="-1134"/>
        <w:rPr>
          <w:rFonts w:ascii="Open Sans" w:hAnsi="Open Sans"/>
          <w:color w:val="00AAAB"/>
          <w:lang w:val="es-ES"/>
        </w:rPr>
      </w:pPr>
    </w:p>
    <w:p w:rsidR="00794CAF" w:rsidRDefault="0006369A" w:rsidP="0006369A">
      <w:pPr>
        <w:ind w:left="-1134"/>
        <w:rPr>
          <w:rFonts w:ascii="Open Sans" w:hAnsi="Open Sans"/>
          <w:color w:val="00AAAB"/>
          <w:lang w:val="es-ES"/>
        </w:rPr>
      </w:pPr>
      <w:r>
        <w:rPr>
          <w:rFonts w:ascii="Open Sans" w:hAnsi="Open Sans"/>
          <w:color w:val="00AAAB"/>
          <w:lang w:val="es-ES"/>
        </w:rPr>
        <w:lastRenderedPageBreak/>
        <w:t xml:space="preserve">                                </w:t>
      </w:r>
      <w:r w:rsidR="00405F66" w:rsidRPr="00405F66">
        <w:rPr>
          <w:rFonts w:ascii="Open Sans" w:hAnsi="Open Sans"/>
          <w:color w:val="00AAAB"/>
          <w:lang w:val="es-ES"/>
        </w:rPr>
        <w:t xml:space="preserve">Incrementos por CC.AA. </w:t>
      </w:r>
      <w:r w:rsidR="00B83F9C">
        <w:rPr>
          <w:rFonts w:ascii="Open Sans" w:hAnsi="Open Sans"/>
          <w:color w:val="00AAAB"/>
          <w:lang w:val="es-ES"/>
        </w:rPr>
        <w:t xml:space="preserve">en </w:t>
      </w:r>
      <w:r w:rsidR="008B2012">
        <w:rPr>
          <w:rFonts w:ascii="Open Sans" w:hAnsi="Open Sans"/>
          <w:color w:val="00AAAB"/>
          <w:lang w:val="es-ES"/>
        </w:rPr>
        <w:t>junio</w:t>
      </w:r>
    </w:p>
    <w:p w:rsidR="00405F66" w:rsidRPr="00201404" w:rsidRDefault="00405F66" w:rsidP="00BC0CC9">
      <w:pPr>
        <w:ind w:left="-1134"/>
        <w:jc w:val="both"/>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552"/>
        <w:gridCol w:w="250"/>
        <w:gridCol w:w="3010"/>
      </w:tblGrid>
      <w:tr w:rsidR="00405F66" w:rsidRPr="00201404" w:rsidTr="00405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05F66" w:rsidRPr="00201404" w:rsidRDefault="00405F66" w:rsidP="00405F66">
            <w:pPr>
              <w:rPr>
                <w:rFonts w:ascii="Open Sans Light" w:hAnsi="Open Sans Light"/>
                <w:lang w:val="es-ES"/>
              </w:rPr>
            </w:pPr>
            <w:r>
              <w:rPr>
                <w:rFonts w:ascii="Open Sans Light" w:hAnsi="Open Sans Light"/>
                <w:lang w:val="es-ES"/>
              </w:rPr>
              <w:t>CC.AA.</w:t>
            </w:r>
          </w:p>
        </w:tc>
        <w:tc>
          <w:tcPr>
            <w:tcW w:w="3260" w:type="dxa"/>
            <w:gridSpan w:val="2"/>
          </w:tcPr>
          <w:p w:rsidR="00405F66" w:rsidRPr="00201404" w:rsidRDefault="008B2012" w:rsidP="00405F6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Junio</w:t>
            </w:r>
            <w:r w:rsidR="00B83F9C">
              <w:rPr>
                <w:rFonts w:ascii="Open Sans Light" w:hAnsi="Open Sans Light"/>
                <w:lang w:val="es-ES"/>
              </w:rPr>
              <w:t xml:space="preserve"> </w:t>
            </w:r>
            <w:r w:rsidR="00405F66" w:rsidRPr="00201404">
              <w:rPr>
                <w:rFonts w:ascii="Open Sans Light" w:hAnsi="Open Sans Light"/>
                <w:lang w:val="es-ES"/>
              </w:rPr>
              <w:t>2017</w:t>
            </w:r>
          </w:p>
          <w:p w:rsidR="00405F66" w:rsidRPr="00201404" w:rsidRDefault="00405F66" w:rsidP="00405F66">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Región de Murcia</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7,3 %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Castilla y León</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5,0 %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Comunitat Valenciana</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5,0 %</w:t>
            </w:r>
          </w:p>
        </w:tc>
      </w:tr>
      <w:tr w:rsidR="008B2012" w:rsidRPr="00201404" w:rsidTr="008B2012">
        <w:trPr>
          <w:trHeight w:val="258"/>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Andalucía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3,8 %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Canarias</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3,6 %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La Rioja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3,5 %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Extremadura</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3,2 %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Castilla-La Mancha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2,7 %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Madrid</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2,5 %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Asturias</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2,4 %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Baleares</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1,3 %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Navarra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1,3 %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Cantabria</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1,0 %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Galicia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0,8 %</w:t>
            </w:r>
          </w:p>
        </w:tc>
      </w:tr>
      <w:tr w:rsidR="008B2012" w:rsidRPr="00201404" w:rsidTr="008B2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Aragón</w:t>
            </w:r>
          </w:p>
        </w:tc>
        <w:tc>
          <w:tcPr>
            <w:tcW w:w="3010" w:type="dxa"/>
            <w:vAlign w:val="bottom"/>
          </w:tcPr>
          <w:p w:rsidR="008B2012" w:rsidRPr="008B2012" w:rsidRDefault="008B2012" w:rsidP="008B201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0,5 %</w:t>
            </w:r>
          </w:p>
        </w:tc>
      </w:tr>
      <w:tr w:rsidR="008B2012" w:rsidRPr="00201404" w:rsidTr="008B2012">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8B2012">
            <w:pPr>
              <w:rPr>
                <w:sz w:val="28"/>
                <w:szCs w:val="28"/>
              </w:rPr>
            </w:pPr>
            <w:r w:rsidRPr="008B2012">
              <w:rPr>
                <w:sz w:val="28"/>
                <w:szCs w:val="28"/>
              </w:rPr>
              <w:t>Cataluña</w:t>
            </w:r>
          </w:p>
        </w:tc>
        <w:tc>
          <w:tcPr>
            <w:tcW w:w="3010" w:type="dxa"/>
            <w:vAlign w:val="bottom"/>
          </w:tcPr>
          <w:p w:rsidR="008B2012" w:rsidRPr="008B2012" w:rsidRDefault="008B2012" w:rsidP="008B2012">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8"/>
                <w:szCs w:val="28"/>
              </w:rPr>
            </w:pPr>
            <w:r w:rsidRPr="008B2012">
              <w:rPr>
                <w:rFonts w:ascii="Calibri" w:hAnsi="Calibri"/>
                <w:color w:val="000000"/>
                <w:sz w:val="28"/>
                <w:szCs w:val="28"/>
              </w:rPr>
              <w:t>0,4 %</w:t>
            </w:r>
          </w:p>
        </w:tc>
      </w:tr>
    </w:tbl>
    <w:p w:rsidR="00FD62C7" w:rsidRDefault="00FD62C7" w:rsidP="00405F66">
      <w:pPr>
        <w:jc w:val="both"/>
        <w:rPr>
          <w:rFonts w:ascii="Open Sans Light" w:hAnsi="Open Sans Light"/>
          <w:color w:val="404040" w:themeColor="text1" w:themeTint="BF"/>
          <w:lang w:val="es-ES"/>
        </w:rPr>
      </w:pPr>
    </w:p>
    <w:p w:rsidR="00260AE1" w:rsidRDefault="008B2012" w:rsidP="0006369A">
      <w:pPr>
        <w:ind w:left="-1134"/>
        <w:jc w:val="both"/>
        <w:rPr>
          <w:rFonts w:ascii="Open Sans Light" w:hAnsi="Open Sans Light"/>
          <w:color w:val="404040" w:themeColor="text1" w:themeTint="BF"/>
          <w:lang w:val="es-ES"/>
        </w:rPr>
      </w:pPr>
      <w:r w:rsidRPr="008B2012">
        <w:rPr>
          <w:rFonts w:ascii="Open Sans Light" w:hAnsi="Open Sans Light"/>
          <w:color w:val="404040" w:themeColor="text1" w:themeTint="BF"/>
          <w:lang w:val="es-ES"/>
        </w:rPr>
        <w:t xml:space="preserve">En el otro extremo, </w:t>
      </w:r>
      <w:r w:rsidRPr="008B2012">
        <w:rPr>
          <w:rFonts w:ascii="Open Sans Light" w:hAnsi="Open Sans Light"/>
          <w:b/>
          <w:bCs/>
          <w:color w:val="404040" w:themeColor="text1" w:themeTint="BF"/>
          <w:lang w:val="es-ES"/>
        </w:rPr>
        <w:t>una comunidad desciende</w:t>
      </w:r>
      <w:r w:rsidRPr="008B2012">
        <w:rPr>
          <w:rFonts w:ascii="Open Sans Light" w:hAnsi="Open Sans Light"/>
          <w:color w:val="404040" w:themeColor="text1" w:themeTint="BF"/>
          <w:lang w:val="es-ES"/>
        </w:rPr>
        <w:t xml:space="preserve"> el precio del alquiler en el segundo trimestre.</w:t>
      </w:r>
    </w:p>
    <w:p w:rsidR="008B2012" w:rsidRDefault="00F240DE" w:rsidP="008B2012">
      <w:pPr>
        <w:ind w:left="-1134"/>
        <w:jc w:val="center"/>
        <w:rPr>
          <w:rFonts w:ascii="Open Sans" w:hAnsi="Open Sans"/>
          <w:color w:val="00AAAB"/>
          <w:lang w:val="es-ES"/>
        </w:rPr>
      </w:pPr>
      <w:r>
        <w:rPr>
          <w:rFonts w:ascii="Open Sans" w:hAnsi="Open Sans"/>
          <w:color w:val="00AAAB"/>
          <w:lang w:val="es-ES"/>
        </w:rPr>
        <w:t xml:space="preserve">Descensos </w:t>
      </w:r>
      <w:r w:rsidR="008B2012" w:rsidRPr="00405F66">
        <w:rPr>
          <w:rFonts w:ascii="Open Sans" w:hAnsi="Open Sans"/>
          <w:color w:val="00AAAB"/>
          <w:lang w:val="es-ES"/>
        </w:rPr>
        <w:t xml:space="preserve">por CC.AA. </w:t>
      </w:r>
      <w:r w:rsidR="008B2012">
        <w:rPr>
          <w:rFonts w:ascii="Open Sans" w:hAnsi="Open Sans"/>
          <w:color w:val="00AAAB"/>
          <w:lang w:val="es-ES"/>
        </w:rPr>
        <w:t>en junio</w:t>
      </w:r>
    </w:p>
    <w:p w:rsidR="008B2012" w:rsidRDefault="008B2012" w:rsidP="0006369A">
      <w:pPr>
        <w:ind w:left="-1134"/>
        <w:jc w:val="both"/>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552"/>
        <w:gridCol w:w="250"/>
        <w:gridCol w:w="3010"/>
      </w:tblGrid>
      <w:tr w:rsidR="008B2012" w:rsidRPr="00201404" w:rsidTr="00FD5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B2012" w:rsidRPr="00201404" w:rsidRDefault="008B2012" w:rsidP="00FD53B2">
            <w:pPr>
              <w:rPr>
                <w:rFonts w:ascii="Open Sans Light" w:hAnsi="Open Sans Light"/>
                <w:lang w:val="es-ES"/>
              </w:rPr>
            </w:pPr>
            <w:r>
              <w:rPr>
                <w:rFonts w:ascii="Open Sans Light" w:hAnsi="Open Sans Light"/>
                <w:lang w:val="es-ES"/>
              </w:rPr>
              <w:t>CC.AA.</w:t>
            </w:r>
          </w:p>
        </w:tc>
        <w:tc>
          <w:tcPr>
            <w:tcW w:w="3260" w:type="dxa"/>
            <w:gridSpan w:val="2"/>
          </w:tcPr>
          <w:p w:rsidR="008B2012" w:rsidRPr="00201404" w:rsidRDefault="008B2012" w:rsidP="00FD53B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Junio </w:t>
            </w:r>
            <w:r w:rsidRPr="00201404">
              <w:rPr>
                <w:rFonts w:ascii="Open Sans Light" w:hAnsi="Open Sans Light"/>
                <w:lang w:val="es-ES"/>
              </w:rPr>
              <w:t>2017</w:t>
            </w:r>
          </w:p>
          <w:p w:rsidR="008B2012" w:rsidRPr="00201404" w:rsidRDefault="008B2012" w:rsidP="00FD53B2">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8B2012" w:rsidRPr="00201404" w:rsidTr="00FD53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rsidR="008B2012" w:rsidRPr="008B2012" w:rsidRDefault="008B2012" w:rsidP="00FD53B2">
            <w:pPr>
              <w:rPr>
                <w:sz w:val="28"/>
                <w:szCs w:val="28"/>
              </w:rPr>
            </w:pPr>
            <w:r>
              <w:rPr>
                <w:sz w:val="28"/>
                <w:szCs w:val="28"/>
              </w:rPr>
              <w:t>País Vasco</w:t>
            </w:r>
          </w:p>
        </w:tc>
        <w:tc>
          <w:tcPr>
            <w:tcW w:w="3010" w:type="dxa"/>
            <w:vAlign w:val="bottom"/>
          </w:tcPr>
          <w:p w:rsidR="008B2012" w:rsidRPr="008B2012" w:rsidRDefault="008B2012" w:rsidP="00FD53B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8"/>
                <w:szCs w:val="28"/>
              </w:rPr>
            </w:pPr>
            <w:r w:rsidRPr="008B2012">
              <w:rPr>
                <w:rFonts w:ascii="Calibri" w:hAnsi="Calibri"/>
                <w:color w:val="FF0000"/>
                <w:sz w:val="28"/>
                <w:szCs w:val="28"/>
              </w:rPr>
              <w:t>-0,9%</w:t>
            </w:r>
          </w:p>
        </w:tc>
      </w:tr>
    </w:tbl>
    <w:p w:rsidR="008B2012" w:rsidRDefault="008B2012" w:rsidP="0006369A">
      <w:pPr>
        <w:ind w:left="-1134"/>
        <w:jc w:val="both"/>
        <w:rPr>
          <w:rFonts w:ascii="Open Sans Light" w:hAnsi="Open Sans Light"/>
          <w:color w:val="404040" w:themeColor="text1" w:themeTint="BF"/>
          <w:lang w:val="es-ES"/>
        </w:rPr>
      </w:pPr>
    </w:p>
    <w:p w:rsidR="00260AE1" w:rsidRDefault="00260AE1" w:rsidP="0006369A">
      <w:pPr>
        <w:ind w:left="-1134"/>
        <w:jc w:val="both"/>
        <w:rPr>
          <w:rFonts w:ascii="Open Sans Light" w:hAnsi="Open Sans Light"/>
          <w:color w:val="404040" w:themeColor="text1" w:themeTint="BF"/>
          <w:lang w:val="es-ES"/>
        </w:rPr>
      </w:pPr>
    </w:p>
    <w:p w:rsidR="00405F66" w:rsidRDefault="00405F66" w:rsidP="00BC0CC9">
      <w:pPr>
        <w:ind w:left="-1134"/>
        <w:jc w:val="both"/>
        <w:rPr>
          <w:rFonts w:ascii="Open Sans Light" w:hAnsi="Open Sans Light"/>
          <w:color w:val="404040" w:themeColor="text1" w:themeTint="BF"/>
          <w:lang w:val="es-ES"/>
        </w:rPr>
      </w:pPr>
    </w:p>
    <w:p w:rsidR="008B2012" w:rsidRDefault="008B2012" w:rsidP="00BC0CC9">
      <w:pPr>
        <w:ind w:left="-1134"/>
        <w:jc w:val="both"/>
        <w:rPr>
          <w:rFonts w:ascii="Open Sans Light" w:hAnsi="Open Sans Light"/>
          <w:color w:val="404040" w:themeColor="text1" w:themeTint="BF"/>
          <w:lang w:val="es-ES"/>
        </w:rPr>
      </w:pPr>
      <w:r w:rsidRPr="008B2012">
        <w:rPr>
          <w:rFonts w:ascii="Open Sans Light" w:hAnsi="Open Sans Light"/>
          <w:color w:val="404040" w:themeColor="text1" w:themeTint="BF"/>
          <w:lang w:val="es-ES"/>
        </w:rPr>
        <w:t xml:space="preserve">En cuanto al </w:t>
      </w:r>
      <w:r w:rsidRPr="008B2012">
        <w:rPr>
          <w:rFonts w:ascii="Open Sans Light" w:hAnsi="Open Sans Light"/>
          <w:b/>
          <w:bCs/>
          <w:color w:val="404040" w:themeColor="text1" w:themeTint="BF"/>
          <w:lang w:val="es-ES"/>
        </w:rPr>
        <w:t>ranking de precios</w:t>
      </w:r>
      <w:r w:rsidRPr="008B2012">
        <w:rPr>
          <w:rFonts w:ascii="Open Sans Light" w:hAnsi="Open Sans Light"/>
          <w:color w:val="404040" w:themeColor="text1" w:themeTint="BF"/>
          <w:lang w:val="es-ES"/>
        </w:rPr>
        <w:t>, Cataluña es la comunidad más cara para alquilar una vivienda en junio de 2017 con un precio de 11,89 €/m2 al mes, seguido de Madrid (11,51 €/m2 al mes) y País Vasco (10,48 €/m2 al mes). En el lado opuesto Extremadura es la comunidad más barata para alquilar una vivienda en junio, en concreto cuesta 4,77 €/m2 al mes, seguido de Castilla-La Mancha (4,90 €/m2 al mes) y La Rioja (5,33 €/m2 al mes).</w:t>
      </w:r>
    </w:p>
    <w:p w:rsidR="008B2012" w:rsidRDefault="008B2012" w:rsidP="00BC0CC9">
      <w:pPr>
        <w:ind w:left="-1134"/>
        <w:jc w:val="both"/>
        <w:rPr>
          <w:rFonts w:ascii="Open Sans Light" w:hAnsi="Open Sans Light"/>
          <w:color w:val="404040" w:themeColor="text1" w:themeTint="BF"/>
          <w:lang w:val="es-ES"/>
        </w:rPr>
      </w:pPr>
    </w:p>
    <w:p w:rsidR="008F1843" w:rsidRDefault="008F1843" w:rsidP="00BC0CC9">
      <w:pPr>
        <w:ind w:left="-1134"/>
        <w:jc w:val="both"/>
        <w:rPr>
          <w:rFonts w:ascii="Open Sans Light" w:hAnsi="Open Sans Light"/>
          <w:color w:val="404040" w:themeColor="text1" w:themeTint="BF"/>
          <w:lang w:val="es-ES"/>
        </w:rPr>
      </w:pPr>
      <w:bookmarkStart w:id="0" w:name="_GoBack"/>
      <w:bookmarkEnd w:id="0"/>
    </w:p>
    <w:p w:rsidR="008B2012" w:rsidRDefault="008B2012" w:rsidP="00BC0CC9">
      <w:pPr>
        <w:ind w:left="-1134"/>
        <w:jc w:val="both"/>
        <w:rPr>
          <w:rFonts w:ascii="Open Sans Light" w:hAnsi="Open Sans Light"/>
          <w:color w:val="404040" w:themeColor="text1" w:themeTint="BF"/>
          <w:lang w:val="es-ES"/>
        </w:rPr>
      </w:pPr>
    </w:p>
    <w:p w:rsidR="00FD62C7" w:rsidRDefault="00405F66" w:rsidP="00FD62C7">
      <w:pPr>
        <w:ind w:left="-1134"/>
        <w:jc w:val="both"/>
        <w:rPr>
          <w:rFonts w:ascii="Open Sans" w:hAnsi="Open Sans"/>
          <w:color w:val="00AAAB"/>
          <w:lang w:val="es-ES"/>
        </w:rPr>
      </w:pPr>
      <w:r w:rsidRPr="00405F66">
        <w:rPr>
          <w:rFonts w:ascii="Open Sans" w:hAnsi="Open Sans"/>
          <w:color w:val="00AAAB"/>
          <w:lang w:val="es-ES"/>
        </w:rPr>
        <w:t>Ranking del precio medio de la vivienda en alquiler más caro por CC.AA.</w:t>
      </w:r>
    </w:p>
    <w:p w:rsidR="00405F66" w:rsidRDefault="00405F66" w:rsidP="00FD62C7">
      <w:pPr>
        <w:ind w:left="-1134"/>
        <w:jc w:val="both"/>
        <w:rPr>
          <w:rFonts w:ascii="Open Sans" w:hAnsi="Open Sans"/>
          <w:color w:val="00AAAB"/>
          <w:lang w:val="es-ES"/>
        </w:rPr>
      </w:pPr>
    </w:p>
    <w:p w:rsidR="00405F66" w:rsidRPr="008B2012" w:rsidRDefault="008B2012" w:rsidP="00FD62C7">
      <w:pPr>
        <w:ind w:left="-1134"/>
        <w:jc w:val="both"/>
        <w:rPr>
          <w:rFonts w:ascii="Open Sans Light" w:hAnsi="Open Sans Light"/>
          <w:color w:val="404040" w:themeColor="text1" w:themeTint="BF"/>
        </w:rPr>
      </w:pPr>
      <w:r>
        <w:rPr>
          <w:noProof/>
          <w:lang w:val="es-ES" w:eastAsia="es-ES" w:bidi="ks-Deva"/>
        </w:rPr>
        <w:drawing>
          <wp:inline distT="0" distB="0" distL="0" distR="0" wp14:anchorId="7E1991B7" wp14:editId="35F81317">
            <wp:extent cx="5629275" cy="25717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5F66" w:rsidRDefault="00405F66" w:rsidP="00FD62C7">
      <w:pPr>
        <w:ind w:left="-1134"/>
        <w:jc w:val="both"/>
        <w:rPr>
          <w:rFonts w:ascii="Open Sans Light" w:hAnsi="Open Sans Light"/>
          <w:lang w:val="es-ES"/>
        </w:rPr>
      </w:pPr>
    </w:p>
    <w:p w:rsidR="008B2012" w:rsidRDefault="008B2012" w:rsidP="00FD62C7">
      <w:pPr>
        <w:ind w:left="-1134"/>
        <w:jc w:val="both"/>
        <w:rPr>
          <w:rFonts w:ascii="Open Sans Light" w:hAnsi="Open Sans Light"/>
          <w:lang w:val="es-ES"/>
        </w:rPr>
      </w:pPr>
    </w:p>
    <w:p w:rsidR="008B2012" w:rsidRPr="008B2012" w:rsidRDefault="008B2012" w:rsidP="008B2012">
      <w:pPr>
        <w:ind w:left="-1134"/>
        <w:jc w:val="both"/>
        <w:rPr>
          <w:rFonts w:ascii="Open Sans Light" w:hAnsi="Open Sans Light"/>
          <w:lang w:val="es-ES"/>
        </w:rPr>
      </w:pPr>
      <w:r w:rsidRPr="008B2012">
        <w:rPr>
          <w:rFonts w:ascii="Open Sans Light" w:hAnsi="Open Sans Light"/>
          <w:lang w:val="es-ES"/>
        </w:rPr>
        <w:t>Respecto a la evolución por provincias, 44 de ellas registran aumentos del precio del alquiler respecto al mes de marzo, con incrementos que van del 11,5% en Huelva al 0,4% de Segovia. Por el contrario, el precio del alquiler baja en cinco provincias con retrocesos que van desde el -2,9% de Huesca al -0,1% de Barcelona. Por su parte, el precio se mantiene estable en Córdoba.</w:t>
      </w:r>
    </w:p>
    <w:p w:rsidR="008B2012" w:rsidRPr="008B2012" w:rsidRDefault="008B2012" w:rsidP="008B2012">
      <w:pPr>
        <w:ind w:left="-1134"/>
        <w:jc w:val="both"/>
        <w:rPr>
          <w:rFonts w:ascii="Open Sans Light" w:hAnsi="Open Sans Light"/>
          <w:lang w:val="es-ES"/>
        </w:rPr>
      </w:pPr>
    </w:p>
    <w:p w:rsidR="008B2012" w:rsidRPr="008B2012" w:rsidRDefault="008B2012" w:rsidP="008B2012">
      <w:pPr>
        <w:ind w:left="-1134"/>
        <w:jc w:val="both"/>
        <w:rPr>
          <w:rFonts w:ascii="Open Sans Light" w:hAnsi="Open Sans Light"/>
          <w:lang w:val="es-ES"/>
        </w:rPr>
      </w:pPr>
    </w:p>
    <w:p w:rsidR="008B2012" w:rsidRPr="008B2012" w:rsidRDefault="008B2012" w:rsidP="008B2012">
      <w:pPr>
        <w:ind w:left="-1134"/>
        <w:jc w:val="both"/>
        <w:rPr>
          <w:rFonts w:ascii="Open Sans" w:hAnsi="Open Sans"/>
          <w:color w:val="00AAAB"/>
          <w:lang w:val="es-ES"/>
        </w:rPr>
      </w:pPr>
      <w:r w:rsidRPr="008B2012">
        <w:rPr>
          <w:rFonts w:ascii="Open Sans" w:hAnsi="Open Sans"/>
          <w:color w:val="00AAAB"/>
          <w:lang w:val="es-ES"/>
        </w:rPr>
        <w:t>Se incrementa el precio en 13 distritos madrileños y en tres de Barcelona</w:t>
      </w:r>
    </w:p>
    <w:p w:rsidR="008B2012" w:rsidRPr="008B2012" w:rsidRDefault="008B2012" w:rsidP="008B2012">
      <w:pPr>
        <w:ind w:left="-1134"/>
        <w:jc w:val="both"/>
        <w:rPr>
          <w:rFonts w:ascii="Open Sans Light" w:hAnsi="Open Sans Light"/>
          <w:lang w:val="es-ES"/>
        </w:rPr>
      </w:pPr>
    </w:p>
    <w:p w:rsidR="008B2012" w:rsidRPr="008B2012" w:rsidRDefault="008B2012" w:rsidP="008B2012">
      <w:pPr>
        <w:ind w:left="-1134"/>
        <w:jc w:val="both"/>
        <w:rPr>
          <w:rFonts w:ascii="Open Sans Light" w:hAnsi="Open Sans Light"/>
          <w:lang w:val="es-ES"/>
        </w:rPr>
      </w:pPr>
      <w:r w:rsidRPr="008B2012">
        <w:rPr>
          <w:rFonts w:ascii="Open Sans Light" w:hAnsi="Open Sans Light"/>
          <w:b/>
          <w:bCs/>
          <w:lang w:val="es-ES"/>
        </w:rPr>
        <w:t>De los 21 distritos madrileños</w:t>
      </w:r>
      <w:r w:rsidRPr="008B2012">
        <w:rPr>
          <w:rFonts w:ascii="Open Sans Light" w:hAnsi="Open Sans Light"/>
          <w:lang w:val="es-ES"/>
        </w:rPr>
        <w:t xml:space="preserve"> estudiados por </w:t>
      </w:r>
      <w:hyperlink r:id="rId16" w:history="1">
        <w:proofErr w:type="spellStart"/>
        <w:r w:rsidRPr="00201404">
          <w:rPr>
            <w:rStyle w:val="Hipervnculo"/>
            <w:rFonts w:ascii="Open Sans Light" w:hAnsi="Open Sans Light"/>
            <w:b/>
            <w:bCs/>
            <w:lang w:val="es-ES"/>
          </w:rPr>
          <w:t>fotocasa</w:t>
        </w:r>
        <w:proofErr w:type="spellEnd"/>
      </w:hyperlink>
      <w:r w:rsidRPr="008B2012">
        <w:rPr>
          <w:rFonts w:ascii="Open Sans Light" w:hAnsi="Open Sans Light"/>
          <w:lang w:val="es-ES"/>
        </w:rPr>
        <w:t xml:space="preserve">, en 13 de ellos se registran incrementos en el precio del alquiler. La subida más alta se da en </w:t>
      </w:r>
      <w:proofErr w:type="spellStart"/>
      <w:r w:rsidRPr="008B2012">
        <w:rPr>
          <w:rFonts w:ascii="Open Sans Light" w:hAnsi="Open Sans Light"/>
          <w:lang w:val="es-ES"/>
        </w:rPr>
        <w:t>Vicálvaro</w:t>
      </w:r>
      <w:proofErr w:type="spellEnd"/>
      <w:r w:rsidRPr="008B2012">
        <w:rPr>
          <w:rFonts w:ascii="Open Sans Light" w:hAnsi="Open Sans Light"/>
          <w:lang w:val="es-ES"/>
        </w:rPr>
        <w:t xml:space="preserve"> (5,5%), seguido de  Barajas con un 4,8%. En cuanto a los descensos, la caída más notable se da en el distrito de Chamberí (-6,7%), seguido de Villaverde  (-4,2%) y Moncloa (-3,6%). </w:t>
      </w:r>
    </w:p>
    <w:p w:rsidR="008B2012" w:rsidRPr="008B2012" w:rsidRDefault="008B2012" w:rsidP="008B2012">
      <w:pPr>
        <w:ind w:left="-1134"/>
        <w:jc w:val="both"/>
        <w:rPr>
          <w:rFonts w:ascii="Open Sans Light" w:hAnsi="Open Sans Light"/>
          <w:lang w:val="es-ES"/>
        </w:rPr>
      </w:pPr>
    </w:p>
    <w:p w:rsidR="008B2012" w:rsidRPr="008B2012" w:rsidRDefault="008B2012" w:rsidP="008B2012">
      <w:pPr>
        <w:ind w:left="-1134"/>
        <w:jc w:val="both"/>
        <w:rPr>
          <w:rFonts w:ascii="Open Sans Light" w:hAnsi="Open Sans Light"/>
          <w:lang w:val="es-ES"/>
        </w:rPr>
      </w:pPr>
      <w:r w:rsidRPr="008B2012">
        <w:rPr>
          <w:rFonts w:ascii="Open Sans Light" w:hAnsi="Open Sans Light"/>
          <w:lang w:val="es-ES"/>
        </w:rPr>
        <w:t>El distrito de Salamanca continúa siendo el más caro de Madrid, con un precio medio de 16,42€/m2 y un incremento trimestral del 2,9%. El más barato es Villaverde, que tiene un precio medio de 8,41/m2 al mes y este mes de junio desciende el precio un -4,2% respecto al mes anterior.</w:t>
      </w:r>
    </w:p>
    <w:p w:rsidR="008B2012" w:rsidRPr="008B2012" w:rsidRDefault="008B2012" w:rsidP="008B2012">
      <w:pPr>
        <w:ind w:left="-1134"/>
        <w:jc w:val="both"/>
        <w:rPr>
          <w:rFonts w:ascii="Open Sans Light" w:hAnsi="Open Sans Light"/>
          <w:lang w:val="es-ES"/>
        </w:rPr>
      </w:pPr>
    </w:p>
    <w:p w:rsidR="008B2012" w:rsidRPr="008B2012" w:rsidRDefault="008B2012" w:rsidP="008B2012">
      <w:pPr>
        <w:ind w:left="-1134"/>
        <w:jc w:val="both"/>
        <w:rPr>
          <w:rFonts w:ascii="Open Sans Light" w:hAnsi="Open Sans Light"/>
          <w:lang w:val="es-ES"/>
        </w:rPr>
      </w:pPr>
      <w:r w:rsidRPr="008B2012">
        <w:rPr>
          <w:rFonts w:ascii="Open Sans Light" w:hAnsi="Open Sans Light"/>
          <w:b/>
          <w:bCs/>
          <w:lang w:val="es-ES"/>
        </w:rPr>
        <w:t>De los 10 distritos barceloneses</w:t>
      </w:r>
      <w:r w:rsidRPr="008B2012">
        <w:rPr>
          <w:rFonts w:ascii="Open Sans Light" w:hAnsi="Open Sans Light"/>
          <w:lang w:val="es-ES"/>
        </w:rPr>
        <w:t xml:space="preserve"> estudiados por </w:t>
      </w:r>
      <w:hyperlink r:id="rId17" w:history="1">
        <w:proofErr w:type="spellStart"/>
        <w:r w:rsidRPr="00201404">
          <w:rPr>
            <w:rStyle w:val="Hipervnculo"/>
            <w:rFonts w:ascii="Open Sans Light" w:hAnsi="Open Sans Light"/>
            <w:b/>
            <w:bCs/>
            <w:lang w:val="es-ES"/>
          </w:rPr>
          <w:t>fotocasa</w:t>
        </w:r>
        <w:proofErr w:type="spellEnd"/>
      </w:hyperlink>
      <w:r w:rsidRPr="008B2012">
        <w:rPr>
          <w:rFonts w:ascii="Open Sans Light" w:hAnsi="Open Sans Light"/>
          <w:lang w:val="es-ES"/>
        </w:rPr>
        <w:t xml:space="preserve">, en 3 de ellos se registran incrementos en el precio del alquiler. La subida más alta se da en </w:t>
      </w:r>
      <w:proofErr w:type="spellStart"/>
      <w:r w:rsidRPr="008B2012">
        <w:rPr>
          <w:rFonts w:ascii="Open Sans Light" w:hAnsi="Open Sans Light"/>
          <w:lang w:val="es-ES"/>
        </w:rPr>
        <w:t>Sarrià</w:t>
      </w:r>
      <w:proofErr w:type="spellEnd"/>
      <w:r w:rsidRPr="008B2012">
        <w:rPr>
          <w:rFonts w:ascii="Open Sans Light" w:hAnsi="Open Sans Light"/>
          <w:lang w:val="es-ES"/>
        </w:rPr>
        <w:t xml:space="preserve"> - </w:t>
      </w:r>
      <w:proofErr w:type="spellStart"/>
      <w:r w:rsidRPr="008B2012">
        <w:rPr>
          <w:rFonts w:ascii="Open Sans Light" w:hAnsi="Open Sans Light"/>
          <w:lang w:val="es-ES"/>
        </w:rPr>
        <w:t>Sant</w:t>
      </w:r>
      <w:proofErr w:type="spellEnd"/>
      <w:r w:rsidRPr="008B2012">
        <w:rPr>
          <w:rFonts w:ascii="Open Sans Light" w:hAnsi="Open Sans Light"/>
          <w:lang w:val="es-ES"/>
        </w:rPr>
        <w:t xml:space="preserve"> </w:t>
      </w:r>
      <w:proofErr w:type="spellStart"/>
      <w:r w:rsidRPr="008B2012">
        <w:rPr>
          <w:rFonts w:ascii="Open Sans Light" w:hAnsi="Open Sans Light"/>
          <w:lang w:val="es-ES"/>
        </w:rPr>
        <w:t>Gervasi</w:t>
      </w:r>
      <w:proofErr w:type="spellEnd"/>
      <w:r w:rsidRPr="008B2012">
        <w:rPr>
          <w:rFonts w:ascii="Open Sans Light" w:hAnsi="Open Sans Light"/>
          <w:lang w:val="es-ES"/>
        </w:rPr>
        <w:t xml:space="preserve"> (3,8%), y Horta – </w:t>
      </w:r>
      <w:proofErr w:type="spellStart"/>
      <w:r w:rsidRPr="008B2012">
        <w:rPr>
          <w:rFonts w:ascii="Open Sans Light" w:hAnsi="Open Sans Light"/>
          <w:lang w:val="es-ES"/>
        </w:rPr>
        <w:t>Guinardó</w:t>
      </w:r>
      <w:proofErr w:type="spellEnd"/>
      <w:r w:rsidRPr="008B2012">
        <w:rPr>
          <w:rFonts w:ascii="Open Sans Light" w:hAnsi="Open Sans Light"/>
          <w:lang w:val="es-ES"/>
        </w:rPr>
        <w:t xml:space="preserve"> (3,1%). En cuanto a los descensos, la caída más notable se da en el distrito de Gracia (-6,0%), seguido de </w:t>
      </w:r>
      <w:proofErr w:type="spellStart"/>
      <w:r w:rsidRPr="008B2012">
        <w:rPr>
          <w:rFonts w:ascii="Open Sans Light" w:hAnsi="Open Sans Light"/>
          <w:lang w:val="es-ES"/>
        </w:rPr>
        <w:t>Ciutat</w:t>
      </w:r>
      <w:proofErr w:type="spellEnd"/>
      <w:r w:rsidRPr="008B2012">
        <w:rPr>
          <w:rFonts w:ascii="Open Sans Light" w:hAnsi="Open Sans Light"/>
          <w:lang w:val="es-ES"/>
        </w:rPr>
        <w:t xml:space="preserve"> Vella (-5,4%) y Les </w:t>
      </w:r>
      <w:proofErr w:type="spellStart"/>
      <w:r w:rsidRPr="008B2012">
        <w:rPr>
          <w:rFonts w:ascii="Open Sans Light" w:hAnsi="Open Sans Light"/>
          <w:lang w:val="es-ES"/>
        </w:rPr>
        <w:t>Corts</w:t>
      </w:r>
      <w:proofErr w:type="spellEnd"/>
      <w:r w:rsidRPr="008B2012">
        <w:rPr>
          <w:rFonts w:ascii="Open Sans Light" w:hAnsi="Open Sans Light"/>
          <w:lang w:val="es-ES"/>
        </w:rPr>
        <w:t xml:space="preserve"> (-2,6%). </w:t>
      </w:r>
    </w:p>
    <w:p w:rsidR="008B2012" w:rsidRDefault="008B2012" w:rsidP="008B2012">
      <w:pPr>
        <w:ind w:left="-1134"/>
        <w:jc w:val="both"/>
        <w:rPr>
          <w:rFonts w:ascii="Open Sans Light" w:hAnsi="Open Sans Light"/>
          <w:lang w:val="es-ES"/>
        </w:rPr>
      </w:pPr>
      <w:r w:rsidRPr="008B2012">
        <w:rPr>
          <w:rFonts w:ascii="Open Sans Light" w:hAnsi="Open Sans Light"/>
          <w:lang w:val="es-ES"/>
        </w:rPr>
        <w:lastRenderedPageBreak/>
        <w:t xml:space="preserve">El distrito de </w:t>
      </w:r>
      <w:proofErr w:type="spellStart"/>
      <w:r w:rsidRPr="008B2012">
        <w:rPr>
          <w:rFonts w:ascii="Open Sans Light" w:hAnsi="Open Sans Light"/>
          <w:lang w:val="es-ES"/>
        </w:rPr>
        <w:t>Sarrià-Sant</w:t>
      </w:r>
      <w:proofErr w:type="spellEnd"/>
      <w:r w:rsidRPr="008B2012">
        <w:rPr>
          <w:rFonts w:ascii="Open Sans Light" w:hAnsi="Open Sans Light"/>
          <w:lang w:val="es-ES"/>
        </w:rPr>
        <w:t xml:space="preserve"> </w:t>
      </w:r>
      <w:proofErr w:type="spellStart"/>
      <w:r w:rsidRPr="008B2012">
        <w:rPr>
          <w:rFonts w:ascii="Open Sans Light" w:hAnsi="Open Sans Light"/>
          <w:lang w:val="es-ES"/>
        </w:rPr>
        <w:t>Gervasi</w:t>
      </w:r>
      <w:proofErr w:type="spellEnd"/>
      <w:r w:rsidRPr="008B2012">
        <w:rPr>
          <w:rFonts w:ascii="Open Sans Light" w:hAnsi="Open Sans Light"/>
          <w:lang w:val="es-ES"/>
        </w:rPr>
        <w:t xml:space="preserve"> continúa siendo el más caro de Barcelona, con un precio medio de 16,59 €/m2 y un incremento trimestral del 3,8%. El más barato es </w:t>
      </w:r>
      <w:proofErr w:type="spellStart"/>
      <w:r w:rsidRPr="008B2012">
        <w:rPr>
          <w:rFonts w:ascii="Open Sans Light" w:hAnsi="Open Sans Light"/>
          <w:lang w:val="es-ES"/>
        </w:rPr>
        <w:t>Nou</w:t>
      </w:r>
      <w:proofErr w:type="spellEnd"/>
      <w:r w:rsidRPr="008B2012">
        <w:rPr>
          <w:rFonts w:ascii="Open Sans Light" w:hAnsi="Open Sans Light"/>
          <w:lang w:val="es-ES"/>
        </w:rPr>
        <w:t xml:space="preserve"> </w:t>
      </w:r>
      <w:proofErr w:type="spellStart"/>
      <w:r w:rsidRPr="008B2012">
        <w:rPr>
          <w:rFonts w:ascii="Open Sans Light" w:hAnsi="Open Sans Light"/>
          <w:lang w:val="es-ES"/>
        </w:rPr>
        <w:t>Barris</w:t>
      </w:r>
      <w:proofErr w:type="spellEnd"/>
      <w:r w:rsidRPr="008B2012">
        <w:rPr>
          <w:rFonts w:ascii="Open Sans Light" w:hAnsi="Open Sans Light"/>
          <w:lang w:val="es-ES"/>
        </w:rPr>
        <w:t>, que tiene un precio medio de 11,01€/m2 al mes y este mes de junio asciende el precio un 0,2% respecto al mes anterior.</w:t>
      </w:r>
    </w:p>
    <w:p w:rsidR="008B2012" w:rsidRDefault="008B2012" w:rsidP="0006369A">
      <w:pPr>
        <w:ind w:left="-1134"/>
        <w:jc w:val="both"/>
        <w:rPr>
          <w:rFonts w:ascii="Open Sans Light" w:hAnsi="Open Sans Light"/>
          <w:lang w:val="es-ES"/>
        </w:rPr>
      </w:pPr>
    </w:p>
    <w:p w:rsidR="00405F66" w:rsidRDefault="00405F66" w:rsidP="00E8753C">
      <w:pPr>
        <w:jc w:val="both"/>
        <w:rPr>
          <w:rFonts w:ascii="Open Sans Light" w:hAnsi="Open Sans Light"/>
          <w:color w:val="404040" w:themeColor="text1" w:themeTint="BF"/>
          <w:lang w:val="es-ES"/>
        </w:rPr>
      </w:pPr>
    </w:p>
    <w:p w:rsidR="008B2012" w:rsidRPr="00201404" w:rsidRDefault="008B2012" w:rsidP="00E8753C">
      <w:pPr>
        <w:jc w:val="both"/>
        <w:rPr>
          <w:rFonts w:ascii="Open Sans Light" w:hAnsi="Open Sans Light"/>
          <w:color w:val="404040" w:themeColor="text1" w:themeTint="BF"/>
          <w:lang w:val="es-ES"/>
        </w:rPr>
      </w:pPr>
    </w:p>
    <w:p w:rsidR="00AD3BC9" w:rsidRPr="00201404" w:rsidRDefault="00AD3BC9" w:rsidP="0095197E">
      <w:pPr>
        <w:pStyle w:val="Cuerpo"/>
        <w:ind w:left="5238" w:firstLine="426"/>
        <w:jc w:val="center"/>
        <w:rPr>
          <w:rStyle w:val="Ninguno"/>
          <w:rFonts w:ascii="Open Sans Light" w:hAnsi="Open Sans Light" w:cs="Gisha"/>
          <w:b/>
          <w:color w:val="00AAAB"/>
        </w:rPr>
      </w:pPr>
      <w:r w:rsidRPr="00201404">
        <w:rPr>
          <w:rStyle w:val="Ninguno"/>
          <w:rFonts w:ascii="Open Sans Light" w:hAnsi="Open Sans Light" w:cs="Gisha"/>
          <w:b/>
          <w:color w:val="00AAAB"/>
        </w:rPr>
        <w:t xml:space="preserve">Sobre </w:t>
      </w:r>
      <w:proofErr w:type="spellStart"/>
      <w:r w:rsidRPr="00201404">
        <w:rPr>
          <w:rStyle w:val="Ninguno"/>
          <w:rFonts w:ascii="Open Sans Light" w:hAnsi="Open Sans Light" w:cs="Gisha"/>
          <w:b/>
          <w:color w:val="00AAAB"/>
        </w:rPr>
        <w:t>fotocasa</w:t>
      </w:r>
      <w:proofErr w:type="spellEnd"/>
    </w:p>
    <w:p w:rsidR="00AD3BC9" w:rsidRPr="00201404" w:rsidRDefault="00AD3BC9" w:rsidP="00AD3BC9">
      <w:pPr>
        <w:pStyle w:val="Cuerpo"/>
        <w:ind w:left="-1134"/>
        <w:jc w:val="both"/>
        <w:rPr>
          <w:rFonts w:ascii="Gill Sans MT" w:eastAsia="Gisha" w:hAnsi="Gill Sans MT" w:cs="Gisha"/>
          <w:lang w:val="es-ES_tradnl"/>
        </w:rPr>
      </w:pP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r w:rsidRPr="00201404">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1B4ED6">
        <w:rPr>
          <w:rFonts w:ascii="Open Sans Light" w:hAnsi="Open Sans Light" w:cs="Gisha"/>
          <w:b/>
          <w:bCs/>
          <w:sz w:val="22"/>
          <w:szCs w:val="22"/>
          <w:lang w:val="es-ES"/>
        </w:rPr>
        <w:t>20</w:t>
      </w:r>
      <w:r w:rsidRPr="00201404">
        <w:rPr>
          <w:rFonts w:ascii="Open Sans Light" w:hAnsi="Open Sans Light" w:cs="Gisha"/>
          <w:b/>
          <w:bCs/>
          <w:sz w:val="22"/>
          <w:szCs w:val="22"/>
          <w:lang w:val="es-ES"/>
        </w:rPr>
        <w:t xml:space="preserve"> millones de visitas al mes</w:t>
      </w:r>
      <w:r w:rsidRPr="00201404">
        <w:rPr>
          <w:rFonts w:ascii="Open Sans Light" w:hAnsi="Open Sans Light" w:cs="Gisha"/>
          <w:sz w:val="22"/>
          <w:szCs w:val="22"/>
          <w:lang w:val="es-ES"/>
        </w:rPr>
        <w:t xml:space="preserve"> (62% a través de dispositivos móviles) y </w:t>
      </w:r>
      <w:r w:rsidRPr="00201404">
        <w:rPr>
          <w:rFonts w:ascii="Open Sans Light" w:hAnsi="Open Sans Light" w:cs="Gisha"/>
          <w:b/>
          <w:bCs/>
          <w:sz w:val="22"/>
          <w:szCs w:val="22"/>
          <w:lang w:val="es-ES"/>
        </w:rPr>
        <w:t>650 millones de páginas vistas</w:t>
      </w:r>
      <w:r w:rsidRPr="00201404">
        <w:rPr>
          <w:rFonts w:ascii="Open Sans Light" w:hAnsi="Open Sans Light" w:cs="Gisha"/>
          <w:sz w:val="22"/>
          <w:szCs w:val="22"/>
          <w:lang w:val="es-ES"/>
        </w:rPr>
        <w:t xml:space="preserve"> y cada día la visitan </w:t>
      </w:r>
      <w:r w:rsidR="001B4ED6">
        <w:rPr>
          <w:rFonts w:ascii="Open Sans Light" w:hAnsi="Open Sans Light" w:cs="Gisha"/>
          <w:sz w:val="22"/>
          <w:szCs w:val="22"/>
          <w:lang w:val="es-ES"/>
        </w:rPr>
        <w:t xml:space="preserve">más de </w:t>
      </w:r>
      <w:r w:rsidR="001B4ED6" w:rsidRPr="001B4ED6">
        <w:rPr>
          <w:rFonts w:ascii="Open Sans Light" w:hAnsi="Open Sans Light" w:cs="Gisha"/>
          <w:b/>
          <w:bCs/>
          <w:sz w:val="22"/>
          <w:szCs w:val="22"/>
          <w:lang w:val="es-ES"/>
        </w:rPr>
        <w:t>500.000 de</w:t>
      </w:r>
      <w:r w:rsidR="001B4ED6">
        <w:rPr>
          <w:rFonts w:ascii="Open Sans Light" w:hAnsi="Open Sans Light" w:cs="Gisha"/>
          <w:sz w:val="22"/>
          <w:szCs w:val="22"/>
          <w:lang w:val="es-ES"/>
        </w:rPr>
        <w:t xml:space="preserve"> </w:t>
      </w:r>
      <w:r w:rsidRPr="00201404">
        <w:rPr>
          <w:rFonts w:ascii="Open Sans Light" w:hAnsi="Open Sans Light" w:cs="Gisha"/>
          <w:b/>
          <w:bCs/>
          <w:sz w:val="22"/>
          <w:szCs w:val="22"/>
          <w:lang w:val="es-ES"/>
        </w:rPr>
        <w:t>usuarios únicos</w:t>
      </w:r>
      <w:r w:rsidRPr="00201404">
        <w:rPr>
          <w:rFonts w:ascii="Open Sans Light" w:hAnsi="Open Sans Light" w:cs="Gisha"/>
          <w:sz w:val="22"/>
          <w:szCs w:val="22"/>
          <w:lang w:val="es-ES"/>
        </w:rPr>
        <w:t xml:space="preserve">. Mensualmente elabora el </w:t>
      </w:r>
      <w:hyperlink r:id="rId18" w:history="1">
        <w:r w:rsidRPr="00201404">
          <w:rPr>
            <w:rStyle w:val="Hipervnculo"/>
            <w:rFonts w:ascii="Open Sans Light" w:hAnsi="Open Sans Light" w:cs="Gisha"/>
            <w:i/>
            <w:iCs/>
            <w:sz w:val="22"/>
            <w:szCs w:val="22"/>
            <w:lang w:val="es-ES"/>
          </w:rPr>
          <w:t xml:space="preserve">índice inmobiliario </w:t>
        </w:r>
        <w:proofErr w:type="spellStart"/>
        <w:r w:rsidRPr="00201404">
          <w:rPr>
            <w:rStyle w:val="Hipervnculo"/>
            <w:rFonts w:ascii="Open Sans Light" w:hAnsi="Open Sans Light" w:cs="Gisha"/>
            <w:i/>
            <w:iCs/>
            <w:sz w:val="22"/>
            <w:szCs w:val="22"/>
            <w:lang w:val="es-ES"/>
          </w:rPr>
          <w:t>fotocasa</w:t>
        </w:r>
        <w:proofErr w:type="spellEnd"/>
      </w:hyperlink>
      <w:r w:rsidRPr="00201404">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AD3BC9" w:rsidRPr="00201404" w:rsidRDefault="008F1843" w:rsidP="00AD3BC9">
      <w:pPr>
        <w:autoSpaceDE w:val="0"/>
        <w:autoSpaceDN w:val="0"/>
        <w:adjustRightInd w:val="0"/>
        <w:ind w:left="-1134"/>
        <w:jc w:val="both"/>
        <w:rPr>
          <w:rFonts w:ascii="Open Sans Light" w:hAnsi="Open Sans Light" w:cs="Gisha"/>
          <w:sz w:val="22"/>
          <w:szCs w:val="22"/>
          <w:lang w:val="es-ES"/>
        </w:rPr>
      </w:pPr>
      <w:hyperlink r:id="rId19" w:history="1">
        <w:proofErr w:type="spellStart"/>
        <w:r w:rsidR="00AD3BC9" w:rsidRPr="00201404">
          <w:rPr>
            <w:rStyle w:val="Hipervnculo"/>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pertenece a </w:t>
      </w:r>
      <w:hyperlink r:id="rId20" w:history="1">
        <w:proofErr w:type="spellStart"/>
        <w:r w:rsidR="00AD3BC9" w:rsidRPr="00201404">
          <w:rPr>
            <w:rStyle w:val="Hipervnculo"/>
            <w:rFonts w:ascii="Open Sans Light" w:hAnsi="Open Sans Light" w:cs="Gisha"/>
            <w:sz w:val="22"/>
            <w:szCs w:val="22"/>
            <w:lang w:val="es-ES"/>
          </w:rPr>
          <w:t>Schibsted</w:t>
        </w:r>
        <w:proofErr w:type="spellEnd"/>
        <w:r w:rsidR="00AD3BC9" w:rsidRPr="00201404">
          <w:rPr>
            <w:rStyle w:val="Hipervnculo"/>
            <w:rFonts w:ascii="Open Sans Light" w:hAnsi="Open Sans Light" w:cs="Gisha"/>
            <w:sz w:val="22"/>
            <w:szCs w:val="22"/>
            <w:lang w:val="es-ES"/>
          </w:rPr>
          <w:t xml:space="preserve"> </w:t>
        </w:r>
        <w:proofErr w:type="spellStart"/>
        <w:r w:rsidR="00AD3BC9" w:rsidRPr="00201404">
          <w:rPr>
            <w:rStyle w:val="Hipervnculo"/>
            <w:rFonts w:ascii="Open Sans Light" w:hAnsi="Open Sans Light" w:cs="Gisha"/>
            <w:sz w:val="22"/>
            <w:szCs w:val="22"/>
            <w:lang w:val="es-ES"/>
          </w:rPr>
          <w:t>Spain</w:t>
        </w:r>
        <w:proofErr w:type="spellEnd"/>
      </w:hyperlink>
      <w:r w:rsidR="00AD3BC9" w:rsidRPr="00201404">
        <w:rPr>
          <w:rFonts w:ascii="Open Sans Light" w:hAnsi="Open Sans Light" w:cs="Gisha"/>
          <w:sz w:val="22"/>
          <w:szCs w:val="22"/>
          <w:lang w:val="es-ES"/>
        </w:rPr>
        <w:t xml:space="preserve">, la compañía de anuncios clasificados y de ofertas de empleo más grande y </w:t>
      </w:r>
      <w:proofErr w:type="gramStart"/>
      <w:r w:rsidR="00AD3BC9" w:rsidRPr="00201404">
        <w:rPr>
          <w:rFonts w:ascii="Open Sans Light" w:hAnsi="Open Sans Light" w:cs="Gisha"/>
          <w:sz w:val="22"/>
          <w:szCs w:val="22"/>
          <w:lang w:val="es-ES"/>
        </w:rPr>
        <w:t>diversificada</w:t>
      </w:r>
      <w:proofErr w:type="gramEnd"/>
      <w:r w:rsidR="00AD3BC9" w:rsidRPr="00201404">
        <w:rPr>
          <w:rFonts w:ascii="Open Sans Light" w:hAnsi="Open Sans Light" w:cs="Gisha"/>
          <w:sz w:val="22"/>
          <w:szCs w:val="22"/>
          <w:lang w:val="es-ES"/>
        </w:rPr>
        <w:t xml:space="preserve"> del país. Además de gestionar el portal inmobiliario </w:t>
      </w:r>
      <w:hyperlink r:id="rId21" w:history="1">
        <w:proofErr w:type="spellStart"/>
        <w:r w:rsidR="00AD3BC9" w:rsidRPr="00201404">
          <w:rPr>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cuenta con los siguientes portales de referencia: </w:t>
      </w:r>
      <w:hyperlink r:id="rId22" w:history="1">
        <w:proofErr w:type="spellStart"/>
        <w:r w:rsidR="00AD3BC9" w:rsidRPr="00201404">
          <w:rPr>
            <w:rStyle w:val="Hipervnculo"/>
            <w:rFonts w:ascii="Open Sans Light" w:hAnsi="Open Sans Light" w:cs="Gisha"/>
            <w:sz w:val="22"/>
            <w:szCs w:val="22"/>
            <w:lang w:val="es-ES"/>
          </w:rPr>
          <w:t>vibbo</w:t>
        </w:r>
        <w:proofErr w:type="spellEnd"/>
      </w:hyperlink>
      <w:r w:rsidR="00AD3BC9" w:rsidRPr="00201404">
        <w:rPr>
          <w:rFonts w:ascii="Open Sans Light" w:hAnsi="Open Sans Light" w:cs="Gisha"/>
          <w:sz w:val="22"/>
          <w:szCs w:val="22"/>
          <w:lang w:val="es-ES"/>
        </w:rPr>
        <w:t xml:space="preserve">, </w:t>
      </w:r>
      <w:hyperlink r:id="rId23" w:history="1">
        <w:r w:rsidR="00AD3BC9" w:rsidRPr="00201404">
          <w:rPr>
            <w:rStyle w:val="Hipervnculo"/>
            <w:rFonts w:ascii="Open Sans Light" w:hAnsi="Open Sans Light" w:cs="Gisha"/>
            <w:sz w:val="22"/>
            <w:szCs w:val="22"/>
            <w:lang w:val="es-ES"/>
          </w:rPr>
          <w:t>infojobs.net</w:t>
        </w:r>
      </w:hyperlink>
      <w:r w:rsidR="00AD3BC9" w:rsidRPr="00201404">
        <w:rPr>
          <w:rFonts w:ascii="Open Sans Light" w:hAnsi="Open Sans Light" w:cs="Gisha"/>
          <w:sz w:val="22"/>
          <w:szCs w:val="22"/>
          <w:lang w:val="es-ES"/>
        </w:rPr>
        <w:t xml:space="preserve">, </w:t>
      </w:r>
      <w:hyperlink r:id="rId24" w:history="1">
        <w:proofErr w:type="spellStart"/>
        <w:r w:rsidR="00AD3BC9" w:rsidRPr="00201404">
          <w:rPr>
            <w:rStyle w:val="Hipervnculo"/>
            <w:rFonts w:ascii="Open Sans Light" w:hAnsi="Open Sans Light" w:cs="Gisha"/>
            <w:sz w:val="22"/>
            <w:szCs w:val="22"/>
            <w:lang w:val="es-ES"/>
          </w:rPr>
          <w:t>habitaclia</w:t>
        </w:r>
        <w:proofErr w:type="spellEnd"/>
      </w:hyperlink>
      <w:r w:rsidR="00AD3BC9" w:rsidRPr="00201404">
        <w:rPr>
          <w:rFonts w:ascii="Open Sans Light" w:hAnsi="Open Sans Light" w:cs="Gisha"/>
          <w:sz w:val="22"/>
          <w:szCs w:val="22"/>
          <w:lang w:val="es-ES"/>
        </w:rPr>
        <w:t xml:space="preserve">, </w:t>
      </w:r>
      <w:hyperlink r:id="rId25" w:history="1">
        <w:r w:rsidR="00AD3BC9" w:rsidRPr="00201404">
          <w:rPr>
            <w:rStyle w:val="Hipervnculo"/>
            <w:rFonts w:ascii="Open Sans Light" w:hAnsi="Open Sans Light" w:cs="Gisha"/>
            <w:sz w:val="22"/>
            <w:szCs w:val="22"/>
            <w:lang w:val="es-ES"/>
          </w:rPr>
          <w:t>coches.net</w:t>
        </w:r>
      </w:hyperlink>
      <w:r w:rsidR="00AD3BC9" w:rsidRPr="00201404">
        <w:rPr>
          <w:rFonts w:ascii="Open Sans Light" w:hAnsi="Open Sans Light" w:cs="Gisha"/>
          <w:sz w:val="22"/>
          <w:szCs w:val="22"/>
          <w:lang w:val="es-ES"/>
        </w:rPr>
        <w:t xml:space="preserve">, </w:t>
      </w:r>
      <w:hyperlink r:id="rId26" w:history="1">
        <w:r w:rsidR="00AD3BC9" w:rsidRPr="00201404">
          <w:rPr>
            <w:rStyle w:val="Hipervnculo"/>
            <w:rFonts w:ascii="Open Sans Light" w:hAnsi="Open Sans Light" w:cs="Gisha"/>
            <w:sz w:val="22"/>
            <w:szCs w:val="22"/>
            <w:lang w:val="es-ES"/>
          </w:rPr>
          <w:t>motos.net</w:t>
        </w:r>
      </w:hyperlink>
      <w:r w:rsidR="00AD3BC9" w:rsidRPr="00201404">
        <w:rPr>
          <w:rFonts w:ascii="Open Sans Light" w:hAnsi="Open Sans Light" w:cs="Gisha"/>
          <w:sz w:val="22"/>
          <w:szCs w:val="22"/>
          <w:lang w:val="es-ES"/>
        </w:rPr>
        <w:t xml:space="preserve"> y </w:t>
      </w:r>
      <w:hyperlink r:id="rId27" w:history="1">
        <w:proofErr w:type="spellStart"/>
        <w:r w:rsidR="00AD3BC9" w:rsidRPr="00201404">
          <w:rPr>
            <w:rStyle w:val="Hipervnculo"/>
            <w:rFonts w:ascii="Open Sans Light" w:hAnsi="Open Sans Light" w:cs="Gisha"/>
            <w:sz w:val="22"/>
            <w:szCs w:val="22"/>
            <w:lang w:val="es-ES"/>
          </w:rPr>
          <w:t>milanuncios</w:t>
        </w:r>
        <w:proofErr w:type="spellEnd"/>
      </w:hyperlink>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Spain</w:t>
      </w:r>
      <w:proofErr w:type="spellEnd"/>
      <w:r w:rsidR="00AD3BC9" w:rsidRPr="00201404">
        <w:rPr>
          <w:rFonts w:ascii="Open Sans Light" w:hAnsi="Open Sans Light" w:cs="Gisha"/>
          <w:sz w:val="22"/>
          <w:szCs w:val="22"/>
          <w:lang w:val="es-ES"/>
        </w:rPr>
        <w:t xml:space="preserve"> forma parte del grupo internacional de origen noruego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r w:rsidR="00AD3BC9" w:rsidRPr="00201404">
        <w:rPr>
          <w:rFonts w:ascii="Open Sans Light" w:hAnsi="Open Sans Light" w:cs="Gisha"/>
          <w:sz w:val="22"/>
          <w:szCs w:val="22"/>
          <w:lang w:val="es-ES"/>
        </w:rPr>
        <w:t xml:space="preserve">, que está presente en más de 30 países y cuenta con 6.800 empleados. Más información en la </w:t>
      </w:r>
      <w:hyperlink r:id="rId28" w:history="1">
        <w:r w:rsidR="00AD3BC9" w:rsidRPr="00201404">
          <w:rPr>
            <w:rFonts w:ascii="Open Sans Light" w:hAnsi="Open Sans Light" w:cs="Gisha"/>
            <w:sz w:val="22"/>
            <w:szCs w:val="22"/>
            <w:lang w:val="es-ES"/>
          </w:rPr>
          <w:t xml:space="preserve">web de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hyperlink>
      <w:r w:rsidR="00AD3BC9" w:rsidRPr="00201404">
        <w:rPr>
          <w:rFonts w:ascii="Open Sans Light" w:hAnsi="Open Sans Light" w:cs="Gisha"/>
          <w:sz w:val="22"/>
          <w:szCs w:val="22"/>
          <w:lang w:val="es-ES"/>
        </w:rPr>
        <w:t>.</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593FCD" w:rsidRDefault="00593FCD" w:rsidP="00AD3BC9">
      <w:pPr>
        <w:ind w:left="-1134"/>
        <w:jc w:val="both"/>
        <w:rPr>
          <w:rFonts w:ascii="Open Sans Light" w:hAnsi="Open Sans Light"/>
          <w:color w:val="404040" w:themeColor="text1" w:themeTint="BF"/>
          <w:lang w:val="es-ES"/>
        </w:rPr>
      </w:pPr>
    </w:p>
    <w:p w:rsidR="00593FCD" w:rsidRPr="00201404" w:rsidRDefault="00593FCD" w:rsidP="00AD3BC9">
      <w:pPr>
        <w:ind w:left="-1134"/>
        <w:jc w:val="both"/>
        <w:rPr>
          <w:rFonts w:ascii="Open Sans Light" w:hAnsi="Open Sans Light"/>
          <w:color w:val="404040" w:themeColor="text1" w:themeTint="BF"/>
          <w:lang w:val="es-ES"/>
        </w:rPr>
      </w:pPr>
    </w:p>
    <w:p w:rsidR="006F6A28" w:rsidRPr="00201404" w:rsidRDefault="006F6A28" w:rsidP="006F6A28">
      <w:pPr>
        <w:pStyle w:val="Cuerpo"/>
        <w:jc w:val="right"/>
        <w:rPr>
          <w:rStyle w:val="Ninguno"/>
          <w:rFonts w:ascii="Open Sans Light" w:hAnsi="Open Sans Light" w:cs="Gisha"/>
          <w:b/>
          <w:color w:val="00AAAB"/>
        </w:rPr>
      </w:pPr>
      <w:r w:rsidRPr="00201404">
        <w:rPr>
          <w:rStyle w:val="Ninguno"/>
          <w:rFonts w:ascii="Open Sans Light" w:hAnsi="Open Sans Light" w:cs="Gisha"/>
          <w:b/>
          <w:color w:val="00AAAB"/>
        </w:rPr>
        <w:t xml:space="preserve">Departamento de Comunicación de </w:t>
      </w:r>
      <w:proofErr w:type="spellStart"/>
      <w:r w:rsidRPr="00201404">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201404">
        <w:rPr>
          <w:rFonts w:ascii="Open Sans Light" w:hAnsi="Open Sans Light" w:cs="Gisha"/>
          <w:b/>
          <w:bCs/>
          <w:lang w:val="en-US"/>
        </w:rPr>
        <w:t>Anaïs López</w:t>
      </w:r>
      <w:r w:rsidRPr="00201404">
        <w:rPr>
          <w:rFonts w:ascii="Open Sans Light" w:eastAsia="MingLiU" w:hAnsi="Open Sans Light" w:cs="MingLiU"/>
          <w:lang w:val="en-US"/>
        </w:rPr>
        <w:br/>
      </w:r>
      <w:proofErr w:type="gramStart"/>
      <w:r w:rsidRPr="00201404">
        <w:rPr>
          <w:rFonts w:ascii="Open Sans Light" w:hAnsi="Open Sans Light" w:cs="Gisha"/>
          <w:lang w:val="en-US"/>
        </w:rPr>
        <w:t>Tlf.:</w:t>
      </w:r>
      <w:proofErr w:type="gramEnd"/>
      <w:r w:rsidRPr="00201404">
        <w:rPr>
          <w:rFonts w:ascii="Open Sans Light" w:hAnsi="Open Sans Light" w:cs="Gisha"/>
          <w:lang w:val="en-US"/>
        </w:rPr>
        <w:t xml:space="preserve"> 93 576 56 79 </w:t>
      </w:r>
      <w:r w:rsidRPr="00201404">
        <w:rPr>
          <w:rFonts w:ascii="Open Sans Light" w:eastAsia="MingLiU" w:hAnsi="Open Sans Light" w:cs="MingLiU"/>
          <w:lang w:val="en-US"/>
        </w:rPr>
        <w:br/>
      </w:r>
      <w:proofErr w:type="spellStart"/>
      <w:r w:rsidRPr="00201404">
        <w:rPr>
          <w:rFonts w:ascii="Open Sans Light" w:hAnsi="Open Sans Light" w:cs="Gisha"/>
          <w:lang w:val="en-US"/>
        </w:rPr>
        <w:t>Móvil</w:t>
      </w:r>
      <w:proofErr w:type="spellEnd"/>
      <w:r w:rsidRPr="00201404">
        <w:rPr>
          <w:rFonts w:ascii="Open Sans Light" w:hAnsi="Open Sans Light" w:cs="Gisha"/>
          <w:lang w:val="en-US"/>
        </w:rPr>
        <w:t>: 620 66 29 26</w:t>
      </w:r>
      <w:r w:rsidRPr="00201404">
        <w:rPr>
          <w:rFonts w:ascii="Open Sans Light" w:eastAsia="MingLiU" w:hAnsi="Open Sans Light" w:cs="MingLiU"/>
          <w:lang w:val="en-US"/>
        </w:rPr>
        <w:br/>
      </w:r>
      <w:hyperlink r:id="rId29" w:history="1">
        <w:r w:rsidRPr="00201404">
          <w:rPr>
            <w:rStyle w:val="Hyperlink1"/>
            <w:rFonts w:ascii="Open Sans Light" w:hAnsi="Open Sans Light"/>
          </w:rPr>
          <w:t>comunicacion@fotocasa.es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r>
      <w:hyperlink r:id="rId30" w:history="1">
        <w:r w:rsidRPr="00201404">
          <w:rPr>
            <w:rStyle w:val="Hyperlink1"/>
            <w:rFonts w:ascii="Open Sans Light" w:hAnsi="Open Sans Light"/>
          </w:rPr>
          <w:t>http://prensa.fotocasa.es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t>twitter: @</w:t>
      </w:r>
      <w:proofErr w:type="spellStart"/>
      <w:r w:rsidRPr="00201404">
        <w:rPr>
          <w:rStyle w:val="Ninguno"/>
          <w:rFonts w:ascii="Open Sans Light" w:hAnsi="Open Sans Light" w:cs="Gisha"/>
          <w:lang w:val="en-US"/>
        </w:rPr>
        <w:t>fotocasa</w:t>
      </w:r>
      <w:proofErr w:type="spellEnd"/>
    </w:p>
    <w:sectPr w:rsidR="001E55E9" w:rsidRPr="00CE21FC" w:rsidSect="0052608C">
      <w:footerReference w:type="default" r:id="rId31"/>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E00" w:rsidRDefault="00136E00" w:rsidP="0052608C">
      <w:r>
        <w:separator/>
      </w:r>
    </w:p>
  </w:endnote>
  <w:endnote w:type="continuationSeparator" w:id="0">
    <w:p w:rsidR="00136E00" w:rsidRDefault="00136E00"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E00" w:rsidRDefault="00136E00" w:rsidP="0052608C">
      <w:r>
        <w:separator/>
      </w:r>
    </w:p>
  </w:footnote>
  <w:footnote w:type="continuationSeparator" w:id="0">
    <w:p w:rsidR="00136E00" w:rsidRDefault="00136E00"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51CE3"/>
    <w:rsid w:val="0006369A"/>
    <w:rsid w:val="00136E00"/>
    <w:rsid w:val="00137EDD"/>
    <w:rsid w:val="001A4E64"/>
    <w:rsid w:val="001B4ED6"/>
    <w:rsid w:val="001E55E9"/>
    <w:rsid w:val="00201404"/>
    <w:rsid w:val="00260AE1"/>
    <w:rsid w:val="0030499F"/>
    <w:rsid w:val="00365EE5"/>
    <w:rsid w:val="003C30FC"/>
    <w:rsid w:val="003F3675"/>
    <w:rsid w:val="003F60C7"/>
    <w:rsid w:val="00405F66"/>
    <w:rsid w:val="0040699F"/>
    <w:rsid w:val="00451D7C"/>
    <w:rsid w:val="0046065A"/>
    <w:rsid w:val="004E589B"/>
    <w:rsid w:val="0052608C"/>
    <w:rsid w:val="00586D22"/>
    <w:rsid w:val="00593FCD"/>
    <w:rsid w:val="005A4BDC"/>
    <w:rsid w:val="006A3579"/>
    <w:rsid w:val="006B3404"/>
    <w:rsid w:val="006E3A3E"/>
    <w:rsid w:val="006F6A28"/>
    <w:rsid w:val="00700B0C"/>
    <w:rsid w:val="00763F0F"/>
    <w:rsid w:val="00794CAF"/>
    <w:rsid w:val="007A487D"/>
    <w:rsid w:val="007A55E0"/>
    <w:rsid w:val="007A7435"/>
    <w:rsid w:val="007A7768"/>
    <w:rsid w:val="007B60EB"/>
    <w:rsid w:val="007D466D"/>
    <w:rsid w:val="008B2012"/>
    <w:rsid w:val="008F1843"/>
    <w:rsid w:val="00905EAB"/>
    <w:rsid w:val="00930FDE"/>
    <w:rsid w:val="0095197E"/>
    <w:rsid w:val="00A82E04"/>
    <w:rsid w:val="00A974F3"/>
    <w:rsid w:val="00AB5432"/>
    <w:rsid w:val="00AD3BC9"/>
    <w:rsid w:val="00AD62DD"/>
    <w:rsid w:val="00AF0800"/>
    <w:rsid w:val="00AF58FD"/>
    <w:rsid w:val="00B408A9"/>
    <w:rsid w:val="00B41C6D"/>
    <w:rsid w:val="00B6627C"/>
    <w:rsid w:val="00B743BB"/>
    <w:rsid w:val="00B83F9C"/>
    <w:rsid w:val="00BA1ECD"/>
    <w:rsid w:val="00BB386A"/>
    <w:rsid w:val="00BC0CC9"/>
    <w:rsid w:val="00BE2674"/>
    <w:rsid w:val="00C070CD"/>
    <w:rsid w:val="00C521E4"/>
    <w:rsid w:val="00C60309"/>
    <w:rsid w:val="00C9258D"/>
    <w:rsid w:val="00CE21FC"/>
    <w:rsid w:val="00D55A42"/>
    <w:rsid w:val="00DC2D13"/>
    <w:rsid w:val="00DD5A0B"/>
    <w:rsid w:val="00DD74F5"/>
    <w:rsid w:val="00E8753C"/>
    <w:rsid w:val="00EB7C25"/>
    <w:rsid w:val="00F240DE"/>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FC1-8AB5-4684-97E0-97A3708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semiHidden/>
    <w:unhideWhenUsed/>
    <w:rsid w:val="00930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050">
      <w:bodyDiv w:val="1"/>
      <w:marLeft w:val="0"/>
      <w:marRight w:val="0"/>
      <w:marTop w:val="0"/>
      <w:marBottom w:val="0"/>
      <w:divBdr>
        <w:top w:val="none" w:sz="0" w:space="0" w:color="auto"/>
        <w:left w:val="none" w:sz="0" w:space="0" w:color="auto"/>
        <w:bottom w:val="none" w:sz="0" w:space="0" w:color="auto"/>
        <w:right w:val="none" w:sz="0" w:space="0" w:color="auto"/>
      </w:divBdr>
    </w:div>
    <w:div w:id="47342039">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 w:id="211159634">
      <w:bodyDiv w:val="1"/>
      <w:marLeft w:val="0"/>
      <w:marRight w:val="0"/>
      <w:marTop w:val="0"/>
      <w:marBottom w:val="0"/>
      <w:divBdr>
        <w:top w:val="none" w:sz="0" w:space="0" w:color="auto"/>
        <w:left w:val="none" w:sz="0" w:space="0" w:color="auto"/>
        <w:bottom w:val="none" w:sz="0" w:space="0" w:color="auto"/>
        <w:right w:val="none" w:sz="0" w:space="0" w:color="auto"/>
      </w:divBdr>
    </w:div>
    <w:div w:id="303244485">
      <w:bodyDiv w:val="1"/>
      <w:marLeft w:val="0"/>
      <w:marRight w:val="0"/>
      <w:marTop w:val="0"/>
      <w:marBottom w:val="0"/>
      <w:divBdr>
        <w:top w:val="none" w:sz="0" w:space="0" w:color="auto"/>
        <w:left w:val="none" w:sz="0" w:space="0" w:color="auto"/>
        <w:bottom w:val="none" w:sz="0" w:space="0" w:color="auto"/>
        <w:right w:val="none" w:sz="0" w:space="0" w:color="auto"/>
      </w:divBdr>
    </w:div>
    <w:div w:id="311105690">
      <w:bodyDiv w:val="1"/>
      <w:marLeft w:val="0"/>
      <w:marRight w:val="0"/>
      <w:marTop w:val="0"/>
      <w:marBottom w:val="0"/>
      <w:divBdr>
        <w:top w:val="none" w:sz="0" w:space="0" w:color="auto"/>
        <w:left w:val="none" w:sz="0" w:space="0" w:color="auto"/>
        <w:bottom w:val="none" w:sz="0" w:space="0" w:color="auto"/>
        <w:right w:val="none" w:sz="0" w:space="0" w:color="auto"/>
      </w:divBdr>
    </w:div>
    <w:div w:id="513034406">
      <w:bodyDiv w:val="1"/>
      <w:marLeft w:val="0"/>
      <w:marRight w:val="0"/>
      <w:marTop w:val="0"/>
      <w:marBottom w:val="0"/>
      <w:divBdr>
        <w:top w:val="none" w:sz="0" w:space="0" w:color="auto"/>
        <w:left w:val="none" w:sz="0" w:space="0" w:color="auto"/>
        <w:bottom w:val="none" w:sz="0" w:space="0" w:color="auto"/>
        <w:right w:val="none" w:sz="0" w:space="0" w:color="auto"/>
      </w:divBdr>
    </w:div>
    <w:div w:id="679234081">
      <w:bodyDiv w:val="1"/>
      <w:marLeft w:val="0"/>
      <w:marRight w:val="0"/>
      <w:marTop w:val="0"/>
      <w:marBottom w:val="0"/>
      <w:divBdr>
        <w:top w:val="none" w:sz="0" w:space="0" w:color="auto"/>
        <w:left w:val="none" w:sz="0" w:space="0" w:color="auto"/>
        <w:bottom w:val="none" w:sz="0" w:space="0" w:color="auto"/>
        <w:right w:val="none" w:sz="0" w:space="0" w:color="auto"/>
      </w:divBdr>
    </w:div>
    <w:div w:id="772284480">
      <w:bodyDiv w:val="1"/>
      <w:marLeft w:val="0"/>
      <w:marRight w:val="0"/>
      <w:marTop w:val="0"/>
      <w:marBottom w:val="0"/>
      <w:divBdr>
        <w:top w:val="none" w:sz="0" w:space="0" w:color="auto"/>
        <w:left w:val="none" w:sz="0" w:space="0" w:color="auto"/>
        <w:bottom w:val="none" w:sz="0" w:space="0" w:color="auto"/>
        <w:right w:val="none" w:sz="0" w:space="0" w:color="auto"/>
      </w:divBdr>
    </w:div>
    <w:div w:id="788426677">
      <w:bodyDiv w:val="1"/>
      <w:marLeft w:val="0"/>
      <w:marRight w:val="0"/>
      <w:marTop w:val="0"/>
      <w:marBottom w:val="0"/>
      <w:divBdr>
        <w:top w:val="none" w:sz="0" w:space="0" w:color="auto"/>
        <w:left w:val="none" w:sz="0" w:space="0" w:color="auto"/>
        <w:bottom w:val="none" w:sz="0" w:space="0" w:color="auto"/>
        <w:right w:val="none" w:sz="0" w:space="0" w:color="auto"/>
      </w:divBdr>
    </w:div>
    <w:div w:id="857814615">
      <w:bodyDiv w:val="1"/>
      <w:marLeft w:val="0"/>
      <w:marRight w:val="0"/>
      <w:marTop w:val="0"/>
      <w:marBottom w:val="0"/>
      <w:divBdr>
        <w:top w:val="none" w:sz="0" w:space="0" w:color="auto"/>
        <w:left w:val="none" w:sz="0" w:space="0" w:color="auto"/>
        <w:bottom w:val="none" w:sz="0" w:space="0" w:color="auto"/>
        <w:right w:val="none" w:sz="0" w:space="0" w:color="auto"/>
      </w:divBdr>
    </w:div>
    <w:div w:id="865097280">
      <w:bodyDiv w:val="1"/>
      <w:marLeft w:val="0"/>
      <w:marRight w:val="0"/>
      <w:marTop w:val="0"/>
      <w:marBottom w:val="0"/>
      <w:divBdr>
        <w:top w:val="none" w:sz="0" w:space="0" w:color="auto"/>
        <w:left w:val="none" w:sz="0" w:space="0" w:color="auto"/>
        <w:bottom w:val="none" w:sz="0" w:space="0" w:color="auto"/>
        <w:right w:val="none" w:sz="0" w:space="0" w:color="auto"/>
      </w:divBdr>
    </w:div>
    <w:div w:id="991710841">
      <w:bodyDiv w:val="1"/>
      <w:marLeft w:val="0"/>
      <w:marRight w:val="0"/>
      <w:marTop w:val="0"/>
      <w:marBottom w:val="0"/>
      <w:divBdr>
        <w:top w:val="none" w:sz="0" w:space="0" w:color="auto"/>
        <w:left w:val="none" w:sz="0" w:space="0" w:color="auto"/>
        <w:bottom w:val="none" w:sz="0" w:space="0" w:color="auto"/>
        <w:right w:val="none" w:sz="0" w:space="0" w:color="auto"/>
      </w:divBdr>
    </w:div>
    <w:div w:id="1120608371">
      <w:bodyDiv w:val="1"/>
      <w:marLeft w:val="0"/>
      <w:marRight w:val="0"/>
      <w:marTop w:val="0"/>
      <w:marBottom w:val="0"/>
      <w:divBdr>
        <w:top w:val="none" w:sz="0" w:space="0" w:color="auto"/>
        <w:left w:val="none" w:sz="0" w:space="0" w:color="auto"/>
        <w:bottom w:val="none" w:sz="0" w:space="0" w:color="auto"/>
        <w:right w:val="none" w:sz="0" w:space="0" w:color="auto"/>
      </w:divBdr>
    </w:div>
    <w:div w:id="1128623782">
      <w:bodyDiv w:val="1"/>
      <w:marLeft w:val="0"/>
      <w:marRight w:val="0"/>
      <w:marTop w:val="0"/>
      <w:marBottom w:val="0"/>
      <w:divBdr>
        <w:top w:val="none" w:sz="0" w:space="0" w:color="auto"/>
        <w:left w:val="none" w:sz="0" w:space="0" w:color="auto"/>
        <w:bottom w:val="none" w:sz="0" w:space="0" w:color="auto"/>
        <w:right w:val="none" w:sz="0" w:space="0" w:color="auto"/>
      </w:divBdr>
    </w:div>
    <w:div w:id="1137647295">
      <w:bodyDiv w:val="1"/>
      <w:marLeft w:val="0"/>
      <w:marRight w:val="0"/>
      <w:marTop w:val="0"/>
      <w:marBottom w:val="0"/>
      <w:divBdr>
        <w:top w:val="none" w:sz="0" w:space="0" w:color="auto"/>
        <w:left w:val="none" w:sz="0" w:space="0" w:color="auto"/>
        <w:bottom w:val="none" w:sz="0" w:space="0" w:color="auto"/>
        <w:right w:val="none" w:sz="0" w:space="0" w:color="auto"/>
      </w:divBdr>
    </w:div>
    <w:div w:id="1140729445">
      <w:bodyDiv w:val="1"/>
      <w:marLeft w:val="0"/>
      <w:marRight w:val="0"/>
      <w:marTop w:val="0"/>
      <w:marBottom w:val="0"/>
      <w:divBdr>
        <w:top w:val="none" w:sz="0" w:space="0" w:color="auto"/>
        <w:left w:val="none" w:sz="0" w:space="0" w:color="auto"/>
        <w:bottom w:val="none" w:sz="0" w:space="0" w:color="auto"/>
        <w:right w:val="none" w:sz="0" w:space="0" w:color="auto"/>
      </w:divBdr>
    </w:div>
    <w:div w:id="1159269543">
      <w:bodyDiv w:val="1"/>
      <w:marLeft w:val="0"/>
      <w:marRight w:val="0"/>
      <w:marTop w:val="0"/>
      <w:marBottom w:val="0"/>
      <w:divBdr>
        <w:top w:val="none" w:sz="0" w:space="0" w:color="auto"/>
        <w:left w:val="none" w:sz="0" w:space="0" w:color="auto"/>
        <w:bottom w:val="none" w:sz="0" w:space="0" w:color="auto"/>
        <w:right w:val="none" w:sz="0" w:space="0" w:color="auto"/>
      </w:divBdr>
    </w:div>
    <w:div w:id="1200775630">
      <w:bodyDiv w:val="1"/>
      <w:marLeft w:val="0"/>
      <w:marRight w:val="0"/>
      <w:marTop w:val="0"/>
      <w:marBottom w:val="0"/>
      <w:divBdr>
        <w:top w:val="none" w:sz="0" w:space="0" w:color="auto"/>
        <w:left w:val="none" w:sz="0" w:space="0" w:color="auto"/>
        <w:bottom w:val="none" w:sz="0" w:space="0" w:color="auto"/>
        <w:right w:val="none" w:sz="0" w:space="0" w:color="auto"/>
      </w:divBdr>
    </w:div>
    <w:div w:id="1295059061">
      <w:bodyDiv w:val="1"/>
      <w:marLeft w:val="0"/>
      <w:marRight w:val="0"/>
      <w:marTop w:val="0"/>
      <w:marBottom w:val="0"/>
      <w:divBdr>
        <w:top w:val="none" w:sz="0" w:space="0" w:color="auto"/>
        <w:left w:val="none" w:sz="0" w:space="0" w:color="auto"/>
        <w:bottom w:val="none" w:sz="0" w:space="0" w:color="auto"/>
        <w:right w:val="none" w:sz="0" w:space="0" w:color="auto"/>
      </w:divBdr>
    </w:div>
    <w:div w:id="1339041262">
      <w:bodyDiv w:val="1"/>
      <w:marLeft w:val="0"/>
      <w:marRight w:val="0"/>
      <w:marTop w:val="0"/>
      <w:marBottom w:val="0"/>
      <w:divBdr>
        <w:top w:val="none" w:sz="0" w:space="0" w:color="auto"/>
        <w:left w:val="none" w:sz="0" w:space="0" w:color="auto"/>
        <w:bottom w:val="none" w:sz="0" w:space="0" w:color="auto"/>
        <w:right w:val="none" w:sz="0" w:space="0" w:color="auto"/>
      </w:divBdr>
    </w:div>
    <w:div w:id="1466847115">
      <w:bodyDiv w:val="1"/>
      <w:marLeft w:val="0"/>
      <w:marRight w:val="0"/>
      <w:marTop w:val="0"/>
      <w:marBottom w:val="0"/>
      <w:divBdr>
        <w:top w:val="none" w:sz="0" w:space="0" w:color="auto"/>
        <w:left w:val="none" w:sz="0" w:space="0" w:color="auto"/>
        <w:bottom w:val="none" w:sz="0" w:space="0" w:color="auto"/>
        <w:right w:val="none" w:sz="0" w:space="0" w:color="auto"/>
      </w:divBdr>
    </w:div>
    <w:div w:id="1883517994">
      <w:bodyDiv w:val="1"/>
      <w:marLeft w:val="0"/>
      <w:marRight w:val="0"/>
      <w:marTop w:val="0"/>
      <w:marBottom w:val="0"/>
      <w:divBdr>
        <w:top w:val="none" w:sz="0" w:space="0" w:color="auto"/>
        <w:left w:val="none" w:sz="0" w:space="0" w:color="auto"/>
        <w:bottom w:val="none" w:sz="0" w:space="0" w:color="auto"/>
        <w:right w:val="none" w:sz="0" w:space="0" w:color="auto"/>
      </w:divBdr>
    </w:div>
    <w:div w:id="1938439136">
      <w:bodyDiv w:val="1"/>
      <w:marLeft w:val="0"/>
      <w:marRight w:val="0"/>
      <w:marTop w:val="0"/>
      <w:marBottom w:val="0"/>
      <w:divBdr>
        <w:top w:val="none" w:sz="0" w:space="0" w:color="auto"/>
        <w:left w:val="none" w:sz="0" w:space="0" w:color="auto"/>
        <w:bottom w:val="none" w:sz="0" w:space="0" w:color="auto"/>
        <w:right w:val="none" w:sz="0" w:space="0" w:color="auto"/>
      </w:divBdr>
    </w:div>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indice-inmobiliario__fotocasa.aspx" TargetMode="External"/><Relationship Id="rId26" Type="http://schemas.openxmlformats.org/officeDocument/2006/relationships/hyperlink" Target="http://motos.coches.net/"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schibsted.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habitaclia.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infojobs.net/" TargetMode="External"/><Relationship Id="rId28" Type="http://schemas.openxmlformats.org/officeDocument/2006/relationships/hyperlink" Target="http://www.schibsted.com/e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vibbo.com/" TargetMode="External"/><Relationship Id="rId27" Type="http://schemas.openxmlformats.org/officeDocument/2006/relationships/hyperlink" Target="http://www.milanuncios.es/"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7\06.%20JUNIO\NOTAS%20DE%20PRENSA\Nacional\Gr&#225;ficos%202t%20alquiler%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7\06.%20JUNIO\PRENSA\Resumen_PM_Nacional_062017%20ALQUIL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938613837653853E-2"/>
          <c:y val="4.6709129511677279E-2"/>
          <c:w val="0.90582597266665865"/>
          <c:h val="0.78387883043282014"/>
        </c:manualLayout>
      </c:layout>
      <c:barChart>
        <c:barDir val="col"/>
        <c:grouping val="clustered"/>
        <c:varyColors val="0"/>
        <c:ser>
          <c:idx val="0"/>
          <c:order val="0"/>
          <c:spPr>
            <a:solidFill>
              <a:schemeClr val="accent1"/>
            </a:solidFill>
            <a:ln>
              <a:noFill/>
            </a:ln>
            <a:effectLst/>
          </c:spPr>
          <c:invertIfNegative val="0"/>
          <c:dPt>
            <c:idx val="2"/>
            <c:invertIfNegative val="0"/>
            <c:bubble3D val="0"/>
            <c:spPr>
              <a:solidFill>
                <a:srgbClr val="FF0000"/>
              </a:solidFill>
              <a:ln>
                <a:noFill/>
              </a:ln>
              <a:effectLst/>
            </c:spPr>
          </c:dPt>
          <c:dPt>
            <c:idx val="4"/>
            <c:invertIfNegative val="0"/>
            <c:bubble3D val="0"/>
            <c:spPr>
              <a:solidFill>
                <a:srgbClr val="FF0000"/>
              </a:solidFill>
              <a:ln>
                <a:noFill/>
              </a:ln>
              <a:effectLst/>
            </c:spPr>
          </c:dPt>
          <c:dPt>
            <c:idx val="5"/>
            <c:invertIfNegative val="0"/>
            <c:bubble3D val="0"/>
            <c:spPr>
              <a:solidFill>
                <a:srgbClr val="FF0000"/>
              </a:solidFill>
              <a:ln>
                <a:noFill/>
              </a:ln>
              <a:effectLst/>
            </c:spPr>
          </c:dPt>
          <c:dPt>
            <c:idx val="6"/>
            <c:invertIfNegative val="0"/>
            <c:bubble3D val="0"/>
            <c:spPr>
              <a:solidFill>
                <a:srgbClr val="FF0000"/>
              </a:solidFill>
              <a:ln>
                <a:noFill/>
              </a:ln>
              <a:effectLst/>
            </c:spPr>
          </c:dPt>
          <c:dPt>
            <c:idx val="7"/>
            <c:invertIfNegative val="0"/>
            <c:bubble3D val="0"/>
            <c:spPr>
              <a:solidFill>
                <a:srgbClr val="FF0000"/>
              </a:solidFill>
              <a:ln>
                <a:noFill/>
              </a:ln>
              <a:effectLst/>
            </c:spPr>
          </c:dPt>
          <c:dPt>
            <c:idx val="9"/>
            <c:invertIfNegative val="0"/>
            <c:bubble3D val="0"/>
            <c:spPr>
              <a:solidFill>
                <a:srgbClr val="FF0000"/>
              </a:solidFill>
              <a:ln>
                <a:noFill/>
              </a:ln>
              <a:effectLst/>
            </c:spPr>
          </c:dPt>
          <c:dPt>
            <c:idx val="10"/>
            <c:invertIfNegative val="0"/>
            <c:bubble3D val="0"/>
            <c:spPr>
              <a:solidFill>
                <a:srgbClr val="FF0000"/>
              </a:solidFill>
              <a:ln>
                <a:noFill/>
              </a:ln>
              <a:effectLst/>
            </c:spPr>
          </c:dPt>
          <c:dPt>
            <c:idx val="11"/>
            <c:invertIfNegative val="0"/>
            <c:bubble3D val="0"/>
            <c:spPr>
              <a:solidFill>
                <a:srgbClr val="FF0000"/>
              </a:solidFill>
              <a:ln>
                <a:noFill/>
              </a:ln>
              <a:effectLst/>
            </c:spPr>
          </c:dPt>
          <c:dPt>
            <c:idx val="12"/>
            <c:invertIfNegative val="0"/>
            <c:bubble3D val="0"/>
            <c:spPr>
              <a:solidFill>
                <a:srgbClr val="FF0000"/>
              </a:solidFill>
              <a:ln>
                <a:noFill/>
              </a:ln>
              <a:effectLst/>
            </c:spPr>
          </c:dPt>
          <c:dPt>
            <c:idx val="13"/>
            <c:invertIfNegative val="0"/>
            <c:bubble3D val="0"/>
            <c:spPr>
              <a:solidFill>
                <a:srgbClr val="FF0000"/>
              </a:solidFill>
              <a:ln>
                <a:noFill/>
              </a:ln>
              <a:effectLst/>
            </c:spPr>
          </c:dPt>
          <c:dPt>
            <c:idx val="14"/>
            <c:invertIfNegative val="0"/>
            <c:bubble3D val="0"/>
            <c:spPr>
              <a:solidFill>
                <a:srgbClr val="FF0000"/>
              </a:solidFill>
              <a:ln>
                <a:noFill/>
              </a:ln>
              <a:effectLst/>
            </c:spPr>
          </c:dPt>
          <c:dPt>
            <c:idx val="15"/>
            <c:invertIfNegative val="0"/>
            <c:bubble3D val="0"/>
            <c:spPr>
              <a:solidFill>
                <a:srgbClr val="FF0000"/>
              </a:solidFill>
              <a:ln>
                <a:noFill/>
              </a:ln>
              <a:effectLst/>
            </c:spPr>
          </c:dPt>
          <c:dPt>
            <c:idx val="16"/>
            <c:invertIfNegative val="0"/>
            <c:bubble3D val="0"/>
            <c:spPr>
              <a:solidFill>
                <a:srgbClr val="FF0000"/>
              </a:solidFill>
              <a:ln>
                <a:noFill/>
              </a:ln>
              <a:effectLst/>
            </c:spPr>
          </c:dPt>
          <c:dPt>
            <c:idx val="18"/>
            <c:invertIfNegative val="0"/>
            <c:bubble3D val="0"/>
            <c:spPr>
              <a:solidFill>
                <a:srgbClr val="FF0000"/>
              </a:solidFill>
              <a:ln>
                <a:noFill/>
              </a:ln>
              <a:effectLst/>
            </c:spPr>
          </c:dPt>
          <c:dPt>
            <c:idx val="19"/>
            <c:invertIfNegative val="0"/>
            <c:bubble3D val="0"/>
            <c:spPr>
              <a:solidFill>
                <a:srgbClr val="FF0000"/>
              </a:solidFill>
              <a:ln>
                <a:noFill/>
              </a:ln>
              <a:effectLst/>
            </c:spPr>
          </c:dPt>
          <c:dPt>
            <c:idx val="20"/>
            <c:invertIfNegative val="0"/>
            <c:bubble3D val="0"/>
            <c:spPr>
              <a:solidFill>
                <a:srgbClr val="FF0000"/>
              </a:solidFill>
              <a:ln>
                <a:noFill/>
              </a:ln>
              <a:effectLst/>
            </c:spPr>
          </c:dPt>
          <c:dPt>
            <c:idx val="21"/>
            <c:invertIfNegative val="0"/>
            <c:bubble3D val="0"/>
            <c:spPr>
              <a:solidFill>
                <a:srgbClr val="FF0000"/>
              </a:solidFill>
              <a:ln>
                <a:noFill/>
              </a:ln>
              <a:effectLst/>
            </c:spPr>
          </c:dPt>
          <c:dPt>
            <c:idx val="22"/>
            <c:invertIfNegative val="0"/>
            <c:bubble3D val="0"/>
            <c:spPr>
              <a:solidFill>
                <a:srgbClr val="FF0000"/>
              </a:solidFill>
              <a:ln>
                <a:noFill/>
              </a:ln>
              <a:effectLst/>
            </c:spPr>
          </c:dPt>
          <c:dPt>
            <c:idx val="23"/>
            <c:invertIfNegative val="0"/>
            <c:bubble3D val="0"/>
            <c:spPr>
              <a:solidFill>
                <a:srgbClr val="FF0000"/>
              </a:solidFill>
              <a:ln>
                <a:noFill/>
              </a:ln>
              <a:effectLst/>
            </c:spPr>
          </c:dPt>
          <c:dPt>
            <c:idx val="24"/>
            <c:invertIfNegative val="0"/>
            <c:bubble3D val="0"/>
            <c:spPr>
              <a:solidFill>
                <a:srgbClr val="FF0000"/>
              </a:solidFill>
              <a:ln>
                <a:noFill/>
              </a:ln>
              <a:effectLst/>
            </c:spPr>
          </c:dPt>
          <c:dPt>
            <c:idx val="25"/>
            <c:invertIfNegative val="0"/>
            <c:bubble3D val="0"/>
            <c:spPr>
              <a:solidFill>
                <a:srgbClr val="FF0000"/>
              </a:solidFill>
              <a:ln>
                <a:noFill/>
              </a:ln>
              <a:effectLst/>
            </c:spPr>
          </c:dPt>
          <c:dPt>
            <c:idx val="26"/>
            <c:invertIfNegative val="0"/>
            <c:bubble3D val="0"/>
            <c:spPr>
              <a:solidFill>
                <a:srgbClr val="FF0000"/>
              </a:solidFill>
              <a:ln>
                <a:noFill/>
              </a:ln>
              <a:effectLst/>
            </c:spPr>
          </c:dPt>
          <c:dPt>
            <c:idx val="27"/>
            <c:invertIfNegative val="0"/>
            <c:bubble3D val="0"/>
            <c:spPr>
              <a:solidFill>
                <a:srgbClr val="FF0000"/>
              </a:solidFill>
              <a:ln>
                <a:noFill/>
              </a:ln>
              <a:effectLst/>
            </c:spPr>
          </c:dPt>
          <c:dPt>
            <c:idx val="28"/>
            <c:invertIfNegative val="0"/>
            <c:bubble3D val="0"/>
            <c:spPr>
              <a:solidFill>
                <a:srgbClr val="FF0000"/>
              </a:solidFill>
              <a:ln>
                <a:noFill/>
              </a:ln>
              <a:effectLst/>
            </c:spPr>
          </c:dPt>
          <c:dPt>
            <c:idx val="30"/>
            <c:invertIfNegative val="0"/>
            <c:bubble3D val="0"/>
            <c:spPr>
              <a:solidFill>
                <a:srgbClr val="FF0000"/>
              </a:solidFill>
              <a:ln>
                <a:noFill/>
              </a:ln>
              <a:effectLst/>
            </c:spPr>
          </c:dPt>
          <c:dPt>
            <c:idx val="34"/>
            <c:invertIfNegative val="0"/>
            <c:bubble3D val="0"/>
            <c:spPr>
              <a:solidFill>
                <a:srgbClr val="FF0000"/>
              </a:solidFill>
              <a:ln>
                <a:noFill/>
              </a:ln>
              <a:effectLst/>
            </c:spPr>
          </c:dPt>
          <c:dPt>
            <c:idx val="38"/>
            <c:invertIfNegative val="0"/>
            <c:bubble3D val="0"/>
            <c:spPr>
              <a:solidFill>
                <a:srgbClr val="FF0000"/>
              </a:solidFill>
              <a:ln>
                <a:noFill/>
              </a:ln>
              <a:effectLst/>
            </c:spPr>
          </c:dPt>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dLbl>
              <c:idx val="11"/>
              <c:layout/>
              <c:showLegendKey val="0"/>
              <c:showVal val="1"/>
              <c:showCatName val="0"/>
              <c:showSerName val="0"/>
              <c:showPercent val="0"/>
              <c:showBubbleSize val="0"/>
              <c:extLst>
                <c:ext xmlns:c15="http://schemas.microsoft.com/office/drawing/2012/chart" uri="{CE6537A1-D6FC-4f65-9D91-7224C49458BB}">
                  <c15:layout/>
                </c:ext>
              </c:extLst>
            </c:dLbl>
            <c:dLbl>
              <c:idx val="17"/>
              <c:layout/>
              <c:showLegendKey val="0"/>
              <c:showVal val="1"/>
              <c:showCatName val="0"/>
              <c:showSerName val="0"/>
              <c:showPercent val="0"/>
              <c:showBubbleSize val="0"/>
              <c:extLst>
                <c:ext xmlns:c15="http://schemas.microsoft.com/office/drawing/2012/chart" uri="{CE6537A1-D6FC-4f65-9D91-7224C49458BB}">
                  <c15:layout/>
                </c:ext>
              </c:extLst>
            </c:dLbl>
            <c:dLbl>
              <c:idx val="18"/>
              <c:layout/>
              <c:showLegendKey val="0"/>
              <c:showVal val="1"/>
              <c:showCatName val="0"/>
              <c:showSerName val="0"/>
              <c:showPercent val="0"/>
              <c:showBubbleSize val="0"/>
              <c:extLst>
                <c:ext xmlns:c15="http://schemas.microsoft.com/office/drawing/2012/chart" uri="{CE6537A1-D6FC-4f65-9D91-7224C49458BB}">
                  <c15:layout/>
                </c:ext>
              </c:extLst>
            </c:dLbl>
            <c:dLbl>
              <c:idx val="23"/>
              <c:layout/>
              <c:showLegendKey val="0"/>
              <c:showVal val="1"/>
              <c:showCatName val="0"/>
              <c:showSerName val="0"/>
              <c:showPercent val="0"/>
              <c:showBubbleSize val="0"/>
              <c:extLst>
                <c:ext xmlns:c15="http://schemas.microsoft.com/office/drawing/2012/chart" uri="{CE6537A1-D6FC-4f65-9D91-7224C49458BB}">
                  <c15:layout/>
                </c:ext>
              </c:extLst>
            </c:dLbl>
            <c:dLbl>
              <c:idx val="29"/>
              <c:layout/>
              <c:showLegendKey val="0"/>
              <c:showVal val="1"/>
              <c:showCatName val="0"/>
              <c:showSerName val="0"/>
              <c:showPercent val="0"/>
              <c:showBubbleSize val="0"/>
              <c:extLst>
                <c:ext xmlns:c15="http://schemas.microsoft.com/office/drawing/2012/chart" uri="{CE6537A1-D6FC-4f65-9D91-7224C49458BB}">
                  <c15:layout/>
                </c:ext>
              </c:extLst>
            </c:dLbl>
            <c:dLbl>
              <c:idx val="30"/>
              <c:layout/>
              <c:showLegendKey val="0"/>
              <c:showVal val="1"/>
              <c:showCatName val="0"/>
              <c:showSerName val="0"/>
              <c:showPercent val="0"/>
              <c:showBubbleSize val="0"/>
              <c:extLst>
                <c:ext xmlns:c15="http://schemas.microsoft.com/office/drawing/2012/chart" uri="{CE6537A1-D6FC-4f65-9D91-7224C49458BB}">
                  <c15:layout/>
                </c:ext>
              </c:extLst>
            </c:dLbl>
            <c:dLbl>
              <c:idx val="36"/>
              <c:layout/>
              <c:showLegendKey val="0"/>
              <c:showVal val="1"/>
              <c:showCatName val="0"/>
              <c:showSerName val="0"/>
              <c:showPercent val="0"/>
              <c:showBubbleSize val="0"/>
              <c:extLst>
                <c:ext xmlns:c15="http://schemas.microsoft.com/office/drawing/2012/chart" uri="{CE6537A1-D6FC-4f65-9D91-7224C49458BB}">
                  <c15:layout/>
                </c:ext>
              </c:extLst>
            </c:dLbl>
            <c:dLbl>
              <c:idx val="38"/>
              <c:layout/>
              <c:showLegendKey val="0"/>
              <c:showVal val="1"/>
              <c:showCatName val="0"/>
              <c:showSerName val="0"/>
              <c:showPercent val="0"/>
              <c:showBubbleSize val="0"/>
              <c:extLst>
                <c:ext xmlns:c15="http://schemas.microsoft.com/office/drawing/2012/chart" uri="{CE6537A1-D6FC-4f65-9D91-7224C49458BB}">
                  <c15:layout/>
                </c:ext>
              </c:extLst>
            </c:dLbl>
            <c:dLbl>
              <c:idx val="40"/>
              <c:layout/>
              <c:showLegendKey val="0"/>
              <c:showVal val="1"/>
              <c:showCatName val="0"/>
              <c:showSerName val="0"/>
              <c:showPercent val="0"/>
              <c:showBubbleSize val="0"/>
              <c:extLst>
                <c:ext xmlns:c15="http://schemas.microsoft.com/office/drawing/2012/chart" uri="{CE6537A1-D6FC-4f65-9D91-7224C49458BB}">
                  <c15:layout/>
                </c:ext>
              </c:extLst>
            </c:dLbl>
            <c:dLbl>
              <c:idx val="41"/>
              <c:layout>
                <c:manualLayout>
                  <c:x val="0"/>
                  <c:y val="-5.67375886524822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'Gráfico trimestral'!$A$4:$B$45</c:f>
              <c:multiLvlStrCache>
                <c:ptCount val="42"/>
                <c:lvl>
                  <c:pt idx="0">
                    <c:v>1T</c:v>
                  </c:pt>
                  <c:pt idx="1">
                    <c:v>2T</c:v>
                  </c:pt>
                  <c:pt idx="2">
                    <c:v>3T</c:v>
                  </c:pt>
                  <c:pt idx="3">
                    <c:v>4T</c:v>
                  </c:pt>
                  <c:pt idx="4">
                    <c:v>1T</c:v>
                  </c:pt>
                  <c:pt idx="5">
                    <c:v>2T</c:v>
                  </c:pt>
                  <c:pt idx="6">
                    <c:v>3T</c:v>
                  </c:pt>
                  <c:pt idx="7">
                    <c:v>4T</c:v>
                  </c:pt>
                  <c:pt idx="8">
                    <c:v>1T</c:v>
                  </c:pt>
                  <c:pt idx="9">
                    <c:v>2T</c:v>
                  </c:pt>
                  <c:pt idx="10">
                    <c:v>3T</c:v>
                  </c:pt>
                  <c:pt idx="11">
                    <c:v>4T</c:v>
                  </c:pt>
                  <c:pt idx="12">
                    <c:v>1T</c:v>
                  </c:pt>
                  <c:pt idx="13">
                    <c:v>2T</c:v>
                  </c:pt>
                  <c:pt idx="14">
                    <c:v>3T</c:v>
                  </c:pt>
                  <c:pt idx="15">
                    <c:v>4T</c:v>
                  </c:pt>
                  <c:pt idx="16">
                    <c:v>1T</c:v>
                  </c:pt>
                  <c:pt idx="17">
                    <c:v>2T</c:v>
                  </c:pt>
                  <c:pt idx="18">
                    <c:v>3T</c:v>
                  </c:pt>
                  <c:pt idx="19">
                    <c:v>4T</c:v>
                  </c:pt>
                  <c:pt idx="20">
                    <c:v>1T</c:v>
                  </c:pt>
                  <c:pt idx="21">
                    <c:v>2T</c:v>
                  </c:pt>
                  <c:pt idx="22">
                    <c:v>3T</c:v>
                  </c:pt>
                  <c:pt idx="23">
                    <c:v>4T</c:v>
                  </c:pt>
                  <c:pt idx="24">
                    <c:v>1T</c:v>
                  </c:pt>
                  <c:pt idx="25">
                    <c:v>2T</c:v>
                  </c:pt>
                  <c:pt idx="26">
                    <c:v>3T</c:v>
                  </c:pt>
                  <c:pt idx="27">
                    <c:v>4T</c:v>
                  </c:pt>
                  <c:pt idx="28">
                    <c:v>1T</c:v>
                  </c:pt>
                  <c:pt idx="29">
                    <c:v>2T</c:v>
                  </c:pt>
                  <c:pt idx="30">
                    <c:v>3T</c:v>
                  </c:pt>
                  <c:pt idx="31">
                    <c:v>4T</c:v>
                  </c:pt>
                  <c:pt idx="32">
                    <c:v>1T</c:v>
                  </c:pt>
                  <c:pt idx="33">
                    <c:v>2T</c:v>
                  </c:pt>
                  <c:pt idx="34">
                    <c:v>3T</c:v>
                  </c:pt>
                  <c:pt idx="35">
                    <c:v>4T</c:v>
                  </c:pt>
                  <c:pt idx="36">
                    <c:v>1T</c:v>
                  </c:pt>
                  <c:pt idx="37">
                    <c:v>2T</c:v>
                  </c:pt>
                  <c:pt idx="38">
                    <c:v>3T</c:v>
                  </c:pt>
                  <c:pt idx="39">
                    <c:v>4T</c:v>
                  </c:pt>
                  <c:pt idx="40">
                    <c:v>1T</c:v>
                  </c:pt>
                  <c:pt idx="41">
                    <c:v>2T</c:v>
                  </c:pt>
                </c:lvl>
                <c:lvl>
                  <c:pt idx="0">
                    <c:v>2007</c:v>
                  </c:pt>
                  <c:pt idx="4">
                    <c:v>2008</c:v>
                  </c:pt>
                  <c:pt idx="8">
                    <c:v>2009</c:v>
                  </c:pt>
                  <c:pt idx="12">
                    <c:v>2010</c:v>
                  </c:pt>
                  <c:pt idx="16">
                    <c:v>2011</c:v>
                  </c:pt>
                  <c:pt idx="20">
                    <c:v>2012</c:v>
                  </c:pt>
                  <c:pt idx="24">
                    <c:v>2013</c:v>
                  </c:pt>
                  <c:pt idx="28">
                    <c:v>2014</c:v>
                  </c:pt>
                  <c:pt idx="32">
                    <c:v>2015</c:v>
                  </c:pt>
                  <c:pt idx="36">
                    <c:v>2016</c:v>
                  </c:pt>
                  <c:pt idx="40">
                    <c:v>2017</c:v>
                  </c:pt>
                </c:lvl>
              </c:multiLvlStrCache>
            </c:multiLvlStrRef>
          </c:cat>
          <c:val>
            <c:numRef>
              <c:f>'Gráfico trimestral'!$C$4:$C$45</c:f>
              <c:numCache>
                <c:formatCode>0.0%</c:formatCode>
                <c:ptCount val="42"/>
                <c:pt idx="0">
                  <c:v>4.908507223113949E-2</c:v>
                </c:pt>
                <c:pt idx="1">
                  <c:v>2.7714026336995313E-2</c:v>
                </c:pt>
                <c:pt idx="2">
                  <c:v>-4.4702939833654261E-2</c:v>
                </c:pt>
                <c:pt idx="3">
                  <c:v>3.0129870129870042E-3</c:v>
                </c:pt>
                <c:pt idx="4">
                  <c:v>-4.1640770665009796E-3</c:v>
                </c:pt>
                <c:pt idx="5">
                  <c:v>-8.5814142170629274E-3</c:v>
                </c:pt>
                <c:pt idx="6">
                  <c:v>-3.9658808347234911E-2</c:v>
                </c:pt>
                <c:pt idx="7">
                  <c:v>-1.9249888018528803E-2</c:v>
                </c:pt>
                <c:pt idx="8">
                  <c:v>-2.8962582571200827E-4</c:v>
                </c:pt>
                <c:pt idx="9">
                  <c:v>-2.7856705108920111E-3</c:v>
                </c:pt>
                <c:pt idx="10">
                  <c:v>-1.2492318006592609E-2</c:v>
                </c:pt>
                <c:pt idx="11">
                  <c:v>-3.302895549747107E-2</c:v>
                </c:pt>
                <c:pt idx="12">
                  <c:v>-1.446324510285751E-2</c:v>
                </c:pt>
                <c:pt idx="13">
                  <c:v>-1.334568165087518E-2</c:v>
                </c:pt>
                <c:pt idx="14">
                  <c:v>-1.7280800981973009E-2</c:v>
                </c:pt>
                <c:pt idx="15">
                  <c:v>-1.3788543018784806E-2</c:v>
                </c:pt>
                <c:pt idx="16">
                  <c:v>-3.1029601668818834E-2</c:v>
                </c:pt>
                <c:pt idx="17">
                  <c:v>1.2981021822981428E-2</c:v>
                </c:pt>
                <c:pt idx="18">
                  <c:v>-2.9702719797596443E-2</c:v>
                </c:pt>
                <c:pt idx="19">
                  <c:v>-1.3402518839143727E-2</c:v>
                </c:pt>
                <c:pt idx="20">
                  <c:v>-2.206834579908576E-3</c:v>
                </c:pt>
                <c:pt idx="21">
                  <c:v>-7.7873574635463922E-3</c:v>
                </c:pt>
                <c:pt idx="22">
                  <c:v>-1.1011892844271875E-2</c:v>
                </c:pt>
                <c:pt idx="23">
                  <c:v>-1.7005425540529522E-2</c:v>
                </c:pt>
                <c:pt idx="24">
                  <c:v>-1.1999890161188536E-2</c:v>
                </c:pt>
                <c:pt idx="25">
                  <c:v>-1.0158421345191796E-2</c:v>
                </c:pt>
                <c:pt idx="26">
                  <c:v>-1.8391385531174007E-2</c:v>
                </c:pt>
                <c:pt idx="27">
                  <c:v>-1.2943548963801036E-2</c:v>
                </c:pt>
                <c:pt idx="28">
                  <c:v>-2.8689831048772773E-3</c:v>
                </c:pt>
                <c:pt idx="29">
                  <c:v>1.5040106951871713E-2</c:v>
                </c:pt>
                <c:pt idx="30">
                  <c:v>-3.3743253496728819E-2</c:v>
                </c:pt>
                <c:pt idx="31">
                  <c:v>2.8743295700358676E-3</c:v>
                </c:pt>
                <c:pt idx="32">
                  <c:v>2.8291573100106437E-2</c:v>
                </c:pt>
                <c:pt idx="33">
                  <c:v>1.5372900593365258E-2</c:v>
                </c:pt>
                <c:pt idx="34">
                  <c:v>-7.0465382819464694E-3</c:v>
                </c:pt>
                <c:pt idx="35">
                  <c:v>-3.7050231563949521E-4</c:v>
                </c:pt>
                <c:pt idx="36">
                  <c:v>3.1461603158990138E-2</c:v>
                </c:pt>
                <c:pt idx="37">
                  <c:v>2.4103046050085734E-2</c:v>
                </c:pt>
                <c:pt idx="38">
                  <c:v>-1.9838056680161975E-2</c:v>
                </c:pt>
                <c:pt idx="39">
                  <c:v>3.0620955528018776E-2</c:v>
                </c:pt>
                <c:pt idx="40">
                  <c:v>5.8834531220776372E-2</c:v>
                </c:pt>
                <c:pt idx="41">
                  <c:v>2.3026066769285133E-2</c:v>
                </c:pt>
              </c:numCache>
            </c:numRef>
          </c:val>
        </c:ser>
        <c:dLbls>
          <c:showLegendKey val="0"/>
          <c:showVal val="0"/>
          <c:showCatName val="0"/>
          <c:showSerName val="0"/>
          <c:showPercent val="0"/>
          <c:showBubbleSize val="0"/>
        </c:dLbls>
        <c:gapWidth val="219"/>
        <c:overlap val="-27"/>
        <c:axId val="918319008"/>
        <c:axId val="918315200"/>
      </c:barChart>
      <c:catAx>
        <c:axId val="91831900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8315200"/>
        <c:crosses val="autoZero"/>
        <c:auto val="1"/>
        <c:lblAlgn val="ctr"/>
        <c:lblOffset val="100"/>
        <c:noMultiLvlLbl val="0"/>
      </c:catAx>
      <c:valAx>
        <c:axId val="9183152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8319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3431373489003"/>
          <c:y val="8.2815734989648032E-2"/>
          <c:w val="0.86117725656565813"/>
          <c:h val="0.59861299946202384"/>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CCAA!$G$28:$G$45</c:f>
              <c:strCache>
                <c:ptCount val="18"/>
                <c:pt idx="0">
                  <c:v>Cataluña</c:v>
                </c:pt>
                <c:pt idx="1">
                  <c:v>Madrid</c:v>
                </c:pt>
                <c:pt idx="2">
                  <c:v>País Vasco</c:v>
                </c:pt>
                <c:pt idx="3">
                  <c:v>Baleares</c:v>
                </c:pt>
                <c:pt idx="4">
                  <c:v>España</c:v>
                </c:pt>
                <c:pt idx="5">
                  <c:v>Navarra</c:v>
                </c:pt>
                <c:pt idx="6">
                  <c:v>Canarias</c:v>
                </c:pt>
                <c:pt idx="7">
                  <c:v>Cantabria</c:v>
                </c:pt>
                <c:pt idx="8">
                  <c:v>Aragón</c:v>
                </c:pt>
                <c:pt idx="9">
                  <c:v>Andalucía</c:v>
                </c:pt>
                <c:pt idx="10">
                  <c:v>Asturias</c:v>
                </c:pt>
                <c:pt idx="11">
                  <c:v>Castilla y León</c:v>
                </c:pt>
                <c:pt idx="12">
                  <c:v>Comunitat Valenciana</c:v>
                </c:pt>
                <c:pt idx="13">
                  <c:v>Región de Murcia</c:v>
                </c:pt>
                <c:pt idx="14">
                  <c:v>Galicia</c:v>
                </c:pt>
                <c:pt idx="15">
                  <c:v>La Rioja</c:v>
                </c:pt>
                <c:pt idx="16">
                  <c:v>Castilla-La Mancha</c:v>
                </c:pt>
                <c:pt idx="17">
                  <c:v>Extremadura</c:v>
                </c:pt>
              </c:strCache>
            </c:strRef>
          </c:cat>
          <c:val>
            <c:numRef>
              <c:f>CCAA!$H$28:$H$45</c:f>
              <c:numCache>
                <c:formatCode>_("€"* #,##0.00_);_("€"* \(#,##0.00\);_("€"* "-"??_);_(@_)</c:formatCode>
                <c:ptCount val="18"/>
                <c:pt idx="0">
                  <c:v>11.892300000000001</c:v>
                </c:pt>
                <c:pt idx="1">
                  <c:v>11.507</c:v>
                </c:pt>
                <c:pt idx="2">
                  <c:v>10.4819</c:v>
                </c:pt>
                <c:pt idx="3">
                  <c:v>10.0909</c:v>
                </c:pt>
                <c:pt idx="4">
                  <c:v>8.1082999999999998</c:v>
                </c:pt>
                <c:pt idx="5">
                  <c:v>7.3154000000000003</c:v>
                </c:pt>
                <c:pt idx="6">
                  <c:v>7.1120000000000001</c:v>
                </c:pt>
                <c:pt idx="7">
                  <c:v>7.0785999999999998</c:v>
                </c:pt>
                <c:pt idx="8">
                  <c:v>6.6853999999999996</c:v>
                </c:pt>
                <c:pt idx="9">
                  <c:v>6.6852999999999998</c:v>
                </c:pt>
                <c:pt idx="10">
                  <c:v>6.4363000000000001</c:v>
                </c:pt>
                <c:pt idx="11">
                  <c:v>6.1881000000000004</c:v>
                </c:pt>
                <c:pt idx="12">
                  <c:v>6.1710000000000003</c:v>
                </c:pt>
                <c:pt idx="13">
                  <c:v>5.7684999999999995</c:v>
                </c:pt>
                <c:pt idx="14">
                  <c:v>5.5713999999999997</c:v>
                </c:pt>
                <c:pt idx="15">
                  <c:v>5.3307000000000002</c:v>
                </c:pt>
                <c:pt idx="16">
                  <c:v>4.9001999999999999</c:v>
                </c:pt>
                <c:pt idx="17">
                  <c:v>4.7649999999999997</c:v>
                </c:pt>
              </c:numCache>
            </c:numRef>
          </c:val>
        </c:ser>
        <c:dLbls>
          <c:showLegendKey val="0"/>
          <c:showVal val="0"/>
          <c:showCatName val="0"/>
          <c:showSerName val="0"/>
          <c:showPercent val="0"/>
          <c:showBubbleSize val="0"/>
        </c:dLbls>
        <c:gapWidth val="219"/>
        <c:overlap val="-27"/>
        <c:axId val="918321184"/>
        <c:axId val="918317920"/>
      </c:barChart>
      <c:catAx>
        <c:axId val="9183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8317920"/>
        <c:crosses val="autoZero"/>
        <c:auto val="1"/>
        <c:lblAlgn val="ctr"/>
        <c:lblOffset val="100"/>
        <c:noMultiLvlLbl val="0"/>
      </c:catAx>
      <c:valAx>
        <c:axId val="918317920"/>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8321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484E-A3CE-43AE-929D-D9A0408E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329</TotalTime>
  <Pages>5</Pages>
  <Words>1212</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46</cp:revision>
  <cp:lastPrinted>2017-07-10T10:18:00Z</cp:lastPrinted>
  <dcterms:created xsi:type="dcterms:W3CDTF">2017-03-02T14:09:00Z</dcterms:created>
  <dcterms:modified xsi:type="dcterms:W3CDTF">2017-07-10T10:18:00Z</dcterms:modified>
</cp:coreProperties>
</file>