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Pr="00201404" w:rsidRDefault="00BE2674" w:rsidP="00BE2674">
      <w:pPr>
        <w:ind w:right="-1"/>
        <w:rPr>
          <w:rFonts w:ascii="Open Sans" w:hAnsi="Open Sans"/>
          <w:color w:val="00AAAB"/>
          <w:sz w:val="28"/>
          <w:szCs w:val="28"/>
          <w:lang w:val="es-ES"/>
        </w:rPr>
      </w:pPr>
      <w:r w:rsidRPr="00201404">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sidRPr="00201404">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Pr="00201404" w:rsidRDefault="0052608C" w:rsidP="0052608C">
      <w:pPr>
        <w:rPr>
          <w:rFonts w:ascii="Open Sans" w:hAnsi="Open Sans"/>
          <w:color w:val="00AAAB"/>
          <w:sz w:val="28"/>
          <w:szCs w:val="28"/>
          <w:lang w:val="es-ES"/>
        </w:rPr>
      </w:pPr>
    </w:p>
    <w:p w:rsidR="0052608C" w:rsidRPr="00201404" w:rsidRDefault="0052608C" w:rsidP="0052608C">
      <w:pPr>
        <w:rPr>
          <w:rFonts w:ascii="Open Sans" w:hAnsi="Open Sans"/>
          <w:color w:val="00AAAB"/>
          <w:sz w:val="28"/>
          <w:szCs w:val="28"/>
          <w:lang w:val="es-ES"/>
        </w:rPr>
      </w:pPr>
    </w:p>
    <w:p w:rsidR="0052608C" w:rsidRPr="00201404" w:rsidRDefault="0052608C" w:rsidP="0052608C">
      <w:pPr>
        <w:rPr>
          <w:rFonts w:ascii="Open Sans" w:hAnsi="Open Sans"/>
          <w:color w:val="00AAAB"/>
          <w:sz w:val="28"/>
          <w:szCs w:val="28"/>
          <w:lang w:val="es-ES"/>
        </w:rPr>
      </w:pPr>
    </w:p>
    <w:p w:rsidR="0052608C" w:rsidRPr="00201404" w:rsidRDefault="0052608C" w:rsidP="0052608C">
      <w:pPr>
        <w:rPr>
          <w:rFonts w:ascii="Open Sans" w:hAnsi="Open Sans"/>
          <w:color w:val="00AAAB"/>
          <w:sz w:val="28"/>
          <w:szCs w:val="28"/>
          <w:lang w:val="es-ES"/>
        </w:rPr>
      </w:pPr>
    </w:p>
    <w:p w:rsidR="0052608C" w:rsidRPr="00201404" w:rsidRDefault="0052608C" w:rsidP="0052608C">
      <w:pPr>
        <w:rPr>
          <w:rFonts w:ascii="Open Sans" w:hAnsi="Open Sans"/>
          <w:color w:val="00AAAB"/>
          <w:sz w:val="28"/>
          <w:szCs w:val="28"/>
          <w:lang w:val="es-ES"/>
        </w:rPr>
      </w:pPr>
    </w:p>
    <w:p w:rsidR="0052608C" w:rsidRPr="00201404" w:rsidRDefault="00D638FE" w:rsidP="00BC0CC9">
      <w:pPr>
        <w:ind w:left="-1134"/>
        <w:jc w:val="both"/>
        <w:rPr>
          <w:rFonts w:ascii="Open Sans" w:hAnsi="Open Sans"/>
          <w:color w:val="00AAAB"/>
          <w:sz w:val="28"/>
          <w:szCs w:val="28"/>
          <w:lang w:val="es-ES"/>
        </w:rPr>
      </w:pPr>
      <w:r>
        <w:rPr>
          <w:rFonts w:ascii="Open Sans" w:hAnsi="Open Sans"/>
          <w:color w:val="00AAAB"/>
          <w:sz w:val="28"/>
          <w:szCs w:val="28"/>
          <w:lang w:val="es-ES"/>
        </w:rPr>
        <w:t>JULIO</w:t>
      </w:r>
      <w:r w:rsidR="00930FDE" w:rsidRPr="00201404">
        <w:rPr>
          <w:rFonts w:ascii="Open Sans" w:hAnsi="Open Sans"/>
          <w:color w:val="00AAAB"/>
          <w:sz w:val="28"/>
          <w:szCs w:val="28"/>
          <w:lang w:val="es-ES"/>
        </w:rPr>
        <w:t>: PRECIO DE LA VIVIENDA EN ALQUILER</w:t>
      </w:r>
    </w:p>
    <w:p w:rsidR="00930FDE" w:rsidRPr="00201404" w:rsidRDefault="00930FDE" w:rsidP="00BC0CC9">
      <w:pPr>
        <w:ind w:left="-1134"/>
        <w:jc w:val="both"/>
        <w:rPr>
          <w:rFonts w:ascii="Open Sans" w:hAnsi="Open Sans"/>
          <w:color w:val="00AAAB"/>
          <w:sz w:val="28"/>
          <w:szCs w:val="28"/>
          <w:lang w:val="es-ES"/>
        </w:rPr>
      </w:pPr>
    </w:p>
    <w:p w:rsidR="00763F0F" w:rsidRPr="00201404" w:rsidRDefault="00D638FE" w:rsidP="00405F66">
      <w:pPr>
        <w:pStyle w:val="Prrafodelista"/>
        <w:ind w:left="-1134"/>
        <w:jc w:val="both"/>
        <w:rPr>
          <w:rFonts w:ascii="Open Sans Light" w:hAnsi="Open Sans Light"/>
          <w:b/>
          <w:bCs/>
          <w:color w:val="404040" w:themeColor="text1" w:themeTint="BF"/>
          <w:lang w:val="es-ES"/>
        </w:rPr>
      </w:pPr>
      <w:r w:rsidRPr="00D638FE">
        <w:rPr>
          <w:rFonts w:ascii="Open Sans" w:hAnsi="Open Sans"/>
          <w:b/>
          <w:bCs/>
          <w:color w:val="062151"/>
          <w:sz w:val="48"/>
          <w:szCs w:val="48"/>
          <w:lang w:val="es-ES"/>
        </w:rPr>
        <w:t>El precio de la vivienda en alquiler baja un -0,4% en julio</w:t>
      </w:r>
    </w:p>
    <w:p w:rsidR="00405F66" w:rsidRDefault="00405F66" w:rsidP="00405F66">
      <w:pPr>
        <w:pStyle w:val="Prrafodelista"/>
        <w:ind w:left="-851"/>
        <w:jc w:val="both"/>
        <w:rPr>
          <w:rFonts w:ascii="Open Sans Light" w:hAnsi="Open Sans Light"/>
          <w:b/>
          <w:bCs/>
          <w:lang w:val="es-ES"/>
        </w:rPr>
      </w:pPr>
    </w:p>
    <w:p w:rsidR="00D638FE" w:rsidRPr="00D638FE" w:rsidRDefault="00D638FE" w:rsidP="00D638FE">
      <w:pPr>
        <w:pStyle w:val="Prrafodelista"/>
        <w:numPr>
          <w:ilvl w:val="0"/>
          <w:numId w:val="2"/>
        </w:numPr>
        <w:ind w:left="-851"/>
        <w:jc w:val="both"/>
        <w:rPr>
          <w:rFonts w:ascii="Open Sans Light" w:hAnsi="Open Sans Light"/>
          <w:b/>
          <w:bCs/>
          <w:lang w:val="es-ES"/>
        </w:rPr>
      </w:pPr>
      <w:r w:rsidRPr="00D638FE">
        <w:rPr>
          <w:rFonts w:ascii="Open Sans Light" w:hAnsi="Open Sans Light"/>
          <w:b/>
          <w:bCs/>
          <w:lang w:val="es-ES"/>
        </w:rPr>
        <w:t>El precio sube en 15 comunidades autónomas a nivel mensual y en 16 a nivel interanual</w:t>
      </w:r>
    </w:p>
    <w:p w:rsidR="00D638FE" w:rsidRPr="00D638FE" w:rsidRDefault="00D638FE" w:rsidP="00D638FE">
      <w:pPr>
        <w:pStyle w:val="Prrafodelista"/>
        <w:numPr>
          <w:ilvl w:val="0"/>
          <w:numId w:val="2"/>
        </w:numPr>
        <w:ind w:left="-851"/>
        <w:jc w:val="both"/>
        <w:rPr>
          <w:rFonts w:ascii="Open Sans Light" w:hAnsi="Open Sans Light"/>
          <w:b/>
          <w:bCs/>
          <w:lang w:val="es-ES"/>
        </w:rPr>
      </w:pPr>
      <w:r w:rsidRPr="00D638FE">
        <w:rPr>
          <w:rFonts w:ascii="Open Sans Light" w:hAnsi="Open Sans Light"/>
          <w:b/>
          <w:bCs/>
          <w:lang w:val="es-ES"/>
        </w:rPr>
        <w:t>La variación interanual de julio es de 9,6% y cuatro comunidades incrementan por encima del 10%</w:t>
      </w:r>
    </w:p>
    <w:p w:rsidR="00D638FE" w:rsidRPr="00D638FE" w:rsidRDefault="00D638FE" w:rsidP="00D638FE">
      <w:pPr>
        <w:pStyle w:val="Prrafodelista"/>
        <w:numPr>
          <w:ilvl w:val="0"/>
          <w:numId w:val="2"/>
        </w:numPr>
        <w:ind w:left="-851"/>
        <w:jc w:val="both"/>
        <w:rPr>
          <w:rFonts w:ascii="Open Sans Light" w:hAnsi="Open Sans Light"/>
          <w:b/>
          <w:bCs/>
          <w:lang w:val="es-ES"/>
        </w:rPr>
      </w:pPr>
      <w:r w:rsidRPr="00D638FE">
        <w:rPr>
          <w:rFonts w:ascii="Open Sans Light" w:hAnsi="Open Sans Light"/>
          <w:b/>
          <w:bCs/>
          <w:lang w:val="es-ES"/>
        </w:rPr>
        <w:t>El precio de la vivienda en alquiler lleva 29 meses consecutivos subiendo a nivel interanual</w:t>
      </w:r>
    </w:p>
    <w:p w:rsidR="00405F66" w:rsidRDefault="00405F66" w:rsidP="00405F66">
      <w:pPr>
        <w:pStyle w:val="Prrafodelista"/>
        <w:ind w:left="-851"/>
        <w:jc w:val="both"/>
        <w:rPr>
          <w:rFonts w:ascii="Open Sans Light" w:hAnsi="Open Sans Light"/>
          <w:b/>
          <w:bCs/>
          <w:lang w:val="es-ES"/>
        </w:rPr>
      </w:pPr>
    </w:p>
    <w:p w:rsidR="0052608C" w:rsidRPr="00201404" w:rsidRDefault="0052608C" w:rsidP="00BC0CC9">
      <w:pPr>
        <w:ind w:left="-1134"/>
        <w:jc w:val="both"/>
        <w:rPr>
          <w:rFonts w:ascii="Open Sans Light" w:hAnsi="Open Sans Light"/>
          <w:b/>
          <w:color w:val="7F7F7F" w:themeColor="text1" w:themeTint="80"/>
          <w:lang w:val="es-ES"/>
        </w:rPr>
      </w:pPr>
      <w:r w:rsidRPr="00201404">
        <w:rPr>
          <w:rFonts w:ascii="Open Sans Light" w:hAnsi="Open Sans Light"/>
          <w:b/>
          <w:color w:val="7F7F7F" w:themeColor="text1" w:themeTint="80"/>
          <w:lang w:val="es-ES"/>
        </w:rPr>
        <w:t xml:space="preserve">Madrid, </w:t>
      </w:r>
      <w:r w:rsidR="00D638FE">
        <w:rPr>
          <w:rFonts w:ascii="Open Sans Light" w:hAnsi="Open Sans Light"/>
          <w:b/>
          <w:color w:val="7F7F7F" w:themeColor="text1" w:themeTint="80"/>
          <w:lang w:val="es-ES"/>
        </w:rPr>
        <w:t>10 de agosto</w:t>
      </w:r>
      <w:r w:rsidR="00137EDD">
        <w:rPr>
          <w:rFonts w:ascii="Open Sans Light" w:hAnsi="Open Sans Light"/>
          <w:b/>
          <w:color w:val="7F7F7F" w:themeColor="text1" w:themeTint="80"/>
          <w:lang w:val="es-ES"/>
        </w:rPr>
        <w:t xml:space="preserve"> </w:t>
      </w:r>
      <w:r w:rsidR="00E8753C" w:rsidRPr="00201404">
        <w:rPr>
          <w:rFonts w:ascii="Open Sans Light" w:hAnsi="Open Sans Light"/>
          <w:b/>
          <w:color w:val="7F7F7F" w:themeColor="text1" w:themeTint="80"/>
          <w:lang w:val="es-ES"/>
        </w:rPr>
        <w:t>de 2017</w:t>
      </w:r>
    </w:p>
    <w:p w:rsidR="00E8753C" w:rsidRPr="00201404" w:rsidRDefault="00E8753C" w:rsidP="00BC0CC9">
      <w:pPr>
        <w:ind w:left="-1134"/>
        <w:jc w:val="both"/>
        <w:rPr>
          <w:rFonts w:ascii="Open Sans Light" w:hAnsi="Open Sans Light"/>
          <w:b/>
          <w:color w:val="7F7F7F" w:themeColor="text1" w:themeTint="80"/>
          <w:lang w:val="es-ES"/>
        </w:rPr>
      </w:pPr>
    </w:p>
    <w:p w:rsidR="00D638FE" w:rsidRPr="00D638FE" w:rsidRDefault="00D638FE" w:rsidP="00D638FE">
      <w:pPr>
        <w:ind w:left="-1134"/>
        <w:jc w:val="both"/>
        <w:rPr>
          <w:rFonts w:ascii="Open Sans Light" w:hAnsi="Open Sans Light"/>
          <w:lang w:val="es-ES"/>
        </w:rPr>
      </w:pPr>
      <w:r w:rsidRPr="00D638FE">
        <w:rPr>
          <w:rFonts w:ascii="Open Sans Light" w:hAnsi="Open Sans Light"/>
          <w:lang w:val="es-ES"/>
        </w:rPr>
        <w:t xml:space="preserve">El precio medio de la vivienda en alquiler en España desciende un -0,4% en julio y se sitúa en 8,08 €/m2 al mes, según los últimos datos del portal inmobiliario </w:t>
      </w:r>
      <w:hyperlink r:id="rId10" w:history="1">
        <w:proofErr w:type="spellStart"/>
        <w:r w:rsidRPr="00201404">
          <w:rPr>
            <w:rStyle w:val="Hipervnculo"/>
            <w:rFonts w:ascii="Open Sans Light" w:hAnsi="Open Sans Light"/>
            <w:b/>
            <w:bCs/>
            <w:lang w:val="es-ES"/>
          </w:rPr>
          <w:t>fotocasa</w:t>
        </w:r>
        <w:proofErr w:type="spellEnd"/>
      </w:hyperlink>
      <w:r w:rsidRPr="00D638FE">
        <w:rPr>
          <w:rFonts w:ascii="Open Sans Light" w:hAnsi="Open Sans Light"/>
          <w:lang w:val="es-ES"/>
        </w:rPr>
        <w:t xml:space="preserve">. Este descenso mensual del precio de la vivienda en alquiler rompe con la tónica registrada los últimos meses, en los que el precio del alquiler no había dejado de crecer. Así, desde el pasado mes de octubre de 2016 el precio de la vivienda en alquiler empezó a incrementarse, con tan sólo una variación negativa mensual el pasado mes de junio, cuando el precio descendió un -0,4%. </w:t>
      </w:r>
    </w:p>
    <w:p w:rsidR="00D638FE" w:rsidRPr="00D638FE" w:rsidRDefault="00D638FE" w:rsidP="00D638FE">
      <w:pPr>
        <w:ind w:left="-1134"/>
        <w:jc w:val="both"/>
        <w:rPr>
          <w:rFonts w:ascii="Open Sans Light" w:hAnsi="Open Sans Light"/>
          <w:lang w:val="es-ES"/>
        </w:rPr>
      </w:pPr>
    </w:p>
    <w:p w:rsidR="00D638FE" w:rsidRDefault="00D638FE" w:rsidP="00D638FE">
      <w:pPr>
        <w:ind w:left="-1134"/>
        <w:jc w:val="both"/>
        <w:rPr>
          <w:rFonts w:ascii="Open Sans Light" w:hAnsi="Open Sans Light"/>
          <w:lang w:val="es-ES"/>
        </w:rPr>
      </w:pPr>
      <w:r w:rsidRPr="00D638FE">
        <w:rPr>
          <w:rFonts w:ascii="Open Sans Light" w:hAnsi="Open Sans Light"/>
          <w:lang w:val="es-ES"/>
        </w:rPr>
        <w:t>Por otro lado, el precio medio del mes de julio (8,08 €/m2 al mes) nos devuelve a datos de noviembre de 2010, cuando el precio del alquiler se situó en 8,10 €/m2 al mes.</w:t>
      </w:r>
    </w:p>
    <w:p w:rsidR="0078217C" w:rsidRDefault="0078217C" w:rsidP="00D638FE">
      <w:pPr>
        <w:ind w:left="-1134"/>
        <w:jc w:val="both"/>
        <w:rPr>
          <w:rFonts w:ascii="Open Sans Light" w:hAnsi="Open Sans Light"/>
          <w:lang w:val="es-ES"/>
        </w:rPr>
      </w:pPr>
    </w:p>
    <w:p w:rsidR="0078217C" w:rsidRPr="00804B36" w:rsidRDefault="0078217C" w:rsidP="0078217C">
      <w:pPr>
        <w:ind w:left="-1134"/>
        <w:jc w:val="both"/>
        <w:rPr>
          <w:rFonts w:ascii="Open Sans Light" w:hAnsi="Open Sans Light"/>
          <w:lang w:val="es-ES"/>
        </w:rPr>
      </w:pPr>
      <w:r w:rsidRPr="005436AC">
        <w:rPr>
          <w:rFonts w:ascii="Open Sans Light" w:hAnsi="Open Sans Light"/>
          <w:lang w:val="es-ES"/>
        </w:rPr>
        <w:t>“Hoy alquilar un piso en España es casi un 10% más caro que hace un año, pero nuestro índice de precios ya empieza a registrar caídas a nivel mensual y trimestral propias de la normalización a la que tiende el mercado del alquiler. Los alquileres seguirán subiendo porque la demanda es muy superior a la oferta, aunque en la mayor parte del país aún estamos lejos de los niveles de los años del boom”, explica Beatriz Torib</w:t>
      </w:r>
      <w:r>
        <w:rPr>
          <w:rFonts w:ascii="Open Sans Light" w:hAnsi="Open Sans Light"/>
          <w:lang w:val="es-ES"/>
        </w:rPr>
        <w:t xml:space="preserve">io, responsable de Estudios de </w:t>
      </w:r>
      <w:hyperlink r:id="rId11" w:history="1">
        <w:proofErr w:type="spellStart"/>
        <w:r w:rsidRPr="00201404">
          <w:rPr>
            <w:rStyle w:val="Hipervnculo"/>
            <w:rFonts w:ascii="Open Sans Light" w:hAnsi="Open Sans Light"/>
            <w:b/>
            <w:bCs/>
            <w:lang w:val="es-ES"/>
          </w:rPr>
          <w:t>fotocasa</w:t>
        </w:r>
        <w:proofErr w:type="spellEnd"/>
      </w:hyperlink>
      <w:r w:rsidRPr="005436AC">
        <w:rPr>
          <w:rFonts w:ascii="Open Sans Light" w:hAnsi="Open Sans Light"/>
          <w:lang w:val="es-ES"/>
        </w:rPr>
        <w:t>.</w:t>
      </w:r>
    </w:p>
    <w:p w:rsidR="00D638FE" w:rsidRPr="00D638FE" w:rsidRDefault="00D638FE" w:rsidP="00D638FE">
      <w:pPr>
        <w:ind w:left="-1134"/>
        <w:jc w:val="both"/>
        <w:rPr>
          <w:rFonts w:ascii="Open Sans Light" w:hAnsi="Open Sans Light"/>
          <w:lang w:val="es-ES"/>
        </w:rPr>
      </w:pPr>
      <w:r w:rsidRPr="00D638FE">
        <w:rPr>
          <w:rFonts w:ascii="Open Sans Light" w:hAnsi="Open Sans Light"/>
          <w:lang w:val="es-ES"/>
        </w:rPr>
        <w:lastRenderedPageBreak/>
        <w:t xml:space="preserve">En julio de 2017 el precio del alquiler se incrementa en 15 comunidades autónomas a nivel mensual y en 16 a nivel interanual. La variación interanual de julio es de 9,6%, la tercera más alta que se ha registrado en el histórico del Índice Inmobiliario </w:t>
      </w:r>
      <w:hyperlink r:id="rId12" w:history="1">
        <w:proofErr w:type="spellStart"/>
        <w:r w:rsidRPr="00201404">
          <w:rPr>
            <w:rStyle w:val="Hipervnculo"/>
            <w:rFonts w:ascii="Open Sans Light" w:hAnsi="Open Sans Light"/>
            <w:b/>
            <w:bCs/>
            <w:lang w:val="es-ES"/>
          </w:rPr>
          <w:t>fotocasa</w:t>
        </w:r>
        <w:proofErr w:type="spellEnd"/>
      </w:hyperlink>
      <w:r w:rsidRPr="00D638FE">
        <w:rPr>
          <w:rFonts w:ascii="Open Sans Light" w:hAnsi="Open Sans Light"/>
          <w:lang w:val="es-ES"/>
        </w:rPr>
        <w:t>, y continua con la tendencia alcista de los últimos meses. De hecho, la variación interanual del precio del alquiler en España lleva 29 meses consecutivos de incrementos, desde que empezó a subir el pasado mes de marzo de 2015. Destaca que cuatro comunidades incrementan el precio interanual por encima del 10%. Se trata de Cataluña (17,3%), Canarias (12,4%), Madrid (10,8%) y Baleares (10,1%).</w:t>
      </w:r>
    </w:p>
    <w:p w:rsidR="00D638FE" w:rsidRPr="00D638FE" w:rsidRDefault="00D638FE" w:rsidP="00D638FE">
      <w:pPr>
        <w:ind w:left="-1134"/>
        <w:jc w:val="both"/>
        <w:rPr>
          <w:rFonts w:ascii="Open Sans Light" w:hAnsi="Open Sans Light"/>
          <w:lang w:val="es-ES"/>
        </w:rPr>
      </w:pPr>
    </w:p>
    <w:p w:rsidR="00D638FE" w:rsidRDefault="00D638FE" w:rsidP="00D638FE">
      <w:pPr>
        <w:ind w:left="-1134"/>
        <w:jc w:val="both"/>
        <w:rPr>
          <w:rFonts w:ascii="Open Sans Light" w:hAnsi="Open Sans Light"/>
          <w:lang w:val="es-ES"/>
        </w:rPr>
      </w:pPr>
      <w:r w:rsidRPr="00D638FE">
        <w:rPr>
          <w:rFonts w:ascii="Open Sans Light" w:hAnsi="Open Sans Light"/>
          <w:lang w:val="es-ES"/>
        </w:rPr>
        <w:t>Desde que alcanzó el precio máximo en mayo de 2007 (10,12 €/m2 al mes) el precio de la vivienda lleva acumulada una caída del -20,2%.</w:t>
      </w:r>
    </w:p>
    <w:p w:rsidR="005E50D0" w:rsidRDefault="005E50D0" w:rsidP="00D638FE">
      <w:pPr>
        <w:ind w:left="-1134"/>
        <w:jc w:val="both"/>
        <w:rPr>
          <w:rFonts w:ascii="Open Sans Light" w:hAnsi="Open Sans Light"/>
          <w:lang w:val="es-ES"/>
        </w:rPr>
      </w:pPr>
    </w:p>
    <w:p w:rsidR="005E50D0" w:rsidRDefault="005E50D0" w:rsidP="00D638FE">
      <w:pPr>
        <w:ind w:left="-1134"/>
        <w:jc w:val="both"/>
        <w:rPr>
          <w:rFonts w:ascii="Open Sans Light" w:hAnsi="Open Sans Light"/>
          <w:lang w:val="es-ES"/>
        </w:rPr>
      </w:pPr>
      <w:r w:rsidRPr="005E50D0">
        <w:rPr>
          <w:rFonts w:ascii="Open Sans Light" w:hAnsi="Open Sans Light"/>
          <w:lang w:val="es-ES"/>
        </w:rPr>
        <w:t>Por Comunidades Autónomas, en el mes de julio se registran 15 incrementos en el precio del alquiler, con subidas que van desde el 3,7% de La Rioja al 0,1% de Castilla y León y Cantabria.</w:t>
      </w:r>
    </w:p>
    <w:p w:rsidR="00555744" w:rsidRDefault="00555744" w:rsidP="005E50D0">
      <w:pPr>
        <w:ind w:left="-1134"/>
        <w:rPr>
          <w:rFonts w:ascii="Open Sans" w:hAnsi="Open Sans"/>
          <w:color w:val="00AAAB"/>
          <w:lang w:val="es-ES"/>
        </w:rPr>
      </w:pPr>
    </w:p>
    <w:p w:rsidR="00555744" w:rsidRDefault="00555744" w:rsidP="005E50D0">
      <w:pPr>
        <w:ind w:left="-1134"/>
        <w:rPr>
          <w:rFonts w:ascii="Open Sans" w:hAnsi="Open Sans"/>
          <w:color w:val="00AAAB"/>
          <w:lang w:val="es-ES"/>
        </w:rPr>
      </w:pPr>
    </w:p>
    <w:p w:rsidR="005E50D0" w:rsidRDefault="005E50D0" w:rsidP="005E50D0">
      <w:pPr>
        <w:ind w:left="-1134"/>
        <w:rPr>
          <w:rFonts w:ascii="Open Sans" w:hAnsi="Open Sans"/>
          <w:color w:val="00AAAB"/>
          <w:lang w:val="es-ES"/>
        </w:rPr>
      </w:pPr>
      <w:r>
        <w:rPr>
          <w:rFonts w:ascii="Open Sans" w:hAnsi="Open Sans"/>
          <w:color w:val="00AAAB"/>
          <w:lang w:val="es-ES"/>
        </w:rPr>
        <w:t xml:space="preserve">                                </w:t>
      </w:r>
      <w:r w:rsidRPr="00405F66">
        <w:rPr>
          <w:rFonts w:ascii="Open Sans" w:hAnsi="Open Sans"/>
          <w:color w:val="00AAAB"/>
          <w:lang w:val="es-ES"/>
        </w:rPr>
        <w:t xml:space="preserve">Incrementos por CC.AA. en </w:t>
      </w:r>
      <w:r>
        <w:rPr>
          <w:rFonts w:ascii="Open Sans" w:hAnsi="Open Sans"/>
          <w:color w:val="00AAAB"/>
          <w:lang w:val="es-ES"/>
        </w:rPr>
        <w:t>julio</w:t>
      </w:r>
    </w:p>
    <w:p w:rsidR="005E50D0" w:rsidRPr="00201404" w:rsidRDefault="005E50D0" w:rsidP="005E50D0">
      <w:pPr>
        <w:ind w:left="-1134"/>
        <w:jc w:val="center"/>
        <w:rPr>
          <w:rFonts w:ascii="Open Sans Light" w:hAnsi="Open Sans Light"/>
          <w:color w:val="404040" w:themeColor="text1" w:themeTint="BF"/>
          <w:lang w:val="es-ES"/>
        </w:rPr>
      </w:pPr>
    </w:p>
    <w:tbl>
      <w:tblPr>
        <w:tblStyle w:val="Tabladecuadrcula5oscura-nfasis11"/>
        <w:tblW w:w="0" w:type="auto"/>
        <w:tblLook w:val="04A0" w:firstRow="1" w:lastRow="0" w:firstColumn="1" w:lastColumn="0" w:noHBand="0" w:noVBand="1"/>
      </w:tblPr>
      <w:tblGrid>
        <w:gridCol w:w="2943"/>
        <w:gridCol w:w="2869"/>
      </w:tblGrid>
      <w:tr w:rsidR="005E50D0" w:rsidRPr="00201404" w:rsidTr="005E5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50D0" w:rsidRPr="00201404" w:rsidRDefault="005E50D0" w:rsidP="005E50D0">
            <w:pPr>
              <w:jc w:val="center"/>
              <w:rPr>
                <w:rFonts w:ascii="Open Sans Light" w:hAnsi="Open Sans Light"/>
                <w:lang w:val="es-ES"/>
              </w:rPr>
            </w:pPr>
            <w:r>
              <w:rPr>
                <w:rFonts w:ascii="Open Sans Light" w:hAnsi="Open Sans Light"/>
                <w:lang w:val="es-ES"/>
              </w:rPr>
              <w:t>CC.AA.</w:t>
            </w:r>
          </w:p>
        </w:tc>
        <w:tc>
          <w:tcPr>
            <w:tcW w:w="2869" w:type="dxa"/>
          </w:tcPr>
          <w:p w:rsidR="005E50D0" w:rsidRPr="00201404" w:rsidRDefault="005E50D0" w:rsidP="005E50D0">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Julio </w:t>
            </w:r>
            <w:r w:rsidRPr="00201404">
              <w:rPr>
                <w:rFonts w:ascii="Open Sans Light" w:hAnsi="Open Sans Light"/>
                <w:lang w:val="es-ES"/>
              </w:rPr>
              <w:t>2017</w:t>
            </w:r>
          </w:p>
          <w:p w:rsidR="005E50D0" w:rsidRPr="00201404" w:rsidRDefault="005E50D0" w:rsidP="005E50D0">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201404">
              <w:rPr>
                <w:rFonts w:ascii="Open Sans Light" w:hAnsi="Open Sans Light"/>
                <w:lang w:val="es-ES"/>
              </w:rPr>
              <w:t>(€/m</w:t>
            </w:r>
            <w:r w:rsidRPr="00201404">
              <w:rPr>
                <w:rFonts w:ascii="Open Sans Light" w:hAnsi="Open Sans Light" w:cs="Open Sans Light"/>
                <w:lang w:val="es-ES"/>
              </w:rPr>
              <w:t>²</w:t>
            </w:r>
            <w:r w:rsidRPr="00201404">
              <w:rPr>
                <w:rFonts w:ascii="Open Sans Light" w:hAnsi="Open Sans Light"/>
                <w:lang w:val="es-ES"/>
              </w:rPr>
              <w:t>)</w:t>
            </w:r>
          </w:p>
        </w:tc>
      </w:tr>
      <w:tr w:rsidR="005E50D0" w:rsidRPr="00201404" w:rsidTr="005E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50D0" w:rsidRPr="005E50D0" w:rsidRDefault="005E50D0" w:rsidP="005E50D0">
            <w:pPr>
              <w:rPr>
                <w:rFonts w:ascii="Open Sans Light" w:hAnsi="Open Sans Light" w:cs="Open Sans Light"/>
              </w:rPr>
            </w:pPr>
            <w:r w:rsidRPr="005E50D0">
              <w:rPr>
                <w:rFonts w:ascii="Open Sans Light" w:hAnsi="Open Sans Light" w:cs="Open Sans Light"/>
              </w:rPr>
              <w:t>La Rioja</w:t>
            </w:r>
          </w:p>
        </w:tc>
        <w:tc>
          <w:tcPr>
            <w:tcW w:w="2869" w:type="dxa"/>
            <w:vAlign w:val="bottom"/>
          </w:tcPr>
          <w:p w:rsidR="005E50D0" w:rsidRPr="005E50D0" w:rsidRDefault="005E50D0" w:rsidP="005E50D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8"/>
                <w:szCs w:val="28"/>
              </w:rPr>
            </w:pPr>
            <w:r w:rsidRPr="005E50D0">
              <w:rPr>
                <w:rFonts w:ascii="Open Sans Light" w:hAnsi="Open Sans Light" w:cs="Open Sans Light"/>
                <w:color w:val="000000"/>
                <w:sz w:val="28"/>
                <w:szCs w:val="28"/>
              </w:rPr>
              <w:t>3,7 %</w:t>
            </w:r>
          </w:p>
        </w:tc>
      </w:tr>
      <w:tr w:rsidR="005E50D0" w:rsidRPr="00201404" w:rsidTr="005E50D0">
        <w:tc>
          <w:tcPr>
            <w:cnfStyle w:val="001000000000" w:firstRow="0" w:lastRow="0" w:firstColumn="1" w:lastColumn="0" w:oddVBand="0" w:evenVBand="0" w:oddHBand="0" w:evenHBand="0" w:firstRowFirstColumn="0" w:firstRowLastColumn="0" w:lastRowFirstColumn="0" w:lastRowLastColumn="0"/>
            <w:tcW w:w="2943" w:type="dxa"/>
          </w:tcPr>
          <w:p w:rsidR="005E50D0" w:rsidRPr="005E50D0" w:rsidRDefault="005E50D0" w:rsidP="005E50D0">
            <w:pPr>
              <w:rPr>
                <w:rFonts w:ascii="Open Sans Light" w:hAnsi="Open Sans Light" w:cs="Open Sans Light"/>
              </w:rPr>
            </w:pPr>
            <w:r w:rsidRPr="005E50D0">
              <w:rPr>
                <w:rFonts w:ascii="Open Sans Light" w:hAnsi="Open Sans Light" w:cs="Open Sans Light"/>
              </w:rPr>
              <w:t>Aragón</w:t>
            </w:r>
          </w:p>
        </w:tc>
        <w:tc>
          <w:tcPr>
            <w:tcW w:w="2869" w:type="dxa"/>
            <w:vAlign w:val="bottom"/>
          </w:tcPr>
          <w:p w:rsidR="005E50D0" w:rsidRPr="005E50D0" w:rsidRDefault="005E50D0" w:rsidP="005E50D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8"/>
                <w:szCs w:val="28"/>
              </w:rPr>
            </w:pPr>
            <w:r w:rsidRPr="005E50D0">
              <w:rPr>
                <w:rFonts w:ascii="Open Sans Light" w:hAnsi="Open Sans Light" w:cs="Open Sans Light"/>
                <w:color w:val="000000"/>
                <w:sz w:val="28"/>
                <w:szCs w:val="28"/>
              </w:rPr>
              <w:t>2,0 %</w:t>
            </w:r>
          </w:p>
        </w:tc>
      </w:tr>
      <w:tr w:rsidR="005E50D0" w:rsidRPr="00201404" w:rsidTr="005E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50D0" w:rsidRPr="005E50D0" w:rsidRDefault="005E50D0" w:rsidP="005E50D0">
            <w:pPr>
              <w:rPr>
                <w:rFonts w:ascii="Open Sans Light" w:hAnsi="Open Sans Light" w:cs="Open Sans Light"/>
              </w:rPr>
            </w:pPr>
            <w:r w:rsidRPr="005E50D0">
              <w:rPr>
                <w:rFonts w:ascii="Open Sans Light" w:hAnsi="Open Sans Light" w:cs="Open Sans Light"/>
              </w:rPr>
              <w:t>Castilla-La Mancha</w:t>
            </w:r>
          </w:p>
        </w:tc>
        <w:tc>
          <w:tcPr>
            <w:tcW w:w="2869" w:type="dxa"/>
            <w:vAlign w:val="bottom"/>
          </w:tcPr>
          <w:p w:rsidR="005E50D0" w:rsidRPr="005E50D0" w:rsidRDefault="005E50D0" w:rsidP="005E50D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8"/>
                <w:szCs w:val="28"/>
              </w:rPr>
            </w:pPr>
            <w:r w:rsidRPr="005E50D0">
              <w:rPr>
                <w:rFonts w:ascii="Open Sans Light" w:hAnsi="Open Sans Light" w:cs="Open Sans Light"/>
                <w:color w:val="000000"/>
                <w:sz w:val="28"/>
                <w:szCs w:val="28"/>
              </w:rPr>
              <w:t>1,4 %</w:t>
            </w:r>
          </w:p>
        </w:tc>
      </w:tr>
      <w:tr w:rsidR="005E50D0" w:rsidRPr="00201404" w:rsidTr="005E50D0">
        <w:tc>
          <w:tcPr>
            <w:cnfStyle w:val="001000000000" w:firstRow="0" w:lastRow="0" w:firstColumn="1" w:lastColumn="0" w:oddVBand="0" w:evenVBand="0" w:oddHBand="0" w:evenHBand="0" w:firstRowFirstColumn="0" w:firstRowLastColumn="0" w:lastRowFirstColumn="0" w:lastRowLastColumn="0"/>
            <w:tcW w:w="2943" w:type="dxa"/>
          </w:tcPr>
          <w:p w:rsidR="005E50D0" w:rsidRPr="005E50D0" w:rsidRDefault="005E50D0" w:rsidP="005E50D0">
            <w:pPr>
              <w:rPr>
                <w:rFonts w:ascii="Open Sans Light" w:hAnsi="Open Sans Light" w:cs="Open Sans Light"/>
              </w:rPr>
            </w:pPr>
            <w:r w:rsidRPr="005E50D0">
              <w:rPr>
                <w:rFonts w:ascii="Open Sans Light" w:hAnsi="Open Sans Light" w:cs="Open Sans Light"/>
              </w:rPr>
              <w:t>Región de Murcia</w:t>
            </w:r>
          </w:p>
        </w:tc>
        <w:tc>
          <w:tcPr>
            <w:tcW w:w="2869" w:type="dxa"/>
            <w:vAlign w:val="bottom"/>
          </w:tcPr>
          <w:p w:rsidR="005E50D0" w:rsidRPr="005E50D0" w:rsidRDefault="005E50D0" w:rsidP="005E50D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8"/>
                <w:szCs w:val="28"/>
              </w:rPr>
            </w:pPr>
            <w:r w:rsidRPr="005E50D0">
              <w:rPr>
                <w:rFonts w:ascii="Open Sans Light" w:hAnsi="Open Sans Light" w:cs="Open Sans Light"/>
                <w:color w:val="000000"/>
                <w:sz w:val="28"/>
                <w:szCs w:val="28"/>
              </w:rPr>
              <w:t>1,2 %</w:t>
            </w:r>
          </w:p>
        </w:tc>
      </w:tr>
      <w:tr w:rsidR="005E50D0" w:rsidRPr="00201404" w:rsidTr="005E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50D0" w:rsidRPr="005E50D0" w:rsidRDefault="005E50D0" w:rsidP="005E50D0">
            <w:pPr>
              <w:rPr>
                <w:rFonts w:ascii="Open Sans Light" w:hAnsi="Open Sans Light" w:cs="Open Sans Light"/>
              </w:rPr>
            </w:pPr>
            <w:r w:rsidRPr="005E50D0">
              <w:rPr>
                <w:rFonts w:ascii="Open Sans Light" w:hAnsi="Open Sans Light" w:cs="Open Sans Light"/>
              </w:rPr>
              <w:t>Asturias</w:t>
            </w:r>
          </w:p>
        </w:tc>
        <w:tc>
          <w:tcPr>
            <w:tcW w:w="2869" w:type="dxa"/>
            <w:vAlign w:val="bottom"/>
          </w:tcPr>
          <w:p w:rsidR="005E50D0" w:rsidRPr="005E50D0" w:rsidRDefault="005E50D0" w:rsidP="005E50D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8"/>
                <w:szCs w:val="28"/>
              </w:rPr>
            </w:pPr>
            <w:r w:rsidRPr="005E50D0">
              <w:rPr>
                <w:rFonts w:ascii="Open Sans Light" w:hAnsi="Open Sans Light" w:cs="Open Sans Light"/>
                <w:color w:val="000000"/>
                <w:sz w:val="28"/>
                <w:szCs w:val="28"/>
              </w:rPr>
              <w:t>0,9 %</w:t>
            </w:r>
          </w:p>
        </w:tc>
      </w:tr>
      <w:tr w:rsidR="005E50D0" w:rsidRPr="00201404" w:rsidTr="005E50D0">
        <w:tc>
          <w:tcPr>
            <w:cnfStyle w:val="001000000000" w:firstRow="0" w:lastRow="0" w:firstColumn="1" w:lastColumn="0" w:oddVBand="0" w:evenVBand="0" w:oddHBand="0" w:evenHBand="0" w:firstRowFirstColumn="0" w:firstRowLastColumn="0" w:lastRowFirstColumn="0" w:lastRowLastColumn="0"/>
            <w:tcW w:w="2943" w:type="dxa"/>
          </w:tcPr>
          <w:p w:rsidR="005E50D0" w:rsidRPr="005E50D0" w:rsidRDefault="005E50D0" w:rsidP="005E50D0">
            <w:pPr>
              <w:rPr>
                <w:rFonts w:ascii="Open Sans Light" w:hAnsi="Open Sans Light" w:cs="Open Sans Light"/>
              </w:rPr>
            </w:pPr>
            <w:r w:rsidRPr="005E50D0">
              <w:rPr>
                <w:rFonts w:ascii="Open Sans Light" w:hAnsi="Open Sans Light" w:cs="Open Sans Light"/>
              </w:rPr>
              <w:t>Canarias</w:t>
            </w:r>
          </w:p>
        </w:tc>
        <w:tc>
          <w:tcPr>
            <w:tcW w:w="2869" w:type="dxa"/>
            <w:vAlign w:val="bottom"/>
          </w:tcPr>
          <w:p w:rsidR="005E50D0" w:rsidRPr="005E50D0" w:rsidRDefault="005E50D0" w:rsidP="005E50D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8"/>
                <w:szCs w:val="28"/>
              </w:rPr>
            </w:pPr>
            <w:r w:rsidRPr="005E50D0">
              <w:rPr>
                <w:rFonts w:ascii="Open Sans Light" w:hAnsi="Open Sans Light" w:cs="Open Sans Light"/>
                <w:color w:val="000000"/>
                <w:sz w:val="28"/>
                <w:szCs w:val="28"/>
              </w:rPr>
              <w:t>0,9 %</w:t>
            </w:r>
          </w:p>
        </w:tc>
      </w:tr>
      <w:tr w:rsidR="005E50D0" w:rsidRPr="00201404" w:rsidTr="005E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50D0" w:rsidRPr="005E50D0" w:rsidRDefault="005E50D0" w:rsidP="005E50D0">
            <w:pPr>
              <w:rPr>
                <w:rFonts w:ascii="Open Sans Light" w:hAnsi="Open Sans Light" w:cs="Open Sans Light"/>
              </w:rPr>
            </w:pPr>
            <w:r w:rsidRPr="005E50D0">
              <w:rPr>
                <w:rFonts w:ascii="Open Sans Light" w:hAnsi="Open Sans Light" w:cs="Open Sans Light"/>
              </w:rPr>
              <w:t>País Vasco</w:t>
            </w:r>
          </w:p>
        </w:tc>
        <w:tc>
          <w:tcPr>
            <w:tcW w:w="2869" w:type="dxa"/>
            <w:vAlign w:val="bottom"/>
          </w:tcPr>
          <w:p w:rsidR="005E50D0" w:rsidRPr="005E50D0" w:rsidRDefault="005E50D0" w:rsidP="005E50D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8"/>
                <w:szCs w:val="28"/>
              </w:rPr>
            </w:pPr>
            <w:r w:rsidRPr="005E50D0">
              <w:rPr>
                <w:rFonts w:ascii="Open Sans Light" w:hAnsi="Open Sans Light" w:cs="Open Sans Light"/>
                <w:color w:val="000000"/>
                <w:sz w:val="28"/>
                <w:szCs w:val="28"/>
              </w:rPr>
              <w:t>0,8 %</w:t>
            </w:r>
          </w:p>
        </w:tc>
      </w:tr>
      <w:tr w:rsidR="005E50D0" w:rsidRPr="00201404" w:rsidTr="005E50D0">
        <w:tc>
          <w:tcPr>
            <w:cnfStyle w:val="001000000000" w:firstRow="0" w:lastRow="0" w:firstColumn="1" w:lastColumn="0" w:oddVBand="0" w:evenVBand="0" w:oddHBand="0" w:evenHBand="0" w:firstRowFirstColumn="0" w:firstRowLastColumn="0" w:lastRowFirstColumn="0" w:lastRowLastColumn="0"/>
            <w:tcW w:w="2943" w:type="dxa"/>
          </w:tcPr>
          <w:p w:rsidR="005E50D0" w:rsidRPr="005E50D0" w:rsidRDefault="005E50D0" w:rsidP="005E50D0">
            <w:pPr>
              <w:rPr>
                <w:rFonts w:ascii="Open Sans Light" w:hAnsi="Open Sans Light" w:cs="Open Sans Light"/>
              </w:rPr>
            </w:pPr>
            <w:r w:rsidRPr="005E50D0">
              <w:rPr>
                <w:rFonts w:ascii="Open Sans Light" w:hAnsi="Open Sans Light" w:cs="Open Sans Light"/>
              </w:rPr>
              <w:t>Navarra</w:t>
            </w:r>
          </w:p>
        </w:tc>
        <w:tc>
          <w:tcPr>
            <w:tcW w:w="2869" w:type="dxa"/>
            <w:vAlign w:val="bottom"/>
          </w:tcPr>
          <w:p w:rsidR="005E50D0" w:rsidRPr="005E50D0" w:rsidRDefault="005E50D0" w:rsidP="005E50D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8"/>
                <w:szCs w:val="28"/>
              </w:rPr>
            </w:pPr>
            <w:r w:rsidRPr="005E50D0">
              <w:rPr>
                <w:rFonts w:ascii="Open Sans Light" w:hAnsi="Open Sans Light" w:cs="Open Sans Light"/>
                <w:color w:val="000000"/>
                <w:sz w:val="28"/>
                <w:szCs w:val="28"/>
              </w:rPr>
              <w:t>0,8 %</w:t>
            </w:r>
          </w:p>
        </w:tc>
      </w:tr>
      <w:tr w:rsidR="005E50D0" w:rsidRPr="00201404" w:rsidTr="005E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50D0" w:rsidRPr="005E50D0" w:rsidRDefault="005E50D0" w:rsidP="005E50D0">
            <w:pPr>
              <w:rPr>
                <w:rFonts w:ascii="Open Sans Light" w:hAnsi="Open Sans Light" w:cs="Open Sans Light"/>
              </w:rPr>
            </w:pPr>
            <w:r w:rsidRPr="005E50D0">
              <w:rPr>
                <w:rFonts w:ascii="Open Sans Light" w:hAnsi="Open Sans Light" w:cs="Open Sans Light"/>
              </w:rPr>
              <w:t>Cataluña</w:t>
            </w:r>
          </w:p>
        </w:tc>
        <w:tc>
          <w:tcPr>
            <w:tcW w:w="2869" w:type="dxa"/>
            <w:vAlign w:val="bottom"/>
          </w:tcPr>
          <w:p w:rsidR="005E50D0" w:rsidRPr="005E50D0" w:rsidRDefault="005E50D0" w:rsidP="005E50D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8"/>
                <w:szCs w:val="28"/>
              </w:rPr>
            </w:pPr>
            <w:r w:rsidRPr="005E50D0">
              <w:rPr>
                <w:rFonts w:ascii="Open Sans Light" w:hAnsi="Open Sans Light" w:cs="Open Sans Light"/>
                <w:color w:val="000000"/>
                <w:sz w:val="28"/>
                <w:szCs w:val="28"/>
              </w:rPr>
              <w:t>0,7 %</w:t>
            </w:r>
          </w:p>
        </w:tc>
      </w:tr>
      <w:tr w:rsidR="005E50D0" w:rsidRPr="00201404" w:rsidTr="005E50D0">
        <w:tc>
          <w:tcPr>
            <w:cnfStyle w:val="001000000000" w:firstRow="0" w:lastRow="0" w:firstColumn="1" w:lastColumn="0" w:oddVBand="0" w:evenVBand="0" w:oddHBand="0" w:evenHBand="0" w:firstRowFirstColumn="0" w:firstRowLastColumn="0" w:lastRowFirstColumn="0" w:lastRowLastColumn="0"/>
            <w:tcW w:w="2943" w:type="dxa"/>
          </w:tcPr>
          <w:p w:rsidR="005E50D0" w:rsidRPr="005E50D0" w:rsidRDefault="005E50D0" w:rsidP="005E50D0">
            <w:pPr>
              <w:rPr>
                <w:rFonts w:ascii="Open Sans Light" w:hAnsi="Open Sans Light" w:cs="Open Sans Light"/>
              </w:rPr>
            </w:pPr>
            <w:r w:rsidRPr="005E50D0">
              <w:rPr>
                <w:rFonts w:ascii="Open Sans Light" w:hAnsi="Open Sans Light" w:cs="Open Sans Light"/>
              </w:rPr>
              <w:t>Comunitat Valenciana</w:t>
            </w:r>
          </w:p>
        </w:tc>
        <w:tc>
          <w:tcPr>
            <w:tcW w:w="2869" w:type="dxa"/>
            <w:vAlign w:val="bottom"/>
          </w:tcPr>
          <w:p w:rsidR="005E50D0" w:rsidRPr="005E50D0" w:rsidRDefault="005E50D0" w:rsidP="005E50D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8"/>
                <w:szCs w:val="28"/>
              </w:rPr>
            </w:pPr>
            <w:r w:rsidRPr="005E50D0">
              <w:rPr>
                <w:rFonts w:ascii="Open Sans Light" w:hAnsi="Open Sans Light" w:cs="Open Sans Light"/>
                <w:color w:val="000000"/>
                <w:sz w:val="28"/>
                <w:szCs w:val="28"/>
              </w:rPr>
              <w:t>0,7 %</w:t>
            </w:r>
          </w:p>
        </w:tc>
      </w:tr>
      <w:tr w:rsidR="005E50D0" w:rsidRPr="00201404" w:rsidTr="005E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50D0" w:rsidRPr="005E50D0" w:rsidRDefault="005E50D0" w:rsidP="005E50D0">
            <w:pPr>
              <w:rPr>
                <w:rFonts w:ascii="Open Sans Light" w:hAnsi="Open Sans Light" w:cs="Open Sans Light"/>
              </w:rPr>
            </w:pPr>
            <w:r w:rsidRPr="005E50D0">
              <w:rPr>
                <w:rFonts w:ascii="Open Sans Light" w:hAnsi="Open Sans Light" w:cs="Open Sans Light"/>
              </w:rPr>
              <w:t>Galicia</w:t>
            </w:r>
          </w:p>
        </w:tc>
        <w:tc>
          <w:tcPr>
            <w:tcW w:w="2869" w:type="dxa"/>
            <w:vAlign w:val="bottom"/>
          </w:tcPr>
          <w:p w:rsidR="005E50D0" w:rsidRPr="005E50D0" w:rsidRDefault="005E50D0" w:rsidP="005E50D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8"/>
                <w:szCs w:val="28"/>
              </w:rPr>
            </w:pPr>
            <w:r w:rsidRPr="005E50D0">
              <w:rPr>
                <w:rFonts w:ascii="Open Sans Light" w:hAnsi="Open Sans Light" w:cs="Open Sans Light"/>
                <w:color w:val="000000"/>
                <w:sz w:val="28"/>
                <w:szCs w:val="28"/>
              </w:rPr>
              <w:t>0,6 %</w:t>
            </w:r>
          </w:p>
        </w:tc>
      </w:tr>
      <w:tr w:rsidR="005E50D0" w:rsidRPr="00201404" w:rsidTr="005E50D0">
        <w:tc>
          <w:tcPr>
            <w:cnfStyle w:val="001000000000" w:firstRow="0" w:lastRow="0" w:firstColumn="1" w:lastColumn="0" w:oddVBand="0" w:evenVBand="0" w:oddHBand="0" w:evenHBand="0" w:firstRowFirstColumn="0" w:firstRowLastColumn="0" w:lastRowFirstColumn="0" w:lastRowLastColumn="0"/>
            <w:tcW w:w="2943" w:type="dxa"/>
          </w:tcPr>
          <w:p w:rsidR="005E50D0" w:rsidRPr="005E50D0" w:rsidRDefault="005E50D0" w:rsidP="005E50D0">
            <w:pPr>
              <w:rPr>
                <w:rFonts w:ascii="Open Sans Light" w:hAnsi="Open Sans Light" w:cs="Open Sans Light"/>
              </w:rPr>
            </w:pPr>
            <w:r w:rsidRPr="005E50D0">
              <w:rPr>
                <w:rFonts w:ascii="Open Sans Light" w:hAnsi="Open Sans Light" w:cs="Open Sans Light"/>
              </w:rPr>
              <w:t>Madrid</w:t>
            </w:r>
          </w:p>
        </w:tc>
        <w:tc>
          <w:tcPr>
            <w:tcW w:w="2869" w:type="dxa"/>
            <w:vAlign w:val="bottom"/>
          </w:tcPr>
          <w:p w:rsidR="005E50D0" w:rsidRPr="005E50D0" w:rsidRDefault="005E50D0" w:rsidP="005E50D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8"/>
                <w:szCs w:val="28"/>
              </w:rPr>
            </w:pPr>
            <w:r w:rsidRPr="005E50D0">
              <w:rPr>
                <w:rFonts w:ascii="Open Sans Light" w:hAnsi="Open Sans Light" w:cs="Open Sans Light"/>
                <w:color w:val="000000"/>
                <w:sz w:val="28"/>
                <w:szCs w:val="28"/>
              </w:rPr>
              <w:t>0,4 %</w:t>
            </w:r>
          </w:p>
        </w:tc>
      </w:tr>
      <w:tr w:rsidR="005E50D0" w:rsidRPr="00201404" w:rsidTr="005E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50D0" w:rsidRPr="005E50D0" w:rsidRDefault="005E50D0" w:rsidP="005E50D0">
            <w:pPr>
              <w:rPr>
                <w:rFonts w:ascii="Open Sans Light" w:hAnsi="Open Sans Light" w:cs="Open Sans Light"/>
              </w:rPr>
            </w:pPr>
            <w:r w:rsidRPr="005E50D0">
              <w:rPr>
                <w:rFonts w:ascii="Open Sans Light" w:hAnsi="Open Sans Light" w:cs="Open Sans Light"/>
              </w:rPr>
              <w:t>Andalucía</w:t>
            </w:r>
          </w:p>
        </w:tc>
        <w:tc>
          <w:tcPr>
            <w:tcW w:w="2869" w:type="dxa"/>
            <w:vAlign w:val="bottom"/>
          </w:tcPr>
          <w:p w:rsidR="005E50D0" w:rsidRPr="005E50D0" w:rsidRDefault="005E50D0" w:rsidP="005E50D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8"/>
                <w:szCs w:val="28"/>
              </w:rPr>
            </w:pPr>
            <w:r w:rsidRPr="005E50D0">
              <w:rPr>
                <w:rFonts w:ascii="Open Sans Light" w:hAnsi="Open Sans Light" w:cs="Open Sans Light"/>
                <w:color w:val="000000"/>
                <w:sz w:val="28"/>
                <w:szCs w:val="28"/>
              </w:rPr>
              <w:t>0,2 %</w:t>
            </w:r>
          </w:p>
        </w:tc>
      </w:tr>
      <w:tr w:rsidR="005E50D0" w:rsidRPr="00201404" w:rsidTr="005E50D0">
        <w:tc>
          <w:tcPr>
            <w:cnfStyle w:val="001000000000" w:firstRow="0" w:lastRow="0" w:firstColumn="1" w:lastColumn="0" w:oddVBand="0" w:evenVBand="0" w:oddHBand="0" w:evenHBand="0" w:firstRowFirstColumn="0" w:firstRowLastColumn="0" w:lastRowFirstColumn="0" w:lastRowLastColumn="0"/>
            <w:tcW w:w="2943" w:type="dxa"/>
          </w:tcPr>
          <w:p w:rsidR="005E50D0" w:rsidRPr="005E50D0" w:rsidRDefault="005E50D0" w:rsidP="005E50D0">
            <w:pPr>
              <w:rPr>
                <w:rFonts w:ascii="Open Sans Light" w:hAnsi="Open Sans Light" w:cs="Open Sans Light"/>
              </w:rPr>
            </w:pPr>
            <w:r w:rsidRPr="005E50D0">
              <w:rPr>
                <w:rFonts w:ascii="Open Sans Light" w:hAnsi="Open Sans Light" w:cs="Open Sans Light"/>
              </w:rPr>
              <w:t>Cantabria</w:t>
            </w:r>
          </w:p>
        </w:tc>
        <w:tc>
          <w:tcPr>
            <w:tcW w:w="2869" w:type="dxa"/>
            <w:vAlign w:val="bottom"/>
          </w:tcPr>
          <w:p w:rsidR="005E50D0" w:rsidRPr="005E50D0" w:rsidRDefault="005E50D0" w:rsidP="005E50D0">
            <w:pPr>
              <w:jc w:val="center"/>
              <w:cnfStyle w:val="000000000000" w:firstRow="0" w:lastRow="0" w:firstColumn="0" w:lastColumn="0" w:oddVBand="0" w:evenVBand="0" w:oddHBand="0" w:evenHBand="0" w:firstRowFirstColumn="0" w:firstRowLastColumn="0" w:lastRowFirstColumn="0" w:lastRowLastColumn="0"/>
              <w:rPr>
                <w:rFonts w:ascii="Open Sans Light" w:hAnsi="Open Sans Light" w:cs="Open Sans Light"/>
                <w:color w:val="000000"/>
                <w:sz w:val="28"/>
                <w:szCs w:val="28"/>
              </w:rPr>
            </w:pPr>
            <w:r w:rsidRPr="005E50D0">
              <w:rPr>
                <w:rFonts w:ascii="Open Sans Light" w:hAnsi="Open Sans Light" w:cs="Open Sans Light"/>
                <w:color w:val="000000"/>
                <w:sz w:val="28"/>
                <w:szCs w:val="28"/>
              </w:rPr>
              <w:t>0,1 %</w:t>
            </w:r>
          </w:p>
        </w:tc>
      </w:tr>
      <w:tr w:rsidR="005E50D0" w:rsidRPr="00201404" w:rsidTr="005E5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E50D0" w:rsidRPr="005E50D0" w:rsidRDefault="005E50D0" w:rsidP="005E50D0">
            <w:pPr>
              <w:rPr>
                <w:rFonts w:ascii="Open Sans Light" w:hAnsi="Open Sans Light" w:cs="Open Sans Light"/>
              </w:rPr>
            </w:pPr>
            <w:r w:rsidRPr="005E50D0">
              <w:rPr>
                <w:rFonts w:ascii="Open Sans Light" w:hAnsi="Open Sans Light" w:cs="Open Sans Light"/>
              </w:rPr>
              <w:t>Castilla y León</w:t>
            </w:r>
          </w:p>
        </w:tc>
        <w:tc>
          <w:tcPr>
            <w:tcW w:w="2869" w:type="dxa"/>
            <w:vAlign w:val="bottom"/>
          </w:tcPr>
          <w:p w:rsidR="005E50D0" w:rsidRPr="005E50D0" w:rsidRDefault="005E50D0" w:rsidP="005E50D0">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8"/>
                <w:szCs w:val="28"/>
              </w:rPr>
            </w:pPr>
            <w:r w:rsidRPr="005E50D0">
              <w:rPr>
                <w:rFonts w:ascii="Open Sans Light" w:hAnsi="Open Sans Light" w:cs="Open Sans Light"/>
                <w:color w:val="000000"/>
                <w:sz w:val="28"/>
                <w:szCs w:val="28"/>
              </w:rPr>
              <w:t>0,1 %</w:t>
            </w:r>
          </w:p>
        </w:tc>
      </w:tr>
    </w:tbl>
    <w:p w:rsidR="00584AAF" w:rsidRDefault="00584AAF" w:rsidP="0006369A">
      <w:pPr>
        <w:ind w:left="-1134"/>
        <w:jc w:val="both"/>
        <w:rPr>
          <w:rFonts w:ascii="Open Sans Light" w:hAnsi="Open Sans Light"/>
          <w:lang w:val="es-ES"/>
        </w:rPr>
      </w:pPr>
    </w:p>
    <w:p w:rsidR="005E50D0" w:rsidRDefault="00555744" w:rsidP="0006369A">
      <w:pPr>
        <w:ind w:left="-1134"/>
        <w:jc w:val="both"/>
        <w:rPr>
          <w:rFonts w:ascii="Open Sans Light" w:hAnsi="Open Sans Light"/>
          <w:lang w:val="es-ES"/>
        </w:rPr>
      </w:pPr>
      <w:bookmarkStart w:id="0" w:name="_GoBack"/>
      <w:bookmarkEnd w:id="0"/>
      <w:r w:rsidRPr="00555744">
        <w:rPr>
          <w:rFonts w:ascii="Open Sans Light" w:hAnsi="Open Sans Light"/>
          <w:lang w:val="es-ES"/>
        </w:rPr>
        <w:lastRenderedPageBreak/>
        <w:t>En el otro extremo, una comunidad desciende el precio del alquiler en julio.</w:t>
      </w:r>
    </w:p>
    <w:p w:rsidR="00555744" w:rsidRDefault="00555744" w:rsidP="0006369A">
      <w:pPr>
        <w:ind w:left="-1134"/>
        <w:jc w:val="both"/>
        <w:rPr>
          <w:rFonts w:ascii="Open Sans Light" w:hAnsi="Open Sans Light"/>
          <w:lang w:val="es-ES"/>
        </w:rPr>
      </w:pPr>
    </w:p>
    <w:p w:rsidR="00555744" w:rsidRDefault="00555744" w:rsidP="00555744">
      <w:pPr>
        <w:ind w:left="-1134"/>
        <w:rPr>
          <w:rFonts w:ascii="Open Sans Light" w:hAnsi="Open Sans Light"/>
          <w:lang w:val="es-ES"/>
        </w:rPr>
      </w:pPr>
      <w:r>
        <w:rPr>
          <w:rFonts w:ascii="Open Sans" w:hAnsi="Open Sans"/>
          <w:color w:val="00AAAB"/>
          <w:lang w:val="es-ES"/>
        </w:rPr>
        <w:t xml:space="preserve">                               Descensos</w:t>
      </w:r>
      <w:r w:rsidRPr="00405F66">
        <w:rPr>
          <w:rFonts w:ascii="Open Sans" w:hAnsi="Open Sans"/>
          <w:color w:val="00AAAB"/>
          <w:lang w:val="es-ES"/>
        </w:rPr>
        <w:t xml:space="preserve"> por CC.AA. en </w:t>
      </w:r>
      <w:r>
        <w:rPr>
          <w:rFonts w:ascii="Open Sans" w:hAnsi="Open Sans"/>
          <w:color w:val="00AAAB"/>
          <w:lang w:val="es-ES"/>
        </w:rPr>
        <w:t>julio</w:t>
      </w:r>
    </w:p>
    <w:p w:rsidR="00555744" w:rsidRDefault="00555744" w:rsidP="0006369A">
      <w:pPr>
        <w:ind w:left="-1134"/>
        <w:jc w:val="both"/>
        <w:rPr>
          <w:rFonts w:ascii="Open Sans Light" w:hAnsi="Open Sans Light"/>
          <w:lang w:val="es-ES"/>
        </w:rPr>
      </w:pPr>
    </w:p>
    <w:tbl>
      <w:tblPr>
        <w:tblStyle w:val="Tabladecuadrcula5oscura-nfasis11"/>
        <w:tblW w:w="0" w:type="auto"/>
        <w:tblLook w:val="04A0" w:firstRow="1" w:lastRow="0" w:firstColumn="1" w:lastColumn="0" w:noHBand="0" w:noVBand="1"/>
      </w:tblPr>
      <w:tblGrid>
        <w:gridCol w:w="2943"/>
        <w:gridCol w:w="2869"/>
      </w:tblGrid>
      <w:tr w:rsidR="00555744" w:rsidRPr="00201404" w:rsidTr="004742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55744" w:rsidRPr="00201404" w:rsidRDefault="00555744" w:rsidP="00474265">
            <w:pPr>
              <w:jc w:val="center"/>
              <w:rPr>
                <w:rFonts w:ascii="Open Sans Light" w:hAnsi="Open Sans Light"/>
                <w:lang w:val="es-ES"/>
              </w:rPr>
            </w:pPr>
            <w:r>
              <w:rPr>
                <w:rFonts w:ascii="Open Sans Light" w:hAnsi="Open Sans Light"/>
                <w:lang w:val="es-ES"/>
              </w:rPr>
              <w:t>CC.AA.</w:t>
            </w:r>
          </w:p>
        </w:tc>
        <w:tc>
          <w:tcPr>
            <w:tcW w:w="2869" w:type="dxa"/>
          </w:tcPr>
          <w:p w:rsidR="00555744" w:rsidRPr="00201404" w:rsidRDefault="00555744" w:rsidP="00474265">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Pr>
                <w:rFonts w:ascii="Open Sans Light" w:hAnsi="Open Sans Light"/>
                <w:lang w:val="es-ES"/>
              </w:rPr>
              <w:t xml:space="preserve">Julio </w:t>
            </w:r>
            <w:r w:rsidRPr="00201404">
              <w:rPr>
                <w:rFonts w:ascii="Open Sans Light" w:hAnsi="Open Sans Light"/>
                <w:lang w:val="es-ES"/>
              </w:rPr>
              <w:t>2017</w:t>
            </w:r>
          </w:p>
          <w:p w:rsidR="00555744" w:rsidRPr="00201404" w:rsidRDefault="00555744" w:rsidP="00474265">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lang w:val="es-ES"/>
              </w:rPr>
            </w:pPr>
            <w:r w:rsidRPr="00201404">
              <w:rPr>
                <w:rFonts w:ascii="Open Sans Light" w:hAnsi="Open Sans Light"/>
                <w:lang w:val="es-ES"/>
              </w:rPr>
              <w:t>(€/m</w:t>
            </w:r>
            <w:r w:rsidRPr="00201404">
              <w:rPr>
                <w:rFonts w:ascii="Open Sans Light" w:hAnsi="Open Sans Light" w:cs="Open Sans Light"/>
                <w:lang w:val="es-ES"/>
              </w:rPr>
              <w:t>²</w:t>
            </w:r>
            <w:r w:rsidRPr="00201404">
              <w:rPr>
                <w:rFonts w:ascii="Open Sans Light" w:hAnsi="Open Sans Light"/>
                <w:lang w:val="es-ES"/>
              </w:rPr>
              <w:t>)</w:t>
            </w:r>
          </w:p>
        </w:tc>
      </w:tr>
      <w:tr w:rsidR="00555744" w:rsidRPr="00201404" w:rsidTr="004742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555744" w:rsidRPr="005E50D0" w:rsidRDefault="00555744" w:rsidP="00474265">
            <w:pPr>
              <w:rPr>
                <w:rFonts w:ascii="Open Sans Light" w:hAnsi="Open Sans Light" w:cs="Open Sans Light"/>
              </w:rPr>
            </w:pPr>
            <w:r>
              <w:rPr>
                <w:rFonts w:ascii="Open Sans Light" w:hAnsi="Open Sans Light" w:cs="Open Sans Light"/>
              </w:rPr>
              <w:t>Baleares</w:t>
            </w:r>
          </w:p>
        </w:tc>
        <w:tc>
          <w:tcPr>
            <w:tcW w:w="2869" w:type="dxa"/>
            <w:vAlign w:val="bottom"/>
          </w:tcPr>
          <w:p w:rsidR="00555744" w:rsidRPr="005E50D0" w:rsidRDefault="00555744" w:rsidP="00474265">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cs="Open Sans Light"/>
                <w:color w:val="000000"/>
                <w:sz w:val="28"/>
                <w:szCs w:val="28"/>
              </w:rPr>
            </w:pPr>
            <w:r w:rsidRPr="00555744">
              <w:rPr>
                <w:rFonts w:ascii="Open Sans Light" w:hAnsi="Open Sans Light" w:cs="Open Sans Light"/>
                <w:color w:val="FF0000"/>
                <w:sz w:val="28"/>
                <w:szCs w:val="28"/>
              </w:rPr>
              <w:t>-1,8 %</w:t>
            </w:r>
          </w:p>
        </w:tc>
      </w:tr>
    </w:tbl>
    <w:p w:rsidR="00555744" w:rsidRDefault="00555744" w:rsidP="0006369A">
      <w:pPr>
        <w:ind w:left="-1134"/>
        <w:jc w:val="both"/>
        <w:rPr>
          <w:rFonts w:ascii="Open Sans Light" w:hAnsi="Open Sans Light"/>
          <w:lang w:val="es-ES"/>
        </w:rPr>
      </w:pPr>
    </w:p>
    <w:p w:rsidR="005E50D0" w:rsidRDefault="005E50D0" w:rsidP="0006369A">
      <w:pPr>
        <w:ind w:left="-1134"/>
        <w:jc w:val="both"/>
        <w:rPr>
          <w:rFonts w:ascii="Open Sans Light" w:hAnsi="Open Sans Light"/>
          <w:lang w:val="es-ES"/>
        </w:rPr>
      </w:pPr>
    </w:p>
    <w:p w:rsidR="005E50D0" w:rsidRDefault="00555744" w:rsidP="0006369A">
      <w:pPr>
        <w:ind w:left="-1134"/>
        <w:jc w:val="both"/>
        <w:rPr>
          <w:rFonts w:ascii="Open Sans Light" w:hAnsi="Open Sans Light"/>
          <w:lang w:val="es-ES"/>
        </w:rPr>
      </w:pPr>
      <w:r w:rsidRPr="00555744">
        <w:rPr>
          <w:rFonts w:ascii="Open Sans Light" w:hAnsi="Open Sans Light"/>
          <w:lang w:val="es-ES"/>
        </w:rPr>
        <w:t>En cuanto al ranking de precios, Cataluña es la comunidad más cara para alquilar una vivienda de segunda mano, con un precio de 11,97 €/m2 al mes. Le sigue Madrid (11,55 €/m2 al mes) y País Vasco (10,57 €/m2 al mes). En el lado opuesto, Extremadura (4,77 €/m2 al mes) y Castilla-La Mancha (4,97 €/m2 al mes) son las dos comunidades con los precios de la vivienda en alquiler más asequibles.</w:t>
      </w:r>
    </w:p>
    <w:p w:rsidR="00555744" w:rsidRDefault="00555744" w:rsidP="0006369A">
      <w:pPr>
        <w:ind w:left="-1134"/>
        <w:jc w:val="both"/>
        <w:rPr>
          <w:rFonts w:ascii="Open Sans Light" w:hAnsi="Open Sans Light"/>
          <w:lang w:val="es-ES"/>
        </w:rPr>
      </w:pPr>
    </w:p>
    <w:p w:rsidR="00555744" w:rsidRPr="00555744" w:rsidRDefault="00555744" w:rsidP="00555744">
      <w:pPr>
        <w:ind w:left="-1134"/>
        <w:rPr>
          <w:rFonts w:ascii="Open Sans" w:hAnsi="Open Sans"/>
          <w:color w:val="00AAAB"/>
          <w:lang w:val="es-ES"/>
        </w:rPr>
      </w:pPr>
      <w:r w:rsidRPr="00555744">
        <w:rPr>
          <w:rFonts w:ascii="Open Sans" w:hAnsi="Open Sans"/>
          <w:color w:val="00AAAB"/>
          <w:lang w:val="es-ES"/>
        </w:rPr>
        <w:t>Ranking del precio medio de la vivienda en alquiler más caro por CC.AA.</w:t>
      </w:r>
    </w:p>
    <w:p w:rsidR="00D638FE" w:rsidRDefault="00D638FE" w:rsidP="0006369A">
      <w:pPr>
        <w:ind w:left="-1134"/>
        <w:jc w:val="both"/>
        <w:rPr>
          <w:rFonts w:ascii="Open Sans Light" w:hAnsi="Open Sans Light"/>
          <w:lang w:val="es-ES"/>
        </w:rPr>
      </w:pPr>
    </w:p>
    <w:p w:rsidR="00D638FE" w:rsidRDefault="00555744" w:rsidP="0006369A">
      <w:pPr>
        <w:ind w:left="-1134"/>
        <w:jc w:val="both"/>
        <w:rPr>
          <w:rFonts w:ascii="Open Sans Light" w:hAnsi="Open Sans Light"/>
          <w:lang w:val="es-ES"/>
        </w:rPr>
      </w:pPr>
      <w:r>
        <w:rPr>
          <w:noProof/>
          <w:lang w:val="es-ES" w:eastAsia="es-ES" w:bidi="ks-Deva"/>
        </w:rPr>
        <w:drawing>
          <wp:inline distT="0" distB="0" distL="0" distR="0" wp14:anchorId="023CEC90" wp14:editId="764BF5D9">
            <wp:extent cx="5505450" cy="275272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55744" w:rsidRDefault="00555744" w:rsidP="0006369A">
      <w:pPr>
        <w:ind w:left="-1134"/>
        <w:jc w:val="both"/>
        <w:rPr>
          <w:rFonts w:ascii="Open Sans Light" w:hAnsi="Open Sans Light"/>
          <w:lang w:val="es-ES"/>
        </w:rPr>
      </w:pPr>
    </w:p>
    <w:p w:rsidR="001F7403" w:rsidRDefault="001F7403" w:rsidP="0006369A">
      <w:pPr>
        <w:ind w:left="-1134"/>
        <w:jc w:val="both"/>
        <w:rPr>
          <w:rFonts w:ascii="Open Sans Light" w:hAnsi="Open Sans Light"/>
          <w:lang w:val="es-ES"/>
        </w:rPr>
      </w:pPr>
    </w:p>
    <w:p w:rsidR="00555744" w:rsidRDefault="001F7403" w:rsidP="0006369A">
      <w:pPr>
        <w:ind w:left="-1134"/>
        <w:jc w:val="both"/>
        <w:rPr>
          <w:rFonts w:ascii="Open Sans Light" w:hAnsi="Open Sans Light"/>
          <w:lang w:val="es-ES"/>
        </w:rPr>
      </w:pPr>
      <w:r w:rsidRPr="001F7403">
        <w:rPr>
          <w:rFonts w:ascii="Open Sans Light" w:hAnsi="Open Sans Light"/>
          <w:lang w:val="es-ES"/>
        </w:rPr>
        <w:t xml:space="preserve">Respecto a la evolución por </w:t>
      </w:r>
      <w:r w:rsidRPr="001F7403">
        <w:rPr>
          <w:rFonts w:ascii="Open Sans Light" w:hAnsi="Open Sans Light"/>
          <w:b/>
          <w:bCs/>
          <w:lang w:val="es-ES"/>
        </w:rPr>
        <w:t>provincias</w:t>
      </w:r>
      <w:r w:rsidRPr="001F7403">
        <w:rPr>
          <w:rFonts w:ascii="Open Sans Light" w:hAnsi="Open Sans Light"/>
          <w:lang w:val="es-ES"/>
        </w:rPr>
        <w:t>, 35 de ellas registran aumentos del precio del alquiler respecto al mes de junio, con incrementos que van del 3,7% en La Rioja al 0,1% de Cantabria y Badajoz. Por el contrario, el precio del alquiler baja en 13 provincias con retrocesos que van desde el -0,2% de Sevilla al -3,8% de Huelva. Por su parte, Santa Cruz de Tenerife mantiene estable el precio respecto al mes de junio.</w:t>
      </w:r>
    </w:p>
    <w:p w:rsidR="00555744" w:rsidRDefault="00555744" w:rsidP="0006369A">
      <w:pPr>
        <w:ind w:left="-1134"/>
        <w:jc w:val="both"/>
        <w:rPr>
          <w:rFonts w:ascii="Open Sans Light" w:hAnsi="Open Sans Light"/>
          <w:lang w:val="es-ES"/>
        </w:rPr>
      </w:pPr>
    </w:p>
    <w:p w:rsidR="0006369A" w:rsidRPr="0006369A" w:rsidRDefault="0006369A" w:rsidP="0006369A">
      <w:pPr>
        <w:ind w:left="-1134"/>
        <w:jc w:val="both"/>
        <w:rPr>
          <w:rFonts w:ascii="Open Sans Light" w:hAnsi="Open Sans Light"/>
          <w:color w:val="404040" w:themeColor="text1" w:themeTint="BF"/>
          <w:lang w:val="es-ES"/>
        </w:rPr>
      </w:pPr>
    </w:p>
    <w:p w:rsidR="00584AAF" w:rsidRDefault="00584AAF" w:rsidP="00584AAF">
      <w:pPr>
        <w:ind w:left="-1276"/>
        <w:jc w:val="both"/>
        <w:rPr>
          <w:rFonts w:ascii="Open Sans Light" w:hAnsi="Open Sans Light"/>
          <w:lang w:val="es-ES"/>
        </w:rPr>
      </w:pPr>
      <w:r w:rsidRPr="00584AAF">
        <w:rPr>
          <w:rFonts w:ascii="Open Sans" w:hAnsi="Open Sans"/>
          <w:color w:val="00AAAB"/>
          <w:lang w:val="es-ES"/>
        </w:rPr>
        <w:lastRenderedPageBreak/>
        <w:t>Se incrementa el precio en 10 distritos madrileños y en cinco catalanes</w:t>
      </w:r>
      <w:r w:rsidRPr="00584AAF">
        <w:rPr>
          <w:rFonts w:ascii="Open Sans Light" w:hAnsi="Open Sans Light"/>
          <w:lang w:val="es-ES"/>
        </w:rPr>
        <w:t xml:space="preserve"> </w:t>
      </w:r>
    </w:p>
    <w:p w:rsidR="00584AAF" w:rsidRDefault="00584AAF" w:rsidP="00584AAF">
      <w:pPr>
        <w:ind w:left="-1276"/>
        <w:jc w:val="both"/>
        <w:rPr>
          <w:rFonts w:ascii="Open Sans Light" w:hAnsi="Open Sans Light"/>
          <w:lang w:val="es-ES"/>
        </w:rPr>
      </w:pPr>
    </w:p>
    <w:p w:rsidR="00584AAF" w:rsidRPr="001B0DD8" w:rsidRDefault="00584AAF" w:rsidP="00584AAF">
      <w:pPr>
        <w:ind w:left="-1276"/>
        <w:jc w:val="both"/>
        <w:rPr>
          <w:rFonts w:ascii="Open Sans Light" w:hAnsi="Open Sans Light"/>
          <w:lang w:val="es-ES"/>
        </w:rPr>
      </w:pPr>
      <w:r>
        <w:rPr>
          <w:rFonts w:ascii="Open Sans Light" w:hAnsi="Open Sans Light"/>
          <w:lang w:val="es-ES"/>
        </w:rPr>
        <w:t xml:space="preserve">De los </w:t>
      </w:r>
      <w:r w:rsidRPr="00584AAF">
        <w:rPr>
          <w:rFonts w:ascii="Open Sans Light" w:hAnsi="Open Sans Light"/>
          <w:b/>
          <w:bCs/>
          <w:lang w:val="es-ES"/>
        </w:rPr>
        <w:t>21 distritos madrileños</w:t>
      </w:r>
      <w:r w:rsidRPr="001B0DD8">
        <w:rPr>
          <w:rFonts w:ascii="Open Sans Light" w:hAnsi="Open Sans Light"/>
          <w:lang w:val="es-ES"/>
        </w:rPr>
        <w:t xml:space="preserve"> estudiados por </w:t>
      </w:r>
      <w:proofErr w:type="spellStart"/>
      <w:r w:rsidRPr="001B0DD8">
        <w:rPr>
          <w:rFonts w:ascii="Open Sans Light" w:hAnsi="Open Sans Light"/>
          <w:lang w:val="es-ES"/>
        </w:rPr>
        <w:t>fotocasa</w:t>
      </w:r>
      <w:proofErr w:type="spellEnd"/>
      <w:r w:rsidRPr="001B0DD8">
        <w:rPr>
          <w:rFonts w:ascii="Open Sans Light" w:hAnsi="Open Sans Light"/>
          <w:lang w:val="es-ES"/>
        </w:rPr>
        <w:t xml:space="preserve">, en 10 de ellos se registran incrementos en el precio del alquiler. La subida más alta se da en Usera (2,5%), y en  </w:t>
      </w:r>
      <w:proofErr w:type="spellStart"/>
      <w:r w:rsidRPr="001B0DD8">
        <w:rPr>
          <w:rFonts w:ascii="Open Sans Light" w:hAnsi="Open Sans Light"/>
          <w:lang w:val="es-ES"/>
        </w:rPr>
        <w:t>Vicálvaro</w:t>
      </w:r>
      <w:proofErr w:type="spellEnd"/>
      <w:r w:rsidRPr="001B0DD8">
        <w:rPr>
          <w:rFonts w:ascii="Open Sans Light" w:hAnsi="Open Sans Light"/>
          <w:lang w:val="es-ES"/>
        </w:rPr>
        <w:t xml:space="preserve"> (2,1%). En cuanto a los descensos, la caída más notable se da en el distrito de Centro (-2,6%), seguido de Retiro (-1,4%). </w:t>
      </w:r>
    </w:p>
    <w:p w:rsidR="00584AAF" w:rsidRPr="001B0DD8" w:rsidRDefault="00584AAF" w:rsidP="00584AAF">
      <w:pPr>
        <w:ind w:left="-1276"/>
        <w:jc w:val="both"/>
        <w:rPr>
          <w:rFonts w:ascii="Open Sans Light" w:hAnsi="Open Sans Light"/>
          <w:lang w:val="es-ES"/>
        </w:rPr>
      </w:pPr>
    </w:p>
    <w:p w:rsidR="00584AAF" w:rsidRDefault="00584AAF" w:rsidP="00584AAF">
      <w:pPr>
        <w:ind w:left="-1276"/>
        <w:jc w:val="both"/>
        <w:rPr>
          <w:rFonts w:ascii="Open Sans Light" w:hAnsi="Open Sans Light"/>
          <w:lang w:val="es-ES"/>
        </w:rPr>
      </w:pPr>
      <w:r w:rsidRPr="001B0DD8">
        <w:rPr>
          <w:rFonts w:ascii="Open Sans Light" w:hAnsi="Open Sans Light"/>
          <w:lang w:val="es-ES"/>
        </w:rPr>
        <w:t>El distrito de Salamanca continúa siendo el más caro de Madrid, con un precio medio de 16,33 €/m2 y un descenso mensual respecto al mes anterior del -0,5%. El más barato es Villaverde, que tiene un precio medio de 8,43 €/m2 al mes y este mes de julio asciende el precio un 0,2% respecto al mes anterior.</w:t>
      </w:r>
    </w:p>
    <w:p w:rsidR="00584AAF" w:rsidRDefault="00584AAF" w:rsidP="00584AAF">
      <w:pPr>
        <w:ind w:left="-1276"/>
        <w:jc w:val="both"/>
        <w:rPr>
          <w:rFonts w:ascii="Open Sans Light" w:hAnsi="Open Sans Light"/>
          <w:lang w:val="es-ES"/>
        </w:rPr>
      </w:pPr>
    </w:p>
    <w:p w:rsidR="00584AAF" w:rsidRPr="009B628E" w:rsidRDefault="00584AAF" w:rsidP="00584AAF">
      <w:pPr>
        <w:ind w:left="-1276"/>
        <w:jc w:val="both"/>
        <w:rPr>
          <w:rFonts w:ascii="Open Sans Light" w:hAnsi="Open Sans Light"/>
          <w:lang w:val="es-ES"/>
        </w:rPr>
      </w:pPr>
      <w:r w:rsidRPr="009B628E">
        <w:rPr>
          <w:rFonts w:ascii="Open Sans Light" w:hAnsi="Open Sans Light"/>
          <w:lang w:val="es-ES"/>
        </w:rPr>
        <w:t xml:space="preserve">De los </w:t>
      </w:r>
      <w:r w:rsidRPr="00584AAF">
        <w:rPr>
          <w:rFonts w:ascii="Open Sans Light" w:hAnsi="Open Sans Light"/>
          <w:b/>
          <w:bCs/>
          <w:lang w:val="es-ES"/>
        </w:rPr>
        <w:t>10 distritos catalanes</w:t>
      </w:r>
      <w:r>
        <w:rPr>
          <w:rFonts w:ascii="Open Sans Light" w:hAnsi="Open Sans Light"/>
          <w:lang w:val="es-ES"/>
        </w:rPr>
        <w:t xml:space="preserve"> estudiados</w:t>
      </w:r>
      <w:r w:rsidRPr="009B628E">
        <w:rPr>
          <w:rFonts w:ascii="Open Sans Light" w:hAnsi="Open Sans Light"/>
          <w:lang w:val="es-ES"/>
        </w:rPr>
        <w:t xml:space="preserve">, en 5 de ellos se registran incrementos en el precio del alquiler. La subida más alta se da en </w:t>
      </w:r>
      <w:proofErr w:type="spellStart"/>
      <w:r w:rsidRPr="009B628E">
        <w:rPr>
          <w:rFonts w:ascii="Open Sans Light" w:hAnsi="Open Sans Light"/>
          <w:lang w:val="es-ES"/>
        </w:rPr>
        <w:t>Gràcia</w:t>
      </w:r>
      <w:proofErr w:type="spellEnd"/>
      <w:r w:rsidRPr="009B628E">
        <w:rPr>
          <w:rFonts w:ascii="Open Sans Light" w:hAnsi="Open Sans Light"/>
          <w:lang w:val="es-ES"/>
        </w:rPr>
        <w:t xml:space="preserve"> (2,8%), </w:t>
      </w:r>
      <w:proofErr w:type="spellStart"/>
      <w:r w:rsidRPr="009B628E">
        <w:rPr>
          <w:rFonts w:ascii="Open Sans Light" w:hAnsi="Open Sans Light"/>
          <w:lang w:val="es-ES"/>
        </w:rPr>
        <w:t>Ciutat</w:t>
      </w:r>
      <w:proofErr w:type="spellEnd"/>
      <w:r w:rsidRPr="009B628E">
        <w:rPr>
          <w:rFonts w:ascii="Open Sans Light" w:hAnsi="Open Sans Light"/>
          <w:lang w:val="es-ES"/>
        </w:rPr>
        <w:t xml:space="preserve"> Vella (2,6%) y en Les </w:t>
      </w:r>
      <w:proofErr w:type="spellStart"/>
      <w:r w:rsidRPr="009B628E">
        <w:rPr>
          <w:rFonts w:ascii="Open Sans Light" w:hAnsi="Open Sans Light"/>
          <w:lang w:val="es-ES"/>
        </w:rPr>
        <w:t>Corts</w:t>
      </w:r>
      <w:proofErr w:type="spellEnd"/>
      <w:r w:rsidRPr="009B628E">
        <w:rPr>
          <w:rFonts w:ascii="Open Sans Light" w:hAnsi="Open Sans Light"/>
          <w:lang w:val="es-ES"/>
        </w:rPr>
        <w:t xml:space="preserve"> (1,2%). En cuanto a los descensos, la caída más notable se da en el distrito de </w:t>
      </w:r>
      <w:proofErr w:type="spellStart"/>
      <w:r w:rsidRPr="009B628E">
        <w:rPr>
          <w:rFonts w:ascii="Open Sans Light" w:hAnsi="Open Sans Light"/>
          <w:lang w:val="es-ES"/>
        </w:rPr>
        <w:t>Sants</w:t>
      </w:r>
      <w:proofErr w:type="spellEnd"/>
      <w:r w:rsidRPr="009B628E">
        <w:rPr>
          <w:rFonts w:ascii="Open Sans Light" w:hAnsi="Open Sans Light"/>
          <w:lang w:val="es-ES"/>
        </w:rPr>
        <w:t xml:space="preserve"> - </w:t>
      </w:r>
      <w:proofErr w:type="spellStart"/>
      <w:r w:rsidRPr="009B628E">
        <w:rPr>
          <w:rFonts w:ascii="Open Sans Light" w:hAnsi="Open Sans Light"/>
          <w:lang w:val="es-ES"/>
        </w:rPr>
        <w:t>Montjuïc</w:t>
      </w:r>
      <w:proofErr w:type="spellEnd"/>
      <w:r w:rsidRPr="009B628E">
        <w:rPr>
          <w:rFonts w:ascii="Open Sans Light" w:hAnsi="Open Sans Light"/>
          <w:lang w:val="es-ES"/>
        </w:rPr>
        <w:t xml:space="preserve"> (-2,2%), seguido de </w:t>
      </w:r>
      <w:proofErr w:type="spellStart"/>
      <w:r w:rsidRPr="009B628E">
        <w:rPr>
          <w:rFonts w:ascii="Open Sans Light" w:hAnsi="Open Sans Light"/>
          <w:lang w:val="es-ES"/>
        </w:rPr>
        <w:t>Eixample</w:t>
      </w:r>
      <w:proofErr w:type="spellEnd"/>
      <w:r w:rsidRPr="009B628E">
        <w:rPr>
          <w:rFonts w:ascii="Open Sans Light" w:hAnsi="Open Sans Light"/>
          <w:lang w:val="es-ES"/>
        </w:rPr>
        <w:t xml:space="preserve"> (-2,0%) y Horta - </w:t>
      </w:r>
      <w:proofErr w:type="spellStart"/>
      <w:r w:rsidRPr="009B628E">
        <w:rPr>
          <w:rFonts w:ascii="Open Sans Light" w:hAnsi="Open Sans Light"/>
          <w:lang w:val="es-ES"/>
        </w:rPr>
        <w:t>Guinardó</w:t>
      </w:r>
      <w:proofErr w:type="spellEnd"/>
      <w:r w:rsidRPr="009B628E">
        <w:rPr>
          <w:rFonts w:ascii="Open Sans Light" w:hAnsi="Open Sans Light"/>
          <w:lang w:val="es-ES"/>
        </w:rPr>
        <w:t xml:space="preserve"> (-1,3%). </w:t>
      </w:r>
    </w:p>
    <w:p w:rsidR="00584AAF" w:rsidRPr="009B628E" w:rsidRDefault="00584AAF" w:rsidP="00584AAF">
      <w:pPr>
        <w:ind w:left="-1276"/>
        <w:jc w:val="both"/>
        <w:rPr>
          <w:rFonts w:ascii="Open Sans Light" w:hAnsi="Open Sans Light"/>
          <w:lang w:val="es-ES"/>
        </w:rPr>
      </w:pPr>
    </w:p>
    <w:p w:rsidR="00584AAF" w:rsidRPr="009B628E" w:rsidRDefault="00584AAF" w:rsidP="00584AAF">
      <w:pPr>
        <w:ind w:left="-1276"/>
        <w:jc w:val="both"/>
        <w:rPr>
          <w:rFonts w:ascii="Open Sans Light" w:hAnsi="Open Sans Light"/>
          <w:lang w:val="es-ES"/>
        </w:rPr>
      </w:pPr>
      <w:r w:rsidRPr="009B628E">
        <w:rPr>
          <w:rFonts w:ascii="Open Sans Light" w:hAnsi="Open Sans Light"/>
          <w:lang w:val="es-ES"/>
        </w:rPr>
        <w:t xml:space="preserve">El distrito de </w:t>
      </w:r>
      <w:proofErr w:type="spellStart"/>
      <w:r w:rsidRPr="009B628E">
        <w:rPr>
          <w:rFonts w:ascii="Open Sans Light" w:hAnsi="Open Sans Light"/>
          <w:lang w:val="es-ES"/>
        </w:rPr>
        <w:t>Sarrià-Sant</w:t>
      </w:r>
      <w:proofErr w:type="spellEnd"/>
      <w:r w:rsidRPr="009B628E">
        <w:rPr>
          <w:rFonts w:ascii="Open Sans Light" w:hAnsi="Open Sans Light"/>
          <w:lang w:val="es-ES"/>
        </w:rPr>
        <w:t xml:space="preserve"> </w:t>
      </w:r>
      <w:proofErr w:type="spellStart"/>
      <w:r w:rsidRPr="009B628E">
        <w:rPr>
          <w:rFonts w:ascii="Open Sans Light" w:hAnsi="Open Sans Light"/>
          <w:lang w:val="es-ES"/>
        </w:rPr>
        <w:t>Gervasi</w:t>
      </w:r>
      <w:proofErr w:type="spellEnd"/>
      <w:r w:rsidRPr="009B628E">
        <w:rPr>
          <w:rFonts w:ascii="Open Sans Light" w:hAnsi="Open Sans Light"/>
          <w:lang w:val="es-ES"/>
        </w:rPr>
        <w:t xml:space="preserve"> continúa siendo el más caro de Barcelona, con un precio medio de 16,73 €/m2 y un incremento mensual del 0,8%. El más barato es </w:t>
      </w:r>
      <w:proofErr w:type="spellStart"/>
      <w:r w:rsidRPr="009B628E">
        <w:rPr>
          <w:rFonts w:ascii="Open Sans Light" w:hAnsi="Open Sans Light"/>
          <w:lang w:val="es-ES"/>
        </w:rPr>
        <w:t>Nou</w:t>
      </w:r>
      <w:proofErr w:type="spellEnd"/>
      <w:r w:rsidRPr="009B628E">
        <w:rPr>
          <w:rFonts w:ascii="Open Sans Light" w:hAnsi="Open Sans Light"/>
          <w:lang w:val="es-ES"/>
        </w:rPr>
        <w:t xml:space="preserve"> </w:t>
      </w:r>
      <w:proofErr w:type="spellStart"/>
      <w:r w:rsidRPr="009B628E">
        <w:rPr>
          <w:rFonts w:ascii="Open Sans Light" w:hAnsi="Open Sans Light"/>
          <w:lang w:val="es-ES"/>
        </w:rPr>
        <w:t>Barris</w:t>
      </w:r>
      <w:proofErr w:type="spellEnd"/>
      <w:r w:rsidRPr="009B628E">
        <w:rPr>
          <w:rFonts w:ascii="Open Sans Light" w:hAnsi="Open Sans Light"/>
          <w:lang w:val="es-ES"/>
        </w:rPr>
        <w:t>, que tiene un precio medio de 11,12€/m2 al mes y este mes de julio asciende el precio un 1,0% respecto al mes anterior.</w:t>
      </w:r>
    </w:p>
    <w:p w:rsidR="00584AAF" w:rsidRDefault="00584AAF" w:rsidP="00584AAF">
      <w:pPr>
        <w:ind w:left="-1276"/>
        <w:jc w:val="both"/>
        <w:rPr>
          <w:rFonts w:ascii="Open Sans Light" w:hAnsi="Open Sans Light"/>
          <w:lang w:val="es-ES"/>
        </w:rPr>
      </w:pPr>
    </w:p>
    <w:p w:rsidR="00584AAF" w:rsidRDefault="00584AAF" w:rsidP="00E8753C">
      <w:pPr>
        <w:jc w:val="both"/>
        <w:rPr>
          <w:rFonts w:ascii="Open Sans Light" w:hAnsi="Open Sans Light"/>
          <w:color w:val="404040" w:themeColor="text1" w:themeTint="BF"/>
          <w:lang w:val="es-ES"/>
        </w:rPr>
      </w:pPr>
    </w:p>
    <w:p w:rsidR="00584AAF" w:rsidRPr="00201404" w:rsidRDefault="00584AAF" w:rsidP="00E8753C">
      <w:pPr>
        <w:jc w:val="both"/>
        <w:rPr>
          <w:rFonts w:ascii="Open Sans Light" w:hAnsi="Open Sans Light"/>
          <w:color w:val="404040" w:themeColor="text1" w:themeTint="BF"/>
          <w:lang w:val="es-ES"/>
        </w:rPr>
      </w:pPr>
    </w:p>
    <w:p w:rsidR="00AD3BC9" w:rsidRPr="00201404" w:rsidRDefault="00AD3BC9" w:rsidP="0095197E">
      <w:pPr>
        <w:pStyle w:val="Cuerpo"/>
        <w:ind w:left="5238" w:firstLine="426"/>
        <w:jc w:val="center"/>
        <w:rPr>
          <w:rStyle w:val="Ninguno"/>
          <w:rFonts w:ascii="Open Sans Light" w:hAnsi="Open Sans Light" w:cs="Gisha"/>
          <w:b/>
          <w:color w:val="00AAAB"/>
        </w:rPr>
      </w:pPr>
      <w:r w:rsidRPr="00201404">
        <w:rPr>
          <w:rStyle w:val="Ninguno"/>
          <w:rFonts w:ascii="Open Sans Light" w:hAnsi="Open Sans Light" w:cs="Gisha"/>
          <w:b/>
          <w:color w:val="00AAAB"/>
        </w:rPr>
        <w:t xml:space="preserve">Sobre </w:t>
      </w:r>
      <w:proofErr w:type="spellStart"/>
      <w:r w:rsidRPr="00201404">
        <w:rPr>
          <w:rStyle w:val="Ninguno"/>
          <w:rFonts w:ascii="Open Sans Light" w:hAnsi="Open Sans Light" w:cs="Gisha"/>
          <w:b/>
          <w:color w:val="00AAAB"/>
        </w:rPr>
        <w:t>fotocasa</w:t>
      </w:r>
      <w:proofErr w:type="spellEnd"/>
    </w:p>
    <w:p w:rsidR="00AD3BC9" w:rsidRPr="00201404" w:rsidRDefault="00AD3BC9" w:rsidP="00AD3BC9">
      <w:pPr>
        <w:pStyle w:val="Cuerpo"/>
        <w:ind w:left="-1134"/>
        <w:jc w:val="both"/>
        <w:rPr>
          <w:rFonts w:ascii="Gill Sans MT" w:eastAsia="Gisha" w:hAnsi="Gill Sans MT" w:cs="Gisha"/>
          <w:lang w:val="es-ES_tradnl"/>
        </w:rPr>
      </w:pPr>
    </w:p>
    <w:p w:rsidR="00AD3BC9" w:rsidRPr="00201404" w:rsidRDefault="00AD3BC9" w:rsidP="00AD3BC9">
      <w:pPr>
        <w:autoSpaceDE w:val="0"/>
        <w:autoSpaceDN w:val="0"/>
        <w:adjustRightInd w:val="0"/>
        <w:ind w:left="-1134"/>
        <w:jc w:val="both"/>
        <w:rPr>
          <w:rFonts w:ascii="Open Sans Light" w:hAnsi="Open Sans Light" w:cs="Gisha"/>
          <w:sz w:val="22"/>
          <w:szCs w:val="22"/>
          <w:lang w:val="es-ES"/>
        </w:rPr>
      </w:pPr>
      <w:r w:rsidRPr="00201404">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001B4ED6">
        <w:rPr>
          <w:rFonts w:ascii="Open Sans Light" w:hAnsi="Open Sans Light" w:cs="Gisha"/>
          <w:b/>
          <w:bCs/>
          <w:sz w:val="22"/>
          <w:szCs w:val="22"/>
          <w:lang w:val="es-ES"/>
        </w:rPr>
        <w:t>20</w:t>
      </w:r>
      <w:r w:rsidRPr="00201404">
        <w:rPr>
          <w:rFonts w:ascii="Open Sans Light" w:hAnsi="Open Sans Light" w:cs="Gisha"/>
          <w:b/>
          <w:bCs/>
          <w:sz w:val="22"/>
          <w:szCs w:val="22"/>
          <w:lang w:val="es-ES"/>
        </w:rPr>
        <w:t xml:space="preserve"> millones de visitas al mes</w:t>
      </w:r>
      <w:r w:rsidRPr="00201404">
        <w:rPr>
          <w:rFonts w:ascii="Open Sans Light" w:hAnsi="Open Sans Light" w:cs="Gisha"/>
          <w:sz w:val="22"/>
          <w:szCs w:val="22"/>
          <w:lang w:val="es-ES"/>
        </w:rPr>
        <w:t xml:space="preserve"> (62% a través de dispositivos móviles) y </w:t>
      </w:r>
      <w:r w:rsidRPr="00201404">
        <w:rPr>
          <w:rFonts w:ascii="Open Sans Light" w:hAnsi="Open Sans Light" w:cs="Gisha"/>
          <w:b/>
          <w:bCs/>
          <w:sz w:val="22"/>
          <w:szCs w:val="22"/>
          <w:lang w:val="es-ES"/>
        </w:rPr>
        <w:t>650 millones de páginas vistas</w:t>
      </w:r>
      <w:r w:rsidRPr="00201404">
        <w:rPr>
          <w:rFonts w:ascii="Open Sans Light" w:hAnsi="Open Sans Light" w:cs="Gisha"/>
          <w:sz w:val="22"/>
          <w:szCs w:val="22"/>
          <w:lang w:val="es-ES"/>
        </w:rPr>
        <w:t xml:space="preserve"> y cada día la visitan </w:t>
      </w:r>
      <w:r w:rsidR="001B4ED6">
        <w:rPr>
          <w:rFonts w:ascii="Open Sans Light" w:hAnsi="Open Sans Light" w:cs="Gisha"/>
          <w:sz w:val="22"/>
          <w:szCs w:val="22"/>
          <w:lang w:val="es-ES"/>
        </w:rPr>
        <w:t xml:space="preserve">más de </w:t>
      </w:r>
      <w:r w:rsidR="001B4ED6" w:rsidRPr="001B4ED6">
        <w:rPr>
          <w:rFonts w:ascii="Open Sans Light" w:hAnsi="Open Sans Light" w:cs="Gisha"/>
          <w:b/>
          <w:bCs/>
          <w:sz w:val="22"/>
          <w:szCs w:val="22"/>
          <w:lang w:val="es-ES"/>
        </w:rPr>
        <w:t>500.000 de</w:t>
      </w:r>
      <w:r w:rsidR="001B4ED6">
        <w:rPr>
          <w:rFonts w:ascii="Open Sans Light" w:hAnsi="Open Sans Light" w:cs="Gisha"/>
          <w:sz w:val="22"/>
          <w:szCs w:val="22"/>
          <w:lang w:val="es-ES"/>
        </w:rPr>
        <w:t xml:space="preserve"> </w:t>
      </w:r>
      <w:r w:rsidRPr="00201404">
        <w:rPr>
          <w:rFonts w:ascii="Open Sans Light" w:hAnsi="Open Sans Light" w:cs="Gisha"/>
          <w:b/>
          <w:bCs/>
          <w:sz w:val="22"/>
          <w:szCs w:val="22"/>
          <w:lang w:val="es-ES"/>
        </w:rPr>
        <w:t>usuarios únicos</w:t>
      </w:r>
      <w:r w:rsidRPr="00201404">
        <w:rPr>
          <w:rFonts w:ascii="Open Sans Light" w:hAnsi="Open Sans Light" w:cs="Gisha"/>
          <w:sz w:val="22"/>
          <w:szCs w:val="22"/>
          <w:lang w:val="es-ES"/>
        </w:rPr>
        <w:t xml:space="preserve">. Mensualmente elabora el </w:t>
      </w:r>
      <w:hyperlink r:id="rId14" w:history="1">
        <w:r w:rsidRPr="00201404">
          <w:rPr>
            <w:rStyle w:val="Hipervnculo"/>
            <w:rFonts w:ascii="Open Sans Light" w:hAnsi="Open Sans Light" w:cs="Gisha"/>
            <w:i/>
            <w:iCs/>
            <w:sz w:val="22"/>
            <w:szCs w:val="22"/>
            <w:lang w:val="es-ES"/>
          </w:rPr>
          <w:t xml:space="preserve">índice inmobiliario </w:t>
        </w:r>
        <w:proofErr w:type="spellStart"/>
        <w:r w:rsidRPr="00201404">
          <w:rPr>
            <w:rStyle w:val="Hipervnculo"/>
            <w:rFonts w:ascii="Open Sans Light" w:hAnsi="Open Sans Light" w:cs="Gisha"/>
            <w:i/>
            <w:iCs/>
            <w:sz w:val="22"/>
            <w:szCs w:val="22"/>
            <w:lang w:val="es-ES"/>
          </w:rPr>
          <w:t>fotocasa</w:t>
        </w:r>
        <w:proofErr w:type="spellEnd"/>
      </w:hyperlink>
      <w:r w:rsidRPr="00201404">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201404" w:rsidRDefault="00AD3BC9" w:rsidP="00AD3BC9">
      <w:pPr>
        <w:autoSpaceDE w:val="0"/>
        <w:autoSpaceDN w:val="0"/>
        <w:adjustRightInd w:val="0"/>
        <w:ind w:left="-1134"/>
        <w:jc w:val="both"/>
        <w:rPr>
          <w:rFonts w:ascii="Open Sans Light" w:hAnsi="Open Sans Light" w:cs="Gisha"/>
          <w:sz w:val="22"/>
          <w:szCs w:val="22"/>
          <w:lang w:val="es-ES"/>
        </w:rPr>
      </w:pPr>
    </w:p>
    <w:p w:rsidR="00AD3BC9" w:rsidRPr="00201404" w:rsidRDefault="00584AAF" w:rsidP="00AD3BC9">
      <w:pPr>
        <w:autoSpaceDE w:val="0"/>
        <w:autoSpaceDN w:val="0"/>
        <w:adjustRightInd w:val="0"/>
        <w:ind w:left="-1134"/>
        <w:jc w:val="both"/>
        <w:rPr>
          <w:rFonts w:ascii="Open Sans Light" w:hAnsi="Open Sans Light" w:cs="Gisha"/>
          <w:sz w:val="22"/>
          <w:szCs w:val="22"/>
          <w:lang w:val="es-ES"/>
        </w:rPr>
      </w:pPr>
      <w:hyperlink r:id="rId15" w:history="1">
        <w:proofErr w:type="spellStart"/>
        <w:r w:rsidR="00AD3BC9" w:rsidRPr="00201404">
          <w:rPr>
            <w:rStyle w:val="Hipervnculo"/>
            <w:rFonts w:ascii="Open Sans Light" w:hAnsi="Open Sans Light" w:cs="Gisha"/>
            <w:sz w:val="22"/>
            <w:szCs w:val="22"/>
            <w:lang w:val="es-ES"/>
          </w:rPr>
          <w:t>Fotocasa</w:t>
        </w:r>
        <w:proofErr w:type="spellEnd"/>
      </w:hyperlink>
      <w:r w:rsidR="00AD3BC9" w:rsidRPr="00201404">
        <w:rPr>
          <w:rFonts w:ascii="Open Sans Light" w:hAnsi="Open Sans Light" w:cs="Gisha"/>
          <w:sz w:val="22"/>
          <w:szCs w:val="22"/>
          <w:lang w:val="es-ES"/>
        </w:rPr>
        <w:t xml:space="preserve"> pertenece a </w:t>
      </w:r>
      <w:hyperlink r:id="rId16" w:history="1">
        <w:proofErr w:type="spellStart"/>
        <w:r w:rsidR="00AD3BC9" w:rsidRPr="00201404">
          <w:rPr>
            <w:rStyle w:val="Hipervnculo"/>
            <w:rFonts w:ascii="Open Sans Light" w:hAnsi="Open Sans Light" w:cs="Gisha"/>
            <w:sz w:val="22"/>
            <w:szCs w:val="22"/>
            <w:lang w:val="es-ES"/>
          </w:rPr>
          <w:t>Schibsted</w:t>
        </w:r>
        <w:proofErr w:type="spellEnd"/>
        <w:r w:rsidR="00AD3BC9" w:rsidRPr="00201404">
          <w:rPr>
            <w:rStyle w:val="Hipervnculo"/>
            <w:rFonts w:ascii="Open Sans Light" w:hAnsi="Open Sans Light" w:cs="Gisha"/>
            <w:sz w:val="22"/>
            <w:szCs w:val="22"/>
            <w:lang w:val="es-ES"/>
          </w:rPr>
          <w:t xml:space="preserve"> </w:t>
        </w:r>
        <w:proofErr w:type="spellStart"/>
        <w:r w:rsidR="00AD3BC9" w:rsidRPr="00201404">
          <w:rPr>
            <w:rStyle w:val="Hipervnculo"/>
            <w:rFonts w:ascii="Open Sans Light" w:hAnsi="Open Sans Light" w:cs="Gisha"/>
            <w:sz w:val="22"/>
            <w:szCs w:val="22"/>
            <w:lang w:val="es-ES"/>
          </w:rPr>
          <w:t>Spain</w:t>
        </w:r>
        <w:proofErr w:type="spellEnd"/>
      </w:hyperlink>
      <w:r w:rsidR="00AD3BC9" w:rsidRPr="00201404">
        <w:rPr>
          <w:rFonts w:ascii="Open Sans Light" w:hAnsi="Open Sans Light" w:cs="Gisha"/>
          <w:sz w:val="22"/>
          <w:szCs w:val="22"/>
          <w:lang w:val="es-ES"/>
        </w:rPr>
        <w:t xml:space="preserve">, la compañía de anuncios clasificados y de ofertas de empleo más grande y diversificada del país. Además de gestionar el portal inmobiliario </w:t>
      </w:r>
      <w:hyperlink r:id="rId17" w:history="1">
        <w:proofErr w:type="spellStart"/>
        <w:r w:rsidR="00AD3BC9" w:rsidRPr="00201404">
          <w:rPr>
            <w:rFonts w:ascii="Open Sans Light" w:hAnsi="Open Sans Light" w:cs="Gisha"/>
            <w:sz w:val="22"/>
            <w:szCs w:val="22"/>
            <w:lang w:val="es-ES"/>
          </w:rPr>
          <w:t>fotocasa</w:t>
        </w:r>
        <w:proofErr w:type="spellEnd"/>
      </w:hyperlink>
      <w:r w:rsidR="00AD3BC9" w:rsidRPr="00201404">
        <w:rPr>
          <w:rFonts w:ascii="Open Sans Light" w:hAnsi="Open Sans Light" w:cs="Gisha"/>
          <w:sz w:val="22"/>
          <w:szCs w:val="22"/>
          <w:lang w:val="es-ES"/>
        </w:rPr>
        <w:t xml:space="preserve">, cuenta con los siguientes portales de referencia: </w:t>
      </w:r>
      <w:hyperlink r:id="rId18" w:history="1">
        <w:proofErr w:type="spellStart"/>
        <w:r w:rsidR="00AD3BC9" w:rsidRPr="00201404">
          <w:rPr>
            <w:rStyle w:val="Hipervnculo"/>
            <w:rFonts w:ascii="Open Sans Light" w:hAnsi="Open Sans Light" w:cs="Gisha"/>
            <w:sz w:val="22"/>
            <w:szCs w:val="22"/>
            <w:lang w:val="es-ES"/>
          </w:rPr>
          <w:t>vibbo</w:t>
        </w:r>
        <w:proofErr w:type="spellEnd"/>
      </w:hyperlink>
      <w:r w:rsidR="00AD3BC9" w:rsidRPr="00201404">
        <w:rPr>
          <w:rFonts w:ascii="Open Sans Light" w:hAnsi="Open Sans Light" w:cs="Gisha"/>
          <w:sz w:val="22"/>
          <w:szCs w:val="22"/>
          <w:lang w:val="es-ES"/>
        </w:rPr>
        <w:t xml:space="preserve">, </w:t>
      </w:r>
      <w:hyperlink r:id="rId19" w:history="1">
        <w:r w:rsidR="00AD3BC9" w:rsidRPr="00201404">
          <w:rPr>
            <w:rStyle w:val="Hipervnculo"/>
            <w:rFonts w:ascii="Open Sans Light" w:hAnsi="Open Sans Light" w:cs="Gisha"/>
            <w:sz w:val="22"/>
            <w:szCs w:val="22"/>
            <w:lang w:val="es-ES"/>
          </w:rPr>
          <w:t>infojobs.net</w:t>
        </w:r>
      </w:hyperlink>
      <w:r w:rsidR="00AD3BC9" w:rsidRPr="00201404">
        <w:rPr>
          <w:rFonts w:ascii="Open Sans Light" w:hAnsi="Open Sans Light" w:cs="Gisha"/>
          <w:sz w:val="22"/>
          <w:szCs w:val="22"/>
          <w:lang w:val="es-ES"/>
        </w:rPr>
        <w:t xml:space="preserve">, </w:t>
      </w:r>
      <w:hyperlink r:id="rId20" w:history="1">
        <w:proofErr w:type="spellStart"/>
        <w:r w:rsidR="00AD3BC9" w:rsidRPr="00201404">
          <w:rPr>
            <w:rStyle w:val="Hipervnculo"/>
            <w:rFonts w:ascii="Open Sans Light" w:hAnsi="Open Sans Light" w:cs="Gisha"/>
            <w:sz w:val="22"/>
            <w:szCs w:val="22"/>
            <w:lang w:val="es-ES"/>
          </w:rPr>
          <w:t>habitaclia</w:t>
        </w:r>
        <w:proofErr w:type="spellEnd"/>
      </w:hyperlink>
      <w:r w:rsidR="00AD3BC9" w:rsidRPr="00201404">
        <w:rPr>
          <w:rFonts w:ascii="Open Sans Light" w:hAnsi="Open Sans Light" w:cs="Gisha"/>
          <w:sz w:val="22"/>
          <w:szCs w:val="22"/>
          <w:lang w:val="es-ES"/>
        </w:rPr>
        <w:t xml:space="preserve">, </w:t>
      </w:r>
      <w:hyperlink r:id="rId21" w:history="1">
        <w:r w:rsidR="00AD3BC9" w:rsidRPr="00201404">
          <w:rPr>
            <w:rStyle w:val="Hipervnculo"/>
            <w:rFonts w:ascii="Open Sans Light" w:hAnsi="Open Sans Light" w:cs="Gisha"/>
            <w:sz w:val="22"/>
            <w:szCs w:val="22"/>
            <w:lang w:val="es-ES"/>
          </w:rPr>
          <w:t>coches.net</w:t>
        </w:r>
      </w:hyperlink>
      <w:r w:rsidR="00AD3BC9" w:rsidRPr="00201404">
        <w:rPr>
          <w:rFonts w:ascii="Open Sans Light" w:hAnsi="Open Sans Light" w:cs="Gisha"/>
          <w:sz w:val="22"/>
          <w:szCs w:val="22"/>
          <w:lang w:val="es-ES"/>
        </w:rPr>
        <w:t xml:space="preserve">, </w:t>
      </w:r>
      <w:hyperlink r:id="rId22" w:history="1">
        <w:r w:rsidR="00AD3BC9" w:rsidRPr="00201404">
          <w:rPr>
            <w:rStyle w:val="Hipervnculo"/>
            <w:rFonts w:ascii="Open Sans Light" w:hAnsi="Open Sans Light" w:cs="Gisha"/>
            <w:sz w:val="22"/>
            <w:szCs w:val="22"/>
            <w:lang w:val="es-ES"/>
          </w:rPr>
          <w:t>motos.net</w:t>
        </w:r>
      </w:hyperlink>
      <w:r w:rsidR="00AD3BC9" w:rsidRPr="00201404">
        <w:rPr>
          <w:rFonts w:ascii="Open Sans Light" w:hAnsi="Open Sans Light" w:cs="Gisha"/>
          <w:sz w:val="22"/>
          <w:szCs w:val="22"/>
          <w:lang w:val="es-ES"/>
        </w:rPr>
        <w:t xml:space="preserve"> y </w:t>
      </w:r>
      <w:hyperlink r:id="rId23" w:history="1">
        <w:proofErr w:type="spellStart"/>
        <w:r w:rsidR="00AD3BC9" w:rsidRPr="00201404">
          <w:rPr>
            <w:rStyle w:val="Hipervnculo"/>
            <w:rFonts w:ascii="Open Sans Light" w:hAnsi="Open Sans Light" w:cs="Gisha"/>
            <w:sz w:val="22"/>
            <w:szCs w:val="22"/>
            <w:lang w:val="es-ES"/>
          </w:rPr>
          <w:t>milanuncios</w:t>
        </w:r>
        <w:proofErr w:type="spellEnd"/>
      </w:hyperlink>
      <w:r w:rsidR="00AD3BC9" w:rsidRPr="00201404">
        <w:rPr>
          <w:rFonts w:ascii="Open Sans Light" w:hAnsi="Open Sans Light" w:cs="Gisha"/>
          <w:sz w:val="22"/>
          <w:szCs w:val="22"/>
          <w:lang w:val="es-ES"/>
        </w:rPr>
        <w:t xml:space="preserve">. </w:t>
      </w:r>
      <w:proofErr w:type="spellStart"/>
      <w:r w:rsidR="00AD3BC9" w:rsidRPr="00201404">
        <w:rPr>
          <w:rFonts w:ascii="Open Sans Light" w:hAnsi="Open Sans Light" w:cs="Gisha"/>
          <w:sz w:val="22"/>
          <w:szCs w:val="22"/>
          <w:lang w:val="es-ES"/>
        </w:rPr>
        <w:t>Schibsted</w:t>
      </w:r>
      <w:proofErr w:type="spellEnd"/>
      <w:r w:rsidR="00AD3BC9" w:rsidRPr="00201404">
        <w:rPr>
          <w:rFonts w:ascii="Open Sans Light" w:hAnsi="Open Sans Light" w:cs="Gisha"/>
          <w:sz w:val="22"/>
          <w:szCs w:val="22"/>
          <w:lang w:val="es-ES"/>
        </w:rPr>
        <w:t xml:space="preserve"> </w:t>
      </w:r>
      <w:proofErr w:type="spellStart"/>
      <w:r w:rsidR="00AD3BC9" w:rsidRPr="00201404">
        <w:rPr>
          <w:rFonts w:ascii="Open Sans Light" w:hAnsi="Open Sans Light" w:cs="Gisha"/>
          <w:sz w:val="22"/>
          <w:szCs w:val="22"/>
          <w:lang w:val="es-ES"/>
        </w:rPr>
        <w:t>Spain</w:t>
      </w:r>
      <w:proofErr w:type="spellEnd"/>
      <w:r w:rsidR="00AD3BC9" w:rsidRPr="00201404">
        <w:rPr>
          <w:rFonts w:ascii="Open Sans Light" w:hAnsi="Open Sans Light" w:cs="Gisha"/>
          <w:sz w:val="22"/>
          <w:szCs w:val="22"/>
          <w:lang w:val="es-ES"/>
        </w:rPr>
        <w:t xml:space="preserve"> forma parte del grupo internacional de origen noruego </w:t>
      </w:r>
      <w:proofErr w:type="spellStart"/>
      <w:r w:rsidR="00AD3BC9" w:rsidRPr="00201404">
        <w:rPr>
          <w:rFonts w:ascii="Open Sans Light" w:hAnsi="Open Sans Light" w:cs="Gisha"/>
          <w:sz w:val="22"/>
          <w:szCs w:val="22"/>
          <w:lang w:val="es-ES"/>
        </w:rPr>
        <w:t>Schibsted</w:t>
      </w:r>
      <w:proofErr w:type="spellEnd"/>
      <w:r w:rsidR="00AD3BC9" w:rsidRPr="00201404">
        <w:rPr>
          <w:rFonts w:ascii="Open Sans Light" w:hAnsi="Open Sans Light" w:cs="Gisha"/>
          <w:sz w:val="22"/>
          <w:szCs w:val="22"/>
          <w:lang w:val="es-ES"/>
        </w:rPr>
        <w:t xml:space="preserve"> Media </w:t>
      </w:r>
      <w:proofErr w:type="spellStart"/>
      <w:r w:rsidR="00AD3BC9" w:rsidRPr="00201404">
        <w:rPr>
          <w:rFonts w:ascii="Open Sans Light" w:hAnsi="Open Sans Light" w:cs="Gisha"/>
          <w:sz w:val="22"/>
          <w:szCs w:val="22"/>
          <w:lang w:val="es-ES"/>
        </w:rPr>
        <w:t>Group</w:t>
      </w:r>
      <w:proofErr w:type="spellEnd"/>
      <w:r w:rsidR="00AD3BC9" w:rsidRPr="00201404">
        <w:rPr>
          <w:rFonts w:ascii="Open Sans Light" w:hAnsi="Open Sans Light" w:cs="Gisha"/>
          <w:sz w:val="22"/>
          <w:szCs w:val="22"/>
          <w:lang w:val="es-ES"/>
        </w:rPr>
        <w:t xml:space="preserve">, que está presente en más de 30 países y cuenta con 6.800 empleados. Más información en la </w:t>
      </w:r>
      <w:hyperlink r:id="rId24" w:history="1">
        <w:r w:rsidR="00AD3BC9" w:rsidRPr="00201404">
          <w:rPr>
            <w:rFonts w:ascii="Open Sans Light" w:hAnsi="Open Sans Light" w:cs="Gisha"/>
            <w:sz w:val="22"/>
            <w:szCs w:val="22"/>
            <w:lang w:val="es-ES"/>
          </w:rPr>
          <w:t xml:space="preserve">web de </w:t>
        </w:r>
        <w:proofErr w:type="spellStart"/>
        <w:r w:rsidR="00AD3BC9" w:rsidRPr="00201404">
          <w:rPr>
            <w:rFonts w:ascii="Open Sans Light" w:hAnsi="Open Sans Light" w:cs="Gisha"/>
            <w:sz w:val="22"/>
            <w:szCs w:val="22"/>
            <w:lang w:val="es-ES"/>
          </w:rPr>
          <w:t>Schibsted</w:t>
        </w:r>
        <w:proofErr w:type="spellEnd"/>
        <w:r w:rsidR="00AD3BC9" w:rsidRPr="00201404">
          <w:rPr>
            <w:rFonts w:ascii="Open Sans Light" w:hAnsi="Open Sans Light" w:cs="Gisha"/>
            <w:sz w:val="22"/>
            <w:szCs w:val="22"/>
            <w:lang w:val="es-ES"/>
          </w:rPr>
          <w:t xml:space="preserve"> Media </w:t>
        </w:r>
        <w:proofErr w:type="spellStart"/>
        <w:r w:rsidR="00AD3BC9" w:rsidRPr="00201404">
          <w:rPr>
            <w:rFonts w:ascii="Open Sans Light" w:hAnsi="Open Sans Light" w:cs="Gisha"/>
            <w:sz w:val="22"/>
            <w:szCs w:val="22"/>
            <w:lang w:val="es-ES"/>
          </w:rPr>
          <w:t>Group</w:t>
        </w:r>
        <w:proofErr w:type="spellEnd"/>
      </w:hyperlink>
      <w:r w:rsidR="00AD3BC9" w:rsidRPr="00201404">
        <w:rPr>
          <w:rFonts w:ascii="Open Sans Light" w:hAnsi="Open Sans Light" w:cs="Gisha"/>
          <w:sz w:val="22"/>
          <w:szCs w:val="22"/>
          <w:lang w:val="es-ES"/>
        </w:rPr>
        <w:t>.</w:t>
      </w:r>
    </w:p>
    <w:p w:rsidR="00AD3BC9" w:rsidRPr="00201404" w:rsidRDefault="00AD3BC9" w:rsidP="00AD3BC9">
      <w:pPr>
        <w:autoSpaceDE w:val="0"/>
        <w:autoSpaceDN w:val="0"/>
        <w:adjustRightInd w:val="0"/>
        <w:ind w:left="-1134"/>
        <w:jc w:val="both"/>
        <w:rPr>
          <w:rFonts w:ascii="Open Sans Light" w:hAnsi="Open Sans Light" w:cs="Gisha"/>
          <w:sz w:val="22"/>
          <w:szCs w:val="22"/>
          <w:lang w:val="es-ES"/>
        </w:rPr>
      </w:pPr>
    </w:p>
    <w:p w:rsidR="006F6A28" w:rsidRPr="00201404" w:rsidRDefault="006F6A28" w:rsidP="006F6A28">
      <w:pPr>
        <w:pStyle w:val="Cuerpo"/>
        <w:jc w:val="right"/>
        <w:rPr>
          <w:rStyle w:val="Ninguno"/>
          <w:rFonts w:ascii="Open Sans Light" w:hAnsi="Open Sans Light" w:cs="Gisha"/>
          <w:b/>
          <w:color w:val="00AAAB"/>
        </w:rPr>
      </w:pPr>
      <w:r w:rsidRPr="00201404">
        <w:rPr>
          <w:rStyle w:val="Ninguno"/>
          <w:rFonts w:ascii="Open Sans Light" w:hAnsi="Open Sans Light" w:cs="Gisha"/>
          <w:b/>
          <w:color w:val="00AAAB"/>
        </w:rPr>
        <w:lastRenderedPageBreak/>
        <w:t xml:space="preserve">Departamento de Comunicación de </w:t>
      </w:r>
      <w:proofErr w:type="spellStart"/>
      <w:r w:rsidRPr="00201404">
        <w:rPr>
          <w:rStyle w:val="Ninguno"/>
          <w:rFonts w:ascii="Open Sans Light" w:hAnsi="Open Sans Light" w:cs="Gisha"/>
          <w:b/>
          <w:color w:val="00AAAB"/>
        </w:rPr>
        <w:t>fotocasa</w:t>
      </w:r>
      <w:proofErr w:type="spellEnd"/>
    </w:p>
    <w:p w:rsidR="001E55E9" w:rsidRPr="00CE21FC" w:rsidRDefault="006F6A28" w:rsidP="006F6A28">
      <w:pPr>
        <w:autoSpaceDE w:val="0"/>
        <w:autoSpaceDN w:val="0"/>
        <w:adjustRightInd w:val="0"/>
        <w:jc w:val="right"/>
        <w:rPr>
          <w:rFonts w:ascii="Open Sans Light" w:hAnsi="Open Sans Light" w:cs="Gisha"/>
          <w:lang w:val="en-US"/>
        </w:rPr>
      </w:pPr>
      <w:r w:rsidRPr="00201404">
        <w:rPr>
          <w:rFonts w:ascii="Open Sans Light" w:hAnsi="Open Sans Light" w:cs="Gisha"/>
          <w:b/>
          <w:bCs/>
          <w:lang w:val="en-US"/>
        </w:rPr>
        <w:t>Anaïs López</w:t>
      </w:r>
      <w:r w:rsidRPr="00201404">
        <w:rPr>
          <w:rFonts w:ascii="Open Sans Light" w:eastAsia="MingLiU" w:hAnsi="Open Sans Light" w:cs="MingLiU"/>
          <w:lang w:val="en-US"/>
        </w:rPr>
        <w:br/>
      </w:r>
      <w:proofErr w:type="gramStart"/>
      <w:r w:rsidRPr="00201404">
        <w:rPr>
          <w:rFonts w:ascii="Open Sans Light" w:hAnsi="Open Sans Light" w:cs="Gisha"/>
          <w:lang w:val="en-US"/>
        </w:rPr>
        <w:t>Tlf.:</w:t>
      </w:r>
      <w:proofErr w:type="gramEnd"/>
      <w:r w:rsidRPr="00201404">
        <w:rPr>
          <w:rFonts w:ascii="Open Sans Light" w:hAnsi="Open Sans Light" w:cs="Gisha"/>
          <w:lang w:val="en-US"/>
        </w:rPr>
        <w:t xml:space="preserve"> 93 576 56 79 </w:t>
      </w:r>
      <w:r w:rsidRPr="00201404">
        <w:rPr>
          <w:rFonts w:ascii="Open Sans Light" w:eastAsia="MingLiU" w:hAnsi="Open Sans Light" w:cs="MingLiU"/>
          <w:lang w:val="en-US"/>
        </w:rPr>
        <w:br/>
      </w:r>
      <w:proofErr w:type="spellStart"/>
      <w:r w:rsidRPr="00201404">
        <w:rPr>
          <w:rFonts w:ascii="Open Sans Light" w:hAnsi="Open Sans Light" w:cs="Gisha"/>
          <w:lang w:val="en-US"/>
        </w:rPr>
        <w:t>Móvil</w:t>
      </w:r>
      <w:proofErr w:type="spellEnd"/>
      <w:r w:rsidRPr="00201404">
        <w:rPr>
          <w:rFonts w:ascii="Open Sans Light" w:hAnsi="Open Sans Light" w:cs="Gisha"/>
          <w:lang w:val="en-US"/>
        </w:rPr>
        <w:t>: 620 66 29 26</w:t>
      </w:r>
      <w:r w:rsidRPr="00201404">
        <w:rPr>
          <w:rFonts w:ascii="Open Sans Light" w:eastAsia="MingLiU" w:hAnsi="Open Sans Light" w:cs="MingLiU"/>
          <w:lang w:val="en-US"/>
        </w:rPr>
        <w:br/>
      </w:r>
      <w:hyperlink r:id="rId25" w:history="1">
        <w:r w:rsidRPr="00201404">
          <w:rPr>
            <w:rStyle w:val="Hyperlink1"/>
            <w:rFonts w:ascii="Open Sans Light" w:hAnsi="Open Sans Light"/>
          </w:rPr>
          <w:t>comunicacion@fotocasa.es</w:t>
        </w:r>
      </w:hyperlink>
      <w:r w:rsidRPr="00201404">
        <w:rPr>
          <w:rStyle w:val="Ninguno"/>
          <w:rFonts w:ascii="Open Sans Light" w:hAnsi="Open Sans Light" w:cs="Gisha"/>
          <w:lang w:val="en-US"/>
        </w:rPr>
        <w:t xml:space="preserve"> </w:t>
      </w:r>
      <w:r w:rsidRPr="00201404">
        <w:rPr>
          <w:rStyle w:val="Ninguno"/>
          <w:rFonts w:ascii="Open Sans Light" w:hAnsi="Open Sans Light" w:cs="Gisha"/>
          <w:lang w:val="en-US"/>
        </w:rPr>
        <w:br/>
      </w:r>
      <w:hyperlink r:id="rId26" w:history="1">
        <w:r w:rsidRPr="00201404">
          <w:rPr>
            <w:rStyle w:val="Hyperlink1"/>
            <w:rFonts w:ascii="Open Sans Light" w:hAnsi="Open Sans Light"/>
          </w:rPr>
          <w:t>http://prensa.fotocasa.es</w:t>
        </w:r>
      </w:hyperlink>
      <w:r w:rsidRPr="00201404">
        <w:rPr>
          <w:rStyle w:val="Ninguno"/>
          <w:rFonts w:ascii="Open Sans Light" w:hAnsi="Open Sans Light" w:cs="Gisha"/>
          <w:lang w:val="en-US"/>
        </w:rPr>
        <w:t xml:space="preserve"> </w:t>
      </w:r>
      <w:r w:rsidRPr="00201404">
        <w:rPr>
          <w:rStyle w:val="Ninguno"/>
          <w:rFonts w:ascii="Open Sans Light" w:hAnsi="Open Sans Light" w:cs="Gisha"/>
          <w:lang w:val="en-US"/>
        </w:rPr>
        <w:br/>
        <w:t>twitter: @</w:t>
      </w:r>
      <w:proofErr w:type="spellStart"/>
      <w:r w:rsidRPr="00201404">
        <w:rPr>
          <w:rStyle w:val="Ninguno"/>
          <w:rFonts w:ascii="Open Sans Light" w:hAnsi="Open Sans Light" w:cs="Gisha"/>
          <w:lang w:val="en-US"/>
        </w:rPr>
        <w:t>fotocasa</w:t>
      </w:r>
      <w:proofErr w:type="spellEnd"/>
    </w:p>
    <w:sectPr w:rsidR="001E55E9" w:rsidRPr="00CE21FC" w:rsidSect="0052608C">
      <w:footerReference w:type="default" r:id="rId27"/>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7C" w:rsidRDefault="00B6627C" w:rsidP="0052608C">
      <w:r>
        <w:separator/>
      </w:r>
    </w:p>
  </w:endnote>
  <w:endnote w:type="continuationSeparator" w:id="0">
    <w:p w:rsidR="00B6627C" w:rsidRDefault="00B6627C"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7C" w:rsidRDefault="00B6627C" w:rsidP="0052608C">
      <w:r>
        <w:separator/>
      </w:r>
    </w:p>
  </w:footnote>
  <w:footnote w:type="continuationSeparator" w:id="0">
    <w:p w:rsidR="00B6627C" w:rsidRDefault="00B6627C"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3C"/>
    <w:rsid w:val="00051CE3"/>
    <w:rsid w:val="0006369A"/>
    <w:rsid w:val="00137EDD"/>
    <w:rsid w:val="001B4ED6"/>
    <w:rsid w:val="001E55E9"/>
    <w:rsid w:val="001F7403"/>
    <w:rsid w:val="00201404"/>
    <w:rsid w:val="00260AE1"/>
    <w:rsid w:val="0030499F"/>
    <w:rsid w:val="00365EE5"/>
    <w:rsid w:val="003C30FC"/>
    <w:rsid w:val="003F3675"/>
    <w:rsid w:val="003F60C7"/>
    <w:rsid w:val="00405F66"/>
    <w:rsid w:val="0040699F"/>
    <w:rsid w:val="00451D7C"/>
    <w:rsid w:val="0046065A"/>
    <w:rsid w:val="004E589B"/>
    <w:rsid w:val="00515ACC"/>
    <w:rsid w:val="0052608C"/>
    <w:rsid w:val="005436AC"/>
    <w:rsid w:val="00555744"/>
    <w:rsid w:val="00584AAF"/>
    <w:rsid w:val="00586D22"/>
    <w:rsid w:val="00593FCD"/>
    <w:rsid w:val="005E50D0"/>
    <w:rsid w:val="006A3579"/>
    <w:rsid w:val="006B3404"/>
    <w:rsid w:val="006E3A3E"/>
    <w:rsid w:val="006F6A28"/>
    <w:rsid w:val="00700B0C"/>
    <w:rsid w:val="00763F0F"/>
    <w:rsid w:val="0078217C"/>
    <w:rsid w:val="00794CAF"/>
    <w:rsid w:val="007A487D"/>
    <w:rsid w:val="007A55E0"/>
    <w:rsid w:val="007A7435"/>
    <w:rsid w:val="007A7768"/>
    <w:rsid w:val="007B60EB"/>
    <w:rsid w:val="007D466D"/>
    <w:rsid w:val="00804B36"/>
    <w:rsid w:val="00905EAB"/>
    <w:rsid w:val="00930FDE"/>
    <w:rsid w:val="0095197E"/>
    <w:rsid w:val="00A974F3"/>
    <w:rsid w:val="00AB5432"/>
    <w:rsid w:val="00AD3BC9"/>
    <w:rsid w:val="00AD62DD"/>
    <w:rsid w:val="00AF0800"/>
    <w:rsid w:val="00B408A9"/>
    <w:rsid w:val="00B41C6D"/>
    <w:rsid w:val="00B6627C"/>
    <w:rsid w:val="00B743BB"/>
    <w:rsid w:val="00B83F9C"/>
    <w:rsid w:val="00BA1ECD"/>
    <w:rsid w:val="00BB386A"/>
    <w:rsid w:val="00BC0CC9"/>
    <w:rsid w:val="00BE2674"/>
    <w:rsid w:val="00C070CD"/>
    <w:rsid w:val="00C521E4"/>
    <w:rsid w:val="00C60309"/>
    <w:rsid w:val="00C9258D"/>
    <w:rsid w:val="00CE21FC"/>
    <w:rsid w:val="00D55A42"/>
    <w:rsid w:val="00D638FE"/>
    <w:rsid w:val="00DC2D13"/>
    <w:rsid w:val="00DD5A0B"/>
    <w:rsid w:val="00DD74F5"/>
    <w:rsid w:val="00E8753C"/>
    <w:rsid w:val="00EB7C25"/>
    <w:rsid w:val="00FD62C7"/>
    <w:rsid w:val="00FE735D"/>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54FC1-8AB5-4684-97E0-97A37089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11">
    <w:name w:val="Tabla de cuadrícula 5 oscura - Énfasis 1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semiHidden/>
    <w:unhideWhenUsed/>
    <w:rsid w:val="00930FDE"/>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5050">
      <w:bodyDiv w:val="1"/>
      <w:marLeft w:val="0"/>
      <w:marRight w:val="0"/>
      <w:marTop w:val="0"/>
      <w:marBottom w:val="0"/>
      <w:divBdr>
        <w:top w:val="none" w:sz="0" w:space="0" w:color="auto"/>
        <w:left w:val="none" w:sz="0" w:space="0" w:color="auto"/>
        <w:bottom w:val="none" w:sz="0" w:space="0" w:color="auto"/>
        <w:right w:val="none" w:sz="0" w:space="0" w:color="auto"/>
      </w:divBdr>
    </w:div>
    <w:div w:id="47342039">
      <w:bodyDiv w:val="1"/>
      <w:marLeft w:val="0"/>
      <w:marRight w:val="0"/>
      <w:marTop w:val="0"/>
      <w:marBottom w:val="0"/>
      <w:divBdr>
        <w:top w:val="none" w:sz="0" w:space="0" w:color="auto"/>
        <w:left w:val="none" w:sz="0" w:space="0" w:color="auto"/>
        <w:bottom w:val="none" w:sz="0" w:space="0" w:color="auto"/>
        <w:right w:val="none" w:sz="0" w:space="0" w:color="auto"/>
      </w:divBdr>
    </w:div>
    <w:div w:id="201211343">
      <w:bodyDiv w:val="1"/>
      <w:marLeft w:val="0"/>
      <w:marRight w:val="0"/>
      <w:marTop w:val="0"/>
      <w:marBottom w:val="0"/>
      <w:divBdr>
        <w:top w:val="none" w:sz="0" w:space="0" w:color="auto"/>
        <w:left w:val="none" w:sz="0" w:space="0" w:color="auto"/>
        <w:bottom w:val="none" w:sz="0" w:space="0" w:color="auto"/>
        <w:right w:val="none" w:sz="0" w:space="0" w:color="auto"/>
      </w:divBdr>
    </w:div>
    <w:div w:id="211159634">
      <w:bodyDiv w:val="1"/>
      <w:marLeft w:val="0"/>
      <w:marRight w:val="0"/>
      <w:marTop w:val="0"/>
      <w:marBottom w:val="0"/>
      <w:divBdr>
        <w:top w:val="none" w:sz="0" w:space="0" w:color="auto"/>
        <w:left w:val="none" w:sz="0" w:space="0" w:color="auto"/>
        <w:bottom w:val="none" w:sz="0" w:space="0" w:color="auto"/>
        <w:right w:val="none" w:sz="0" w:space="0" w:color="auto"/>
      </w:divBdr>
    </w:div>
    <w:div w:id="303244485">
      <w:bodyDiv w:val="1"/>
      <w:marLeft w:val="0"/>
      <w:marRight w:val="0"/>
      <w:marTop w:val="0"/>
      <w:marBottom w:val="0"/>
      <w:divBdr>
        <w:top w:val="none" w:sz="0" w:space="0" w:color="auto"/>
        <w:left w:val="none" w:sz="0" w:space="0" w:color="auto"/>
        <w:bottom w:val="none" w:sz="0" w:space="0" w:color="auto"/>
        <w:right w:val="none" w:sz="0" w:space="0" w:color="auto"/>
      </w:divBdr>
    </w:div>
    <w:div w:id="311105690">
      <w:bodyDiv w:val="1"/>
      <w:marLeft w:val="0"/>
      <w:marRight w:val="0"/>
      <w:marTop w:val="0"/>
      <w:marBottom w:val="0"/>
      <w:divBdr>
        <w:top w:val="none" w:sz="0" w:space="0" w:color="auto"/>
        <w:left w:val="none" w:sz="0" w:space="0" w:color="auto"/>
        <w:bottom w:val="none" w:sz="0" w:space="0" w:color="auto"/>
        <w:right w:val="none" w:sz="0" w:space="0" w:color="auto"/>
      </w:divBdr>
    </w:div>
    <w:div w:id="513034406">
      <w:bodyDiv w:val="1"/>
      <w:marLeft w:val="0"/>
      <w:marRight w:val="0"/>
      <w:marTop w:val="0"/>
      <w:marBottom w:val="0"/>
      <w:divBdr>
        <w:top w:val="none" w:sz="0" w:space="0" w:color="auto"/>
        <w:left w:val="none" w:sz="0" w:space="0" w:color="auto"/>
        <w:bottom w:val="none" w:sz="0" w:space="0" w:color="auto"/>
        <w:right w:val="none" w:sz="0" w:space="0" w:color="auto"/>
      </w:divBdr>
    </w:div>
    <w:div w:id="679234081">
      <w:bodyDiv w:val="1"/>
      <w:marLeft w:val="0"/>
      <w:marRight w:val="0"/>
      <w:marTop w:val="0"/>
      <w:marBottom w:val="0"/>
      <w:divBdr>
        <w:top w:val="none" w:sz="0" w:space="0" w:color="auto"/>
        <w:left w:val="none" w:sz="0" w:space="0" w:color="auto"/>
        <w:bottom w:val="none" w:sz="0" w:space="0" w:color="auto"/>
        <w:right w:val="none" w:sz="0" w:space="0" w:color="auto"/>
      </w:divBdr>
    </w:div>
    <w:div w:id="772284480">
      <w:bodyDiv w:val="1"/>
      <w:marLeft w:val="0"/>
      <w:marRight w:val="0"/>
      <w:marTop w:val="0"/>
      <w:marBottom w:val="0"/>
      <w:divBdr>
        <w:top w:val="none" w:sz="0" w:space="0" w:color="auto"/>
        <w:left w:val="none" w:sz="0" w:space="0" w:color="auto"/>
        <w:bottom w:val="none" w:sz="0" w:space="0" w:color="auto"/>
        <w:right w:val="none" w:sz="0" w:space="0" w:color="auto"/>
      </w:divBdr>
    </w:div>
    <w:div w:id="788426677">
      <w:bodyDiv w:val="1"/>
      <w:marLeft w:val="0"/>
      <w:marRight w:val="0"/>
      <w:marTop w:val="0"/>
      <w:marBottom w:val="0"/>
      <w:divBdr>
        <w:top w:val="none" w:sz="0" w:space="0" w:color="auto"/>
        <w:left w:val="none" w:sz="0" w:space="0" w:color="auto"/>
        <w:bottom w:val="none" w:sz="0" w:space="0" w:color="auto"/>
        <w:right w:val="none" w:sz="0" w:space="0" w:color="auto"/>
      </w:divBdr>
    </w:div>
    <w:div w:id="857814615">
      <w:bodyDiv w:val="1"/>
      <w:marLeft w:val="0"/>
      <w:marRight w:val="0"/>
      <w:marTop w:val="0"/>
      <w:marBottom w:val="0"/>
      <w:divBdr>
        <w:top w:val="none" w:sz="0" w:space="0" w:color="auto"/>
        <w:left w:val="none" w:sz="0" w:space="0" w:color="auto"/>
        <w:bottom w:val="none" w:sz="0" w:space="0" w:color="auto"/>
        <w:right w:val="none" w:sz="0" w:space="0" w:color="auto"/>
      </w:divBdr>
    </w:div>
    <w:div w:id="865097280">
      <w:bodyDiv w:val="1"/>
      <w:marLeft w:val="0"/>
      <w:marRight w:val="0"/>
      <w:marTop w:val="0"/>
      <w:marBottom w:val="0"/>
      <w:divBdr>
        <w:top w:val="none" w:sz="0" w:space="0" w:color="auto"/>
        <w:left w:val="none" w:sz="0" w:space="0" w:color="auto"/>
        <w:bottom w:val="none" w:sz="0" w:space="0" w:color="auto"/>
        <w:right w:val="none" w:sz="0" w:space="0" w:color="auto"/>
      </w:divBdr>
    </w:div>
    <w:div w:id="991710841">
      <w:bodyDiv w:val="1"/>
      <w:marLeft w:val="0"/>
      <w:marRight w:val="0"/>
      <w:marTop w:val="0"/>
      <w:marBottom w:val="0"/>
      <w:divBdr>
        <w:top w:val="none" w:sz="0" w:space="0" w:color="auto"/>
        <w:left w:val="none" w:sz="0" w:space="0" w:color="auto"/>
        <w:bottom w:val="none" w:sz="0" w:space="0" w:color="auto"/>
        <w:right w:val="none" w:sz="0" w:space="0" w:color="auto"/>
      </w:divBdr>
    </w:div>
    <w:div w:id="1120608371">
      <w:bodyDiv w:val="1"/>
      <w:marLeft w:val="0"/>
      <w:marRight w:val="0"/>
      <w:marTop w:val="0"/>
      <w:marBottom w:val="0"/>
      <w:divBdr>
        <w:top w:val="none" w:sz="0" w:space="0" w:color="auto"/>
        <w:left w:val="none" w:sz="0" w:space="0" w:color="auto"/>
        <w:bottom w:val="none" w:sz="0" w:space="0" w:color="auto"/>
        <w:right w:val="none" w:sz="0" w:space="0" w:color="auto"/>
      </w:divBdr>
    </w:div>
    <w:div w:id="1128623782">
      <w:bodyDiv w:val="1"/>
      <w:marLeft w:val="0"/>
      <w:marRight w:val="0"/>
      <w:marTop w:val="0"/>
      <w:marBottom w:val="0"/>
      <w:divBdr>
        <w:top w:val="none" w:sz="0" w:space="0" w:color="auto"/>
        <w:left w:val="none" w:sz="0" w:space="0" w:color="auto"/>
        <w:bottom w:val="none" w:sz="0" w:space="0" w:color="auto"/>
        <w:right w:val="none" w:sz="0" w:space="0" w:color="auto"/>
      </w:divBdr>
    </w:div>
    <w:div w:id="1137647295">
      <w:bodyDiv w:val="1"/>
      <w:marLeft w:val="0"/>
      <w:marRight w:val="0"/>
      <w:marTop w:val="0"/>
      <w:marBottom w:val="0"/>
      <w:divBdr>
        <w:top w:val="none" w:sz="0" w:space="0" w:color="auto"/>
        <w:left w:val="none" w:sz="0" w:space="0" w:color="auto"/>
        <w:bottom w:val="none" w:sz="0" w:space="0" w:color="auto"/>
        <w:right w:val="none" w:sz="0" w:space="0" w:color="auto"/>
      </w:divBdr>
    </w:div>
    <w:div w:id="1140729445">
      <w:bodyDiv w:val="1"/>
      <w:marLeft w:val="0"/>
      <w:marRight w:val="0"/>
      <w:marTop w:val="0"/>
      <w:marBottom w:val="0"/>
      <w:divBdr>
        <w:top w:val="none" w:sz="0" w:space="0" w:color="auto"/>
        <w:left w:val="none" w:sz="0" w:space="0" w:color="auto"/>
        <w:bottom w:val="none" w:sz="0" w:space="0" w:color="auto"/>
        <w:right w:val="none" w:sz="0" w:space="0" w:color="auto"/>
      </w:divBdr>
    </w:div>
    <w:div w:id="1159269543">
      <w:bodyDiv w:val="1"/>
      <w:marLeft w:val="0"/>
      <w:marRight w:val="0"/>
      <w:marTop w:val="0"/>
      <w:marBottom w:val="0"/>
      <w:divBdr>
        <w:top w:val="none" w:sz="0" w:space="0" w:color="auto"/>
        <w:left w:val="none" w:sz="0" w:space="0" w:color="auto"/>
        <w:bottom w:val="none" w:sz="0" w:space="0" w:color="auto"/>
        <w:right w:val="none" w:sz="0" w:space="0" w:color="auto"/>
      </w:divBdr>
    </w:div>
    <w:div w:id="1200775630">
      <w:bodyDiv w:val="1"/>
      <w:marLeft w:val="0"/>
      <w:marRight w:val="0"/>
      <w:marTop w:val="0"/>
      <w:marBottom w:val="0"/>
      <w:divBdr>
        <w:top w:val="none" w:sz="0" w:space="0" w:color="auto"/>
        <w:left w:val="none" w:sz="0" w:space="0" w:color="auto"/>
        <w:bottom w:val="none" w:sz="0" w:space="0" w:color="auto"/>
        <w:right w:val="none" w:sz="0" w:space="0" w:color="auto"/>
      </w:divBdr>
    </w:div>
    <w:div w:id="1295059061">
      <w:bodyDiv w:val="1"/>
      <w:marLeft w:val="0"/>
      <w:marRight w:val="0"/>
      <w:marTop w:val="0"/>
      <w:marBottom w:val="0"/>
      <w:divBdr>
        <w:top w:val="none" w:sz="0" w:space="0" w:color="auto"/>
        <w:left w:val="none" w:sz="0" w:space="0" w:color="auto"/>
        <w:bottom w:val="none" w:sz="0" w:space="0" w:color="auto"/>
        <w:right w:val="none" w:sz="0" w:space="0" w:color="auto"/>
      </w:divBdr>
    </w:div>
    <w:div w:id="1339041262">
      <w:bodyDiv w:val="1"/>
      <w:marLeft w:val="0"/>
      <w:marRight w:val="0"/>
      <w:marTop w:val="0"/>
      <w:marBottom w:val="0"/>
      <w:divBdr>
        <w:top w:val="none" w:sz="0" w:space="0" w:color="auto"/>
        <w:left w:val="none" w:sz="0" w:space="0" w:color="auto"/>
        <w:bottom w:val="none" w:sz="0" w:space="0" w:color="auto"/>
        <w:right w:val="none" w:sz="0" w:space="0" w:color="auto"/>
      </w:divBdr>
    </w:div>
    <w:div w:id="1466847115">
      <w:bodyDiv w:val="1"/>
      <w:marLeft w:val="0"/>
      <w:marRight w:val="0"/>
      <w:marTop w:val="0"/>
      <w:marBottom w:val="0"/>
      <w:divBdr>
        <w:top w:val="none" w:sz="0" w:space="0" w:color="auto"/>
        <w:left w:val="none" w:sz="0" w:space="0" w:color="auto"/>
        <w:bottom w:val="none" w:sz="0" w:space="0" w:color="auto"/>
        <w:right w:val="none" w:sz="0" w:space="0" w:color="auto"/>
      </w:divBdr>
    </w:div>
    <w:div w:id="1632058176">
      <w:bodyDiv w:val="1"/>
      <w:marLeft w:val="0"/>
      <w:marRight w:val="0"/>
      <w:marTop w:val="0"/>
      <w:marBottom w:val="0"/>
      <w:divBdr>
        <w:top w:val="none" w:sz="0" w:space="0" w:color="auto"/>
        <w:left w:val="none" w:sz="0" w:space="0" w:color="auto"/>
        <w:bottom w:val="none" w:sz="0" w:space="0" w:color="auto"/>
        <w:right w:val="none" w:sz="0" w:space="0" w:color="auto"/>
      </w:divBdr>
    </w:div>
    <w:div w:id="1883517994">
      <w:bodyDiv w:val="1"/>
      <w:marLeft w:val="0"/>
      <w:marRight w:val="0"/>
      <w:marTop w:val="0"/>
      <w:marBottom w:val="0"/>
      <w:divBdr>
        <w:top w:val="none" w:sz="0" w:space="0" w:color="auto"/>
        <w:left w:val="none" w:sz="0" w:space="0" w:color="auto"/>
        <w:bottom w:val="none" w:sz="0" w:space="0" w:color="auto"/>
        <w:right w:val="none" w:sz="0" w:space="0" w:color="auto"/>
      </w:divBdr>
    </w:div>
    <w:div w:id="1938439136">
      <w:bodyDiv w:val="1"/>
      <w:marLeft w:val="0"/>
      <w:marRight w:val="0"/>
      <w:marTop w:val="0"/>
      <w:marBottom w:val="0"/>
      <w:divBdr>
        <w:top w:val="none" w:sz="0" w:space="0" w:color="auto"/>
        <w:left w:val="none" w:sz="0" w:space="0" w:color="auto"/>
        <w:bottom w:val="none" w:sz="0" w:space="0" w:color="auto"/>
        <w:right w:val="none" w:sz="0" w:space="0" w:color="auto"/>
      </w:divBdr>
    </w:div>
    <w:div w:id="1968850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www.vibbo.com/" TargetMode="External"/><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www.coche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www.schibsted.es/" TargetMode="External"/><Relationship Id="rId20" Type="http://schemas.openxmlformats.org/officeDocument/2006/relationships/hyperlink" Target="http://www.habitacli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schibsted.com/en/"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www.milanuncios.es/" TargetMode="External"/><Relationship Id="rId28" Type="http://schemas.openxmlformats.org/officeDocument/2006/relationships/fontTable" Target="fontTable.xml"/><Relationship Id="rId10" Type="http://schemas.openxmlformats.org/officeDocument/2006/relationships/hyperlink" Target="http://www.fotocasa.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indice-inmobiliario__fotocasa.aspx" TargetMode="External"/><Relationship Id="rId22" Type="http://schemas.openxmlformats.org/officeDocument/2006/relationships/hyperlink" Target="http://motos.coches.net/"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01.corp.scmspain.com\prensa\Prensa%20Inmobiliaria\Fotocasa\&#205;NDICE%20INMOBILIARIO\01_&#205;NDICE%20ALQUILER\2017\07.%20JULIO\PRENSA\Resumen_ALQUILER_Nacional_07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78915135608049"/>
          <c:y val="8.7962962962962965E-2"/>
          <c:w val="0.84165529308836395"/>
          <c:h val="0.55585666375036458"/>
        </c:manualLayout>
      </c:layout>
      <c:barChart>
        <c:barDir val="col"/>
        <c:grouping val="clustered"/>
        <c:varyColors val="0"/>
        <c:ser>
          <c:idx val="0"/>
          <c:order val="0"/>
          <c:spPr>
            <a:solidFill>
              <a:schemeClr val="accent1"/>
            </a:solidFill>
            <a:ln>
              <a:noFill/>
            </a:ln>
            <a:effectLst/>
          </c:spPr>
          <c:invertIfNegative val="0"/>
          <c:dPt>
            <c:idx val="4"/>
            <c:invertIfNegative val="0"/>
            <c:bubble3D val="0"/>
            <c:spPr>
              <a:solidFill>
                <a:srgbClr val="FF0000"/>
              </a:solidFill>
              <a:ln>
                <a:noFill/>
              </a:ln>
              <a:effectLst/>
            </c:spPr>
            <c:extLst xmlns:c16r2="http://schemas.microsoft.com/office/drawing/2015/06/chart">
              <c:ext xmlns:c16="http://schemas.microsoft.com/office/drawing/2014/chart" uri="{C3380CC4-5D6E-409C-BE32-E72D297353CC}">
                <c16:uniqueId val="{00000001-C4C7-45CC-A8AC-B646A5C94E3C}"/>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[Resumen_ALQUILER_Nacional_072017.xlsx]CCAA!$B$26:$B$43</c:f>
              <c:strCache>
                <c:ptCount val="18"/>
                <c:pt idx="0">
                  <c:v>Cataluña</c:v>
                </c:pt>
                <c:pt idx="1">
                  <c:v>Madrid</c:v>
                </c:pt>
                <c:pt idx="2">
                  <c:v>País Vasco</c:v>
                </c:pt>
                <c:pt idx="3">
                  <c:v>Baleares</c:v>
                </c:pt>
                <c:pt idx="4">
                  <c:v>España</c:v>
                </c:pt>
                <c:pt idx="5">
                  <c:v>Navarra</c:v>
                </c:pt>
                <c:pt idx="6">
                  <c:v>Canarias</c:v>
                </c:pt>
                <c:pt idx="7">
                  <c:v>Cantabria</c:v>
                </c:pt>
                <c:pt idx="8">
                  <c:v>Aragón</c:v>
                </c:pt>
                <c:pt idx="9">
                  <c:v>Andalucía</c:v>
                </c:pt>
                <c:pt idx="10">
                  <c:v>Asturias</c:v>
                </c:pt>
                <c:pt idx="11">
                  <c:v>Comunitat Valenciana</c:v>
                </c:pt>
                <c:pt idx="12">
                  <c:v>Castilla y León</c:v>
                </c:pt>
                <c:pt idx="13">
                  <c:v>Región de Murcia</c:v>
                </c:pt>
                <c:pt idx="14">
                  <c:v>Galicia</c:v>
                </c:pt>
                <c:pt idx="15">
                  <c:v>La Rioja</c:v>
                </c:pt>
                <c:pt idx="16">
                  <c:v>Castilla-La Mancha</c:v>
                </c:pt>
                <c:pt idx="17">
                  <c:v>Extremadura</c:v>
                </c:pt>
              </c:strCache>
            </c:strRef>
          </c:cat>
          <c:val>
            <c:numRef>
              <c:f>[Resumen_ALQUILER_Nacional_072017.xlsx]CCAA!$C$26:$C$43</c:f>
              <c:numCache>
                <c:formatCode>_("€"* #,##0.00_);_("€"* \(#,##0.00\);_("€"* "-"??_);_(@_)</c:formatCode>
                <c:ptCount val="18"/>
                <c:pt idx="0">
                  <c:v>11.9724</c:v>
                </c:pt>
                <c:pt idx="1">
                  <c:v>11.552099999999999</c:v>
                </c:pt>
                <c:pt idx="2">
                  <c:v>10.568300000000001</c:v>
                </c:pt>
                <c:pt idx="3">
                  <c:v>9.9061000000000003</c:v>
                </c:pt>
                <c:pt idx="4">
                  <c:v>8.0785999999999998</c:v>
                </c:pt>
                <c:pt idx="5">
                  <c:v>7.375</c:v>
                </c:pt>
                <c:pt idx="6">
                  <c:v>7.1768000000000001</c:v>
                </c:pt>
                <c:pt idx="7">
                  <c:v>7.0873999999999997</c:v>
                </c:pt>
                <c:pt idx="8">
                  <c:v>6.8193000000000001</c:v>
                </c:pt>
                <c:pt idx="9">
                  <c:v>6.6975999999999996</c:v>
                </c:pt>
                <c:pt idx="10">
                  <c:v>6.4961000000000002</c:v>
                </c:pt>
                <c:pt idx="11">
                  <c:v>6.2121000000000004</c:v>
                </c:pt>
                <c:pt idx="12">
                  <c:v>6.1954000000000002</c:v>
                </c:pt>
                <c:pt idx="13">
                  <c:v>5.8369</c:v>
                </c:pt>
                <c:pt idx="14">
                  <c:v>5.6066000000000003</c:v>
                </c:pt>
                <c:pt idx="15">
                  <c:v>5.5269000000000004</c:v>
                </c:pt>
                <c:pt idx="16">
                  <c:v>4.9665999999999997</c:v>
                </c:pt>
                <c:pt idx="17">
                  <c:v>4.7651000000000003</c:v>
                </c:pt>
              </c:numCache>
            </c:numRef>
          </c:val>
          <c:extLst xmlns:c16r2="http://schemas.microsoft.com/office/drawing/2015/06/chart">
            <c:ext xmlns:c16="http://schemas.microsoft.com/office/drawing/2014/chart" uri="{C3380CC4-5D6E-409C-BE32-E72D297353CC}">
              <c16:uniqueId val="{00000002-C4C7-45CC-A8AC-B646A5C94E3C}"/>
            </c:ext>
          </c:extLst>
        </c:ser>
        <c:dLbls>
          <c:showLegendKey val="0"/>
          <c:showVal val="0"/>
          <c:showCatName val="0"/>
          <c:showSerName val="0"/>
          <c:showPercent val="0"/>
          <c:showBubbleSize val="0"/>
        </c:dLbls>
        <c:gapWidth val="219"/>
        <c:overlap val="-27"/>
        <c:axId val="-978796880"/>
        <c:axId val="-978789808"/>
      </c:barChart>
      <c:catAx>
        <c:axId val="-97879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78789808"/>
        <c:crosses val="autoZero"/>
        <c:auto val="1"/>
        <c:lblAlgn val="ctr"/>
        <c:lblOffset val="100"/>
        <c:noMultiLvlLbl val="0"/>
      </c:catAx>
      <c:valAx>
        <c:axId val="-978789808"/>
        <c:scaling>
          <c:orientation val="minMax"/>
        </c:scaling>
        <c:delete val="0"/>
        <c:axPos val="l"/>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97879688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7325-12F0-4F0F-8F5E-971F5E32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452</TotalTime>
  <Pages>5</Pages>
  <Words>1116</Words>
  <Characters>6144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46</cp:revision>
  <dcterms:created xsi:type="dcterms:W3CDTF">2017-03-02T14:09:00Z</dcterms:created>
  <dcterms:modified xsi:type="dcterms:W3CDTF">2017-07-28T11:27:00Z</dcterms:modified>
</cp:coreProperties>
</file>