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056624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TERCER</w:t>
      </w:r>
      <w:r w:rsidR="00763F0F">
        <w:rPr>
          <w:rFonts w:ascii="Open Sans" w:hAnsi="Open Sans"/>
          <w:color w:val="00AAAB"/>
          <w:sz w:val="28"/>
          <w:szCs w:val="28"/>
          <w:lang w:val="es-ES"/>
        </w:rPr>
        <w:t xml:space="preserve"> TRIMESTRE 2017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D15046" w:rsidRPr="007E3CE2" w:rsidRDefault="007E3CE2" w:rsidP="00BC0CC9">
      <w:pPr>
        <w:ind w:left="-1134"/>
        <w:jc w:val="both"/>
        <w:rPr>
          <w:rFonts w:ascii="Open Sans" w:hAnsi="Open Sans"/>
          <w:b/>
          <w:bCs/>
          <w:color w:val="062151"/>
          <w:sz w:val="44"/>
          <w:szCs w:val="44"/>
          <w:lang w:val="es-ES"/>
        </w:rPr>
      </w:pPr>
      <w:r w:rsidRPr="007E3CE2">
        <w:rPr>
          <w:rFonts w:ascii="Open Sans" w:hAnsi="Open Sans"/>
          <w:b/>
          <w:bCs/>
          <w:color w:val="062151"/>
          <w:sz w:val="44"/>
          <w:szCs w:val="44"/>
          <w:lang w:val="es-ES"/>
        </w:rPr>
        <w:t>El precio de la vivienda de segunda mano sube un 1,</w:t>
      </w:r>
      <w:r w:rsidR="00056624">
        <w:rPr>
          <w:rFonts w:ascii="Open Sans" w:hAnsi="Open Sans"/>
          <w:b/>
          <w:bCs/>
          <w:color w:val="062151"/>
          <w:sz w:val="44"/>
          <w:szCs w:val="44"/>
          <w:lang w:val="es-ES"/>
        </w:rPr>
        <w:t>3</w:t>
      </w:r>
      <w:r w:rsidRPr="007E3CE2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% en el </w:t>
      </w:r>
      <w:r w:rsidR="00056624">
        <w:rPr>
          <w:rFonts w:ascii="Open Sans" w:hAnsi="Open Sans"/>
          <w:b/>
          <w:bCs/>
          <w:color w:val="062151"/>
          <w:sz w:val="44"/>
          <w:szCs w:val="44"/>
          <w:lang w:val="es-ES"/>
        </w:rPr>
        <w:t xml:space="preserve">tercer </w:t>
      </w:r>
      <w:r w:rsidRPr="007E3CE2">
        <w:rPr>
          <w:rFonts w:ascii="Open Sans" w:hAnsi="Open Sans"/>
          <w:b/>
          <w:bCs/>
          <w:color w:val="062151"/>
          <w:sz w:val="44"/>
          <w:szCs w:val="44"/>
          <w:lang w:val="es-ES"/>
        </w:rPr>
        <w:t>trimestre del año</w:t>
      </w:r>
    </w:p>
    <w:p w:rsidR="00D15046" w:rsidRPr="007E3CE2" w:rsidRDefault="00D15046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sz w:val="22"/>
          <w:szCs w:val="22"/>
          <w:lang w:val="es-ES"/>
        </w:rPr>
      </w:pPr>
    </w:p>
    <w:p w:rsidR="00B403E9" w:rsidRDefault="007E3CE2" w:rsidP="00DE077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403E9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se incrementa trimestralme</w:t>
      </w:r>
      <w:r w:rsidR="00B403E9">
        <w:rPr>
          <w:rFonts w:ascii="Open Sans Light" w:hAnsi="Open Sans Light"/>
          <w:b/>
          <w:bCs/>
          <w:color w:val="404040" w:themeColor="text1" w:themeTint="BF"/>
          <w:lang w:val="es-ES"/>
        </w:rPr>
        <w:t xml:space="preserve">nte en 12 comunidades </w:t>
      </w:r>
    </w:p>
    <w:p w:rsidR="007E3CE2" w:rsidRPr="00B403E9" w:rsidRDefault="007E3CE2" w:rsidP="00DE077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403E9">
        <w:rPr>
          <w:rFonts w:ascii="Open Sans Light" w:hAnsi="Open Sans Light"/>
          <w:b/>
          <w:bCs/>
          <w:color w:val="404040" w:themeColor="text1" w:themeTint="BF"/>
          <w:lang w:val="es-ES"/>
        </w:rPr>
        <w:t>Interanualmente, el precio se incrementa un 4,</w:t>
      </w:r>
      <w:r w:rsidR="00BA68D5" w:rsidRPr="00B403E9">
        <w:rPr>
          <w:rFonts w:ascii="Open Sans Light" w:hAnsi="Open Sans Light"/>
          <w:b/>
          <w:bCs/>
          <w:color w:val="404040" w:themeColor="text1" w:themeTint="BF"/>
          <w:lang w:val="es-ES"/>
        </w:rPr>
        <w:t>8</w:t>
      </w:r>
      <w:r w:rsidRPr="00B403E9">
        <w:rPr>
          <w:rFonts w:ascii="Open Sans Light" w:hAnsi="Open Sans Light"/>
          <w:b/>
          <w:bCs/>
          <w:color w:val="404040" w:themeColor="text1" w:themeTint="BF"/>
          <w:lang w:val="es-ES"/>
        </w:rPr>
        <w:t>%, el mayor incremento desde mayo de 2007</w:t>
      </w:r>
    </w:p>
    <w:p w:rsidR="007E3CE2" w:rsidRPr="00BA68D5" w:rsidRDefault="00BA68D5" w:rsidP="007E3CE2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BA68D5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sube en todos los distritos de Madrid y en ocho de Barcelona</w:t>
      </w:r>
    </w:p>
    <w:p w:rsidR="007E3CE2" w:rsidRDefault="007E3CE2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7E3CE2">
        <w:rPr>
          <w:rFonts w:ascii="Open Sans Light" w:hAnsi="Open Sans Light"/>
          <w:b/>
          <w:color w:val="7F7F7F" w:themeColor="text1" w:themeTint="80"/>
          <w:lang w:val="es-ES"/>
        </w:rPr>
        <w:t xml:space="preserve">3 </w:t>
      </w:r>
      <w:r w:rsidR="00056624">
        <w:rPr>
          <w:rFonts w:ascii="Open Sans Light" w:hAnsi="Open Sans Light"/>
          <w:b/>
          <w:color w:val="7F7F7F" w:themeColor="text1" w:themeTint="80"/>
          <w:lang w:val="es-ES"/>
        </w:rPr>
        <w:t>de octubre</w:t>
      </w:r>
      <w:r w:rsidR="00E8753C">
        <w:rPr>
          <w:rFonts w:ascii="Open Sans Light" w:hAnsi="Open Sans Light"/>
          <w:b/>
          <w:color w:val="7F7F7F" w:themeColor="text1" w:themeTint="80"/>
          <w:lang w:val="es-ES"/>
        </w:rPr>
        <w:t xml:space="preserve"> de 2017</w:t>
      </w:r>
    </w:p>
    <w:p w:rsidR="00056624" w:rsidRDefault="00056624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056624" w:rsidRDefault="007E3CE2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El precio de la vivienda de segunda mano en España registra un incremento del 1,</w:t>
      </w:r>
      <w:r w:rsidR="00056624">
        <w:rPr>
          <w:rFonts w:ascii="Open Sans Light" w:hAnsi="Open Sans Light"/>
          <w:color w:val="404040" w:themeColor="text1" w:themeTint="BF"/>
          <w:lang w:val="es-ES"/>
        </w:rPr>
        <w:t>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 en el </w:t>
      </w:r>
      <w:r w:rsidR="00056624">
        <w:rPr>
          <w:rFonts w:ascii="Open Sans Light" w:hAnsi="Open Sans Light"/>
          <w:color w:val="404040" w:themeColor="text1" w:themeTint="BF"/>
          <w:lang w:val="es-ES"/>
        </w:rPr>
        <w:t>tercer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trimestre del año y sitúa el precio, </w:t>
      </w:r>
      <w:r w:rsidR="00056624">
        <w:rPr>
          <w:rFonts w:ascii="Open Sans Light" w:hAnsi="Open Sans Light"/>
          <w:color w:val="404040" w:themeColor="text1" w:themeTint="BF"/>
          <w:lang w:val="es-ES"/>
        </w:rPr>
        <w:t>a septiembre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2017, en 1.</w:t>
      </w:r>
      <w:r w:rsidR="00056624">
        <w:rPr>
          <w:rFonts w:ascii="Open Sans Light" w:hAnsi="Open Sans Light"/>
          <w:color w:val="404040" w:themeColor="text1" w:themeTint="BF"/>
          <w:lang w:val="es-ES"/>
        </w:rPr>
        <w:t>716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€/m2, según los datos del Índice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. </w:t>
      </w:r>
    </w:p>
    <w:p w:rsidR="00056624" w:rsidRDefault="00056624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El incremento </w:t>
      </w:r>
      <w:r w:rsidR="00056624">
        <w:rPr>
          <w:rFonts w:ascii="Open Sans Light" w:hAnsi="Open Sans Light"/>
          <w:color w:val="404040" w:themeColor="text1" w:themeTint="BF"/>
          <w:lang w:val="es-ES"/>
        </w:rPr>
        <w:t>de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este </w:t>
      </w:r>
      <w:r w:rsidR="00056624">
        <w:rPr>
          <w:rFonts w:ascii="Open Sans Light" w:hAnsi="Open Sans Light"/>
          <w:color w:val="404040" w:themeColor="text1" w:themeTint="BF"/>
          <w:lang w:val="es-ES"/>
        </w:rPr>
        <w:t>tercer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trimestre del año </w:t>
      </w:r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es el quinto consecutivo que ha registrado el índice inmobiliario </w:t>
      </w:r>
      <w:hyperlink r:id="rId11" w:history="1">
        <w:proofErr w:type="spellStart"/>
        <w:r w:rsidR="00056624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056624">
        <w:rPr>
          <w:rFonts w:ascii="Open Sans Light" w:hAnsi="Open Sans Light"/>
          <w:color w:val="404040" w:themeColor="text1" w:themeTint="BF"/>
          <w:lang w:val="es-ES"/>
        </w:rPr>
        <w:t xml:space="preserve">. Así, el precio de la vivienda de segunda mano empezó a incrementarse trimestralmente justo hace un año, en el tercer trimestre de 2016, con un incremento del 0,9%, y desde entonces no ha parado de crecer a nivel trimestral.  </w:t>
      </w:r>
    </w:p>
    <w:p w:rsidR="00056624" w:rsidRDefault="00056624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DD18A7" w:rsidRPr="00BA4ED9" w:rsidRDefault="00DD18A7" w:rsidP="00DD18A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403E9">
        <w:rPr>
          <w:rFonts w:ascii="Open Sans Light" w:hAnsi="Open Sans Light"/>
          <w:color w:val="404040" w:themeColor="text1" w:themeTint="BF"/>
          <w:lang w:val="es-ES"/>
        </w:rPr>
        <w:t>“</w:t>
      </w:r>
      <w:r w:rsidR="00B403E9" w:rsidRPr="00B403E9">
        <w:rPr>
          <w:rFonts w:ascii="Open Sans Light" w:hAnsi="Open Sans Light"/>
          <w:color w:val="404040" w:themeColor="text1" w:themeTint="BF"/>
          <w:lang w:val="es-ES"/>
        </w:rPr>
        <w:t xml:space="preserve">El sector inmobiliario ha cogido mucha fuerza desde que comenzó el año y eso se está trasladando a los precios, que según el Índice Inmobiliario </w:t>
      </w:r>
      <w:hyperlink r:id="rId12" w:history="1">
        <w:proofErr w:type="spellStart"/>
        <w:r w:rsidR="00B403E9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B403E9" w:rsidRPr="00B403E9">
        <w:rPr>
          <w:rFonts w:ascii="Open Sans Light" w:hAnsi="Open Sans Light"/>
          <w:color w:val="404040" w:themeColor="text1" w:themeTint="BF"/>
          <w:lang w:val="es-ES"/>
        </w:rPr>
        <w:t>, están registrando unos incrementos que no veíamos desde los años de mayor esplendor del sector. Pero no hay que olvidar que venimos de muy abajo y que por ello, esos in</w:t>
      </w:r>
      <w:r w:rsidR="00B403E9">
        <w:rPr>
          <w:rFonts w:ascii="Open Sans Light" w:hAnsi="Open Sans Light"/>
          <w:color w:val="404040" w:themeColor="text1" w:themeTint="BF"/>
          <w:lang w:val="es-ES"/>
        </w:rPr>
        <w:t>crementos son tan elevados y</w:t>
      </w:r>
      <w:r w:rsidR="00B403E9" w:rsidRPr="00B403E9">
        <w:rPr>
          <w:rFonts w:ascii="Open Sans Light" w:hAnsi="Open Sans Light"/>
          <w:color w:val="404040" w:themeColor="text1" w:themeTint="BF"/>
          <w:lang w:val="es-ES"/>
        </w:rPr>
        <w:t xml:space="preserve"> no todas las zonas están viviendo esta recuperación con la misma intensidad, ya que la actividad se está concentrando en las grandes plazas</w:t>
      </w:r>
      <w:r w:rsidRPr="00B403E9">
        <w:rPr>
          <w:rFonts w:ascii="Open Sans Light" w:hAnsi="Open Sans Light"/>
          <w:color w:val="404040" w:themeColor="text1" w:themeTint="BF"/>
          <w:lang w:val="es-ES"/>
        </w:rPr>
        <w:t xml:space="preserve">”, explica Beatriz Toribio, responsable de Estudios de </w:t>
      </w:r>
      <w:hyperlink r:id="rId13" w:history="1">
        <w:proofErr w:type="spellStart"/>
        <w:r w:rsidRPr="00B403E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403E9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7E3CE2" w:rsidRDefault="007E3CE2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7E3CE2">
        <w:rPr>
          <w:rFonts w:ascii="Open Sans" w:hAnsi="Open Sans"/>
          <w:color w:val="00AAAB"/>
          <w:lang w:val="es-ES"/>
        </w:rPr>
        <w:lastRenderedPageBreak/>
        <w:t>Evolución trimestral del precio de la vivienda de segunda mano</w:t>
      </w:r>
    </w:p>
    <w:p w:rsidR="007E3CE2" w:rsidRDefault="00DD18A7" w:rsidP="00D15046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02B496E7" wp14:editId="36D07071">
            <wp:extent cx="561975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A4ED9" w:rsidRDefault="00BA4ED9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</w:p>
    <w:p w:rsidR="007E3CE2" w:rsidRPr="007E3CE2" w:rsidRDefault="007E3CE2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BA68D5">
        <w:rPr>
          <w:rFonts w:ascii="Open Sans" w:hAnsi="Open Sans"/>
          <w:color w:val="00AAAB"/>
          <w:sz w:val="28"/>
          <w:szCs w:val="28"/>
          <w:lang w:val="es-ES"/>
        </w:rPr>
        <w:t>Se registra la variación anual más elevada desde mayo de 2007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A nivel interanual, el precio de la vivienda de segunda mano en España se incrementa un 4,</w:t>
      </w:r>
      <w:r w:rsidR="00333524">
        <w:rPr>
          <w:rFonts w:ascii="Open Sans Light" w:hAnsi="Open Sans Light"/>
          <w:color w:val="404040" w:themeColor="text1" w:themeTint="BF"/>
          <w:lang w:val="es-ES"/>
        </w:rPr>
        <w:t>8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 y es el mayor incremento interanual registrado en el histórico del índice inmobiliario desde mayo de 2007, cuando el precio creció un 5,4%. Además, este es el </w:t>
      </w:r>
      <w:r w:rsidR="00333524">
        <w:rPr>
          <w:rFonts w:ascii="Open Sans Light" w:hAnsi="Open Sans Light"/>
          <w:color w:val="404040" w:themeColor="text1" w:themeTint="BF"/>
          <w:lang w:val="es-ES"/>
        </w:rPr>
        <w:t>duodécimo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incremento consecutivo en cuanto a variaciones interanuales. Y es que desde el pasado mes de octubre de 2016 la variación interanual no ha dejado de incrementar, hasta llegar al 4,</w:t>
      </w:r>
      <w:r w:rsidR="00333524">
        <w:rPr>
          <w:rFonts w:ascii="Open Sans Light" w:hAnsi="Open Sans Light"/>
          <w:color w:val="404040" w:themeColor="text1" w:themeTint="BF"/>
          <w:lang w:val="es-ES"/>
        </w:rPr>
        <w:t>8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 registrado </w:t>
      </w:r>
      <w:r w:rsidR="00333524">
        <w:rPr>
          <w:rFonts w:ascii="Open Sans Light" w:hAnsi="Open Sans Light"/>
          <w:color w:val="404040" w:themeColor="text1" w:themeTint="BF"/>
          <w:lang w:val="es-ES"/>
        </w:rPr>
        <w:t>este septiembre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2017.</w:t>
      </w: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7E3CE2">
        <w:rPr>
          <w:rFonts w:ascii="Open Sans" w:hAnsi="Open Sans"/>
          <w:color w:val="00AAAB"/>
          <w:lang w:val="es-ES"/>
        </w:rPr>
        <w:t xml:space="preserve">Evolución </w:t>
      </w:r>
      <w:r>
        <w:rPr>
          <w:rFonts w:ascii="Open Sans" w:hAnsi="Open Sans"/>
          <w:color w:val="00AAAB"/>
          <w:lang w:val="es-ES"/>
        </w:rPr>
        <w:t>interanual</w:t>
      </w:r>
      <w:r w:rsidRPr="007E3CE2">
        <w:rPr>
          <w:rFonts w:ascii="Open Sans" w:hAnsi="Open Sans"/>
          <w:color w:val="00AAAB"/>
          <w:lang w:val="es-ES"/>
        </w:rPr>
        <w:t xml:space="preserve"> del precio de la vivienda de segunda mano</w:t>
      </w: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333524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11F966A7" wp14:editId="0491A8A9">
            <wp:extent cx="5514975" cy="27813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lastRenderedPageBreak/>
        <w:t>El precio de la vivienda en España alcanzó su máximo histórico en abril de 2007 con un valor de 2.952 €/m2. Desde entonces ha acumulado un descenso del -</w:t>
      </w:r>
      <w:r w:rsidR="00D4433D">
        <w:rPr>
          <w:rFonts w:ascii="Open Sans Light" w:hAnsi="Open Sans Light"/>
          <w:color w:val="404040" w:themeColor="text1" w:themeTint="BF"/>
          <w:lang w:val="es-ES"/>
        </w:rPr>
        <w:t>41,9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%. Las comunidades que experimentan una mayor caída desde máximos son La Rioja, con un descenso acumulado de -</w:t>
      </w:r>
      <w:r w:rsidR="00D4433D">
        <w:rPr>
          <w:rFonts w:ascii="Open Sans Light" w:hAnsi="Open Sans Light"/>
          <w:color w:val="404040" w:themeColor="text1" w:themeTint="BF"/>
          <w:lang w:val="es-ES"/>
        </w:rPr>
        <w:t>56,9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%, Navarra (-</w:t>
      </w:r>
      <w:r w:rsidR="00D4433D">
        <w:rPr>
          <w:rFonts w:ascii="Open Sans Light" w:hAnsi="Open Sans Light"/>
          <w:color w:val="404040" w:themeColor="text1" w:themeTint="BF"/>
          <w:lang w:val="es-ES"/>
        </w:rPr>
        <w:t>54,1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%), Castilla-La Macha (</w:t>
      </w:r>
      <w:r w:rsidR="00D4433D">
        <w:rPr>
          <w:rFonts w:ascii="Open Sans Light" w:hAnsi="Open Sans Light"/>
          <w:color w:val="404040" w:themeColor="text1" w:themeTint="BF"/>
          <w:lang w:val="es-ES"/>
        </w:rPr>
        <w:t>-51,9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%), Aragón (51,</w:t>
      </w:r>
      <w:r w:rsidR="00D4433D">
        <w:rPr>
          <w:rFonts w:ascii="Open Sans Light" w:hAnsi="Open Sans Light"/>
          <w:color w:val="404040" w:themeColor="text1" w:themeTint="BF"/>
          <w:lang w:val="es-ES"/>
        </w:rPr>
        <w:t>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 y Murcia (-49,</w:t>
      </w:r>
      <w:r w:rsidR="00D4433D">
        <w:rPr>
          <w:rFonts w:ascii="Open Sans Light" w:hAnsi="Open Sans Light"/>
          <w:color w:val="404040" w:themeColor="text1" w:themeTint="BF"/>
          <w:lang w:val="es-ES"/>
        </w:rPr>
        <w:t>7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%).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7E3CE2">
        <w:rPr>
          <w:rFonts w:ascii="Open Sans" w:hAnsi="Open Sans"/>
          <w:color w:val="00AAAB"/>
          <w:sz w:val="28"/>
          <w:szCs w:val="28"/>
          <w:lang w:val="es-ES"/>
        </w:rPr>
        <w:t>El precio trimestral sube en 12 comunidades autónomas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Por Comunidades Autónomas, con respecto a </w:t>
      </w:r>
      <w:r w:rsidR="00D4433D">
        <w:rPr>
          <w:rFonts w:ascii="Open Sans Light" w:hAnsi="Open Sans Light"/>
          <w:color w:val="404040" w:themeColor="text1" w:themeTint="BF"/>
          <w:lang w:val="es-ES"/>
        </w:rPr>
        <w:t>junio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2017, 12 comunidades autónomas presentan una variación trimestral positiva, con Baleares a la cabeza, con una variación del 5,3%. Le siguen Castilla-La Mancha (3,6%), Cataluña (2,8%), Murcia (2,3%), Madrid (2,2%) y Aragón (2,1%).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En términos de precio medio, el País Vasco (2.7</w:t>
      </w:r>
      <w:r w:rsidR="00121C59">
        <w:rPr>
          <w:rFonts w:ascii="Open Sans Light" w:hAnsi="Open Sans Light"/>
          <w:color w:val="404040" w:themeColor="text1" w:themeTint="BF"/>
          <w:lang w:val="es-ES"/>
        </w:rPr>
        <w:t>12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Madrid (2.3</w:t>
      </w:r>
      <w:r w:rsidR="00121C59">
        <w:rPr>
          <w:rFonts w:ascii="Open Sans Light" w:hAnsi="Open Sans Light"/>
          <w:color w:val="404040" w:themeColor="text1" w:themeTint="BF"/>
          <w:lang w:val="es-ES"/>
        </w:rPr>
        <w:t>81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y Cataluña (2.2</w:t>
      </w:r>
      <w:r w:rsidR="00121C59">
        <w:rPr>
          <w:rFonts w:ascii="Open Sans Light" w:hAnsi="Open Sans Light"/>
          <w:color w:val="404040" w:themeColor="text1" w:themeTint="BF"/>
          <w:lang w:val="es-ES"/>
        </w:rPr>
        <w:t>36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ocupan los primeros puestos en el ranking de </w:t>
      </w:r>
      <w:r w:rsidR="00121C59">
        <w:rPr>
          <w:rFonts w:ascii="Open Sans Light" w:hAnsi="Open Sans Light"/>
          <w:color w:val="404040" w:themeColor="text1" w:themeTint="BF"/>
          <w:lang w:val="es-ES"/>
        </w:rPr>
        <w:t>septiembre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comunidades más caras para comprar una vivienda de segunda mano. Por el contrario, Castilla-La Mancha (1.0</w:t>
      </w:r>
      <w:r w:rsidR="00121C59">
        <w:rPr>
          <w:rFonts w:ascii="Open Sans Light" w:hAnsi="Open Sans Light"/>
          <w:color w:val="404040" w:themeColor="text1" w:themeTint="BF"/>
          <w:lang w:val="es-ES"/>
        </w:rPr>
        <w:t>65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Extremadura (1.1</w:t>
      </w:r>
      <w:r w:rsidR="00D830D4">
        <w:rPr>
          <w:rFonts w:ascii="Open Sans Light" w:hAnsi="Open Sans Light"/>
          <w:color w:val="404040" w:themeColor="text1" w:themeTint="BF"/>
          <w:lang w:val="es-ES"/>
        </w:rPr>
        <w:t>18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y Murcia (1.15</w:t>
      </w:r>
      <w:r w:rsidR="00D830D4">
        <w:rPr>
          <w:rFonts w:ascii="Open Sans Light" w:hAnsi="Open Sans Light"/>
          <w:color w:val="404040" w:themeColor="text1" w:themeTint="BF"/>
          <w:lang w:val="es-ES"/>
        </w:rPr>
        <w:t>5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 son las autonomías con los precios de la vivienda de segunda mano más asequibles.</w:t>
      </w:r>
    </w:p>
    <w:p w:rsidR="00171849" w:rsidRPr="007E3CE2" w:rsidRDefault="00171849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B81DEC" w:rsidRPr="00B81DEC" w:rsidRDefault="00B81DEC" w:rsidP="007E3CE2">
      <w:pPr>
        <w:ind w:left="-1134"/>
        <w:jc w:val="center"/>
        <w:rPr>
          <w:rFonts w:ascii="Open Sans" w:hAnsi="Open Sans"/>
          <w:color w:val="00AAAB"/>
          <w:lang w:val="es-ES"/>
        </w:rPr>
      </w:pPr>
      <w:r w:rsidRPr="00B81DEC">
        <w:rPr>
          <w:rFonts w:ascii="Open Sans" w:hAnsi="Open Sans"/>
          <w:color w:val="00AAAB"/>
          <w:lang w:val="es-ES"/>
        </w:rPr>
        <w:t>Precio medio de la vivienda por CC.AA y variaciones</w:t>
      </w:r>
    </w:p>
    <w:p w:rsidR="00B81DEC" w:rsidRDefault="00B81DEC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"/>
        <w:tblW w:w="0" w:type="auto"/>
        <w:tblInd w:w="-1139" w:type="dxa"/>
        <w:tblLook w:val="04A0" w:firstRow="1" w:lastRow="0" w:firstColumn="1" w:lastColumn="0" w:noHBand="0" w:noVBand="1"/>
      </w:tblPr>
      <w:tblGrid>
        <w:gridCol w:w="1960"/>
        <w:gridCol w:w="1373"/>
        <w:gridCol w:w="1235"/>
        <w:gridCol w:w="1250"/>
        <w:gridCol w:w="1266"/>
        <w:gridCol w:w="1699"/>
      </w:tblGrid>
      <w:tr w:rsidR="00B81DEC" w:rsidTr="00D83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:rsidR="00B81DEC" w:rsidRPr="005A301B" w:rsidRDefault="00B81DEC" w:rsidP="00B81DEC">
            <w:r w:rsidRPr="005A301B">
              <w:t>CC.AA.</w:t>
            </w:r>
          </w:p>
        </w:tc>
        <w:tc>
          <w:tcPr>
            <w:tcW w:w="1373" w:type="dxa"/>
          </w:tcPr>
          <w:p w:rsidR="00B81DEC" w:rsidRPr="005A301B" w:rsidRDefault="00D830D4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Septiembre</w:t>
            </w:r>
            <w:r w:rsidR="00B81DEC" w:rsidRPr="005A301B">
              <w:t xml:space="preserve"> 2017</w:t>
            </w:r>
          </w:p>
        </w:tc>
        <w:tc>
          <w:tcPr>
            <w:tcW w:w="1235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250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trimestral</w:t>
            </w:r>
          </w:p>
        </w:tc>
        <w:tc>
          <w:tcPr>
            <w:tcW w:w="1266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699" w:type="dxa"/>
          </w:tcPr>
          <w:p w:rsidR="00B81DEC" w:rsidRPr="005A301B" w:rsidRDefault="00B81DEC" w:rsidP="00B81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respecto media nacional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País Vasco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2.712 €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0,0 %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0,3 %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  <w:color w:val="FF0000"/>
              </w:rPr>
              <w:t>-0,9 %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58,1%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Madrid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2.381 €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1,5 %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2,7 %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5,3 %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38,8%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Cataluña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2.236 €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  <w:color w:val="FF0000"/>
              </w:rPr>
              <w:t>-0,1 %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0,6 %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10,6 %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30,3%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Baleares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2.231 €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1,2 %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3,3 %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16,9 %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30,1%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Cantabria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1.637 €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0,4 %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0,5 %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-3,8 %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-4,6%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Galicia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1.589 €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-0,2 %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-1,1 %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-1,4 %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-7,4%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Asturias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1.563 €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0,1 %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0,3 %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-1,8 %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-8,9%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Navarra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1.559 €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-0,6 %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-2,6 %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-2,3 %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-9,1%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Andalucía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1.522 €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-0,4 %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0,9 %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4,5 %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-11,3%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Aragón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1.503 €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-0,3 %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-0,5 %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2,6 %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-12,4%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Canarias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1.441 €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0,3 %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2,0 %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5,9 %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-16,0%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Castilla y León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1.427 €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-0,8 %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-1,1 %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-0,4 %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-16,8%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Comunitat Valenciana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1.323 €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0,2 %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1,2 %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2,0 %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-22,9%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La Rioja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1.280 €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  <w:color w:val="FF0000"/>
              </w:rPr>
              <w:t>-0,3 %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0,9 %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1,4 %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-25,4%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Región de Murcia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1.155 €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  <w:color w:val="FF0000"/>
              </w:rPr>
              <w:t>-0,6 %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0,2 %</w:t>
            </w:r>
            <w:bookmarkStart w:id="0" w:name="_GoBack"/>
            <w:bookmarkEnd w:id="0"/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1,4 %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-32,7%</w:t>
            </w:r>
          </w:p>
        </w:tc>
      </w:tr>
      <w:tr w:rsidR="00D830D4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lastRenderedPageBreak/>
              <w:t>Extremadura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1.118 € </w:t>
            </w: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0,0 %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1,2 %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1,3 %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-34,9%</w:t>
            </w:r>
          </w:p>
        </w:tc>
      </w:tr>
      <w:tr w:rsidR="00D830D4" w:rsidTr="00D83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D830D4" w:rsidRPr="00171849" w:rsidRDefault="00D830D4" w:rsidP="00D830D4">
            <w:pPr>
              <w:jc w:val="right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>Castilla-La Mancha</w:t>
            </w:r>
          </w:p>
        </w:tc>
        <w:tc>
          <w:tcPr>
            <w:tcW w:w="1373" w:type="dxa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171849">
              <w:rPr>
                <w:rFonts w:ascii="Gill Sans MT" w:hAnsi="Gill Sans MT"/>
              </w:rPr>
              <w:t xml:space="preserve"> 1.065 €</w:t>
            </w:r>
          </w:p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235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-1,1 %</w:t>
            </w:r>
          </w:p>
        </w:tc>
        <w:tc>
          <w:tcPr>
            <w:tcW w:w="1250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-0,8 %</w:t>
            </w:r>
          </w:p>
        </w:tc>
        <w:tc>
          <w:tcPr>
            <w:tcW w:w="1266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1,9 %</w:t>
            </w:r>
          </w:p>
        </w:tc>
        <w:tc>
          <w:tcPr>
            <w:tcW w:w="1699" w:type="dxa"/>
            <w:vAlign w:val="bottom"/>
          </w:tcPr>
          <w:p w:rsidR="00D830D4" w:rsidRPr="00171849" w:rsidRDefault="00D830D4" w:rsidP="00D83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171849">
              <w:rPr>
                <w:rFonts w:ascii="Gill Sans MT" w:hAnsi="Gill Sans MT"/>
                <w:color w:val="FF0000"/>
              </w:rPr>
              <w:t>-37,9%</w:t>
            </w:r>
          </w:p>
        </w:tc>
      </w:tr>
      <w:tr w:rsidR="007E3CE2" w:rsidTr="00D830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vAlign w:val="bottom"/>
          </w:tcPr>
          <w:p w:rsidR="007E3CE2" w:rsidRPr="00171849" w:rsidRDefault="007E3CE2" w:rsidP="007E3CE2">
            <w:pPr>
              <w:jc w:val="right"/>
              <w:rPr>
                <w:rFonts w:ascii="Gill Sans MT" w:hAnsi="Gill Sans MT"/>
                <w:b w:val="0"/>
                <w:bCs w:val="0"/>
              </w:rPr>
            </w:pPr>
            <w:r w:rsidRPr="00171849">
              <w:rPr>
                <w:rFonts w:ascii="Gill Sans MT" w:hAnsi="Gill Sans MT"/>
              </w:rPr>
              <w:t xml:space="preserve">España </w:t>
            </w:r>
          </w:p>
        </w:tc>
        <w:tc>
          <w:tcPr>
            <w:tcW w:w="1373" w:type="dxa"/>
            <w:vAlign w:val="bottom"/>
          </w:tcPr>
          <w:p w:rsidR="007E3CE2" w:rsidRPr="00171849" w:rsidRDefault="007E3CE2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171849">
              <w:rPr>
                <w:rFonts w:ascii="Gill Sans MT" w:hAnsi="Gill Sans MT"/>
                <w:b/>
                <w:bCs/>
              </w:rPr>
              <w:t>1.</w:t>
            </w:r>
            <w:r w:rsidR="00D830D4" w:rsidRPr="00171849">
              <w:rPr>
                <w:rFonts w:ascii="Gill Sans MT" w:hAnsi="Gill Sans MT"/>
                <w:b/>
                <w:bCs/>
              </w:rPr>
              <w:t>716</w:t>
            </w:r>
            <w:r w:rsidRPr="00171849">
              <w:rPr>
                <w:rFonts w:ascii="Gill Sans MT" w:hAnsi="Gill Sans MT"/>
                <w:b/>
                <w:bCs/>
              </w:rPr>
              <w:t xml:space="preserve"> €</w:t>
            </w:r>
          </w:p>
        </w:tc>
        <w:tc>
          <w:tcPr>
            <w:tcW w:w="1235" w:type="dxa"/>
            <w:vAlign w:val="bottom"/>
          </w:tcPr>
          <w:p w:rsidR="007E3CE2" w:rsidRPr="00171849" w:rsidRDefault="007E3CE2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171849">
              <w:rPr>
                <w:rFonts w:ascii="Gill Sans MT" w:hAnsi="Gill Sans MT"/>
                <w:b/>
                <w:bCs/>
              </w:rPr>
              <w:t>0,</w:t>
            </w:r>
            <w:r w:rsidR="00D830D4" w:rsidRPr="00171849">
              <w:rPr>
                <w:rFonts w:ascii="Gill Sans MT" w:hAnsi="Gill Sans MT"/>
                <w:b/>
                <w:bCs/>
              </w:rPr>
              <w:t>4</w:t>
            </w:r>
            <w:r w:rsidRPr="00171849">
              <w:rPr>
                <w:rFonts w:ascii="Gill Sans MT" w:hAnsi="Gill Sans MT"/>
                <w:b/>
                <w:bCs/>
              </w:rPr>
              <w:t>%</w:t>
            </w:r>
          </w:p>
        </w:tc>
        <w:tc>
          <w:tcPr>
            <w:tcW w:w="1250" w:type="dxa"/>
            <w:vAlign w:val="bottom"/>
          </w:tcPr>
          <w:p w:rsidR="007E3CE2" w:rsidRPr="00171849" w:rsidRDefault="007E3CE2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171849">
              <w:rPr>
                <w:rFonts w:ascii="Gill Sans MT" w:hAnsi="Gill Sans MT"/>
                <w:b/>
                <w:bCs/>
              </w:rPr>
              <w:t>1,</w:t>
            </w:r>
            <w:r w:rsidR="00D830D4" w:rsidRPr="00171849">
              <w:rPr>
                <w:rFonts w:ascii="Gill Sans MT" w:hAnsi="Gill Sans MT"/>
                <w:b/>
                <w:bCs/>
              </w:rPr>
              <w:t>3</w:t>
            </w:r>
            <w:r w:rsidRPr="00171849">
              <w:rPr>
                <w:rFonts w:ascii="Gill Sans MT" w:hAnsi="Gill Sans MT"/>
                <w:b/>
                <w:bCs/>
              </w:rPr>
              <w:t>%</w:t>
            </w:r>
          </w:p>
        </w:tc>
        <w:tc>
          <w:tcPr>
            <w:tcW w:w="1266" w:type="dxa"/>
            <w:vAlign w:val="bottom"/>
          </w:tcPr>
          <w:p w:rsidR="007E3CE2" w:rsidRPr="00171849" w:rsidRDefault="007E3CE2" w:rsidP="00D83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171849">
              <w:rPr>
                <w:rFonts w:ascii="Gill Sans MT" w:hAnsi="Gill Sans MT"/>
                <w:b/>
                <w:bCs/>
              </w:rPr>
              <w:t>4,</w:t>
            </w:r>
            <w:r w:rsidR="00D830D4" w:rsidRPr="00171849">
              <w:rPr>
                <w:rFonts w:ascii="Gill Sans MT" w:hAnsi="Gill Sans MT"/>
                <w:b/>
                <w:bCs/>
              </w:rPr>
              <w:t>8</w:t>
            </w:r>
            <w:r w:rsidRPr="00171849">
              <w:rPr>
                <w:rFonts w:ascii="Gill Sans MT" w:hAnsi="Gill Sans MT"/>
                <w:b/>
                <w:bCs/>
              </w:rPr>
              <w:t>%</w:t>
            </w:r>
          </w:p>
        </w:tc>
        <w:tc>
          <w:tcPr>
            <w:tcW w:w="1699" w:type="dxa"/>
            <w:vAlign w:val="bottom"/>
          </w:tcPr>
          <w:p w:rsidR="007E3CE2" w:rsidRPr="00171849" w:rsidRDefault="007E3CE2" w:rsidP="007E3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171849">
              <w:rPr>
                <w:rFonts w:ascii="Gill Sans MT" w:hAnsi="Gill Sans MT"/>
                <w:b/>
                <w:bCs/>
              </w:rPr>
              <w:t>----</w:t>
            </w:r>
          </w:p>
        </w:tc>
      </w:tr>
    </w:tbl>
    <w:p w:rsidR="00171849" w:rsidRDefault="00171849" w:rsidP="007E3CE2">
      <w:pPr>
        <w:ind w:left="-1134"/>
        <w:jc w:val="both"/>
        <w:rPr>
          <w:rFonts w:ascii="Open Sans Light" w:hAnsi="Open Sans Light"/>
          <w:color w:val="404040" w:themeColor="text1" w:themeTint="BF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Respecto a la evolución de las </w:t>
      </w:r>
      <w:r w:rsidRPr="007E3CE2">
        <w:rPr>
          <w:rFonts w:ascii="Open Sans Light" w:hAnsi="Open Sans Light"/>
          <w:b/>
          <w:bCs/>
          <w:color w:val="404040" w:themeColor="text1" w:themeTint="BF"/>
          <w:lang w:val="es-ES"/>
        </w:rPr>
        <w:t>provincias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, de las 50 provincias estudiadas, </w:t>
      </w:r>
      <w:r w:rsidR="00922733">
        <w:rPr>
          <w:rFonts w:ascii="Open Sans Light" w:hAnsi="Open Sans Light"/>
          <w:color w:val="404040" w:themeColor="text1" w:themeTint="BF"/>
          <w:lang w:val="es-ES"/>
        </w:rPr>
        <w:t>27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presentan una variación trimestral positiva. La provincia con mayor var</w:t>
      </w:r>
      <w:r w:rsidR="00922733">
        <w:rPr>
          <w:rFonts w:ascii="Open Sans Light" w:hAnsi="Open Sans Light"/>
          <w:color w:val="404040" w:themeColor="text1" w:themeTint="BF"/>
          <w:lang w:val="es-ES"/>
        </w:rPr>
        <w:t>iación trimestral de precio es Málaga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 w:rsidR="00922733">
        <w:rPr>
          <w:rFonts w:ascii="Open Sans Light" w:hAnsi="Open Sans Light"/>
          <w:color w:val="404040" w:themeColor="text1" w:themeTint="BF"/>
          <w:lang w:val="es-ES"/>
        </w:rPr>
        <w:t>3,6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%), seguida de Baleares (</w:t>
      </w:r>
      <w:r w:rsidR="00922733">
        <w:rPr>
          <w:rFonts w:ascii="Open Sans Light" w:hAnsi="Open Sans Light"/>
          <w:color w:val="404040" w:themeColor="text1" w:themeTint="BF"/>
          <w:lang w:val="es-ES"/>
        </w:rPr>
        <w:t>3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,3%), </w:t>
      </w:r>
      <w:r w:rsidR="00922733">
        <w:rPr>
          <w:rFonts w:ascii="Open Sans Light" w:hAnsi="Open Sans Light"/>
          <w:color w:val="404040" w:themeColor="text1" w:themeTint="BF"/>
          <w:lang w:val="es-ES"/>
        </w:rPr>
        <w:t>Santa Cruz de Tenerife (3,1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%), </w:t>
      </w:r>
      <w:r w:rsidR="00922733">
        <w:rPr>
          <w:rFonts w:ascii="Open Sans Light" w:hAnsi="Open Sans Light"/>
          <w:color w:val="404040" w:themeColor="text1" w:themeTint="BF"/>
          <w:lang w:val="es-ES"/>
        </w:rPr>
        <w:t>Lleida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 w:rsidR="00922733">
        <w:rPr>
          <w:rFonts w:ascii="Open Sans Light" w:hAnsi="Open Sans Light"/>
          <w:color w:val="404040" w:themeColor="text1" w:themeTint="BF"/>
          <w:lang w:val="es-ES"/>
        </w:rPr>
        <w:t>2,9%) y Madrid (2,7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%). En el otro extremo, Zamora es la provincia que más desciende el precio en el </w:t>
      </w:r>
      <w:r w:rsidR="00922733">
        <w:rPr>
          <w:rFonts w:ascii="Open Sans Light" w:hAnsi="Open Sans Light"/>
          <w:color w:val="404040" w:themeColor="text1" w:themeTint="BF"/>
          <w:lang w:val="es-ES"/>
        </w:rPr>
        <w:t>tercer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trimestre, en concreto un -2,9</w:t>
      </w:r>
      <w:r w:rsidR="00922733">
        <w:rPr>
          <w:rFonts w:ascii="Open Sans Light" w:hAnsi="Open Sans Light"/>
          <w:color w:val="404040" w:themeColor="text1" w:themeTint="BF"/>
          <w:lang w:val="es-ES"/>
        </w:rPr>
        <w:t>6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%, seguido de </w:t>
      </w:r>
      <w:r w:rsidR="00380B72">
        <w:rPr>
          <w:rFonts w:ascii="Open Sans Light" w:hAnsi="Open Sans Light"/>
          <w:color w:val="404040" w:themeColor="text1" w:themeTint="BF"/>
          <w:lang w:val="es-ES"/>
        </w:rPr>
        <w:t>Navarra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(-2,</w:t>
      </w:r>
      <w:r w:rsidR="00380B72">
        <w:rPr>
          <w:rFonts w:ascii="Open Sans Light" w:hAnsi="Open Sans Light"/>
          <w:color w:val="404040" w:themeColor="text1" w:themeTint="BF"/>
          <w:lang w:val="es-ES"/>
        </w:rPr>
        <w:t>6%) y Sevilla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(-2,</w:t>
      </w:r>
      <w:r w:rsidR="00380B72">
        <w:rPr>
          <w:rFonts w:ascii="Open Sans Light" w:hAnsi="Open Sans Light"/>
          <w:color w:val="404040" w:themeColor="text1" w:themeTint="BF"/>
          <w:lang w:val="es-ES"/>
        </w:rPr>
        <w:t>4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%).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80B72" w:rsidRDefault="007E3CE2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Respecto a las variaciones interanuales de las provincias, </w:t>
      </w:r>
      <w:r w:rsidR="00380B72">
        <w:rPr>
          <w:rFonts w:ascii="Open Sans Light" w:hAnsi="Open Sans Light"/>
          <w:color w:val="404040" w:themeColor="text1" w:themeTint="BF"/>
          <w:lang w:val="es-ES"/>
        </w:rPr>
        <w:t>cuatro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de ellas incrementan el precio por encima del 10%. Se trata de </w:t>
      </w:r>
      <w:r w:rsidR="00380B72">
        <w:rPr>
          <w:rFonts w:ascii="Open Sans Light" w:hAnsi="Open Sans Light"/>
          <w:color w:val="404040" w:themeColor="text1" w:themeTint="BF"/>
          <w:lang w:val="es-ES"/>
        </w:rPr>
        <w:t>Baleares (16,9%), Barcelona (14,5%), Málaga (11,1%) y Cáceres (10,1%).</w:t>
      </w:r>
    </w:p>
    <w:p w:rsidR="007E3CE2" w:rsidRPr="007E3CE2" w:rsidRDefault="007E3CE2" w:rsidP="00380B72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rPr>
          <w:rFonts w:ascii="Open Sans" w:hAnsi="Open Sans"/>
          <w:color w:val="00AAAB"/>
          <w:sz w:val="28"/>
          <w:szCs w:val="28"/>
          <w:lang w:val="es-ES"/>
        </w:rPr>
      </w:pPr>
      <w:r w:rsidRPr="0090633B">
        <w:rPr>
          <w:rFonts w:ascii="Open Sans" w:hAnsi="Open Sans"/>
          <w:color w:val="00AAAB"/>
          <w:sz w:val="28"/>
          <w:szCs w:val="28"/>
          <w:lang w:val="es-ES"/>
        </w:rPr>
        <w:t>El precio sube en 2</w:t>
      </w:r>
      <w:r w:rsidR="00171849" w:rsidRPr="0090633B">
        <w:rPr>
          <w:rFonts w:ascii="Open Sans" w:hAnsi="Open Sans"/>
          <w:color w:val="00AAAB"/>
          <w:sz w:val="28"/>
          <w:szCs w:val="28"/>
          <w:lang w:val="es-ES"/>
        </w:rPr>
        <w:t>1</w:t>
      </w:r>
      <w:r w:rsidRPr="0090633B">
        <w:rPr>
          <w:rFonts w:ascii="Open Sans" w:hAnsi="Open Sans"/>
          <w:color w:val="00AAAB"/>
          <w:sz w:val="28"/>
          <w:szCs w:val="28"/>
          <w:lang w:val="es-ES"/>
        </w:rPr>
        <w:t xml:space="preserve"> distritos de Madrid y en </w:t>
      </w:r>
      <w:r w:rsidR="00171849" w:rsidRPr="0090633B">
        <w:rPr>
          <w:rFonts w:ascii="Open Sans" w:hAnsi="Open Sans"/>
          <w:color w:val="00AAAB"/>
          <w:sz w:val="28"/>
          <w:szCs w:val="28"/>
          <w:lang w:val="es-ES"/>
        </w:rPr>
        <w:t>ocho</w:t>
      </w:r>
      <w:r w:rsidRPr="0090633B">
        <w:rPr>
          <w:rFonts w:ascii="Open Sans" w:hAnsi="Open Sans"/>
          <w:color w:val="00AAAB"/>
          <w:sz w:val="28"/>
          <w:szCs w:val="28"/>
          <w:lang w:val="es-ES"/>
        </w:rPr>
        <w:t xml:space="preserve"> de Barcelona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El Índice Inmobiliario </w:t>
      </w:r>
      <w:hyperlink r:id="rId16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también estudia los distritos de las ciudades españolas. Una vez más, destacan los distritos de las ciudades de Madrid y Barcelona en las que se incrementa el precio en la mayoría de ellos. </w:t>
      </w: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71849" w:rsidRDefault="007E3CE2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En el caso de la ciudad de Madrid, </w:t>
      </w:r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 xml:space="preserve">los 21 distritos incrementan el precio en el tercer trimestre del año. El mayor ascenso se da en </w:t>
      </w:r>
      <w:proofErr w:type="spellStart"/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>Vicálvaro</w:t>
      </w:r>
      <w:proofErr w:type="spellEnd"/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 xml:space="preserve">, con una subida del 9,0%. Le sigue Centro, con una subida de un </w:t>
      </w:r>
      <w:r w:rsidR="00A430C2">
        <w:rPr>
          <w:rFonts w:ascii="Open Sans Light" w:hAnsi="Open Sans Light"/>
          <w:color w:val="404040" w:themeColor="text1" w:themeTint="BF"/>
          <w:lang w:val="es-ES"/>
        </w:rPr>
        <w:t xml:space="preserve">8,3% y </w:t>
      </w:r>
      <w:proofErr w:type="spellStart"/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>Hortaleza</w:t>
      </w:r>
      <w:proofErr w:type="spellEnd"/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 xml:space="preserve"> y Salamanca con un 5,2%</w:t>
      </w:r>
      <w:r w:rsidR="00A430C2">
        <w:rPr>
          <w:rFonts w:ascii="Open Sans Light" w:hAnsi="Open Sans Light"/>
          <w:color w:val="404040" w:themeColor="text1" w:themeTint="BF"/>
          <w:lang w:val="es-ES"/>
        </w:rPr>
        <w:t>,</w:t>
      </w:r>
      <w:r w:rsidR="00171849" w:rsidRPr="00171849">
        <w:rPr>
          <w:rFonts w:ascii="Open Sans Light" w:hAnsi="Open Sans Light"/>
          <w:color w:val="404040" w:themeColor="text1" w:themeTint="BF"/>
          <w:lang w:val="es-ES"/>
        </w:rPr>
        <w:t xml:space="preserve"> respectivamente. Por el contrario, Ciudad Lineal es el distrito con el precio trimestral más bajo (0,3%).</w:t>
      </w:r>
    </w:p>
    <w:p w:rsidR="00171849" w:rsidRDefault="00171849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71849" w:rsidRPr="007E3CE2" w:rsidRDefault="00171849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7E3CE2">
        <w:rPr>
          <w:rFonts w:ascii="Open Sans Light" w:hAnsi="Open Sans Light"/>
          <w:color w:val="404040" w:themeColor="text1" w:themeTint="BF"/>
          <w:lang w:val="es-ES"/>
        </w:rPr>
        <w:t>En cuanto a los precios, en junio de 2017 Salamanca es el distrito madrileño más caro (4.</w:t>
      </w:r>
      <w:r>
        <w:rPr>
          <w:rFonts w:ascii="Open Sans Light" w:hAnsi="Open Sans Light"/>
          <w:color w:val="404040" w:themeColor="text1" w:themeTint="BF"/>
          <w:lang w:val="es-ES"/>
        </w:rPr>
        <w:t>981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seguido de Chamberí (4.</w:t>
      </w:r>
      <w:r>
        <w:rPr>
          <w:rFonts w:ascii="Open Sans Light" w:hAnsi="Open Sans Light"/>
          <w:color w:val="404040" w:themeColor="text1" w:themeTint="BF"/>
          <w:lang w:val="es-ES"/>
        </w:rPr>
        <w:t>759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 €/m2), 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Centro (4.537 €/m2) y Chamartín (4.501 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 xml:space="preserve">€/m2). </w:t>
      </w:r>
    </w:p>
    <w:p w:rsidR="00171849" w:rsidRPr="006E18F7" w:rsidRDefault="00171849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171849" w:rsidRPr="00A430C2" w:rsidRDefault="00A430C2" w:rsidP="00A430C2">
      <w:pPr>
        <w:ind w:left="-1134"/>
        <w:jc w:val="center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Variación</w:t>
      </w:r>
      <w:r w:rsidR="00171849" w:rsidRPr="00A430C2">
        <w:rPr>
          <w:rFonts w:ascii="Open Sans" w:hAnsi="Open Sans"/>
          <w:color w:val="00AAAB"/>
          <w:lang w:val="es-ES"/>
        </w:rPr>
        <w:t xml:space="preserve"> trimestral </w:t>
      </w:r>
      <w:r>
        <w:rPr>
          <w:rFonts w:ascii="Open Sans" w:hAnsi="Open Sans"/>
          <w:color w:val="00AAAB"/>
          <w:lang w:val="es-ES"/>
        </w:rPr>
        <w:t>distritos de Madrid</w:t>
      </w:r>
    </w:p>
    <w:p w:rsidR="00171849" w:rsidRPr="006E18F7" w:rsidRDefault="00171849" w:rsidP="0017184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2693"/>
        <w:gridCol w:w="2240"/>
        <w:gridCol w:w="3402"/>
      </w:tblGrid>
      <w:tr w:rsidR="00171849" w:rsidRPr="006E18F7" w:rsidTr="009C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71849" w:rsidRPr="006E18F7" w:rsidRDefault="00171849" w:rsidP="009C4570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6E18F7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2240" w:type="dxa"/>
            <w:vAlign w:val="center"/>
          </w:tcPr>
          <w:p w:rsidR="00171849" w:rsidRPr="006E18F7" w:rsidRDefault="00171849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6E18F7">
              <w:rPr>
                <w:rFonts w:ascii="Open Sans Light" w:hAnsi="Open Sans Light"/>
                <w:lang w:val="es-ES"/>
              </w:rPr>
              <w:t>Variación</w:t>
            </w:r>
          </w:p>
          <w:p w:rsidR="00171849" w:rsidRPr="006E18F7" w:rsidRDefault="00171849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6E18F7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6E18F7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3402" w:type="dxa"/>
            <w:vAlign w:val="center"/>
          </w:tcPr>
          <w:p w:rsidR="00171849" w:rsidRPr="006E18F7" w:rsidRDefault="00171849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Septiembre </w:t>
            </w:r>
            <w:r w:rsidRPr="006E18F7">
              <w:rPr>
                <w:rFonts w:ascii="Open Sans Light" w:hAnsi="Open Sans Light"/>
                <w:lang w:val="es-ES"/>
              </w:rPr>
              <w:t xml:space="preserve"> 2017</w:t>
            </w:r>
            <w:r w:rsidRPr="006E18F7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Vicálvaro</w:t>
            </w:r>
            <w:proofErr w:type="spellEnd"/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9,0 %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1.938 €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8,3 %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4.537 €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Hortaleza</w:t>
            </w:r>
            <w:proofErr w:type="spellEnd"/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5,2 %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3.250 €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5,2 %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4.981 €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Moratalaz</w:t>
            </w:r>
            <w:proofErr w:type="spellEnd"/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4,7 %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2.283 €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lastRenderedPageBreak/>
              <w:t>Tetuán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4,2 %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3.118 €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4,2 %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2.762 €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3,9 %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2.113 €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3,9 %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3.855 €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Carabanchel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3,5 %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1.916 €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3,3 %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4.759 €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3,1 %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1.612 €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2,9 %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3.185 €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Usera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2,6 %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1.761 €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2,6 %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2.249 €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2,4 %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4.501 €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Latina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2,1 %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2.008 €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2,0 %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3.976 €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proofErr w:type="spellStart"/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Arganzuela</w:t>
            </w:r>
            <w:proofErr w:type="spellEnd"/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0,6 %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3.344 €</w:t>
            </w:r>
          </w:p>
        </w:tc>
      </w:tr>
      <w:tr w:rsidR="00171849" w:rsidRPr="006E18F7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Ciudad Lineal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0,3 %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2.688 €</w:t>
            </w:r>
          </w:p>
        </w:tc>
      </w:tr>
      <w:tr w:rsidR="00171849" w:rsidRPr="006E18F7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171849" w:rsidRPr="001C7977" w:rsidRDefault="00171849" w:rsidP="009C4570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2240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sz w:val="22"/>
                <w:szCs w:val="22"/>
                <w:lang w:val="es-ES"/>
              </w:rPr>
              <w:t>0,3 %</w:t>
            </w:r>
          </w:p>
        </w:tc>
        <w:tc>
          <w:tcPr>
            <w:tcW w:w="3402" w:type="dxa"/>
          </w:tcPr>
          <w:p w:rsidR="00171849" w:rsidRPr="001C7977" w:rsidRDefault="00171849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</w:pPr>
            <w:r w:rsidRPr="001C7977">
              <w:rPr>
                <w:rFonts w:ascii="Open Sans Light" w:hAnsi="Open Sans Light" w:cs="Gisha"/>
                <w:b/>
                <w:sz w:val="22"/>
                <w:szCs w:val="22"/>
                <w:lang w:val="es-ES"/>
              </w:rPr>
              <w:t>1.522 €</w:t>
            </w:r>
          </w:p>
        </w:tc>
      </w:tr>
    </w:tbl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7E3CE2" w:rsidRPr="007E3CE2" w:rsidRDefault="007E3CE2" w:rsidP="007E3CE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A02F8" w:rsidRDefault="003A02F8" w:rsidP="003A02F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En la ciudad de Barcelona, ocho de los 10 distritos incrementan el precio en el tercer trimestre del año. El mayor ascenso se da en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, con una subida del 7,9%. Le siguen la zona de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 Andreu, con una subida de un 6,5%, y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Sarrià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 -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A02F8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3A02F8">
        <w:rPr>
          <w:rFonts w:ascii="Open Sans Light" w:hAnsi="Open Sans Light"/>
          <w:color w:val="404040" w:themeColor="text1" w:themeTint="BF"/>
          <w:lang w:val="es-ES"/>
        </w:rPr>
        <w:t xml:space="preserve"> con un 5,1%.</w:t>
      </w:r>
    </w:p>
    <w:p w:rsidR="003A02F8" w:rsidRDefault="003A02F8" w:rsidP="003A02F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A02F8" w:rsidRDefault="003A02F8" w:rsidP="003A02F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rFonts w:ascii="Open Sans Light" w:hAnsi="Open Sans Light"/>
          <w:color w:val="404040" w:themeColor="text1" w:themeTint="BF"/>
          <w:lang w:val="es-ES"/>
        </w:rPr>
        <w:t xml:space="preserve">Respecto a los precios,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es el distrito que más caro para adquirir una vivienda de segunda mano, en concreto 5.441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€/m2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. Le sigue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Eixample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(5.260 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€/m2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) y Les </w:t>
      </w:r>
      <w:proofErr w:type="spellStart"/>
      <w:r>
        <w:rPr>
          <w:rFonts w:ascii="Open Sans Light" w:hAnsi="Open Sans Light"/>
          <w:color w:val="404040" w:themeColor="text1" w:themeTint="BF"/>
          <w:lang w:val="es-ES"/>
        </w:rPr>
        <w:t>corts</w:t>
      </w:r>
      <w:proofErr w:type="spellEnd"/>
      <w:r>
        <w:rPr>
          <w:rFonts w:ascii="Open Sans Light" w:hAnsi="Open Sans Light"/>
          <w:color w:val="404040" w:themeColor="text1" w:themeTint="BF"/>
          <w:lang w:val="es-ES"/>
        </w:rPr>
        <w:t xml:space="preserve"> (5.086 </w:t>
      </w:r>
      <w:r w:rsidRPr="007E3CE2">
        <w:rPr>
          <w:rFonts w:ascii="Open Sans Light" w:hAnsi="Open Sans Light"/>
          <w:color w:val="404040" w:themeColor="text1" w:themeTint="BF"/>
          <w:lang w:val="es-ES"/>
        </w:rPr>
        <w:t>€/m2</w:t>
      </w:r>
      <w:r>
        <w:rPr>
          <w:rFonts w:ascii="Open Sans Light" w:hAnsi="Open Sans Light"/>
          <w:color w:val="404040" w:themeColor="text1" w:themeTint="BF"/>
          <w:lang w:val="es-ES"/>
        </w:rPr>
        <w:t>)</w:t>
      </w:r>
    </w:p>
    <w:p w:rsidR="003A02F8" w:rsidRPr="001A0001" w:rsidRDefault="003A02F8" w:rsidP="003A02F8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A02F8" w:rsidRPr="00A430C2" w:rsidRDefault="003A02F8" w:rsidP="003A02F8">
      <w:pPr>
        <w:ind w:left="-1134"/>
        <w:jc w:val="center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>Variación</w:t>
      </w:r>
      <w:r w:rsidRPr="00A430C2">
        <w:rPr>
          <w:rFonts w:ascii="Open Sans" w:hAnsi="Open Sans"/>
          <w:color w:val="00AAAB"/>
          <w:lang w:val="es-ES"/>
        </w:rPr>
        <w:t xml:space="preserve"> trimestral </w:t>
      </w:r>
      <w:r>
        <w:rPr>
          <w:rFonts w:ascii="Open Sans" w:hAnsi="Open Sans"/>
          <w:color w:val="00AAAB"/>
          <w:lang w:val="es-ES"/>
        </w:rPr>
        <w:t>distritos de Barcelona</w:t>
      </w:r>
    </w:p>
    <w:p w:rsidR="003A02F8" w:rsidRPr="003A02F8" w:rsidRDefault="003A02F8" w:rsidP="003A02F8">
      <w:pPr>
        <w:ind w:left="-1134"/>
        <w:jc w:val="center"/>
        <w:rPr>
          <w:rFonts w:ascii="Open Sans" w:hAnsi="Open Sans"/>
          <w:color w:val="00AAAB"/>
          <w:lang w:val="es-ES"/>
        </w:rPr>
      </w:pPr>
    </w:p>
    <w:tbl>
      <w:tblPr>
        <w:tblStyle w:val="Tabladecuadrcula5oscura-nfasis11"/>
        <w:tblW w:w="0" w:type="auto"/>
        <w:tblInd w:w="-1139" w:type="dxa"/>
        <w:tblLook w:val="04A0" w:firstRow="1" w:lastRow="0" w:firstColumn="1" w:lastColumn="0" w:noHBand="0" w:noVBand="1"/>
      </w:tblPr>
      <w:tblGrid>
        <w:gridCol w:w="2693"/>
        <w:gridCol w:w="1843"/>
        <w:gridCol w:w="3799"/>
      </w:tblGrid>
      <w:tr w:rsidR="003A02F8" w:rsidRPr="001A0001" w:rsidTr="009C4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3A02F8" w:rsidRPr="001A0001" w:rsidRDefault="003A02F8" w:rsidP="009C4570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1A0001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1843" w:type="dxa"/>
            <w:vAlign w:val="center"/>
          </w:tcPr>
          <w:p w:rsidR="003A02F8" w:rsidRPr="001A0001" w:rsidRDefault="003A02F8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1A0001">
              <w:rPr>
                <w:rFonts w:ascii="Open Sans Light" w:hAnsi="Open Sans Light"/>
                <w:lang w:val="es-ES"/>
              </w:rPr>
              <w:t>Variación</w:t>
            </w:r>
          </w:p>
          <w:p w:rsidR="003A02F8" w:rsidRPr="001A0001" w:rsidRDefault="003A02F8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 w:rsidRPr="001A0001">
              <w:rPr>
                <w:rFonts w:ascii="Open Sans Light" w:hAnsi="Open Sans Light"/>
                <w:lang w:val="es-ES"/>
              </w:rPr>
              <w:t>trimestral</w:t>
            </w:r>
            <w:proofErr w:type="gramEnd"/>
            <w:r w:rsidRPr="001A0001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3799" w:type="dxa"/>
            <w:vAlign w:val="center"/>
          </w:tcPr>
          <w:p w:rsidR="003A02F8" w:rsidRPr="001A0001" w:rsidRDefault="003A02F8" w:rsidP="009C4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Septiembre </w:t>
            </w:r>
            <w:r w:rsidRPr="001A0001">
              <w:rPr>
                <w:rFonts w:ascii="Open Sans Light" w:hAnsi="Open Sans Light"/>
                <w:lang w:val="es-ES"/>
              </w:rPr>
              <w:t>2017</w:t>
            </w:r>
            <w:r w:rsidRPr="001A0001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3A02F8" w:rsidRPr="001A0001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Nou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Barris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7,9 %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2.355 € </w:t>
            </w:r>
          </w:p>
        </w:tc>
      </w:tr>
      <w:tr w:rsidR="003A02F8" w:rsidRPr="001A0001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Andreu</w:t>
            </w:r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6,5 %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2.968 € </w:t>
            </w:r>
          </w:p>
        </w:tc>
      </w:tr>
      <w:tr w:rsidR="003A02F8" w:rsidRPr="001A0001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Sarrià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Gervasi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5,1 %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5.441 € </w:t>
            </w:r>
          </w:p>
        </w:tc>
      </w:tr>
      <w:tr w:rsidR="003A02F8" w:rsidRPr="001A0001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Ciutat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Vella</w:t>
            </w:r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3,6 %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4.850 € </w:t>
            </w:r>
          </w:p>
        </w:tc>
      </w:tr>
      <w:tr w:rsidR="003A02F8" w:rsidRPr="001A0001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Sants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Montjuïc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3,2 %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3.652 € </w:t>
            </w:r>
          </w:p>
        </w:tc>
      </w:tr>
      <w:tr w:rsidR="003A02F8" w:rsidRPr="001A0001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Horta -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Guinardó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2,7 %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3.091 € </w:t>
            </w:r>
          </w:p>
        </w:tc>
      </w:tr>
      <w:tr w:rsidR="003A02F8" w:rsidRPr="001A0001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Eixample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2,5 %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5.260 € </w:t>
            </w:r>
          </w:p>
        </w:tc>
      </w:tr>
      <w:tr w:rsidR="003A02F8" w:rsidRPr="001A0001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Gràcia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  <w:t>1,4 %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4.345 € </w:t>
            </w:r>
          </w:p>
        </w:tc>
      </w:tr>
      <w:tr w:rsidR="003A02F8" w:rsidRPr="001A0001" w:rsidTr="009C4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Sant</w:t>
            </w:r>
            <w:proofErr w:type="spellEnd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 Martí</w:t>
            </w:r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-2,4 %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4.077 € </w:t>
            </w:r>
          </w:p>
        </w:tc>
      </w:tr>
      <w:tr w:rsidR="003A02F8" w:rsidRPr="001A0001" w:rsidTr="009C4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3A02F8" w:rsidRPr="00B80195" w:rsidRDefault="003A02F8" w:rsidP="009C4570">
            <w:pPr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B80195">
              <w:rPr>
                <w:rFonts w:ascii="Open Sans Light" w:hAnsi="Open Sans Light"/>
                <w:bCs w:val="0"/>
                <w:sz w:val="22"/>
                <w:szCs w:val="22"/>
                <w:lang w:val="es-ES"/>
              </w:rPr>
              <w:t>Corts</w:t>
            </w:r>
            <w:proofErr w:type="spellEnd"/>
          </w:p>
        </w:tc>
        <w:tc>
          <w:tcPr>
            <w:tcW w:w="1843" w:type="dxa"/>
            <w:vAlign w:val="bottom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000000" w:themeColor="text1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-1,6 %</w:t>
            </w:r>
          </w:p>
        </w:tc>
        <w:tc>
          <w:tcPr>
            <w:tcW w:w="3799" w:type="dxa"/>
          </w:tcPr>
          <w:p w:rsidR="003A02F8" w:rsidRPr="00B80195" w:rsidRDefault="003A02F8" w:rsidP="009C4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</w:pPr>
            <w:r w:rsidRPr="00B80195">
              <w:rPr>
                <w:rFonts w:ascii="Open Sans Light" w:hAnsi="Open Sans Light"/>
                <w:b/>
                <w:bCs/>
                <w:color w:val="404040" w:themeColor="text1" w:themeTint="BF"/>
                <w:sz w:val="22"/>
                <w:szCs w:val="22"/>
                <w:lang w:val="es-ES"/>
              </w:rPr>
              <w:t xml:space="preserve"> 5.086 € </w:t>
            </w:r>
          </w:p>
        </w:tc>
      </w:tr>
    </w:tbl>
    <w:p w:rsidR="00794CAF" w:rsidRDefault="00794CAF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1606E5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5D543C" w:rsidRPr="00361A52" w:rsidRDefault="005D543C" w:rsidP="005D543C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>
        <w:rPr>
          <w:rFonts w:ascii="Open Sans Light" w:hAnsi="Open Sans Light" w:cs="Gisha"/>
          <w:sz w:val="22"/>
          <w:szCs w:val="22"/>
          <w:lang w:val="es-ES"/>
        </w:rPr>
        <w:t xml:space="preserve"> y cada mes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 la visitan un 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promedio de </w:t>
      </w:r>
      <w:r>
        <w:rPr>
          <w:rFonts w:ascii="Open Sans Light" w:hAnsi="Open Sans Light" w:cs="Gisha"/>
          <w:b/>
          <w:bCs/>
          <w:sz w:val="22"/>
          <w:szCs w:val="22"/>
          <w:lang w:val="es-ES"/>
        </w:rPr>
        <w:t>7 millones de</w:t>
      </w:r>
      <w:r w:rsidRPr="00361A52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usuarios</w:t>
      </w:r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361A52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361A52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C84876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0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E21FC">
        <w:rPr>
          <w:rFonts w:ascii="Open Sans Light" w:hAnsi="Open Sans Light" w:cs="Gisha"/>
          <w:b/>
          <w:bCs/>
          <w:lang w:val="en-US"/>
        </w:rPr>
        <w:t>Anaïs López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CE21FC">
        <w:rPr>
          <w:rFonts w:ascii="Open Sans Light" w:hAnsi="Open Sans Light" w:cs="Gisha"/>
          <w:lang w:val="en-US"/>
        </w:rPr>
        <w:t>Tlf</w:t>
      </w:r>
      <w:proofErr w:type="spellEnd"/>
      <w:r w:rsidRPr="00CE21FC">
        <w:rPr>
          <w:rFonts w:ascii="Open Sans Light" w:hAnsi="Open Sans Light" w:cs="Gisha"/>
          <w:lang w:val="en-US"/>
        </w:rPr>
        <w:t>.:</w:t>
      </w:r>
      <w:proofErr w:type="gramEnd"/>
      <w:r w:rsidRPr="00CE21FC">
        <w:rPr>
          <w:rFonts w:ascii="Open Sans Light" w:hAnsi="Open Sans Light" w:cs="Gisha"/>
          <w:lang w:val="en-US"/>
        </w:rPr>
        <w:t xml:space="preserve"> 93 576 56 79 </w:t>
      </w:r>
      <w:r w:rsidRPr="00CE21FC">
        <w:rPr>
          <w:rFonts w:ascii="Open Sans Light" w:eastAsia="MingLiU" w:hAnsi="Open Sans Light" w:cs="MingLiU"/>
          <w:lang w:val="en-US"/>
        </w:rPr>
        <w:br/>
      </w:r>
      <w:proofErr w:type="spellStart"/>
      <w:r w:rsidRPr="00CE21FC">
        <w:rPr>
          <w:rFonts w:ascii="Open Sans Light" w:hAnsi="Open Sans Light" w:cs="Gisha"/>
          <w:lang w:val="en-US"/>
        </w:rPr>
        <w:t>Móvil</w:t>
      </w:r>
      <w:proofErr w:type="spellEnd"/>
      <w:r w:rsidRPr="00CE21FC">
        <w:rPr>
          <w:rFonts w:ascii="Open Sans Light" w:hAnsi="Open Sans Light" w:cs="Gisha"/>
          <w:lang w:val="en-US"/>
        </w:rPr>
        <w:t>: 620 66 29 26</w:t>
      </w:r>
      <w:r w:rsidRPr="00CE21FC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CE21FC">
          <w:rPr>
            <w:rStyle w:val="Hyperlink1"/>
            <w:rFonts w:ascii="Open Sans Light" w:hAnsi="Open Sans Light"/>
          </w:rPr>
          <w:t>comunicacion@fotocasa.es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CE21FC">
          <w:rPr>
            <w:rStyle w:val="Hyperlink1"/>
            <w:rFonts w:ascii="Open Sans Light" w:hAnsi="Open Sans Light"/>
          </w:rPr>
          <w:t>http://prensa.fotocasa.es</w:t>
        </w:r>
      </w:hyperlink>
      <w:r w:rsidRPr="00CE21FC">
        <w:rPr>
          <w:rStyle w:val="Ninguno"/>
          <w:rFonts w:ascii="Open Sans Light" w:hAnsi="Open Sans Light" w:cs="Gisha"/>
          <w:lang w:val="en-US"/>
        </w:rPr>
        <w:t xml:space="preserve"> </w:t>
      </w:r>
      <w:r w:rsidRPr="00CE21FC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E21FC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B6" w:rsidRDefault="00D74FB6" w:rsidP="0052608C">
      <w:r>
        <w:separator/>
      </w:r>
    </w:p>
  </w:endnote>
  <w:endnote w:type="continuationSeparator" w:id="0">
    <w:p w:rsidR="00D74FB6" w:rsidRDefault="00D74FB6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B6" w:rsidRDefault="00D74FB6" w:rsidP="0052608C">
      <w:r>
        <w:separator/>
      </w:r>
    </w:p>
  </w:footnote>
  <w:footnote w:type="continuationSeparator" w:id="0">
    <w:p w:rsidR="00D74FB6" w:rsidRDefault="00D74FB6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51CE3"/>
    <w:rsid w:val="00056624"/>
    <w:rsid w:val="00121C59"/>
    <w:rsid w:val="00135B0F"/>
    <w:rsid w:val="00171849"/>
    <w:rsid w:val="001E55E9"/>
    <w:rsid w:val="0025238E"/>
    <w:rsid w:val="0030499F"/>
    <w:rsid w:val="00333524"/>
    <w:rsid w:val="00357DD4"/>
    <w:rsid w:val="00365EE5"/>
    <w:rsid w:val="00380B72"/>
    <w:rsid w:val="003A02F8"/>
    <w:rsid w:val="003C30FC"/>
    <w:rsid w:val="0052608C"/>
    <w:rsid w:val="005C443C"/>
    <w:rsid w:val="005D543C"/>
    <w:rsid w:val="006B3404"/>
    <w:rsid w:val="006F6A28"/>
    <w:rsid w:val="00700B0C"/>
    <w:rsid w:val="00724A8E"/>
    <w:rsid w:val="00741B8E"/>
    <w:rsid w:val="00763F0F"/>
    <w:rsid w:val="00794CAF"/>
    <w:rsid w:val="007A55E0"/>
    <w:rsid w:val="007A7435"/>
    <w:rsid w:val="007E3CE2"/>
    <w:rsid w:val="008C443A"/>
    <w:rsid w:val="00905EAB"/>
    <w:rsid w:val="0090633B"/>
    <w:rsid w:val="00922733"/>
    <w:rsid w:val="00A430C2"/>
    <w:rsid w:val="00AB5432"/>
    <w:rsid w:val="00AD3BC9"/>
    <w:rsid w:val="00AD62DD"/>
    <w:rsid w:val="00AF0800"/>
    <w:rsid w:val="00B403E9"/>
    <w:rsid w:val="00B81DEC"/>
    <w:rsid w:val="00BA1ECD"/>
    <w:rsid w:val="00BA4ED9"/>
    <w:rsid w:val="00BA68D5"/>
    <w:rsid w:val="00BC0CC9"/>
    <w:rsid w:val="00BE2674"/>
    <w:rsid w:val="00BF7329"/>
    <w:rsid w:val="00C521E4"/>
    <w:rsid w:val="00C84876"/>
    <w:rsid w:val="00CE21FC"/>
    <w:rsid w:val="00D15046"/>
    <w:rsid w:val="00D4433D"/>
    <w:rsid w:val="00D74FB6"/>
    <w:rsid w:val="00D830D4"/>
    <w:rsid w:val="00DD18A7"/>
    <w:rsid w:val="00E50830"/>
    <w:rsid w:val="00E8753C"/>
    <w:rsid w:val="00EB7C25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5046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1718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is.lopez\Desktop\NOTAS%20DE%20PRENSA%20PENDIENTES\VENTA%203T\DATOS%20NDP%20NACIONAL%203T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ais.lopez\Desktop\NOTAS%20DE%20PRENSA%20PENDIENTES\VENTA%203T\DATOS%20NDP%20NACIONAL%203T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9"/>
              <c:layout>
                <c:manualLayout>
                  <c:x val="8.2962975866701805E-3"/>
                  <c:y val="9.43475772173628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Hoja1!$A$3:$B$52</c:f>
              <c:multiLvlStrCache>
                <c:ptCount val="50"/>
                <c:lvl>
                  <c:pt idx="0">
                    <c:v>2T</c:v>
                  </c:pt>
                  <c:pt idx="1">
                    <c:v>3T</c:v>
                  </c:pt>
                  <c:pt idx="2">
                    <c:v>4T</c:v>
                  </c:pt>
                  <c:pt idx="3">
                    <c:v>1T</c:v>
                  </c:pt>
                  <c:pt idx="4">
                    <c:v>2T</c:v>
                  </c:pt>
                  <c:pt idx="5">
                    <c:v>3T</c:v>
                  </c:pt>
                  <c:pt idx="6">
                    <c:v>4T</c:v>
                  </c:pt>
                  <c:pt idx="7">
                    <c:v>1T</c:v>
                  </c:pt>
                  <c:pt idx="8">
                    <c:v>2T</c:v>
                  </c:pt>
                  <c:pt idx="9">
                    <c:v>3T</c:v>
                  </c:pt>
                  <c:pt idx="10">
                    <c:v>4T</c:v>
                  </c:pt>
                  <c:pt idx="11">
                    <c:v>1T</c:v>
                  </c:pt>
                  <c:pt idx="12">
                    <c:v>2T</c:v>
                  </c:pt>
                  <c:pt idx="13">
                    <c:v>3T</c:v>
                  </c:pt>
                  <c:pt idx="14">
                    <c:v>4T</c:v>
                  </c:pt>
                  <c:pt idx="15">
                    <c:v>1T</c:v>
                  </c:pt>
                  <c:pt idx="16">
                    <c:v>2T</c:v>
                  </c:pt>
                  <c:pt idx="17">
                    <c:v>3T</c:v>
                  </c:pt>
                  <c:pt idx="18">
                    <c:v>4T</c:v>
                  </c:pt>
                  <c:pt idx="19">
                    <c:v>1T</c:v>
                  </c:pt>
                  <c:pt idx="20">
                    <c:v>2T</c:v>
                  </c:pt>
                  <c:pt idx="21">
                    <c:v>3T</c:v>
                  </c:pt>
                  <c:pt idx="22">
                    <c:v>4T</c:v>
                  </c:pt>
                  <c:pt idx="23">
                    <c:v>1T</c:v>
                  </c:pt>
                  <c:pt idx="24">
                    <c:v>2T</c:v>
                  </c:pt>
                  <c:pt idx="25">
                    <c:v>3T</c:v>
                  </c:pt>
                  <c:pt idx="26">
                    <c:v>4T</c:v>
                  </c:pt>
                  <c:pt idx="27">
                    <c:v>1T</c:v>
                  </c:pt>
                  <c:pt idx="28">
                    <c:v>2T</c:v>
                  </c:pt>
                  <c:pt idx="29">
                    <c:v>3T</c:v>
                  </c:pt>
                  <c:pt idx="30">
                    <c:v>4T</c:v>
                  </c:pt>
                  <c:pt idx="31">
                    <c:v>1T</c:v>
                  </c:pt>
                  <c:pt idx="32">
                    <c:v>2T</c:v>
                  </c:pt>
                  <c:pt idx="33">
                    <c:v>3T</c:v>
                  </c:pt>
                  <c:pt idx="34">
                    <c:v>4T</c:v>
                  </c:pt>
                  <c:pt idx="35">
                    <c:v>1T</c:v>
                  </c:pt>
                  <c:pt idx="36">
                    <c:v>2T</c:v>
                  </c:pt>
                  <c:pt idx="37">
                    <c:v>3T</c:v>
                  </c:pt>
                  <c:pt idx="38">
                    <c:v>4T</c:v>
                  </c:pt>
                  <c:pt idx="39">
                    <c:v>1T</c:v>
                  </c:pt>
                  <c:pt idx="40">
                    <c:v>2T</c:v>
                  </c:pt>
                  <c:pt idx="41">
                    <c:v>3T</c:v>
                  </c:pt>
                  <c:pt idx="42">
                    <c:v>4T</c:v>
                  </c:pt>
                  <c:pt idx="43">
                    <c:v>1T</c:v>
                  </c:pt>
                  <c:pt idx="44">
                    <c:v>2T</c:v>
                  </c:pt>
                  <c:pt idx="45">
                    <c:v>3T</c:v>
                  </c:pt>
                  <c:pt idx="46">
                    <c:v>4T</c:v>
                  </c:pt>
                  <c:pt idx="47">
                    <c:v>1T</c:v>
                  </c:pt>
                  <c:pt idx="48">
                    <c:v>2T</c:v>
                  </c:pt>
                  <c:pt idx="49">
                    <c:v>3T</c:v>
                  </c:pt>
                </c:lvl>
                <c:lvl>
                  <c:pt idx="0">
                    <c:v>2005</c:v>
                  </c:pt>
                  <c:pt idx="3">
                    <c:v>2006</c:v>
                  </c:pt>
                  <c:pt idx="7">
                    <c:v>2007</c:v>
                  </c:pt>
                  <c:pt idx="11">
                    <c:v>2008</c:v>
                  </c:pt>
                  <c:pt idx="15">
                    <c:v>2009</c:v>
                  </c:pt>
                  <c:pt idx="19">
                    <c:v>2010</c:v>
                  </c:pt>
                  <c:pt idx="23">
                    <c:v>2011</c:v>
                  </c:pt>
                  <c:pt idx="27">
                    <c:v>2012</c:v>
                  </c:pt>
                  <c:pt idx="31">
                    <c:v>2013</c:v>
                  </c:pt>
                  <c:pt idx="35">
                    <c:v>2014</c:v>
                  </c:pt>
                  <c:pt idx="39">
                    <c:v>2015</c:v>
                  </c:pt>
                  <c:pt idx="43">
                    <c:v>2016</c:v>
                  </c:pt>
                  <c:pt idx="47">
                    <c:v>2017</c:v>
                  </c:pt>
                </c:lvl>
              </c:multiLvlStrCache>
            </c:multiLvlStrRef>
          </c:cat>
          <c:val>
            <c:numRef>
              <c:f>Hoja1!$C$3:$C$52</c:f>
              <c:numCache>
                <c:formatCode>0.0%</c:formatCode>
                <c:ptCount val="50"/>
                <c:pt idx="0">
                  <c:v>2.6003803297328799E-2</c:v>
                </c:pt>
                <c:pt idx="1">
                  <c:v>2.5489451472439542E-2</c:v>
                </c:pt>
                <c:pt idx="2">
                  <c:v>3.5413738956357174E-2</c:v>
                </c:pt>
                <c:pt idx="3">
                  <c:v>1.9619462122280478E-2</c:v>
                </c:pt>
                <c:pt idx="4">
                  <c:v>2.7116265164765237E-2</c:v>
                </c:pt>
                <c:pt idx="5">
                  <c:v>1.2949183886320064E-2</c:v>
                </c:pt>
                <c:pt idx="6">
                  <c:v>1.5612116045940651E-2</c:v>
                </c:pt>
                <c:pt idx="7">
                  <c:v>1.5844744679994475E-2</c:v>
                </c:pt>
                <c:pt idx="8">
                  <c:v>1.6925103746121071E-3</c:v>
                </c:pt>
                <c:pt idx="9">
                  <c:v>-1.5734957692625576E-2</c:v>
                </c:pt>
                <c:pt idx="10">
                  <c:v>-1.2165880271015778E-2</c:v>
                </c:pt>
                <c:pt idx="11">
                  <c:v>-3.0563512698543419E-2</c:v>
                </c:pt>
                <c:pt idx="12">
                  <c:v>-2.3955363057190381E-2</c:v>
                </c:pt>
                <c:pt idx="13">
                  <c:v>-1.5773700053968533E-2</c:v>
                </c:pt>
                <c:pt idx="14">
                  <c:v>-1.9464537580781982E-2</c:v>
                </c:pt>
                <c:pt idx="15">
                  <c:v>-4.8289373226018624E-2</c:v>
                </c:pt>
                <c:pt idx="16">
                  <c:v>-2.9582885637605673E-2</c:v>
                </c:pt>
                <c:pt idx="17">
                  <c:v>-1.637528475185894E-2</c:v>
                </c:pt>
                <c:pt idx="18">
                  <c:v>-9.4172474461096927E-3</c:v>
                </c:pt>
                <c:pt idx="19">
                  <c:v>-1.046386311729097E-3</c:v>
                </c:pt>
                <c:pt idx="20">
                  <c:v>-1.2286251962945567E-2</c:v>
                </c:pt>
                <c:pt idx="21">
                  <c:v>-1.3484513412244223E-2</c:v>
                </c:pt>
                <c:pt idx="22">
                  <c:v>-1.1923361428307957E-2</c:v>
                </c:pt>
                <c:pt idx="23">
                  <c:v>-1.4115164244587003E-2</c:v>
                </c:pt>
                <c:pt idx="24">
                  <c:v>-2.2292671523685859E-2</c:v>
                </c:pt>
                <c:pt idx="25">
                  <c:v>-1.2479078557036328E-2</c:v>
                </c:pt>
                <c:pt idx="26">
                  <c:v>-1.8907050081964579E-2</c:v>
                </c:pt>
                <c:pt idx="27">
                  <c:v>-2.4934456547897558E-2</c:v>
                </c:pt>
                <c:pt idx="28">
                  <c:v>-2.9935298111906324E-2</c:v>
                </c:pt>
                <c:pt idx="29">
                  <c:v>-2.7208158241272547E-2</c:v>
                </c:pt>
                <c:pt idx="30">
                  <c:v>-2.7183439406361722E-2</c:v>
                </c:pt>
                <c:pt idx="31">
                  <c:v>-3.1967090215799882E-2</c:v>
                </c:pt>
                <c:pt idx="32">
                  <c:v>-3.763252395122442E-2</c:v>
                </c:pt>
                <c:pt idx="33">
                  <c:v>1.8464226536413797E-4</c:v>
                </c:pt>
                <c:pt idx="34">
                  <c:v>-1.7671902799129949E-2</c:v>
                </c:pt>
                <c:pt idx="35">
                  <c:v>-1.0689267696354365E-2</c:v>
                </c:pt>
                <c:pt idx="36">
                  <c:v>-3.269594805411969E-2</c:v>
                </c:pt>
                <c:pt idx="37">
                  <c:v>-5.2039132919460464E-3</c:v>
                </c:pt>
                <c:pt idx="38">
                  <c:v>-9.5993582136428869E-3</c:v>
                </c:pt>
                <c:pt idx="39">
                  <c:v>-8.4783669012479957E-3</c:v>
                </c:pt>
                <c:pt idx="40">
                  <c:v>1.06752903067004E-2</c:v>
                </c:pt>
                <c:pt idx="41">
                  <c:v>6.655435031375132E-3</c:v>
                </c:pt>
                <c:pt idx="42">
                  <c:v>-1.6154563831819332E-2</c:v>
                </c:pt>
                <c:pt idx="43">
                  <c:v>5.3096443409028533E-3</c:v>
                </c:pt>
                <c:pt idx="44">
                  <c:v>-4.2480706154588892E-3</c:v>
                </c:pt>
                <c:pt idx="45">
                  <c:v>9.4440468846391235E-3</c:v>
                </c:pt>
                <c:pt idx="46">
                  <c:v>7.9815619154525539E-3</c:v>
                </c:pt>
                <c:pt idx="47">
                  <c:v>8.9632454009234089E-3</c:v>
                </c:pt>
                <c:pt idx="48">
                  <c:v>1.7888681856617902E-2</c:v>
                </c:pt>
                <c:pt idx="49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86772256"/>
        <c:axId val="-1086778784"/>
      </c:barChart>
      <c:catAx>
        <c:axId val="-108677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86778784"/>
        <c:crosses val="autoZero"/>
        <c:auto val="1"/>
        <c:lblAlgn val="ctr"/>
        <c:lblOffset val="100"/>
        <c:noMultiLvlLbl val="0"/>
      </c:catAx>
      <c:valAx>
        <c:axId val="-108677878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8677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40"/>
              <c:layout>
                <c:manualLayout>
                  <c:x val="-1.1916714442181645E-16"/>
                  <c:y val="-4.5261662302856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Hoja2!$A$3:$B$143</c:f>
              <c:multiLvlStrCache>
                <c:ptCount val="141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  <c:pt idx="63">
                    <c:v>abril</c:v>
                  </c:pt>
                  <c:pt idx="64">
                    <c:v>mayo</c:v>
                  </c:pt>
                  <c:pt idx="65">
                    <c:v>junio</c:v>
                  </c:pt>
                  <c:pt idx="66">
                    <c:v>julio</c:v>
                  </c:pt>
                  <c:pt idx="67">
                    <c:v>agosto</c:v>
                  </c:pt>
                  <c:pt idx="68">
                    <c:v>septiembre</c:v>
                  </c:pt>
                  <c:pt idx="69">
                    <c:v>octubre</c:v>
                  </c:pt>
                  <c:pt idx="70">
                    <c:v>noviembre</c:v>
                  </c:pt>
                  <c:pt idx="71">
                    <c:v>diciembre</c:v>
                  </c:pt>
                  <c:pt idx="72">
                    <c:v>enero</c:v>
                  </c:pt>
                  <c:pt idx="73">
                    <c:v>febrero</c:v>
                  </c:pt>
                  <c:pt idx="74">
                    <c:v>marzo</c:v>
                  </c:pt>
                  <c:pt idx="75">
                    <c:v>abril</c:v>
                  </c:pt>
                  <c:pt idx="76">
                    <c:v>mayo</c:v>
                  </c:pt>
                  <c:pt idx="77">
                    <c:v>junio</c:v>
                  </c:pt>
                  <c:pt idx="78">
                    <c:v>julio</c:v>
                  </c:pt>
                  <c:pt idx="79">
                    <c:v>agosto</c:v>
                  </c:pt>
                  <c:pt idx="80">
                    <c:v>septiembre</c:v>
                  </c:pt>
                  <c:pt idx="81">
                    <c:v>octubre</c:v>
                  </c:pt>
                  <c:pt idx="82">
                    <c:v>noviembre</c:v>
                  </c:pt>
                  <c:pt idx="83">
                    <c:v>diciembre</c:v>
                  </c:pt>
                  <c:pt idx="84">
                    <c:v>enero</c:v>
                  </c:pt>
                  <c:pt idx="85">
                    <c:v>febrero</c:v>
                  </c:pt>
                  <c:pt idx="86">
                    <c:v>marzo</c:v>
                  </c:pt>
                  <c:pt idx="87">
                    <c:v>abril</c:v>
                  </c:pt>
                  <c:pt idx="88">
                    <c:v>mayo</c:v>
                  </c:pt>
                  <c:pt idx="89">
                    <c:v>junio</c:v>
                  </c:pt>
                  <c:pt idx="90">
                    <c:v>julio</c:v>
                  </c:pt>
                  <c:pt idx="91">
                    <c:v>agosto</c:v>
                  </c:pt>
                  <c:pt idx="92">
                    <c:v>septiembre</c:v>
                  </c:pt>
                  <c:pt idx="93">
                    <c:v>octubre</c:v>
                  </c:pt>
                  <c:pt idx="94">
                    <c:v>noviembre</c:v>
                  </c:pt>
                  <c:pt idx="95">
                    <c:v>diciembre</c:v>
                  </c:pt>
                  <c:pt idx="96">
                    <c:v>enero</c:v>
                  </c:pt>
                  <c:pt idx="97">
                    <c:v>febrero</c:v>
                  </c:pt>
                  <c:pt idx="98">
                    <c:v>marzo</c:v>
                  </c:pt>
                  <c:pt idx="99">
                    <c:v>abril</c:v>
                  </c:pt>
                  <c:pt idx="100">
                    <c:v>mayo</c:v>
                  </c:pt>
                  <c:pt idx="101">
                    <c:v>junio</c:v>
                  </c:pt>
                  <c:pt idx="102">
                    <c:v>julio</c:v>
                  </c:pt>
                  <c:pt idx="103">
                    <c:v>agosto</c:v>
                  </c:pt>
                  <c:pt idx="104">
                    <c:v>septiembre</c:v>
                  </c:pt>
                  <c:pt idx="105">
                    <c:v>octubre</c:v>
                  </c:pt>
                  <c:pt idx="106">
                    <c:v>noviembre</c:v>
                  </c:pt>
                  <c:pt idx="107">
                    <c:v>diciembre</c:v>
                  </c:pt>
                  <c:pt idx="108">
                    <c:v>enero</c:v>
                  </c:pt>
                  <c:pt idx="109">
                    <c:v>febrero</c:v>
                  </c:pt>
                  <c:pt idx="110">
                    <c:v>marzo</c:v>
                  </c:pt>
                  <c:pt idx="111">
                    <c:v>abril</c:v>
                  </c:pt>
                  <c:pt idx="112">
                    <c:v>mayo</c:v>
                  </c:pt>
                  <c:pt idx="113">
                    <c:v>junio</c:v>
                  </c:pt>
                  <c:pt idx="114">
                    <c:v>julio</c:v>
                  </c:pt>
                  <c:pt idx="115">
                    <c:v>agosto</c:v>
                  </c:pt>
                  <c:pt idx="116">
                    <c:v>septiembre</c:v>
                  </c:pt>
                  <c:pt idx="117">
                    <c:v>octubre</c:v>
                  </c:pt>
                  <c:pt idx="118">
                    <c:v>noviembre</c:v>
                  </c:pt>
                  <c:pt idx="119">
                    <c:v>diciembre</c:v>
                  </c:pt>
                  <c:pt idx="120">
                    <c:v>enero</c:v>
                  </c:pt>
                  <c:pt idx="121">
                    <c:v>febrero</c:v>
                  </c:pt>
                  <c:pt idx="122">
                    <c:v>marzo</c:v>
                  </c:pt>
                  <c:pt idx="123">
                    <c:v>abril</c:v>
                  </c:pt>
                  <c:pt idx="124">
                    <c:v>mayo</c:v>
                  </c:pt>
                  <c:pt idx="125">
                    <c:v>junio</c:v>
                  </c:pt>
                  <c:pt idx="126">
                    <c:v>julio</c:v>
                  </c:pt>
                  <c:pt idx="127">
                    <c:v>agosto</c:v>
                  </c:pt>
                  <c:pt idx="128">
                    <c:v>septiembre</c:v>
                  </c:pt>
                  <c:pt idx="129">
                    <c:v>octubre</c:v>
                  </c:pt>
                  <c:pt idx="130">
                    <c:v>noviembre</c:v>
                  </c:pt>
                  <c:pt idx="131">
                    <c:v>diciembre</c:v>
                  </c:pt>
                  <c:pt idx="132">
                    <c:v>enero</c:v>
                  </c:pt>
                  <c:pt idx="133">
                    <c:v>febrero</c:v>
                  </c:pt>
                  <c:pt idx="134">
                    <c:v>marzo</c:v>
                  </c:pt>
                  <c:pt idx="135">
                    <c:v>abril</c:v>
                  </c:pt>
                  <c:pt idx="136">
                    <c:v>mayo</c:v>
                  </c:pt>
                  <c:pt idx="137">
                    <c:v>junio</c:v>
                  </c:pt>
                  <c:pt idx="138">
                    <c:v>julio</c:v>
                  </c:pt>
                  <c:pt idx="139">
                    <c:v>agosto</c:v>
                  </c:pt>
                  <c:pt idx="140">
                    <c:v>septiembre</c:v>
                  </c:pt>
                </c:lvl>
                <c:lvl>
                  <c:pt idx="0">
                    <c:v>2006</c:v>
                  </c:pt>
                  <c:pt idx="13">
                    <c:v>2007</c:v>
                  </c:pt>
                  <c:pt idx="25">
                    <c:v>2008</c:v>
                  </c:pt>
                  <c:pt idx="37">
                    <c:v>2009</c:v>
                  </c:pt>
                  <c:pt idx="49">
                    <c:v>2010</c:v>
                  </c:pt>
                  <c:pt idx="61">
                    <c:v>2011</c:v>
                  </c:pt>
                  <c:pt idx="72">
                    <c:v>2012</c:v>
                  </c:pt>
                  <c:pt idx="85">
                    <c:v>2013</c:v>
                  </c:pt>
                  <c:pt idx="97">
                    <c:v>2014</c:v>
                  </c:pt>
                  <c:pt idx="109">
                    <c:v>2015</c:v>
                  </c:pt>
                  <c:pt idx="120">
                    <c:v>2016</c:v>
                  </c:pt>
                  <c:pt idx="132">
                    <c:v>2017</c:v>
                  </c:pt>
                </c:lvl>
              </c:multiLvlStrCache>
            </c:multiLvlStrRef>
          </c:cat>
          <c:val>
            <c:numRef>
              <c:f>Hoja2!$C$3:$C$143</c:f>
              <c:numCache>
                <c:formatCode>0.0%</c:formatCode>
                <c:ptCount val="141"/>
                <c:pt idx="0">
                  <c:v>0.12224203564376282</c:v>
                </c:pt>
                <c:pt idx="1">
                  <c:v>0.10726268396545011</c:v>
                </c:pt>
                <c:pt idx="2">
                  <c:v>0.11079063090350878</c:v>
                </c:pt>
                <c:pt idx="3">
                  <c:v>0.12708535642263166</c:v>
                </c:pt>
                <c:pt idx="4">
                  <c:v>0.10788209994614646</c:v>
                </c:pt>
                <c:pt idx="5">
                  <c:v>0.11199502431376178</c:v>
                </c:pt>
                <c:pt idx="6">
                  <c:v>0.11039831801461247</c:v>
                </c:pt>
                <c:pt idx="7">
                  <c:v>0.10185711912195709</c:v>
                </c:pt>
                <c:pt idx="8">
                  <c:v>9.8396917439716791E-2</c:v>
                </c:pt>
                <c:pt idx="9">
                  <c:v>8.4804797179823255E-2</c:v>
                </c:pt>
                <c:pt idx="10">
                  <c:v>8.3206082946205837E-2</c:v>
                </c:pt>
                <c:pt idx="11">
                  <c:v>7.7390781682789234E-2</c:v>
                </c:pt>
                <c:pt idx="12">
                  <c:v>7.7116946884179652E-2</c:v>
                </c:pt>
                <c:pt idx="13">
                  <c:v>7.6964611313894774E-2</c:v>
                </c:pt>
                <c:pt idx="14">
                  <c:v>7.3402189931792969E-2</c:v>
                </c:pt>
                <c:pt idx="15">
                  <c:v>6.6235844845974709E-2</c:v>
                </c:pt>
                <c:pt idx="16">
                  <c:v>5.4105750624500841E-2</c:v>
                </c:pt>
                <c:pt idx="17">
                  <c:v>4.68327401103927E-2</c:v>
                </c:pt>
                <c:pt idx="18">
                  <c:v>3.2156533938273994E-2</c:v>
                </c:pt>
                <c:pt idx="19">
                  <c:v>2.7188994847137639E-2</c:v>
                </c:pt>
                <c:pt idx="20">
                  <c:v>1.7189102498091711E-2</c:v>
                </c:pt>
                <c:pt idx="21">
                  <c:v>1.1889658645772032E-2</c:v>
                </c:pt>
                <c:pt idx="22">
                  <c:v>-7.1541366147282468E-3</c:v>
                </c:pt>
                <c:pt idx="23">
                  <c:v>-1.0632025958751243E-2</c:v>
                </c:pt>
                <c:pt idx="24">
                  <c:v>-2.6567580135804104E-2</c:v>
                </c:pt>
                <c:pt idx="25">
                  <c:v>-4.2565264722994205E-2</c:v>
                </c:pt>
                <c:pt idx="26">
                  <c:v>-5.5830707963896331E-2</c:v>
                </c:pt>
                <c:pt idx="27">
                  <c:v>-6.7364312012493682E-2</c:v>
                </c:pt>
                <c:pt idx="28">
                  <c:v>-7.0772841121914454E-2</c:v>
                </c:pt>
                <c:pt idx="29">
                  <c:v>-8.0005725995408103E-2</c:v>
                </c:pt>
                <c:pt idx="30">
                  <c:v>-8.0731597953661943E-2</c:v>
                </c:pt>
                <c:pt idx="31">
                  <c:v>-8.3733091251589203E-2</c:v>
                </c:pt>
                <c:pt idx="32">
                  <c:v>-8.0041938549003808E-2</c:v>
                </c:pt>
                <c:pt idx="33">
                  <c:v>-8.345189447286526E-2</c:v>
                </c:pt>
                <c:pt idx="34">
                  <c:v>-7.8838102651512282E-2</c:v>
                </c:pt>
                <c:pt idx="35">
                  <c:v>-8.6839090515904688E-2</c:v>
                </c:pt>
                <c:pt idx="36">
                  <c:v>-0.10013443501873279</c:v>
                </c:pt>
                <c:pt idx="37">
                  <c:v>-9.8105392181563875E-2</c:v>
                </c:pt>
                <c:pt idx="38">
                  <c:v>-0.10353596868449388</c:v>
                </c:pt>
                <c:pt idx="39">
                  <c:v>-0.10477929447750244</c:v>
                </c:pt>
                <c:pt idx="40">
                  <c:v>-0.11114072738547524</c:v>
                </c:pt>
                <c:pt idx="41">
                  <c:v>-0.10870465809460099</c:v>
                </c:pt>
                <c:pt idx="42">
                  <c:v>-0.10968903870474342</c:v>
                </c:pt>
                <c:pt idx="43">
                  <c:v>-0.10884948995683322</c:v>
                </c:pt>
                <c:pt idx="44">
                  <c:v>-0.10924944097534771</c:v>
                </c:pt>
                <c:pt idx="45">
                  <c:v>-0.106082781688633</c:v>
                </c:pt>
                <c:pt idx="46">
                  <c:v>-0.10358122342936758</c:v>
                </c:pt>
                <c:pt idx="47">
                  <c:v>-0.10012215323599219</c:v>
                </c:pt>
                <c:pt idx="48">
                  <c:v>-6.8888840363320228E-2</c:v>
                </c:pt>
                <c:pt idx="49">
                  <c:v>-6.4312474022458113E-2</c:v>
                </c:pt>
                <c:pt idx="50">
                  <c:v>-5.5452149410105199E-2</c:v>
                </c:pt>
                <c:pt idx="51">
                  <c:v>-4.9876956117640432E-2</c:v>
                </c:pt>
                <c:pt idx="52">
                  <c:v>-4.0370387336826082E-2</c:v>
                </c:pt>
                <c:pt idx="53">
                  <c:v>-3.8616607334391262E-2</c:v>
                </c:pt>
                <c:pt idx="54">
                  <c:v>-3.5370363331141456E-2</c:v>
                </c:pt>
                <c:pt idx="55">
                  <c:v>-3.6450618985589364E-2</c:v>
                </c:pt>
                <c:pt idx="56">
                  <c:v>-3.5791200942281436E-2</c:v>
                </c:pt>
                <c:pt idx="57">
                  <c:v>-3.4615844756500813E-2</c:v>
                </c:pt>
                <c:pt idx="58">
                  <c:v>-3.4098473084473828E-2</c:v>
                </c:pt>
                <c:pt idx="59">
                  <c:v>-3.823059042977979E-2</c:v>
                </c:pt>
                <c:pt idx="60">
                  <c:v>-4.7008364149859559E-2</c:v>
                </c:pt>
                <c:pt idx="61">
                  <c:v>-5.1544451069849812E-2</c:v>
                </c:pt>
                <c:pt idx="62">
                  <c:v>-5.08129072301386E-2</c:v>
                </c:pt>
                <c:pt idx="63">
                  <c:v>-5.4231422925883593E-2</c:v>
                </c:pt>
                <c:pt idx="64">
                  <c:v>-5.4863610316183961E-2</c:v>
                </c:pt>
                <c:pt idx="65">
                  <c:v>-6.0429017475410012E-2</c:v>
                </c:pt>
                <c:pt idx="66">
                  <c:v>-5.6745130874935087E-2</c:v>
                </c:pt>
                <c:pt idx="67">
                  <c:v>-5.8232908289493596E-2</c:v>
                </c:pt>
                <c:pt idx="68">
                  <c:v>-5.947142742475639E-2</c:v>
                </c:pt>
                <c:pt idx="69">
                  <c:v>-6.4034578671860659E-2</c:v>
                </c:pt>
                <c:pt idx="70">
                  <c:v>-6.7396469999672956E-2</c:v>
                </c:pt>
                <c:pt idx="71">
                  <c:v>-6.6119048129794453E-2</c:v>
                </c:pt>
                <c:pt idx="72">
                  <c:v>-6.9372597186956014E-2</c:v>
                </c:pt>
                <c:pt idx="73">
                  <c:v>-7.2201279108435892E-2</c:v>
                </c:pt>
                <c:pt idx="74">
                  <c:v>-7.6367639677544272E-2</c:v>
                </c:pt>
                <c:pt idx="75">
                  <c:v>-7.726687821857281E-2</c:v>
                </c:pt>
                <c:pt idx="76">
                  <c:v>-8.4203682704569058E-2</c:v>
                </c:pt>
                <c:pt idx="77">
                  <c:v>-8.3587568411986848E-2</c:v>
                </c:pt>
                <c:pt idx="78">
                  <c:v>-9.5529472931566731E-2</c:v>
                </c:pt>
                <c:pt idx="79">
                  <c:v>-9.6438806111232858E-2</c:v>
                </c:pt>
                <c:pt idx="80">
                  <c:v>-9.7256050198439942E-2</c:v>
                </c:pt>
                <c:pt idx="81">
                  <c:v>-9.871108791542077E-2</c:v>
                </c:pt>
                <c:pt idx="82">
                  <c:v>-0.10179270623442027</c:v>
                </c:pt>
                <c:pt idx="83">
                  <c:v>-0.10487149620630895</c:v>
                </c:pt>
                <c:pt idx="84">
                  <c:v>-9.9235045608598929E-2</c:v>
                </c:pt>
                <c:pt idx="85">
                  <c:v>-9.6729221313164096E-2</c:v>
                </c:pt>
                <c:pt idx="86">
                  <c:v>-0.11132758615344365</c:v>
                </c:pt>
                <c:pt idx="87">
                  <c:v>-0.11469887716435445</c:v>
                </c:pt>
                <c:pt idx="88">
                  <c:v>-0.11047178667650472</c:v>
                </c:pt>
                <c:pt idx="89">
                  <c:v>-0.11837898412023412</c:v>
                </c:pt>
                <c:pt idx="90">
                  <c:v>-9.9877520019070465E-2</c:v>
                </c:pt>
                <c:pt idx="91">
                  <c:v>-9.6867570648019471E-2</c:v>
                </c:pt>
                <c:pt idx="92">
                  <c:v>-9.3553458685325594E-2</c:v>
                </c:pt>
                <c:pt idx="93">
                  <c:v>-9.3503982882795725E-2</c:v>
                </c:pt>
                <c:pt idx="94">
                  <c:v>-9.1339761482550644E-2</c:v>
                </c:pt>
                <c:pt idx="95">
                  <c:v>-8.4690842844419301E-2</c:v>
                </c:pt>
                <c:pt idx="96">
                  <c:v>-8.2617026951717729E-2</c:v>
                </c:pt>
                <c:pt idx="97">
                  <c:v>-8.0596683805046074E-2</c:v>
                </c:pt>
                <c:pt idx="98">
                  <c:v>-6.4571913415954543E-2</c:v>
                </c:pt>
                <c:pt idx="99">
                  <c:v>-5.4865211943218577E-2</c:v>
                </c:pt>
                <c:pt idx="100">
                  <c:v>-5.3361670578525082E-2</c:v>
                </c:pt>
                <c:pt idx="101">
                  <c:v>-5.9773526250310606E-2</c:v>
                </c:pt>
                <c:pt idx="102">
                  <c:v>-7.4833354932826807E-2</c:v>
                </c:pt>
                <c:pt idx="103">
                  <c:v>-6.2525714531639118E-2</c:v>
                </c:pt>
                <c:pt idx="104">
                  <c:v>-6.4839053530132446E-2</c:v>
                </c:pt>
                <c:pt idx="105">
                  <c:v>-6.232656748131974E-2</c:v>
                </c:pt>
                <c:pt idx="106">
                  <c:v>-5.7111377237698761E-2</c:v>
                </c:pt>
                <c:pt idx="107">
                  <c:v>-5.7154117655351479E-2</c:v>
                </c:pt>
                <c:pt idx="108">
                  <c:v>-6.0704375550370046E-2</c:v>
                </c:pt>
                <c:pt idx="109">
                  <c:v>-5.740551632409658E-2</c:v>
                </c:pt>
                <c:pt idx="110">
                  <c:v>-5.5047055998308066E-2</c:v>
                </c:pt>
                <c:pt idx="111">
                  <c:v>-4.3402494222265622E-2</c:v>
                </c:pt>
                <c:pt idx="112">
                  <c:v>-3.772600967740139E-2</c:v>
                </c:pt>
                <c:pt idx="113">
                  <c:v>-1.2677979499961028E-2</c:v>
                </c:pt>
                <c:pt idx="114">
                  <c:v>1.4694690798967064E-3</c:v>
                </c:pt>
                <c:pt idx="115">
                  <c:v>-6.0186542236750672E-3</c:v>
                </c:pt>
                <c:pt idx="116">
                  <c:v>-9.0773240626544041E-4</c:v>
                </c:pt>
                <c:pt idx="117">
                  <c:v>1.3992753523610075E-3</c:v>
                </c:pt>
                <c:pt idx="118">
                  <c:v>3.2588618005259464E-3</c:v>
                </c:pt>
                <c:pt idx="119">
                  <c:v>-7.5204656470218194E-3</c:v>
                </c:pt>
                <c:pt idx="120">
                  <c:v>-3.0737228017349064E-3</c:v>
                </c:pt>
                <c:pt idx="121">
                  <c:v>-1.0748657639296317E-2</c:v>
                </c:pt>
                <c:pt idx="122">
                  <c:v>6.2808660843863976E-3</c:v>
                </c:pt>
                <c:pt idx="123">
                  <c:v>-7.0265015661110306E-3</c:v>
                </c:pt>
                <c:pt idx="124">
                  <c:v>-8.8022634007061517E-3</c:v>
                </c:pt>
                <c:pt idx="125">
                  <c:v>-8.5776079454706455E-3</c:v>
                </c:pt>
                <c:pt idx="126">
                  <c:v>-1.081701340709074E-2</c:v>
                </c:pt>
                <c:pt idx="127">
                  <c:v>-1.1331373177630367E-2</c:v>
                </c:pt>
                <c:pt idx="128">
                  <c:v>-5.8311942890555968E-3</c:v>
                </c:pt>
                <c:pt idx="129">
                  <c:v>1.2295087466225776E-2</c:v>
                </c:pt>
                <c:pt idx="130">
                  <c:v>9.8540787285062281E-3</c:v>
                </c:pt>
                <c:pt idx="131">
                  <c:v>1.85581888666057E-2</c:v>
                </c:pt>
                <c:pt idx="132">
                  <c:v>1.5934690074247911E-2</c:v>
                </c:pt>
                <c:pt idx="133">
                  <c:v>3.2276448084753183E-2</c:v>
                </c:pt>
                <c:pt idx="134">
                  <c:v>2.2259939167604218E-2</c:v>
                </c:pt>
                <c:pt idx="135">
                  <c:v>3.1451766414593109E-2</c:v>
                </c:pt>
                <c:pt idx="136">
                  <c:v>3.6688731446047819E-2</c:v>
                </c:pt>
                <c:pt idx="137">
                  <c:v>4.4985996298581091E-2</c:v>
                </c:pt>
                <c:pt idx="138">
                  <c:v>4.5884000487046966E-2</c:v>
                </c:pt>
                <c:pt idx="139">
                  <c:v>4.9328103629430999E-2</c:v>
                </c:pt>
                <c:pt idx="140">
                  <c:v>4.8411522323903701E-2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86776608"/>
        <c:axId val="-1086779328"/>
      </c:lineChart>
      <c:catAx>
        <c:axId val="-10867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86779328"/>
        <c:crosses val="autoZero"/>
        <c:auto val="1"/>
        <c:lblAlgn val="ctr"/>
        <c:lblOffset val="100"/>
        <c:noMultiLvlLbl val="0"/>
      </c:catAx>
      <c:valAx>
        <c:axId val="-108677932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867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3343A7-304E-4778-98A7-FD69E01C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518</TotalTime>
  <Pages>6</Pages>
  <Words>1436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34</cp:revision>
  <cp:lastPrinted>2017-06-30T07:57:00Z</cp:lastPrinted>
  <dcterms:created xsi:type="dcterms:W3CDTF">2017-03-02T14:09:00Z</dcterms:created>
  <dcterms:modified xsi:type="dcterms:W3CDTF">2017-09-29T12:20:00Z</dcterms:modified>
</cp:coreProperties>
</file>