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201404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20140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 w:rsidRPr="00201404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876E17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OCTUBRE</w:t>
      </w:r>
      <w:r w:rsidR="00930FDE" w:rsidRPr="00201404">
        <w:rPr>
          <w:rFonts w:ascii="Open Sans" w:hAnsi="Open Sans"/>
          <w:color w:val="00AAAB"/>
          <w:sz w:val="28"/>
          <w:szCs w:val="28"/>
          <w:lang w:val="es-ES"/>
        </w:rPr>
        <w:t>: PRECIO DE LA VIVIENDA EN ALQUILER</w:t>
      </w:r>
    </w:p>
    <w:p w:rsidR="00930FDE" w:rsidRPr="00201404" w:rsidRDefault="00930FDE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763F0F" w:rsidRPr="00201404" w:rsidRDefault="00D638FE" w:rsidP="00405F66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D638FE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precio de la vivienda en alquiler </w:t>
      </w:r>
      <w:r w:rsidR="00443C39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sube un </w:t>
      </w:r>
      <w:r w:rsidR="00083171">
        <w:rPr>
          <w:rFonts w:ascii="Open Sans" w:hAnsi="Open Sans"/>
          <w:b/>
          <w:bCs/>
          <w:color w:val="062151"/>
          <w:sz w:val="48"/>
          <w:szCs w:val="48"/>
          <w:lang w:val="es-ES"/>
        </w:rPr>
        <w:t>0,4</w:t>
      </w:r>
      <w:r w:rsidR="00443C39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% en </w:t>
      </w:r>
      <w:r w:rsidR="00083171">
        <w:rPr>
          <w:rFonts w:ascii="Open Sans" w:hAnsi="Open Sans"/>
          <w:b/>
          <w:bCs/>
          <w:color w:val="062151"/>
          <w:sz w:val="48"/>
          <w:szCs w:val="48"/>
          <w:lang w:val="es-ES"/>
        </w:rPr>
        <w:t>octubre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8C51BE" w:rsidRPr="00DB7164" w:rsidRDefault="00DB7164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DB7164">
        <w:rPr>
          <w:rFonts w:ascii="Open Sans Light" w:hAnsi="Open Sans Light"/>
          <w:b/>
          <w:bCs/>
          <w:lang w:val="es-ES"/>
        </w:rPr>
        <w:t>El precio se incrementa en ocho comunidades y desciende en nueve</w:t>
      </w:r>
    </w:p>
    <w:p w:rsidR="008C51BE" w:rsidRPr="00DB7164" w:rsidRDefault="00DB7164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DB7164">
        <w:rPr>
          <w:rFonts w:ascii="Open Sans Light" w:hAnsi="Open Sans Light"/>
          <w:b/>
          <w:bCs/>
          <w:lang w:val="es-ES"/>
        </w:rPr>
        <w:t>A nivel interanual el precio sube un 9,7% y se incrementa en las 17 comunidades autónomas</w:t>
      </w:r>
    </w:p>
    <w:p w:rsidR="00D638FE" w:rsidRPr="00DB7164" w:rsidRDefault="00D638FE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DB7164">
        <w:rPr>
          <w:rFonts w:ascii="Open Sans Light" w:hAnsi="Open Sans Light"/>
          <w:b/>
          <w:bCs/>
          <w:lang w:val="es-ES"/>
        </w:rPr>
        <w:t xml:space="preserve">El precio de la vivienda en alquiler lleva </w:t>
      </w:r>
      <w:r w:rsidR="008C51BE" w:rsidRPr="00DB7164">
        <w:rPr>
          <w:rFonts w:ascii="Open Sans Light" w:hAnsi="Open Sans Light"/>
          <w:b/>
          <w:bCs/>
          <w:lang w:val="es-ES"/>
        </w:rPr>
        <w:t>3</w:t>
      </w:r>
      <w:r w:rsidR="00DB7164" w:rsidRPr="00DB7164">
        <w:rPr>
          <w:rFonts w:ascii="Open Sans Light" w:hAnsi="Open Sans Light"/>
          <w:b/>
          <w:bCs/>
          <w:lang w:val="es-ES"/>
        </w:rPr>
        <w:t>2</w:t>
      </w:r>
      <w:r w:rsidR="008C51BE" w:rsidRPr="00DB7164">
        <w:rPr>
          <w:rFonts w:ascii="Open Sans Light" w:hAnsi="Open Sans Light"/>
          <w:b/>
          <w:bCs/>
          <w:lang w:val="es-ES"/>
        </w:rPr>
        <w:t xml:space="preserve"> </w:t>
      </w:r>
      <w:r w:rsidRPr="00DB7164">
        <w:rPr>
          <w:rFonts w:ascii="Open Sans Light" w:hAnsi="Open Sans Light"/>
          <w:b/>
          <w:bCs/>
          <w:lang w:val="es-ES"/>
        </w:rPr>
        <w:t>meses consecutivos subiendo a nivel interanual</w:t>
      </w:r>
    </w:p>
    <w:p w:rsidR="008C51BE" w:rsidRPr="00D638FE" w:rsidRDefault="008C51BE" w:rsidP="008C51BE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52608C" w:rsidRPr="00201404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083171">
        <w:rPr>
          <w:rFonts w:ascii="Open Sans Light" w:hAnsi="Open Sans Light"/>
          <w:b/>
          <w:color w:val="7F7F7F" w:themeColor="text1" w:themeTint="80"/>
          <w:lang w:val="es-ES"/>
        </w:rPr>
        <w:t>1</w:t>
      </w:r>
      <w:r w:rsidR="00F45084">
        <w:rPr>
          <w:rFonts w:ascii="Open Sans Light" w:hAnsi="Open Sans Light"/>
          <w:b/>
          <w:color w:val="7F7F7F" w:themeColor="text1" w:themeTint="80"/>
          <w:lang w:val="es-ES"/>
        </w:rPr>
        <w:t>6</w:t>
      </w:r>
      <w:r w:rsidR="00083171">
        <w:rPr>
          <w:rFonts w:ascii="Open Sans Light" w:hAnsi="Open Sans Light"/>
          <w:b/>
          <w:color w:val="7F7F7F" w:themeColor="text1" w:themeTint="80"/>
          <w:lang w:val="es-ES"/>
        </w:rPr>
        <w:t xml:space="preserve"> de noviembre</w:t>
      </w:r>
      <w:r w:rsidR="00137EDD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E8753C" w:rsidRPr="00201404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876E17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</w:p>
    <w:p w:rsidR="004E4DBA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E</w:t>
      </w:r>
      <w:r w:rsidR="00DB08C3">
        <w:rPr>
          <w:rFonts w:ascii="Open Sans Light" w:hAnsi="Open Sans Light"/>
          <w:lang w:val="es-ES"/>
        </w:rPr>
        <w:t xml:space="preserve">l precio medio de la vivienda en alquiler en España se incrementa un </w:t>
      </w:r>
      <w:r w:rsidR="004E4DBA">
        <w:rPr>
          <w:rFonts w:ascii="Open Sans Light" w:hAnsi="Open Sans Light"/>
          <w:lang w:val="es-ES"/>
        </w:rPr>
        <w:t>0,4% en octub</w:t>
      </w:r>
      <w:r w:rsidR="00B33003">
        <w:rPr>
          <w:rFonts w:ascii="Open Sans Light" w:hAnsi="Open Sans Light"/>
          <w:lang w:val="es-ES"/>
        </w:rPr>
        <w:t xml:space="preserve">re y se sitúa en 8 €/m2 al mes, </w:t>
      </w:r>
      <w:r w:rsidR="00B33003" w:rsidRPr="00D638FE">
        <w:rPr>
          <w:rFonts w:ascii="Open Sans Light" w:hAnsi="Open Sans Light"/>
          <w:lang w:val="es-ES"/>
        </w:rPr>
        <w:t xml:space="preserve">según los últimos datos del portal inmobiliario </w:t>
      </w:r>
      <w:hyperlink r:id="rId10" w:history="1">
        <w:proofErr w:type="spellStart"/>
        <w:r w:rsidR="00B33003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B33003">
        <w:rPr>
          <w:rFonts w:ascii="Open Sans Light" w:hAnsi="Open Sans Light"/>
          <w:lang w:val="es-ES"/>
        </w:rPr>
        <w:t>. Este</w:t>
      </w:r>
      <w:r w:rsidR="00186CB6">
        <w:rPr>
          <w:rFonts w:ascii="Open Sans Light" w:hAnsi="Open Sans Light"/>
          <w:lang w:val="es-ES"/>
        </w:rPr>
        <w:t xml:space="preserve"> leve</w:t>
      </w:r>
      <w:r w:rsidR="00B33003">
        <w:rPr>
          <w:rFonts w:ascii="Open Sans Light" w:hAnsi="Open Sans Light"/>
          <w:lang w:val="es-ES"/>
        </w:rPr>
        <w:t xml:space="preserve"> incremento rompe con cuatro meses consecutivos de pequeñas caídas, propias de la normalización del merc</w:t>
      </w:r>
      <w:r w:rsidR="006C4F8F">
        <w:rPr>
          <w:rFonts w:ascii="Open Sans Light" w:hAnsi="Open Sans Light"/>
          <w:lang w:val="es-ES"/>
        </w:rPr>
        <w:t>ado del alquiler</w:t>
      </w:r>
      <w:r>
        <w:rPr>
          <w:rFonts w:ascii="Open Sans Light" w:hAnsi="Open Sans Light"/>
          <w:lang w:val="es-ES"/>
        </w:rPr>
        <w:t>, y vuelve a las subidas de los meses anteriores.</w:t>
      </w:r>
    </w:p>
    <w:p w:rsidR="00876E17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</w:p>
    <w:p w:rsidR="00876E17" w:rsidRPr="00876E17" w:rsidRDefault="00876E17" w:rsidP="00876E17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876E17">
        <w:rPr>
          <w:rFonts w:ascii="Open Sans" w:hAnsi="Open Sans"/>
          <w:color w:val="00AAAB"/>
          <w:lang w:val="es-ES"/>
        </w:rPr>
        <w:t>Variación mensual precio alquiler desde 2007</w:t>
      </w:r>
    </w:p>
    <w:p w:rsidR="00876E17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</w:p>
    <w:p w:rsidR="00876E17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383627AE" wp14:editId="1DFAD8B0">
            <wp:extent cx="5524500" cy="206692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32A0" w:rsidRDefault="00321930" w:rsidP="00D638FE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lastRenderedPageBreak/>
        <w:t xml:space="preserve">A nivel mensual, el precio del alquiler se incrementa en </w:t>
      </w:r>
      <w:r w:rsidR="003A32A0">
        <w:rPr>
          <w:rFonts w:ascii="Open Sans Light" w:hAnsi="Open Sans Light"/>
          <w:lang w:val="es-ES"/>
        </w:rPr>
        <w:t xml:space="preserve">ocho comunidades y desciende en nueve. El incremento más acusado lo registra la comunidad de Canarias (1,4%), seguida de Andalucía y País Vasco (0,6%). En el otro extremo, Navarra es la comunidad que más cae en octubre (-2,8%), seguida de la Región de Murcia (-1,8%), Madrid (-1,5%) y Cantabria (-1,1%). </w:t>
      </w:r>
    </w:p>
    <w:p w:rsidR="006D1F02" w:rsidRDefault="006D1F02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6D1F02" w:rsidRDefault="006D1F02" w:rsidP="006D1F02">
      <w:pPr>
        <w:ind w:left="-1134"/>
        <w:jc w:val="both"/>
        <w:rPr>
          <w:rFonts w:ascii="Open Sans Light" w:hAnsi="Open Sans Light"/>
          <w:lang w:val="es-ES"/>
        </w:rPr>
      </w:pPr>
      <w:r w:rsidRPr="006D1F02">
        <w:rPr>
          <w:rFonts w:ascii="Open Sans Light" w:hAnsi="Open Sans Light"/>
          <w:lang w:val="es-ES"/>
        </w:rPr>
        <w:t>“La subida del precio del alquiler es generalizada en todo el país, pero se hace más evidente en Cataluña y la Comunidad de Madrid, que es donde se concentra la mayor demanda, así como en los principales destinos turísticos. Estas tensiones en los precios se van a mantener durante buena parte de 2018, ya que la demanda es muy superior a la oferta porque cada vez más españoles apuestan por este mercado pese a que somos un país de propietarios”</w:t>
      </w:r>
      <w:r>
        <w:rPr>
          <w:rFonts w:ascii="Open Sans Light" w:hAnsi="Open Sans Light"/>
          <w:lang w:val="es-ES"/>
        </w:rPr>
        <w:t xml:space="preserve">, explica Beatriz Toribio, responsable de Estudios de </w:t>
      </w:r>
      <w:hyperlink r:id="rId12" w:history="1">
        <w:proofErr w:type="spellStart"/>
        <w:r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lang w:val="es-ES"/>
        </w:rPr>
        <w:t xml:space="preserve">. </w:t>
      </w:r>
    </w:p>
    <w:p w:rsidR="003A32A0" w:rsidRDefault="003A32A0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863A87" w:rsidRDefault="00863A87" w:rsidP="00863A87">
      <w:pPr>
        <w:ind w:left="-1134"/>
        <w:jc w:val="both"/>
        <w:rPr>
          <w:rFonts w:ascii="Open Sans Light" w:hAnsi="Open Sans Light"/>
          <w:lang w:val="es-ES"/>
        </w:rPr>
      </w:pPr>
      <w:r w:rsidRPr="00D638FE">
        <w:rPr>
          <w:rFonts w:ascii="Open Sans Light" w:hAnsi="Open Sans Light"/>
          <w:lang w:val="es-ES"/>
        </w:rPr>
        <w:t xml:space="preserve">Por otro lado, el precio medio del mes de </w:t>
      </w:r>
      <w:r>
        <w:rPr>
          <w:rFonts w:ascii="Open Sans Light" w:hAnsi="Open Sans Light"/>
          <w:lang w:val="es-ES"/>
        </w:rPr>
        <w:t>octubre</w:t>
      </w:r>
      <w:r w:rsidRPr="00D638FE">
        <w:rPr>
          <w:rFonts w:ascii="Open Sans Light" w:hAnsi="Open Sans Light"/>
          <w:lang w:val="es-ES"/>
        </w:rPr>
        <w:t xml:space="preserve"> (8,0</w:t>
      </w:r>
      <w:r>
        <w:rPr>
          <w:rFonts w:ascii="Open Sans Light" w:hAnsi="Open Sans Light"/>
          <w:lang w:val="es-ES"/>
        </w:rPr>
        <w:t>1</w:t>
      </w:r>
      <w:r w:rsidRPr="00D638FE">
        <w:rPr>
          <w:rFonts w:ascii="Open Sans Light" w:hAnsi="Open Sans Light"/>
          <w:lang w:val="es-ES"/>
        </w:rPr>
        <w:t xml:space="preserve"> €/m2 al mes) nos devuelve a datos de </w:t>
      </w:r>
      <w:r>
        <w:rPr>
          <w:rFonts w:ascii="Open Sans Light" w:hAnsi="Open Sans Light"/>
          <w:lang w:val="es-ES"/>
        </w:rPr>
        <w:t>enero de 2011</w:t>
      </w:r>
      <w:r w:rsidRPr="00D638FE">
        <w:rPr>
          <w:rFonts w:ascii="Open Sans Light" w:hAnsi="Open Sans Light"/>
          <w:lang w:val="es-ES"/>
        </w:rPr>
        <w:t>, cuando el precio del alquiler se situó en 8,</w:t>
      </w:r>
      <w:r>
        <w:rPr>
          <w:rFonts w:ascii="Open Sans Light" w:hAnsi="Open Sans Light"/>
          <w:lang w:val="es-ES"/>
        </w:rPr>
        <w:t>01</w:t>
      </w:r>
      <w:r w:rsidRPr="00D638FE">
        <w:rPr>
          <w:rFonts w:ascii="Open Sans Light" w:hAnsi="Open Sans Light"/>
          <w:lang w:val="es-ES"/>
        </w:rPr>
        <w:t xml:space="preserve"> €/m2 al mes.</w:t>
      </w:r>
      <w:r>
        <w:rPr>
          <w:rFonts w:ascii="Open Sans Light" w:hAnsi="Open Sans Light"/>
          <w:lang w:val="es-ES"/>
        </w:rPr>
        <w:t xml:space="preserve"> </w:t>
      </w:r>
      <w:r w:rsidRPr="00D638FE">
        <w:rPr>
          <w:rFonts w:ascii="Open Sans Light" w:hAnsi="Open Sans Light"/>
          <w:lang w:val="es-ES"/>
        </w:rPr>
        <w:t>Desde que alcanzó el precio máximo en mayo de 2007 (10,12 €/m2 al mes) el precio de la vivienda lle</w:t>
      </w:r>
      <w:r>
        <w:rPr>
          <w:rFonts w:ascii="Open Sans Light" w:hAnsi="Open Sans Light"/>
          <w:lang w:val="es-ES"/>
        </w:rPr>
        <w:t>va acumulada una caída del -20,9</w:t>
      </w:r>
      <w:r w:rsidRPr="00D638FE">
        <w:rPr>
          <w:rFonts w:ascii="Open Sans Light" w:hAnsi="Open Sans Light"/>
          <w:lang w:val="es-ES"/>
        </w:rPr>
        <w:t>%.</w:t>
      </w:r>
    </w:p>
    <w:p w:rsidR="003A32A0" w:rsidRDefault="003A32A0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863A87" w:rsidRPr="00863A87" w:rsidRDefault="00863A87" w:rsidP="00863A87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 w:rsidRPr="00863A87">
        <w:rPr>
          <w:rFonts w:ascii="Open Sans" w:hAnsi="Open Sans"/>
          <w:color w:val="00AAAB"/>
          <w:sz w:val="28"/>
          <w:szCs w:val="28"/>
          <w:lang w:val="es-ES"/>
        </w:rPr>
        <w:t>El precio interanual sube en todas las comunidades</w:t>
      </w:r>
    </w:p>
    <w:p w:rsidR="00863A87" w:rsidRDefault="00863A87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4E4DBA" w:rsidRDefault="003E45C1" w:rsidP="00D638FE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A </w:t>
      </w:r>
      <w:r w:rsidRPr="00863A87">
        <w:rPr>
          <w:rFonts w:ascii="Open Sans Light" w:hAnsi="Open Sans Light"/>
          <w:b/>
          <w:bCs/>
          <w:lang w:val="es-ES"/>
        </w:rPr>
        <w:t>nivel interanual</w:t>
      </w:r>
      <w:r>
        <w:rPr>
          <w:rFonts w:ascii="Open Sans Light" w:hAnsi="Open Sans Light"/>
          <w:lang w:val="es-ES"/>
        </w:rPr>
        <w:t xml:space="preserve">, el precio de la vivienda en alquiler se incrementa un 9,7%, muy en la tónica de los últimos meses en los que el alquiler está subiendo interanualmente con cifras cercanas al 10%. Además, el precio del alquiler a nivel interanual lleva 32 meses consecutivos subiendo. </w:t>
      </w:r>
    </w:p>
    <w:p w:rsidR="00237DB3" w:rsidRDefault="00237DB3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Default="005E50D0" w:rsidP="00237DB3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5E50D0">
        <w:rPr>
          <w:rFonts w:ascii="Open Sans Light" w:hAnsi="Open Sans Light"/>
          <w:lang w:val="es-ES"/>
        </w:rPr>
        <w:t xml:space="preserve">Por Comunidades Autónomas, en el mes de </w:t>
      </w:r>
      <w:r w:rsidR="00863A87">
        <w:rPr>
          <w:rFonts w:ascii="Open Sans Light" w:hAnsi="Open Sans Light"/>
          <w:lang w:val="es-ES"/>
        </w:rPr>
        <w:t>octubre</w:t>
      </w:r>
      <w:r w:rsidRPr="005E50D0">
        <w:rPr>
          <w:rFonts w:ascii="Open Sans Light" w:hAnsi="Open Sans Light"/>
          <w:lang w:val="es-ES"/>
        </w:rPr>
        <w:t xml:space="preserve"> se registran </w:t>
      </w:r>
      <w:r w:rsidR="00237DB3">
        <w:rPr>
          <w:rFonts w:ascii="Open Sans Light" w:hAnsi="Open Sans Light"/>
          <w:lang w:val="es-ES"/>
        </w:rPr>
        <w:t>1</w:t>
      </w:r>
      <w:r w:rsidR="00863A87">
        <w:rPr>
          <w:rFonts w:ascii="Open Sans Light" w:hAnsi="Open Sans Light"/>
          <w:lang w:val="es-ES"/>
        </w:rPr>
        <w:t>7</w:t>
      </w:r>
      <w:r w:rsidRPr="005E50D0">
        <w:rPr>
          <w:rFonts w:ascii="Open Sans Light" w:hAnsi="Open Sans Light"/>
          <w:lang w:val="es-ES"/>
        </w:rPr>
        <w:t xml:space="preserve"> incrementos</w:t>
      </w:r>
      <w:r w:rsidR="00237DB3">
        <w:rPr>
          <w:rFonts w:ascii="Open Sans Light" w:hAnsi="Open Sans Light"/>
          <w:lang w:val="es-ES"/>
        </w:rPr>
        <w:t xml:space="preserve"> interanuales</w:t>
      </w:r>
      <w:r w:rsidRPr="005E50D0">
        <w:rPr>
          <w:rFonts w:ascii="Open Sans Light" w:hAnsi="Open Sans Light"/>
          <w:lang w:val="es-ES"/>
        </w:rPr>
        <w:t xml:space="preserve"> en el precio del alquiler</w:t>
      </w:r>
      <w:r w:rsidR="00863A87">
        <w:rPr>
          <w:rFonts w:ascii="Open Sans Light" w:hAnsi="Open Sans Light"/>
          <w:lang w:val="es-ES"/>
        </w:rPr>
        <w:t xml:space="preserve">, es decir, el precio sube en todas las comunidades, </w:t>
      </w:r>
      <w:r w:rsidRPr="005E50D0">
        <w:rPr>
          <w:rFonts w:ascii="Open Sans Light" w:hAnsi="Open Sans Light"/>
          <w:lang w:val="es-ES"/>
        </w:rPr>
        <w:t xml:space="preserve">con subidas que van desde el </w:t>
      </w:r>
      <w:r w:rsidR="004C261A">
        <w:rPr>
          <w:rFonts w:ascii="Open Sans Light" w:hAnsi="Open Sans Light"/>
          <w:lang w:val="es-ES"/>
        </w:rPr>
        <w:t>14,5</w:t>
      </w:r>
      <w:r w:rsidRPr="005E50D0">
        <w:rPr>
          <w:rFonts w:ascii="Open Sans Light" w:hAnsi="Open Sans Light"/>
          <w:lang w:val="es-ES"/>
        </w:rPr>
        <w:t xml:space="preserve">% de </w:t>
      </w:r>
      <w:r w:rsidR="00237DB3">
        <w:rPr>
          <w:rFonts w:ascii="Open Sans Light" w:hAnsi="Open Sans Light"/>
          <w:lang w:val="es-ES"/>
        </w:rPr>
        <w:t xml:space="preserve">Cataluña al </w:t>
      </w:r>
      <w:r w:rsidR="004C261A">
        <w:rPr>
          <w:rFonts w:ascii="Open Sans Light" w:hAnsi="Open Sans Light"/>
          <w:lang w:val="es-ES"/>
        </w:rPr>
        <w:t>0,9</w:t>
      </w:r>
      <w:r w:rsidR="00237DB3">
        <w:rPr>
          <w:rFonts w:ascii="Open Sans Light" w:hAnsi="Open Sans Light"/>
          <w:lang w:val="es-ES"/>
        </w:rPr>
        <w:t xml:space="preserve">% de </w:t>
      </w:r>
      <w:r w:rsidR="004C261A">
        <w:rPr>
          <w:rFonts w:ascii="Open Sans Light" w:hAnsi="Open Sans Light"/>
          <w:lang w:val="es-ES"/>
        </w:rPr>
        <w:t>Galicia</w:t>
      </w:r>
      <w:r w:rsidR="00237DB3">
        <w:rPr>
          <w:rFonts w:ascii="Open Sans Light" w:hAnsi="Open Sans Light"/>
          <w:lang w:val="es-ES"/>
        </w:rPr>
        <w:t>.</w:t>
      </w:r>
    </w:p>
    <w:p w:rsidR="00555744" w:rsidRDefault="00555744" w:rsidP="005E50D0">
      <w:pPr>
        <w:ind w:left="-1134"/>
        <w:rPr>
          <w:rFonts w:ascii="Open Sans" w:hAnsi="Open Sans"/>
          <w:color w:val="00AAAB"/>
          <w:lang w:val="es-ES"/>
        </w:rPr>
      </w:pPr>
    </w:p>
    <w:p w:rsidR="005E50D0" w:rsidRDefault="004C261A" w:rsidP="004C261A">
      <w:pPr>
        <w:ind w:left="-1134"/>
        <w:jc w:val="both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</w:t>
      </w:r>
      <w:r w:rsidR="005E50D0" w:rsidRPr="00405F66">
        <w:rPr>
          <w:rFonts w:ascii="Open Sans" w:hAnsi="Open Sans"/>
          <w:color w:val="00AAAB"/>
          <w:lang w:val="es-ES"/>
        </w:rPr>
        <w:t>Incrementos</w:t>
      </w:r>
      <w:r>
        <w:rPr>
          <w:rFonts w:ascii="Open Sans" w:hAnsi="Open Sans"/>
          <w:color w:val="00AAAB"/>
          <w:lang w:val="es-ES"/>
        </w:rPr>
        <w:t xml:space="preserve"> interanuales</w:t>
      </w:r>
      <w:r w:rsidR="001F0C31">
        <w:rPr>
          <w:rFonts w:ascii="Open Sans" w:hAnsi="Open Sans"/>
          <w:color w:val="00AAAB"/>
          <w:lang w:val="es-ES"/>
        </w:rPr>
        <w:t xml:space="preserve"> </w:t>
      </w:r>
      <w:r w:rsidR="005E50D0" w:rsidRPr="00405F66">
        <w:rPr>
          <w:rFonts w:ascii="Open Sans" w:hAnsi="Open Sans"/>
          <w:color w:val="00AAAB"/>
          <w:lang w:val="es-ES"/>
        </w:rPr>
        <w:t xml:space="preserve">por CC.AA. en </w:t>
      </w:r>
      <w:r>
        <w:rPr>
          <w:rFonts w:ascii="Open Sans" w:hAnsi="Open Sans"/>
          <w:color w:val="00AAAB"/>
          <w:lang w:val="es-ES"/>
        </w:rPr>
        <w:t>octubre</w:t>
      </w:r>
    </w:p>
    <w:p w:rsidR="005E50D0" w:rsidRPr="00201404" w:rsidRDefault="005E50D0" w:rsidP="005E50D0">
      <w:pPr>
        <w:ind w:left="-1134"/>
        <w:jc w:val="center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943"/>
        <w:gridCol w:w="2869"/>
      </w:tblGrid>
      <w:tr w:rsidR="005E50D0" w:rsidRPr="00201404" w:rsidTr="005E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E50D0" w:rsidRPr="00201404" w:rsidRDefault="005E50D0" w:rsidP="005E50D0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5E50D0" w:rsidRPr="00201404" w:rsidRDefault="00237DB3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</w:t>
            </w:r>
            <w:r w:rsidR="005E50D0">
              <w:rPr>
                <w:rFonts w:ascii="Open Sans Light" w:hAnsi="Open Sans Light"/>
                <w:lang w:val="es-ES"/>
              </w:rPr>
              <w:t xml:space="preserve"> </w:t>
            </w:r>
            <w:r w:rsidR="005E50D0" w:rsidRPr="00201404">
              <w:rPr>
                <w:rFonts w:ascii="Open Sans Light" w:hAnsi="Open Sans Light"/>
                <w:lang w:val="es-ES"/>
              </w:rPr>
              <w:t>2017</w:t>
            </w:r>
          </w:p>
          <w:p w:rsidR="005E50D0" w:rsidRPr="00201404" w:rsidRDefault="005E50D0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CE7BE1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Cataluña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14,5 %</w:t>
            </w:r>
          </w:p>
        </w:tc>
      </w:tr>
      <w:tr w:rsidR="00CE7BE1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Canarias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12,5 %</w:t>
            </w:r>
          </w:p>
        </w:tc>
      </w:tr>
      <w:tr w:rsidR="00CE7BE1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Madrid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9,5 %</w:t>
            </w:r>
          </w:p>
        </w:tc>
      </w:tr>
      <w:tr w:rsidR="00CE7BE1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Comunitat Valenciana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7,7 %</w:t>
            </w:r>
          </w:p>
        </w:tc>
      </w:tr>
      <w:tr w:rsidR="00CE7BE1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Baleares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6,8 %</w:t>
            </w:r>
          </w:p>
        </w:tc>
      </w:tr>
      <w:tr w:rsidR="00CE7BE1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lastRenderedPageBreak/>
              <w:t>Andalucía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5,2 %</w:t>
            </w:r>
          </w:p>
        </w:tc>
      </w:tr>
      <w:tr w:rsidR="00CE7BE1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País Vasco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4,7 %</w:t>
            </w:r>
          </w:p>
        </w:tc>
      </w:tr>
      <w:tr w:rsidR="00CE7BE1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Castilla-La Mancha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4,5 %</w:t>
            </w:r>
          </w:p>
        </w:tc>
      </w:tr>
      <w:tr w:rsidR="00CE7BE1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Extremadura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3,5 %</w:t>
            </w:r>
          </w:p>
        </w:tc>
      </w:tr>
      <w:tr w:rsidR="00CE7BE1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Cantabria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3,3 %</w:t>
            </w:r>
          </w:p>
        </w:tc>
      </w:tr>
      <w:tr w:rsidR="00CE7BE1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2,6 %</w:t>
            </w:r>
          </w:p>
        </w:tc>
      </w:tr>
      <w:tr w:rsidR="00CE7BE1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La Rioja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2,5 %</w:t>
            </w:r>
          </w:p>
        </w:tc>
      </w:tr>
      <w:tr w:rsidR="00CE7BE1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Castilla y León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2,4 %</w:t>
            </w:r>
          </w:p>
        </w:tc>
      </w:tr>
      <w:tr w:rsidR="00CE7BE1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Asturias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1,9 %</w:t>
            </w:r>
          </w:p>
        </w:tc>
      </w:tr>
      <w:tr w:rsidR="00CE7BE1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Región de Murcia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1,6 %</w:t>
            </w:r>
          </w:p>
        </w:tc>
      </w:tr>
      <w:tr w:rsidR="00CE7BE1" w:rsidRPr="00201404" w:rsidTr="00C14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Navarra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1,4 %</w:t>
            </w:r>
          </w:p>
        </w:tc>
      </w:tr>
      <w:tr w:rsidR="00CE7BE1" w:rsidRPr="00201404" w:rsidTr="00FD3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CE7BE1" w:rsidP="00CE7BE1">
            <w:pPr>
              <w:rPr>
                <w:rFonts w:ascii="Open Sans Light" w:hAnsi="Open Sans Light" w:cs="Open Sans Light"/>
              </w:rPr>
            </w:pPr>
            <w:r w:rsidRPr="00CE7BE1">
              <w:rPr>
                <w:rFonts w:ascii="Open Sans Light" w:hAnsi="Open Sans Light" w:cs="Open Sans Light"/>
              </w:rPr>
              <w:t>Galicia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CE7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0,9 %</w:t>
            </w:r>
          </w:p>
        </w:tc>
      </w:tr>
    </w:tbl>
    <w:p w:rsidR="00CE7BE1" w:rsidRDefault="00CE7BE1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CE7BE1" w:rsidRDefault="00CE7BE1" w:rsidP="0006369A">
      <w:pPr>
        <w:ind w:left="-1134"/>
        <w:jc w:val="both"/>
        <w:rPr>
          <w:rFonts w:ascii="Open Sans Light" w:hAnsi="Open Sans Light"/>
        </w:rPr>
      </w:pPr>
    </w:p>
    <w:p w:rsidR="005E50D0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  <w:r w:rsidRPr="00555744">
        <w:rPr>
          <w:rFonts w:ascii="Open Sans Light" w:hAnsi="Open Sans Light"/>
          <w:lang w:val="es-ES"/>
        </w:rPr>
        <w:t xml:space="preserve">En cuanto al </w:t>
      </w:r>
      <w:r w:rsidRPr="00DC64DB">
        <w:rPr>
          <w:rFonts w:ascii="Open Sans Light" w:hAnsi="Open Sans Light"/>
          <w:b/>
          <w:bCs/>
          <w:lang w:val="es-ES"/>
        </w:rPr>
        <w:t>ranking de precios</w:t>
      </w:r>
      <w:r w:rsidRPr="00555744">
        <w:rPr>
          <w:rFonts w:ascii="Open Sans Light" w:hAnsi="Open Sans Light"/>
          <w:lang w:val="es-ES"/>
        </w:rPr>
        <w:t xml:space="preserve">, Cataluña es la comunidad más cara para alquilar una vivienda de segunda mano, con un precio de </w:t>
      </w:r>
      <w:r w:rsidR="00024DB0">
        <w:rPr>
          <w:rFonts w:ascii="Open Sans Light" w:hAnsi="Open Sans Light"/>
          <w:lang w:val="es-ES"/>
        </w:rPr>
        <w:t>12,</w:t>
      </w:r>
      <w:r w:rsidR="00DC64DB">
        <w:rPr>
          <w:rFonts w:ascii="Open Sans Light" w:hAnsi="Open Sans Light"/>
          <w:lang w:val="es-ES"/>
        </w:rPr>
        <w:t>27</w:t>
      </w:r>
      <w:r w:rsidRPr="00555744">
        <w:rPr>
          <w:rFonts w:ascii="Open Sans Light" w:hAnsi="Open Sans Light"/>
          <w:lang w:val="es-ES"/>
        </w:rPr>
        <w:t xml:space="preserve"> €/m</w:t>
      </w:r>
      <w:r w:rsidR="00024DB0">
        <w:rPr>
          <w:rFonts w:ascii="Open Sans Light" w:hAnsi="Open Sans Light"/>
          <w:lang w:val="es-ES"/>
        </w:rPr>
        <w:t>2 al mes. Le sigue Madrid (11,</w:t>
      </w:r>
      <w:r w:rsidR="00DC64DB">
        <w:rPr>
          <w:rFonts w:ascii="Open Sans Light" w:hAnsi="Open Sans Light"/>
          <w:lang w:val="es-ES"/>
        </w:rPr>
        <w:t>53</w:t>
      </w:r>
      <w:r w:rsidRPr="00555744">
        <w:rPr>
          <w:rFonts w:ascii="Open Sans Light" w:hAnsi="Open Sans Light"/>
          <w:lang w:val="es-ES"/>
        </w:rPr>
        <w:t xml:space="preserve"> </w:t>
      </w:r>
      <w:r w:rsidR="00024DB0">
        <w:rPr>
          <w:rFonts w:ascii="Open Sans Light" w:hAnsi="Open Sans Light"/>
          <w:lang w:val="es-ES"/>
        </w:rPr>
        <w:t>€/m2 al mes) y País Vasco (10,</w:t>
      </w:r>
      <w:r w:rsidR="00DC64DB">
        <w:rPr>
          <w:rFonts w:ascii="Open Sans Light" w:hAnsi="Open Sans Light"/>
          <w:lang w:val="es-ES"/>
        </w:rPr>
        <w:t>91</w:t>
      </w:r>
      <w:r w:rsidRPr="00555744">
        <w:rPr>
          <w:rFonts w:ascii="Open Sans Light" w:hAnsi="Open Sans Light"/>
          <w:lang w:val="es-ES"/>
        </w:rPr>
        <w:t xml:space="preserve"> €/m2 al mes). En el lado opuesto, Extremadura (4,7</w:t>
      </w:r>
      <w:r w:rsidR="00DC64DB">
        <w:rPr>
          <w:rFonts w:ascii="Open Sans Light" w:hAnsi="Open Sans Light"/>
          <w:lang w:val="es-ES"/>
        </w:rPr>
        <w:t>9</w:t>
      </w:r>
      <w:r w:rsidRPr="00555744">
        <w:rPr>
          <w:rFonts w:ascii="Open Sans Light" w:hAnsi="Open Sans Light"/>
          <w:lang w:val="es-ES"/>
        </w:rPr>
        <w:t xml:space="preserve"> €/m2</w:t>
      </w:r>
      <w:r w:rsidR="00024DB0">
        <w:rPr>
          <w:rFonts w:ascii="Open Sans Light" w:hAnsi="Open Sans Light"/>
          <w:lang w:val="es-ES"/>
        </w:rPr>
        <w:t xml:space="preserve"> al mes) y Castilla-La Mancha (</w:t>
      </w:r>
      <w:r w:rsidR="00DC64DB">
        <w:rPr>
          <w:rFonts w:ascii="Open Sans Light" w:hAnsi="Open Sans Light"/>
          <w:lang w:val="es-ES"/>
        </w:rPr>
        <w:t>4,99</w:t>
      </w:r>
      <w:r w:rsidRPr="00555744">
        <w:rPr>
          <w:rFonts w:ascii="Open Sans Light" w:hAnsi="Open Sans Light"/>
          <w:lang w:val="es-ES"/>
        </w:rPr>
        <w:t xml:space="preserve"> €/m2 al mes) son las dos comunidades con los precios de la vivienda en alquiler más asequibles.</w:t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C53AB3" w:rsidRDefault="00C53AB3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Pr="00555744" w:rsidRDefault="00555744" w:rsidP="00555744">
      <w:pPr>
        <w:ind w:left="-1134"/>
        <w:rPr>
          <w:rFonts w:ascii="Open Sans" w:hAnsi="Open Sans"/>
          <w:color w:val="00AAAB"/>
          <w:lang w:val="es-ES"/>
        </w:rPr>
      </w:pPr>
      <w:r w:rsidRPr="00555744">
        <w:rPr>
          <w:rFonts w:ascii="Open Sans" w:hAnsi="Open Sans"/>
          <w:color w:val="00AAAB"/>
          <w:lang w:val="es-ES"/>
        </w:rPr>
        <w:t>Ranking del precio medio de la vivienda en alquiler más caro por CC.AA.</w:t>
      </w:r>
    </w:p>
    <w:p w:rsidR="00D638FE" w:rsidRDefault="00D638FE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D638FE" w:rsidRDefault="00DC64DB" w:rsidP="0006369A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7CD51B87" wp14:editId="47E8A93F">
            <wp:extent cx="5648325" cy="29813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7403" w:rsidRDefault="001F7403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981D72" w:rsidRDefault="001F7403" w:rsidP="0006369A">
      <w:pPr>
        <w:ind w:left="-1134"/>
        <w:jc w:val="both"/>
        <w:rPr>
          <w:rFonts w:ascii="Open Sans Light" w:hAnsi="Open Sans Light"/>
          <w:lang w:val="es-ES"/>
        </w:rPr>
      </w:pPr>
      <w:r w:rsidRPr="001F7403">
        <w:rPr>
          <w:rFonts w:ascii="Open Sans Light" w:hAnsi="Open Sans Light"/>
          <w:lang w:val="es-ES"/>
        </w:rPr>
        <w:lastRenderedPageBreak/>
        <w:t xml:space="preserve">Respecto a la evolución por </w:t>
      </w:r>
      <w:r w:rsidRPr="001F7403">
        <w:rPr>
          <w:rFonts w:ascii="Open Sans Light" w:hAnsi="Open Sans Light"/>
          <w:b/>
          <w:bCs/>
          <w:lang w:val="es-ES"/>
        </w:rPr>
        <w:t>provincias</w:t>
      </w:r>
      <w:r w:rsidRPr="001F7403">
        <w:rPr>
          <w:rFonts w:ascii="Open Sans Light" w:hAnsi="Open Sans Light"/>
          <w:lang w:val="es-ES"/>
        </w:rPr>
        <w:t xml:space="preserve">, </w:t>
      </w:r>
      <w:r w:rsidR="00981D72">
        <w:rPr>
          <w:rFonts w:ascii="Open Sans Light" w:hAnsi="Open Sans Light"/>
          <w:lang w:val="es-ES"/>
        </w:rPr>
        <w:t>24</w:t>
      </w:r>
      <w:r w:rsidRPr="001F7403">
        <w:rPr>
          <w:rFonts w:ascii="Open Sans Light" w:hAnsi="Open Sans Light"/>
          <w:lang w:val="es-ES"/>
        </w:rPr>
        <w:t xml:space="preserve"> de ellas registran aumentos </w:t>
      </w:r>
      <w:r w:rsidR="00981D72">
        <w:rPr>
          <w:rFonts w:ascii="Open Sans Light" w:hAnsi="Open Sans Light"/>
          <w:lang w:val="es-ES"/>
        </w:rPr>
        <w:t xml:space="preserve">mensuales en el </w:t>
      </w:r>
      <w:r w:rsidRPr="001F7403">
        <w:rPr>
          <w:rFonts w:ascii="Open Sans Light" w:hAnsi="Open Sans Light"/>
          <w:lang w:val="es-ES"/>
        </w:rPr>
        <w:t xml:space="preserve">precio del alquiler respecto al mes de </w:t>
      </w:r>
      <w:r w:rsidR="00981D72">
        <w:rPr>
          <w:rFonts w:ascii="Open Sans Light" w:hAnsi="Open Sans Light"/>
          <w:lang w:val="es-ES"/>
        </w:rPr>
        <w:t>septiembre</w:t>
      </w:r>
      <w:r w:rsidR="006B7A4C">
        <w:rPr>
          <w:rFonts w:ascii="Open Sans Light" w:hAnsi="Open Sans Light"/>
          <w:lang w:val="es-ES"/>
        </w:rPr>
        <w:t>, con incrementos que van del 3</w:t>
      </w:r>
      <w:r w:rsidR="00981D72">
        <w:rPr>
          <w:rFonts w:ascii="Open Sans Light" w:hAnsi="Open Sans Light"/>
          <w:lang w:val="es-ES"/>
        </w:rPr>
        <w:t>,2</w:t>
      </w:r>
      <w:r w:rsidRPr="001F7403">
        <w:rPr>
          <w:rFonts w:ascii="Open Sans Light" w:hAnsi="Open Sans Light"/>
          <w:lang w:val="es-ES"/>
        </w:rPr>
        <w:t xml:space="preserve">% </w:t>
      </w:r>
      <w:r w:rsidR="00981D72">
        <w:rPr>
          <w:rFonts w:ascii="Open Sans Light" w:hAnsi="Open Sans Light"/>
          <w:lang w:val="es-ES"/>
        </w:rPr>
        <w:t xml:space="preserve">en Las Palmas. Por el contrario, el precio del alquiler desciende en 24 provincias con retrocesos que van del -3,9% de Burgos al -0,1% de Santa Cruz de Tenerife. </w:t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C53AB3" w:rsidRDefault="00C53AB3" w:rsidP="00981D72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584AAF" w:rsidRDefault="00584AAF" w:rsidP="00981D72">
      <w:pPr>
        <w:ind w:left="-1134"/>
        <w:jc w:val="both"/>
        <w:rPr>
          <w:rFonts w:ascii="Open Sans Light" w:hAnsi="Open Sans Light"/>
          <w:lang w:val="es-ES"/>
        </w:rPr>
      </w:pPr>
      <w:r w:rsidRPr="00584AAF">
        <w:rPr>
          <w:rFonts w:ascii="Open Sans" w:hAnsi="Open Sans"/>
          <w:color w:val="00AAAB"/>
          <w:lang w:val="es-ES"/>
        </w:rPr>
        <w:t xml:space="preserve">Se incrementa el precio en </w:t>
      </w:r>
      <w:r w:rsidR="00AB2301">
        <w:rPr>
          <w:rFonts w:ascii="Open Sans" w:hAnsi="Open Sans"/>
          <w:color w:val="00AAAB"/>
          <w:lang w:val="es-ES"/>
        </w:rPr>
        <w:t>12</w:t>
      </w:r>
      <w:r w:rsidRPr="00584AAF">
        <w:rPr>
          <w:rFonts w:ascii="Open Sans" w:hAnsi="Open Sans"/>
          <w:color w:val="00AAAB"/>
          <w:lang w:val="es-ES"/>
        </w:rPr>
        <w:t xml:space="preserve"> distritos madrileños y en </w:t>
      </w:r>
      <w:r w:rsidR="003F53B0">
        <w:rPr>
          <w:rFonts w:ascii="Open Sans" w:hAnsi="Open Sans"/>
          <w:color w:val="00AAAB"/>
          <w:lang w:val="es-ES"/>
        </w:rPr>
        <w:t>seis barceloneses</w:t>
      </w:r>
      <w:r w:rsidRPr="00584AAF">
        <w:rPr>
          <w:rFonts w:ascii="Open Sans Light" w:hAnsi="Open Sans Light"/>
          <w:lang w:val="es-ES"/>
        </w:rPr>
        <w:t xml:space="preserve"> </w:t>
      </w:r>
    </w:p>
    <w:p w:rsidR="00584AAF" w:rsidRDefault="00584AAF" w:rsidP="00981D72">
      <w:pPr>
        <w:ind w:left="-1134"/>
        <w:jc w:val="both"/>
        <w:rPr>
          <w:rFonts w:ascii="Open Sans Light" w:hAnsi="Open Sans Light"/>
          <w:lang w:val="es-ES"/>
        </w:rPr>
      </w:pPr>
    </w:p>
    <w:p w:rsidR="001D27D7" w:rsidRPr="006013BE" w:rsidRDefault="001D27D7" w:rsidP="001D27D7">
      <w:pPr>
        <w:ind w:left="-1276"/>
        <w:jc w:val="both"/>
        <w:rPr>
          <w:rFonts w:ascii="Open Sans Light" w:hAnsi="Open Sans Light"/>
          <w:lang w:val="es-ES"/>
        </w:rPr>
      </w:pPr>
      <w:r w:rsidRPr="001D27D7">
        <w:rPr>
          <w:rFonts w:ascii="Open Sans Light" w:hAnsi="Open Sans Light"/>
          <w:b/>
          <w:bCs/>
          <w:lang w:val="es-ES"/>
        </w:rPr>
        <w:t>De los 21 distritos madrileños</w:t>
      </w:r>
      <w:r w:rsidRPr="006013BE">
        <w:rPr>
          <w:rFonts w:ascii="Open Sans Light" w:hAnsi="Open Sans Light"/>
          <w:lang w:val="es-ES"/>
        </w:rPr>
        <w:t xml:space="preserve"> estudiados por </w:t>
      </w:r>
      <w:hyperlink r:id="rId14" w:history="1">
        <w:proofErr w:type="spellStart"/>
        <w:r w:rsidRPr="006013BE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6013BE">
        <w:rPr>
          <w:rFonts w:ascii="Open Sans Light" w:hAnsi="Open Sans Light"/>
          <w:lang w:val="es-ES"/>
        </w:rPr>
        <w:t xml:space="preserve">, en 12 de ellos se registran incrementos en el precio del alquiler. La subida más alta se da en </w:t>
      </w:r>
      <w:r>
        <w:rPr>
          <w:rFonts w:ascii="Open Sans Light" w:hAnsi="Open Sans Light"/>
          <w:lang w:val="es-ES"/>
        </w:rPr>
        <w:t>Tetuán</w:t>
      </w:r>
      <w:r w:rsidRPr="006013BE">
        <w:rPr>
          <w:rFonts w:ascii="Open Sans Light" w:hAnsi="Open Sans Light"/>
          <w:lang w:val="es-ES"/>
        </w:rPr>
        <w:t xml:space="preserve"> (</w:t>
      </w:r>
      <w:r>
        <w:rPr>
          <w:rFonts w:ascii="Open Sans Light" w:hAnsi="Open Sans Light"/>
          <w:lang w:val="es-ES"/>
        </w:rPr>
        <w:t>4</w:t>
      </w:r>
      <w:r w:rsidRPr="006013BE">
        <w:rPr>
          <w:rFonts w:ascii="Open Sans Light" w:hAnsi="Open Sans Light"/>
          <w:lang w:val="es-ES"/>
        </w:rPr>
        <w:t xml:space="preserve">,6%), y en  </w:t>
      </w:r>
      <w:r>
        <w:rPr>
          <w:rFonts w:ascii="Open Sans Light" w:hAnsi="Open Sans Light"/>
          <w:lang w:val="es-ES"/>
        </w:rPr>
        <w:t>Fuencarral</w:t>
      </w:r>
      <w:r w:rsidRPr="006013BE">
        <w:rPr>
          <w:rFonts w:ascii="Open Sans Light" w:hAnsi="Open Sans Light"/>
          <w:lang w:val="es-ES"/>
        </w:rPr>
        <w:t xml:space="preserve"> (3,</w:t>
      </w:r>
      <w:r>
        <w:rPr>
          <w:rFonts w:ascii="Open Sans Light" w:hAnsi="Open Sans Light"/>
          <w:lang w:val="es-ES"/>
        </w:rPr>
        <w:t>4</w:t>
      </w:r>
      <w:r w:rsidRPr="006013BE">
        <w:rPr>
          <w:rFonts w:ascii="Open Sans Light" w:hAnsi="Open Sans Light"/>
          <w:lang w:val="es-ES"/>
        </w:rPr>
        <w:t xml:space="preserve">%). En cuanto a los descensos, la caída más notable se da en el distrito de </w:t>
      </w:r>
      <w:r>
        <w:rPr>
          <w:rFonts w:ascii="Open Sans Light" w:hAnsi="Open Sans Light"/>
          <w:lang w:val="es-ES"/>
        </w:rPr>
        <w:t>Villa de Vallecas</w:t>
      </w:r>
      <w:r w:rsidRPr="006013BE">
        <w:rPr>
          <w:rFonts w:ascii="Open Sans Light" w:hAnsi="Open Sans Light"/>
          <w:lang w:val="es-ES"/>
        </w:rPr>
        <w:t xml:space="preserve"> (-2,5%), seguido de </w:t>
      </w:r>
      <w:proofErr w:type="spellStart"/>
      <w:r>
        <w:rPr>
          <w:rFonts w:ascii="Open Sans Light" w:hAnsi="Open Sans Light"/>
          <w:lang w:val="es-ES"/>
        </w:rPr>
        <w:t>Vicálvaro</w:t>
      </w:r>
      <w:proofErr w:type="spellEnd"/>
      <w:r w:rsidRPr="006013BE">
        <w:rPr>
          <w:rFonts w:ascii="Open Sans Light" w:hAnsi="Open Sans Light"/>
          <w:lang w:val="es-ES"/>
        </w:rPr>
        <w:t xml:space="preserve"> (-2,2%). </w:t>
      </w:r>
    </w:p>
    <w:p w:rsidR="001D27D7" w:rsidRPr="006013BE" w:rsidRDefault="001D27D7" w:rsidP="001D27D7">
      <w:pPr>
        <w:ind w:left="-1276"/>
        <w:jc w:val="both"/>
        <w:rPr>
          <w:rFonts w:ascii="Open Sans Light" w:hAnsi="Open Sans Light"/>
          <w:lang w:val="es-ES"/>
        </w:rPr>
      </w:pPr>
    </w:p>
    <w:p w:rsidR="001D27D7" w:rsidRPr="006013BE" w:rsidRDefault="001D27D7" w:rsidP="001D27D7">
      <w:pPr>
        <w:ind w:left="-1276"/>
        <w:jc w:val="both"/>
        <w:rPr>
          <w:rFonts w:ascii="Open Sans Light" w:hAnsi="Open Sans Light"/>
          <w:lang w:val="es-ES"/>
        </w:rPr>
      </w:pPr>
      <w:r w:rsidRPr="006013BE">
        <w:rPr>
          <w:rFonts w:ascii="Open Sans Light" w:hAnsi="Open Sans Light"/>
          <w:lang w:val="es-ES"/>
        </w:rPr>
        <w:t>El distrito de Salamanca continúa siendo el más caro de Madrid, con un precio medio de 16,17 €/m2 y un ascenso mensual respecto al mes anterior del 0,2%. El más barato es Villaverde, que tiene un precio medio de 8,79 €/m2 al mes y este mes de octubre asciende el precio un 1,8% respecto al mes anterior.</w:t>
      </w:r>
    </w:p>
    <w:p w:rsidR="001D27D7" w:rsidRDefault="001D27D7" w:rsidP="001D27D7">
      <w:pPr>
        <w:ind w:left="-1276"/>
        <w:jc w:val="both"/>
        <w:rPr>
          <w:rFonts w:ascii="Open Sans Light" w:hAnsi="Open Sans Light"/>
          <w:lang w:val="es-ES"/>
        </w:rPr>
      </w:pPr>
    </w:p>
    <w:p w:rsidR="001D27D7" w:rsidRPr="006013BE" w:rsidRDefault="001D27D7" w:rsidP="001D27D7">
      <w:pPr>
        <w:ind w:left="-1276"/>
        <w:rPr>
          <w:rFonts w:ascii="Open Sans" w:hAnsi="Open Sans"/>
          <w:color w:val="00AAAB"/>
          <w:lang w:val="es-ES"/>
        </w:rPr>
      </w:pPr>
      <w:r w:rsidRPr="006013BE">
        <w:rPr>
          <w:rFonts w:ascii="Open Sans" w:hAnsi="Open Sans"/>
          <w:color w:val="00AAAB"/>
          <w:lang w:val="es-ES"/>
        </w:rPr>
        <w:t>Distritos con mayor aumento en el precio de la vivienda en alquiler</w:t>
      </w:r>
    </w:p>
    <w:p w:rsidR="001D27D7" w:rsidRPr="006013BE" w:rsidRDefault="001D27D7" w:rsidP="001D27D7">
      <w:pPr>
        <w:ind w:left="-1276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53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1D27D7" w:rsidRPr="006013BE" w:rsidTr="00E6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D27D7" w:rsidRPr="006013BE" w:rsidRDefault="001D27D7" w:rsidP="00E638BC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6013BE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1D27D7" w:rsidRPr="006013BE" w:rsidRDefault="001D27D7" w:rsidP="00E6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6013BE">
              <w:rPr>
                <w:rFonts w:ascii="Open Sans Light" w:hAnsi="Open Sans Light"/>
                <w:lang w:val="es-ES"/>
              </w:rPr>
              <w:t>Variación</w:t>
            </w:r>
          </w:p>
          <w:p w:rsidR="001D27D7" w:rsidRPr="006013BE" w:rsidRDefault="001D27D7" w:rsidP="00E6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6013BE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1D27D7" w:rsidRPr="006013BE" w:rsidRDefault="001D27D7" w:rsidP="00E6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6013BE">
              <w:rPr>
                <w:rFonts w:ascii="Open Sans Light" w:hAnsi="Open Sans Light"/>
                <w:lang w:val="es-ES"/>
              </w:rPr>
              <w:t>Octubre 2017</w:t>
            </w:r>
            <w:r w:rsidRPr="006013BE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1D27D7" w:rsidRPr="006013BE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Tetuán</w:t>
            </w:r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4,6 %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14,69 €</w:t>
            </w:r>
          </w:p>
        </w:tc>
      </w:tr>
      <w:tr w:rsidR="001D27D7" w:rsidRPr="006013BE" w:rsidTr="00E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Fuencarral</w:t>
            </w:r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3,4 %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12,03 €</w:t>
            </w:r>
          </w:p>
        </w:tc>
      </w:tr>
      <w:tr w:rsidR="001D27D7" w:rsidRPr="006013BE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 Blas</w:t>
            </w:r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2,8 %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10,88 €</w:t>
            </w:r>
          </w:p>
        </w:tc>
      </w:tr>
      <w:tr w:rsidR="001D27D7" w:rsidRPr="006013BE" w:rsidTr="00E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Barajas</w:t>
            </w:r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2,3 %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10,94 €</w:t>
            </w:r>
          </w:p>
        </w:tc>
      </w:tr>
      <w:tr w:rsidR="001D27D7" w:rsidRPr="006013BE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Moncloa</w:t>
            </w:r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2,0 %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14,16 €</w:t>
            </w:r>
          </w:p>
        </w:tc>
      </w:tr>
    </w:tbl>
    <w:p w:rsidR="001D27D7" w:rsidRPr="006013BE" w:rsidRDefault="001D27D7" w:rsidP="001D27D7">
      <w:pPr>
        <w:ind w:left="-1276"/>
        <w:rPr>
          <w:rFonts w:ascii="Open Sans Light" w:hAnsi="Open Sans Light"/>
          <w:b/>
          <w:lang w:val="es-ES"/>
        </w:rPr>
      </w:pPr>
    </w:p>
    <w:p w:rsidR="001D27D7" w:rsidRPr="006013BE" w:rsidRDefault="001D27D7" w:rsidP="001D27D7">
      <w:pPr>
        <w:ind w:left="-1276"/>
        <w:rPr>
          <w:rFonts w:ascii="Open Sans" w:hAnsi="Open Sans"/>
          <w:color w:val="00AAAB"/>
          <w:lang w:val="es-ES"/>
        </w:rPr>
      </w:pPr>
      <w:r w:rsidRPr="006013BE">
        <w:rPr>
          <w:rFonts w:ascii="Open Sans" w:hAnsi="Open Sans"/>
          <w:color w:val="00AAAB"/>
          <w:lang w:val="es-ES"/>
        </w:rPr>
        <w:t>Distritos con mayor descenso en el precio de la vivienda en alquiler</w:t>
      </w:r>
    </w:p>
    <w:p w:rsidR="001D27D7" w:rsidRPr="006013BE" w:rsidRDefault="001D27D7" w:rsidP="001D27D7">
      <w:pPr>
        <w:ind w:left="-1276"/>
        <w:jc w:val="both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53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1D27D7" w:rsidRPr="006013BE" w:rsidTr="00E6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D27D7" w:rsidRPr="006013BE" w:rsidRDefault="001D27D7" w:rsidP="00E638BC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6013BE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1D27D7" w:rsidRPr="006013BE" w:rsidRDefault="001D27D7" w:rsidP="00E6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6013BE">
              <w:rPr>
                <w:rFonts w:ascii="Open Sans Light" w:hAnsi="Open Sans Light"/>
                <w:lang w:val="es-ES"/>
              </w:rPr>
              <w:t>Variación</w:t>
            </w:r>
          </w:p>
          <w:p w:rsidR="001D27D7" w:rsidRPr="006013BE" w:rsidRDefault="001D27D7" w:rsidP="00E6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6013BE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1D27D7" w:rsidRPr="006013BE" w:rsidRDefault="001D27D7" w:rsidP="00E6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6013BE">
              <w:rPr>
                <w:rFonts w:ascii="Open Sans Light" w:hAnsi="Open Sans Light"/>
                <w:lang w:val="es-ES"/>
              </w:rPr>
              <w:t>Octubre 2017</w:t>
            </w:r>
            <w:r w:rsidRPr="006013BE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1D27D7" w:rsidRPr="006013BE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Villa de Vallecas</w:t>
            </w:r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-2,5 %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9,45 €</w:t>
            </w:r>
          </w:p>
        </w:tc>
      </w:tr>
      <w:tr w:rsidR="001D27D7" w:rsidRPr="006013BE" w:rsidTr="00E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Vicálvaro</w:t>
            </w:r>
            <w:proofErr w:type="spellEnd"/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-2,2 %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9,30 €</w:t>
            </w:r>
          </w:p>
        </w:tc>
      </w:tr>
      <w:tr w:rsidR="001D27D7" w:rsidRPr="006013BE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-2,2 %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13,30 €</w:t>
            </w:r>
          </w:p>
        </w:tc>
      </w:tr>
      <w:tr w:rsidR="001D27D7" w:rsidRPr="006013BE" w:rsidTr="00E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Salamanca</w:t>
            </w:r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-1,3 %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16,17 €</w:t>
            </w:r>
          </w:p>
        </w:tc>
      </w:tr>
      <w:tr w:rsidR="001D27D7" w:rsidRPr="006013BE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1D27D7" w:rsidRPr="00901E65" w:rsidRDefault="001D27D7" w:rsidP="00E638BC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Chamartín</w:t>
            </w:r>
          </w:p>
        </w:tc>
        <w:tc>
          <w:tcPr>
            <w:tcW w:w="1843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-1,2 %</w:t>
            </w:r>
          </w:p>
        </w:tc>
        <w:tc>
          <w:tcPr>
            <w:tcW w:w="2239" w:type="dxa"/>
            <w:vAlign w:val="bottom"/>
          </w:tcPr>
          <w:p w:rsidR="001D27D7" w:rsidRPr="00901E65" w:rsidRDefault="001D27D7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901E6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14,50 €</w:t>
            </w:r>
          </w:p>
        </w:tc>
      </w:tr>
    </w:tbl>
    <w:p w:rsidR="001D27D7" w:rsidRDefault="001D27D7" w:rsidP="001D27D7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1D27D7" w:rsidRDefault="001D27D7" w:rsidP="003F53B0">
      <w:pPr>
        <w:ind w:left="-1276"/>
        <w:jc w:val="both"/>
        <w:rPr>
          <w:rFonts w:ascii="Open Sans Light" w:hAnsi="Open Sans Light"/>
          <w:b/>
          <w:bCs/>
          <w:lang w:val="es-ES"/>
        </w:rPr>
      </w:pPr>
    </w:p>
    <w:p w:rsidR="003F53B0" w:rsidRPr="00B7747B" w:rsidRDefault="003F53B0" w:rsidP="003F53B0">
      <w:pPr>
        <w:ind w:left="-1276"/>
        <w:jc w:val="both"/>
        <w:rPr>
          <w:rFonts w:ascii="Open Sans Light" w:hAnsi="Open Sans Light"/>
          <w:lang w:val="es-ES"/>
        </w:rPr>
      </w:pPr>
      <w:r w:rsidRPr="001D27D7">
        <w:rPr>
          <w:rFonts w:ascii="Open Sans Light" w:hAnsi="Open Sans Light"/>
          <w:b/>
          <w:bCs/>
          <w:lang w:val="es-ES"/>
        </w:rPr>
        <w:lastRenderedPageBreak/>
        <w:t>De los 10 distritos catalanes</w:t>
      </w:r>
      <w:r w:rsidRPr="00B7747B">
        <w:rPr>
          <w:rFonts w:ascii="Open Sans Light" w:hAnsi="Open Sans Light"/>
          <w:lang w:val="es-ES"/>
        </w:rPr>
        <w:t xml:space="preserve"> estudiados por </w:t>
      </w:r>
      <w:hyperlink r:id="rId15" w:history="1">
        <w:proofErr w:type="spellStart"/>
        <w:r w:rsidRPr="00B7747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lang w:val="es-ES"/>
        </w:rPr>
        <w:t>, en seis</w:t>
      </w:r>
      <w:r w:rsidRPr="00B7747B">
        <w:rPr>
          <w:rFonts w:ascii="Open Sans Light" w:hAnsi="Open Sans Light"/>
          <w:lang w:val="es-ES"/>
        </w:rPr>
        <w:t xml:space="preserve"> de ellos se registran incrementos en el precio del alquiler. La subida más alta se da </w:t>
      </w:r>
      <w:r>
        <w:rPr>
          <w:rFonts w:ascii="Open Sans Light" w:hAnsi="Open Sans Light"/>
          <w:lang w:val="es-ES"/>
        </w:rPr>
        <w:t xml:space="preserve">en </w:t>
      </w:r>
      <w:proofErr w:type="spellStart"/>
      <w:r>
        <w:rPr>
          <w:rFonts w:ascii="Open Sans Light" w:hAnsi="Open Sans Light"/>
          <w:lang w:val="es-ES"/>
        </w:rPr>
        <w:t>Sant</w:t>
      </w:r>
      <w:proofErr w:type="spellEnd"/>
      <w:r>
        <w:rPr>
          <w:rFonts w:ascii="Open Sans Light" w:hAnsi="Open Sans Light"/>
          <w:lang w:val="es-ES"/>
        </w:rPr>
        <w:t xml:space="preserve"> Andreu</w:t>
      </w:r>
      <w:r w:rsidRPr="00B7747B">
        <w:rPr>
          <w:rFonts w:ascii="Open Sans Light" w:hAnsi="Open Sans Light"/>
          <w:lang w:val="es-ES"/>
        </w:rPr>
        <w:t xml:space="preserve"> (4,</w:t>
      </w:r>
      <w:r>
        <w:rPr>
          <w:rFonts w:ascii="Open Sans Light" w:hAnsi="Open Sans Light"/>
          <w:lang w:val="es-ES"/>
        </w:rPr>
        <w:t>8</w:t>
      </w:r>
      <w:r w:rsidRPr="00B7747B">
        <w:rPr>
          <w:rFonts w:ascii="Open Sans Light" w:hAnsi="Open Sans Light"/>
          <w:lang w:val="es-ES"/>
        </w:rPr>
        <w:t xml:space="preserve">%), </w:t>
      </w:r>
      <w:proofErr w:type="spellStart"/>
      <w:r>
        <w:rPr>
          <w:rFonts w:ascii="Open Sans Light" w:hAnsi="Open Sans Light"/>
          <w:lang w:val="es-ES"/>
        </w:rPr>
        <w:t>Sasnt</w:t>
      </w:r>
      <w:proofErr w:type="spellEnd"/>
      <w:r>
        <w:rPr>
          <w:rFonts w:ascii="Open Sans Light" w:hAnsi="Open Sans Light"/>
          <w:lang w:val="es-ES"/>
        </w:rPr>
        <w:t xml:space="preserve"> Martí</w:t>
      </w:r>
      <w:r w:rsidRPr="00B7747B">
        <w:rPr>
          <w:rFonts w:ascii="Open Sans Light" w:hAnsi="Open Sans Light"/>
          <w:lang w:val="es-ES"/>
        </w:rPr>
        <w:t xml:space="preserve"> (</w:t>
      </w:r>
      <w:r>
        <w:rPr>
          <w:rFonts w:ascii="Open Sans Light" w:hAnsi="Open Sans Light"/>
          <w:lang w:val="es-ES"/>
        </w:rPr>
        <w:t>2</w:t>
      </w:r>
      <w:r w:rsidRPr="00B7747B">
        <w:rPr>
          <w:rFonts w:ascii="Open Sans Light" w:hAnsi="Open Sans Light"/>
          <w:lang w:val="es-ES"/>
        </w:rPr>
        <w:t xml:space="preserve">%) y en </w:t>
      </w:r>
      <w:proofErr w:type="spellStart"/>
      <w:r>
        <w:rPr>
          <w:rFonts w:ascii="Open Sans Light" w:hAnsi="Open Sans Light"/>
          <w:lang w:val="es-ES"/>
        </w:rPr>
        <w:t>Nou</w:t>
      </w:r>
      <w:proofErr w:type="spellEnd"/>
      <w:r>
        <w:rPr>
          <w:rFonts w:ascii="Open Sans Light" w:hAnsi="Open Sans Light"/>
          <w:lang w:val="es-ES"/>
        </w:rPr>
        <w:t xml:space="preserve"> </w:t>
      </w:r>
      <w:proofErr w:type="spellStart"/>
      <w:r>
        <w:rPr>
          <w:rFonts w:ascii="Open Sans Light" w:hAnsi="Open Sans Light"/>
          <w:lang w:val="es-ES"/>
        </w:rPr>
        <w:t>Barris</w:t>
      </w:r>
      <w:proofErr w:type="spellEnd"/>
      <w:r w:rsidRPr="00B7747B">
        <w:rPr>
          <w:rFonts w:ascii="Open Sans Light" w:hAnsi="Open Sans Light"/>
          <w:lang w:val="es-ES"/>
        </w:rPr>
        <w:t xml:space="preserve"> (2%). En cuanto a los descensos, </w:t>
      </w:r>
      <w:proofErr w:type="spellStart"/>
      <w:r>
        <w:rPr>
          <w:rFonts w:ascii="Open Sans Light" w:hAnsi="Open Sans Light"/>
          <w:lang w:val="es-ES"/>
        </w:rPr>
        <w:t>Gràcia</w:t>
      </w:r>
      <w:proofErr w:type="spellEnd"/>
      <w:r>
        <w:rPr>
          <w:rFonts w:ascii="Open Sans Light" w:hAnsi="Open Sans Light"/>
          <w:lang w:val="es-ES"/>
        </w:rPr>
        <w:t xml:space="preserve"> es el municipio que más cae (-2,1%), seguido de Les </w:t>
      </w:r>
      <w:proofErr w:type="spellStart"/>
      <w:r>
        <w:rPr>
          <w:rFonts w:ascii="Open Sans Light" w:hAnsi="Open Sans Light"/>
          <w:lang w:val="es-ES"/>
        </w:rPr>
        <w:t>Corts</w:t>
      </w:r>
      <w:proofErr w:type="spellEnd"/>
      <w:r>
        <w:rPr>
          <w:rFonts w:ascii="Open Sans Light" w:hAnsi="Open Sans Light"/>
          <w:lang w:val="es-ES"/>
        </w:rPr>
        <w:t xml:space="preserve"> (-2%) y Horta-</w:t>
      </w:r>
      <w:proofErr w:type="spellStart"/>
      <w:r>
        <w:rPr>
          <w:rFonts w:ascii="Open Sans Light" w:hAnsi="Open Sans Light"/>
          <w:lang w:val="es-ES"/>
        </w:rPr>
        <w:t>Guinardó</w:t>
      </w:r>
      <w:proofErr w:type="spellEnd"/>
      <w:r>
        <w:rPr>
          <w:rFonts w:ascii="Open Sans Light" w:hAnsi="Open Sans Light"/>
          <w:lang w:val="es-ES"/>
        </w:rPr>
        <w:t xml:space="preserve"> (-1,9%). </w:t>
      </w:r>
    </w:p>
    <w:p w:rsidR="003F53B0" w:rsidRPr="00B7747B" w:rsidRDefault="003F53B0" w:rsidP="003F53B0">
      <w:pPr>
        <w:ind w:left="-1276"/>
        <w:jc w:val="both"/>
        <w:rPr>
          <w:rFonts w:ascii="Open Sans Light" w:hAnsi="Open Sans Light"/>
          <w:lang w:val="es-ES"/>
        </w:rPr>
      </w:pPr>
    </w:p>
    <w:p w:rsidR="003F53B0" w:rsidRDefault="003F53B0" w:rsidP="003F53B0">
      <w:pPr>
        <w:ind w:left="-1276"/>
        <w:jc w:val="both"/>
        <w:rPr>
          <w:rFonts w:ascii="Open Sans Light" w:hAnsi="Open Sans Light"/>
          <w:lang w:val="es-ES"/>
        </w:rPr>
      </w:pPr>
      <w:r w:rsidRPr="00B7747B">
        <w:rPr>
          <w:rFonts w:ascii="Open Sans Light" w:hAnsi="Open Sans Light"/>
          <w:lang w:val="es-ES"/>
        </w:rPr>
        <w:t xml:space="preserve">El distrito de </w:t>
      </w:r>
      <w:proofErr w:type="spellStart"/>
      <w:r w:rsidRPr="00B7747B">
        <w:rPr>
          <w:rFonts w:ascii="Open Sans Light" w:hAnsi="Open Sans Light"/>
          <w:lang w:val="es-ES"/>
        </w:rPr>
        <w:t>Ciutat</w:t>
      </w:r>
      <w:proofErr w:type="spellEnd"/>
      <w:r w:rsidRPr="00B7747B">
        <w:rPr>
          <w:rFonts w:ascii="Open Sans Light" w:hAnsi="Open Sans Light"/>
          <w:lang w:val="es-ES"/>
        </w:rPr>
        <w:t xml:space="preserve"> Vella es el distrito más caro de Barcelona, con un precio medio de 16,59</w:t>
      </w:r>
      <w:r>
        <w:rPr>
          <w:rFonts w:ascii="Open Sans Light" w:hAnsi="Open Sans Light"/>
          <w:lang w:val="es-ES"/>
        </w:rPr>
        <w:t xml:space="preserve"> </w:t>
      </w:r>
      <w:r w:rsidRPr="00B7747B">
        <w:rPr>
          <w:rFonts w:ascii="Open Sans Light" w:hAnsi="Open Sans Light"/>
          <w:lang w:val="es-ES"/>
        </w:rPr>
        <w:t xml:space="preserve">€/m2 y un ascenso mensual del </w:t>
      </w:r>
      <w:r>
        <w:rPr>
          <w:rFonts w:ascii="Open Sans Light" w:hAnsi="Open Sans Light"/>
          <w:lang w:val="es-ES"/>
        </w:rPr>
        <w:t>0,5</w:t>
      </w:r>
      <w:r w:rsidRPr="00B7747B">
        <w:rPr>
          <w:rFonts w:ascii="Open Sans Light" w:hAnsi="Open Sans Light"/>
          <w:lang w:val="es-ES"/>
        </w:rPr>
        <w:t xml:space="preserve">%. El más barato es </w:t>
      </w:r>
      <w:proofErr w:type="spellStart"/>
      <w:r w:rsidRPr="00B7747B">
        <w:rPr>
          <w:rFonts w:ascii="Open Sans Light" w:hAnsi="Open Sans Light"/>
          <w:lang w:val="es-ES"/>
        </w:rPr>
        <w:t>Nou</w:t>
      </w:r>
      <w:proofErr w:type="spellEnd"/>
      <w:r w:rsidRPr="00B7747B">
        <w:rPr>
          <w:rFonts w:ascii="Open Sans Light" w:hAnsi="Open Sans Light"/>
          <w:lang w:val="es-ES"/>
        </w:rPr>
        <w:t xml:space="preserve"> </w:t>
      </w:r>
      <w:proofErr w:type="spellStart"/>
      <w:r w:rsidRPr="00B7747B">
        <w:rPr>
          <w:rFonts w:ascii="Open Sans Light" w:hAnsi="Open Sans Light"/>
          <w:lang w:val="es-ES"/>
        </w:rPr>
        <w:t>Barris</w:t>
      </w:r>
      <w:proofErr w:type="spellEnd"/>
      <w:r w:rsidRPr="00B7747B">
        <w:rPr>
          <w:rFonts w:ascii="Open Sans Light" w:hAnsi="Open Sans Light"/>
          <w:lang w:val="es-ES"/>
        </w:rPr>
        <w:t>, que tiene un precio medio de 11,44</w:t>
      </w:r>
      <w:r>
        <w:rPr>
          <w:rFonts w:ascii="Open Sans Light" w:hAnsi="Open Sans Light"/>
          <w:lang w:val="es-ES"/>
        </w:rPr>
        <w:t>€/m2 al mes.</w:t>
      </w:r>
    </w:p>
    <w:p w:rsidR="003F53B0" w:rsidRPr="00B7747B" w:rsidRDefault="003F53B0" w:rsidP="003F53B0">
      <w:pPr>
        <w:ind w:left="-1276"/>
        <w:jc w:val="both"/>
        <w:rPr>
          <w:rFonts w:ascii="Open Sans Light" w:hAnsi="Open Sans Light"/>
          <w:lang w:val="es-ES"/>
        </w:rPr>
      </w:pPr>
    </w:p>
    <w:tbl>
      <w:tblPr>
        <w:tblStyle w:val="Tabladecuadrcula5oscura-nfasis11"/>
        <w:tblpPr w:leftFromText="141" w:rightFromText="141" w:vertAnchor="text" w:horzAnchor="page" w:tblpX="1978" w:tblpY="627"/>
        <w:tblW w:w="8755" w:type="dxa"/>
        <w:tblLook w:val="04A0" w:firstRow="1" w:lastRow="0" w:firstColumn="1" w:lastColumn="0" w:noHBand="0" w:noVBand="1"/>
      </w:tblPr>
      <w:tblGrid>
        <w:gridCol w:w="2693"/>
        <w:gridCol w:w="2944"/>
        <w:gridCol w:w="3118"/>
      </w:tblGrid>
      <w:tr w:rsidR="003F53B0" w:rsidRPr="00B7747B" w:rsidTr="00E6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3F53B0" w:rsidRPr="00B7747B" w:rsidRDefault="003F53B0" w:rsidP="00E638BC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B7747B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944" w:type="dxa"/>
            <w:vAlign w:val="center"/>
          </w:tcPr>
          <w:p w:rsidR="003F53B0" w:rsidRPr="00B7747B" w:rsidRDefault="003F53B0" w:rsidP="00E6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B7747B">
              <w:rPr>
                <w:rFonts w:ascii="Open Sans Light" w:hAnsi="Open Sans Light"/>
                <w:lang w:val="es-ES"/>
              </w:rPr>
              <w:t>Octubre 2017</w:t>
            </w:r>
            <w:r w:rsidRPr="00B7747B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  <w:tc>
          <w:tcPr>
            <w:tcW w:w="3118" w:type="dxa"/>
            <w:vAlign w:val="center"/>
          </w:tcPr>
          <w:p w:rsidR="003F53B0" w:rsidRPr="00B7747B" w:rsidRDefault="003F53B0" w:rsidP="00E6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B7747B">
              <w:rPr>
                <w:rFonts w:ascii="Open Sans Light" w:hAnsi="Open Sans Light"/>
                <w:lang w:val="es-ES"/>
              </w:rPr>
              <w:t>Variación</w:t>
            </w:r>
          </w:p>
          <w:p w:rsidR="003F53B0" w:rsidRPr="00B7747B" w:rsidRDefault="003F53B0" w:rsidP="00E63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B7747B">
              <w:rPr>
                <w:rFonts w:ascii="Open Sans Light" w:hAnsi="Open Sans Light"/>
                <w:lang w:val="es-ES"/>
              </w:rPr>
              <w:t>Mensual (%)</w:t>
            </w:r>
          </w:p>
        </w:tc>
      </w:tr>
      <w:tr w:rsidR="003F53B0" w:rsidRPr="00B7747B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Sant Andreu</w:t>
            </w:r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12,31 €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es-ES"/>
              </w:rPr>
              <w:t>4,8 %</w:t>
            </w:r>
          </w:p>
        </w:tc>
      </w:tr>
      <w:tr w:rsidR="003F53B0" w:rsidRPr="00B7747B" w:rsidTr="00E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Sant Martí</w:t>
            </w:r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15,63 €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es-ES"/>
              </w:rPr>
              <w:t>2,0 %</w:t>
            </w:r>
          </w:p>
        </w:tc>
      </w:tr>
      <w:tr w:rsidR="003F53B0" w:rsidRPr="00B7747B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Nou Barris</w:t>
            </w:r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11,44 €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es-ES"/>
              </w:rPr>
              <w:t>2,0 %</w:t>
            </w:r>
          </w:p>
        </w:tc>
      </w:tr>
      <w:tr w:rsidR="003F53B0" w:rsidRPr="00B7747B" w:rsidTr="00E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Eixample</w:t>
            </w:r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14,99 €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es-ES"/>
              </w:rPr>
              <w:t>1,2 %</w:t>
            </w:r>
          </w:p>
        </w:tc>
      </w:tr>
      <w:tr w:rsidR="003F53B0" w:rsidRPr="00B7747B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Sants - Montjuïc</w:t>
            </w:r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14,33 €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es-ES"/>
              </w:rPr>
              <w:t>1,1 %</w:t>
            </w:r>
          </w:p>
        </w:tc>
      </w:tr>
      <w:tr w:rsidR="003F53B0" w:rsidRPr="00B7747B" w:rsidTr="00E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Ciutat Vella</w:t>
            </w:r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16,59 €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es-ES"/>
              </w:rPr>
              <w:t>0,5 %</w:t>
            </w:r>
          </w:p>
        </w:tc>
      </w:tr>
      <w:tr w:rsidR="003F53B0" w:rsidRPr="00B7747B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Sarrià - Sant Gervasi</w:t>
            </w:r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16,54 €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-0,6 %</w:t>
            </w:r>
          </w:p>
        </w:tc>
      </w:tr>
      <w:tr w:rsidR="003F53B0" w:rsidRPr="00B7747B" w:rsidTr="00E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 xml:space="preserve">Horta - </w:t>
            </w:r>
            <w:proofErr w:type="spellStart"/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Guinardó</w:t>
            </w:r>
            <w:proofErr w:type="spellEnd"/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12,34 €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-1,9 %</w:t>
            </w:r>
          </w:p>
        </w:tc>
      </w:tr>
      <w:tr w:rsidR="003F53B0" w:rsidRPr="00B7747B" w:rsidTr="00E6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Les Corts</w:t>
            </w:r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14,91 €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-2,0 %</w:t>
            </w:r>
          </w:p>
        </w:tc>
      </w:tr>
      <w:tr w:rsidR="003F53B0" w:rsidRPr="00B7747B" w:rsidTr="00E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F53B0" w:rsidRPr="00D402E0" w:rsidRDefault="003F53B0" w:rsidP="00E638BC">
            <w:pPr>
              <w:rPr>
                <w:rFonts w:ascii="Open Sans Light" w:hAnsi="Open Sans Light"/>
                <w:sz w:val="22"/>
                <w:szCs w:val="22"/>
                <w:lang w:val="ca-ES"/>
              </w:rPr>
            </w:pPr>
            <w:r w:rsidRPr="00D402E0">
              <w:rPr>
                <w:rFonts w:ascii="Open Sans Light" w:hAnsi="Open Sans Light"/>
                <w:sz w:val="22"/>
                <w:szCs w:val="22"/>
                <w:lang w:val="ca-ES"/>
              </w:rPr>
              <w:t>Gràcia</w:t>
            </w:r>
          </w:p>
        </w:tc>
        <w:tc>
          <w:tcPr>
            <w:tcW w:w="2944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14,83 €</w:t>
            </w:r>
          </w:p>
        </w:tc>
        <w:tc>
          <w:tcPr>
            <w:tcW w:w="3118" w:type="dxa"/>
            <w:vAlign w:val="bottom"/>
          </w:tcPr>
          <w:p w:rsidR="003F53B0" w:rsidRPr="00D402E0" w:rsidRDefault="003F53B0" w:rsidP="00E63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D402E0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-2,1 %</w:t>
            </w:r>
          </w:p>
        </w:tc>
      </w:tr>
    </w:tbl>
    <w:p w:rsidR="003F53B0" w:rsidRPr="00B7747B" w:rsidRDefault="003F53B0" w:rsidP="003F53B0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B7747B">
        <w:rPr>
          <w:rFonts w:ascii="Open Sans" w:hAnsi="Open Sans"/>
          <w:color w:val="00AAAB"/>
          <w:lang w:val="es-ES"/>
        </w:rPr>
        <w:t>Precio de la vivienda de alquiler por distritos y variación mensual</w:t>
      </w:r>
    </w:p>
    <w:p w:rsidR="003F53B0" w:rsidRPr="00B7747B" w:rsidRDefault="003F53B0" w:rsidP="003F53B0">
      <w:pPr>
        <w:rPr>
          <w:rFonts w:ascii="Open Sans Light" w:hAnsi="Open Sans Light"/>
          <w:b/>
          <w:lang w:val="es-ES"/>
        </w:rPr>
      </w:pPr>
    </w:p>
    <w:p w:rsidR="0002697F" w:rsidRDefault="0002697F" w:rsidP="00981D72">
      <w:pPr>
        <w:pStyle w:val="Cuerpo"/>
        <w:ind w:left="-1134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</w:p>
    <w:p w:rsidR="008668EF" w:rsidRDefault="008668EF" w:rsidP="00981D72">
      <w:pPr>
        <w:pStyle w:val="Cuerpo"/>
        <w:ind w:left="-1134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201404" w:rsidRDefault="00AD3BC9" w:rsidP="008668EF">
      <w:pPr>
        <w:pStyle w:val="Cuerpo"/>
        <w:ind w:left="-1134" w:firstLine="694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201404" w:rsidRDefault="00AD3BC9" w:rsidP="00981D72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852A1" w:rsidRDefault="005852A1" w:rsidP="005852A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6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201404" w:rsidRDefault="00AD3BC9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201404" w:rsidRDefault="001D27D7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7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8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9" w:history="1"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0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5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6" w:history="1"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282311" w:rsidRPr="00201404" w:rsidRDefault="00282311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Pr="00201404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201404">
        <w:rPr>
          <w:rFonts w:ascii="Open Sans Light" w:hAnsi="Open Sans Light" w:cs="Gisha"/>
          <w:b/>
          <w:bCs/>
          <w:lang w:val="en-US"/>
        </w:rPr>
        <w:t>Anaïs López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201404">
        <w:rPr>
          <w:rFonts w:ascii="Open Sans Light" w:hAnsi="Open Sans Light" w:cs="Gisha"/>
          <w:lang w:val="en-US"/>
        </w:rPr>
        <w:t>Tlf</w:t>
      </w:r>
      <w:proofErr w:type="spellEnd"/>
      <w:r w:rsidRPr="00201404">
        <w:rPr>
          <w:rFonts w:ascii="Open Sans Light" w:hAnsi="Open Sans Light" w:cs="Gisha"/>
          <w:lang w:val="en-US"/>
        </w:rPr>
        <w:t>.:</w:t>
      </w:r>
      <w:proofErr w:type="gramEnd"/>
      <w:r w:rsidRPr="00201404">
        <w:rPr>
          <w:rFonts w:ascii="Open Sans Light" w:hAnsi="Open Sans Light" w:cs="Gisha"/>
          <w:lang w:val="en-US"/>
        </w:rPr>
        <w:t xml:space="preserve"> 93 576 56 79 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r w:rsidRPr="00201404">
        <w:rPr>
          <w:rFonts w:ascii="Open Sans Light" w:hAnsi="Open Sans Light" w:cs="Gisha"/>
          <w:lang w:val="en-US"/>
        </w:rPr>
        <w:t>Móvil</w:t>
      </w:r>
      <w:proofErr w:type="spellEnd"/>
      <w:r w:rsidRPr="00201404">
        <w:rPr>
          <w:rFonts w:ascii="Open Sans Light" w:hAnsi="Open Sans Light" w:cs="Gisha"/>
          <w:lang w:val="en-US"/>
        </w:rPr>
        <w:t>: 620 66 29 26</w:t>
      </w:r>
      <w:r w:rsidRPr="00201404">
        <w:rPr>
          <w:rFonts w:ascii="Open Sans Light" w:eastAsia="MingLiU" w:hAnsi="Open Sans Light" w:cs="MingLiU"/>
          <w:lang w:val="en-US"/>
        </w:rPr>
        <w:br/>
      </w:r>
      <w:hyperlink r:id="rId27" w:history="1">
        <w:r w:rsidRPr="00201404">
          <w:rPr>
            <w:rStyle w:val="Hyperlink1"/>
            <w:rFonts w:ascii="Open Sans Light" w:hAnsi="Open Sans Light"/>
          </w:rPr>
          <w:t>comunicacion@fotocasa.es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</w:r>
      <w:hyperlink r:id="rId28" w:history="1">
        <w:r w:rsidRPr="00201404">
          <w:rPr>
            <w:rStyle w:val="Hyperlink1"/>
            <w:rFonts w:ascii="Open Sans Light" w:hAnsi="Open Sans Light"/>
          </w:rPr>
          <w:t>http://prensa.fotocasa.es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201404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29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7C" w:rsidRDefault="00B6627C" w:rsidP="0052608C">
      <w:r>
        <w:separator/>
      </w:r>
    </w:p>
  </w:endnote>
  <w:endnote w:type="continuationSeparator" w:id="0">
    <w:p w:rsidR="00B6627C" w:rsidRDefault="00B6627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7C" w:rsidRDefault="00B6627C" w:rsidP="0052608C">
      <w:r>
        <w:separator/>
      </w:r>
    </w:p>
  </w:footnote>
  <w:footnote w:type="continuationSeparator" w:id="0">
    <w:p w:rsidR="00B6627C" w:rsidRDefault="00B6627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24DB0"/>
    <w:rsid w:val="0002697F"/>
    <w:rsid w:val="00051CE3"/>
    <w:rsid w:val="0006369A"/>
    <w:rsid w:val="00083171"/>
    <w:rsid w:val="00137EDD"/>
    <w:rsid w:val="00176759"/>
    <w:rsid w:val="00186CB6"/>
    <w:rsid w:val="001B4ED6"/>
    <w:rsid w:val="001D27D7"/>
    <w:rsid w:val="001E55E9"/>
    <w:rsid w:val="001F0C31"/>
    <w:rsid w:val="001F7403"/>
    <w:rsid w:val="00201404"/>
    <w:rsid w:val="00202757"/>
    <w:rsid w:val="00237DB3"/>
    <w:rsid w:val="00260AE1"/>
    <w:rsid w:val="00282311"/>
    <w:rsid w:val="002F7D8A"/>
    <w:rsid w:val="0030499F"/>
    <w:rsid w:val="00321930"/>
    <w:rsid w:val="00365EE5"/>
    <w:rsid w:val="003A32A0"/>
    <w:rsid w:val="003C30FC"/>
    <w:rsid w:val="003E45C1"/>
    <w:rsid w:val="003F3675"/>
    <w:rsid w:val="003F53B0"/>
    <w:rsid w:val="003F60C7"/>
    <w:rsid w:val="00405F66"/>
    <w:rsid w:val="0040699F"/>
    <w:rsid w:val="00443C39"/>
    <w:rsid w:val="00451D7C"/>
    <w:rsid w:val="0046065A"/>
    <w:rsid w:val="00470A84"/>
    <w:rsid w:val="00475E85"/>
    <w:rsid w:val="004C261A"/>
    <w:rsid w:val="004E4DBA"/>
    <w:rsid w:val="004E589B"/>
    <w:rsid w:val="00515ACC"/>
    <w:rsid w:val="0052608C"/>
    <w:rsid w:val="00531365"/>
    <w:rsid w:val="005436AC"/>
    <w:rsid w:val="00555744"/>
    <w:rsid w:val="00584AAF"/>
    <w:rsid w:val="005852A1"/>
    <w:rsid w:val="00586D22"/>
    <w:rsid w:val="00593FCD"/>
    <w:rsid w:val="005E50D0"/>
    <w:rsid w:val="00650244"/>
    <w:rsid w:val="006A3579"/>
    <w:rsid w:val="006B3404"/>
    <w:rsid w:val="006B7A4C"/>
    <w:rsid w:val="006C4F8F"/>
    <w:rsid w:val="006D1F02"/>
    <w:rsid w:val="006E3A3E"/>
    <w:rsid w:val="006F6A28"/>
    <w:rsid w:val="00700B0C"/>
    <w:rsid w:val="00763F0F"/>
    <w:rsid w:val="0078217C"/>
    <w:rsid w:val="00794CAF"/>
    <w:rsid w:val="007A487D"/>
    <w:rsid w:val="007A55E0"/>
    <w:rsid w:val="007A7435"/>
    <w:rsid w:val="007A7768"/>
    <w:rsid w:val="007B60EB"/>
    <w:rsid w:val="007B73CC"/>
    <w:rsid w:val="007D466D"/>
    <w:rsid w:val="00804B36"/>
    <w:rsid w:val="00863A87"/>
    <w:rsid w:val="008668EF"/>
    <w:rsid w:val="00876E17"/>
    <w:rsid w:val="008C51BE"/>
    <w:rsid w:val="00905EAB"/>
    <w:rsid w:val="00930FDE"/>
    <w:rsid w:val="00951202"/>
    <w:rsid w:val="0095197E"/>
    <w:rsid w:val="00981D72"/>
    <w:rsid w:val="009C78DC"/>
    <w:rsid w:val="00A974F3"/>
    <w:rsid w:val="00AB2301"/>
    <w:rsid w:val="00AB5432"/>
    <w:rsid w:val="00AD3BC9"/>
    <w:rsid w:val="00AD62DD"/>
    <w:rsid w:val="00AF0800"/>
    <w:rsid w:val="00B33003"/>
    <w:rsid w:val="00B408A9"/>
    <w:rsid w:val="00B41C6D"/>
    <w:rsid w:val="00B6627C"/>
    <w:rsid w:val="00B743BB"/>
    <w:rsid w:val="00B83F9C"/>
    <w:rsid w:val="00BA1ECD"/>
    <w:rsid w:val="00BB386A"/>
    <w:rsid w:val="00BC0CC9"/>
    <w:rsid w:val="00BC21B2"/>
    <w:rsid w:val="00BE2674"/>
    <w:rsid w:val="00C070CD"/>
    <w:rsid w:val="00C521E4"/>
    <w:rsid w:val="00C53AB3"/>
    <w:rsid w:val="00C60309"/>
    <w:rsid w:val="00C9258D"/>
    <w:rsid w:val="00CD34DD"/>
    <w:rsid w:val="00CE21FC"/>
    <w:rsid w:val="00CE7BE1"/>
    <w:rsid w:val="00D02470"/>
    <w:rsid w:val="00D55A42"/>
    <w:rsid w:val="00D638FE"/>
    <w:rsid w:val="00DB08C3"/>
    <w:rsid w:val="00DB7164"/>
    <w:rsid w:val="00DC2D13"/>
    <w:rsid w:val="00DC64DB"/>
    <w:rsid w:val="00DD5A0B"/>
    <w:rsid w:val="00DD74F5"/>
    <w:rsid w:val="00E8753C"/>
    <w:rsid w:val="00EB7C25"/>
    <w:rsid w:val="00F45084"/>
    <w:rsid w:val="00F5009C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FC1-8AB5-4684-97E0-97A3708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yperlink" Target="http://www.schibsted.es/" TargetMode="External"/><Relationship Id="rId26" Type="http://schemas.openxmlformats.org/officeDocument/2006/relationships/hyperlink" Target="http://www.schibsted.com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milanuncios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vibbo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motos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coches.net/" TargetMode="External"/><Relationship Id="rId28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fotocasa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habitaclia.com/" TargetMode="External"/><Relationship Id="rId27" Type="http://schemas.openxmlformats.org/officeDocument/2006/relationships/hyperlink" Target="mailto:comunicacion@fotocasa.es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HISTORICO%20ALQUILER\GR&#193;FICA%20INFORMES%20ALQUILER%20-%20IMPORTAN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7\10.%20OCTUBRE\PRENSA\Resumen_PM%20ALQUILER_Nacional_1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5094590438844E-2"/>
          <c:y val="6.6134649835437223E-2"/>
          <c:w val="0.89596263050269687"/>
          <c:h val="0.88657888352191283"/>
        </c:manualLayout>
      </c:layout>
      <c:lineChart>
        <c:grouping val="standard"/>
        <c:varyColors val="0"/>
        <c:ser>
          <c:idx val="0"/>
          <c:order val="0"/>
          <c:tx>
            <c:strRef>
              <c:f>'DATOS HISTÓRICOS'!$AR$5</c:f>
              <c:strCache>
                <c:ptCount val="1"/>
                <c:pt idx="0">
                  <c:v>España</c:v>
                </c:pt>
              </c:strCache>
            </c:strRef>
          </c:tx>
          <c:spPr>
            <a:ln w="57150" cap="rnd">
              <a:solidFill>
                <a:schemeClr val="accent1"/>
              </a:solidFill>
              <a:round/>
            </a:ln>
            <a:effectLst>
              <a:softEdge rad="0"/>
            </a:effectLst>
          </c:spPr>
          <c:marker>
            <c:symbol val="none"/>
          </c:marker>
          <c:dLbls>
            <c:dLbl>
              <c:idx val="2"/>
              <c:layout>
                <c:manualLayout>
                  <c:x val="-2.758620689655172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3"/>
              <c:layout>
                <c:manualLayout>
                  <c:x val="-3.4482758620689655E-2"/>
                  <c:y val="7.37327188940092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1"/>
              <c:layout>
                <c:manualLayout>
                  <c:x val="-4.1379310344827586E-2"/>
                  <c:y val="-7.3732718894009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9"/>
              <c:layout>
                <c:manualLayout>
                  <c:x val="-3.9080459770114942E-2"/>
                  <c:y val="-3.6866359447004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0"/>
              <c:layout>
                <c:manualLayout>
                  <c:x val="-4.3678160919540229E-2"/>
                  <c:y val="4.91551459293393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9"/>
              <c:layout>
                <c:manualLayout>
                  <c:x val="0"/>
                  <c:y val="-7.3732718894009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'DATOS HISTÓRICOS'!$Y$7:$Z$136</c:f>
              <c:multiLvlStrCache>
                <c:ptCount val="130"/>
                <c:lvl>
                  <c:pt idx="0">
                    <c:v>ene.</c:v>
                  </c:pt>
                  <c:pt idx="1">
                    <c:v>feb.</c:v>
                  </c:pt>
                  <c:pt idx="2">
                    <c:v>mar.</c:v>
                  </c:pt>
                  <c:pt idx="3">
                    <c:v>abr.</c:v>
                  </c:pt>
                  <c:pt idx="4">
                    <c:v>may.</c:v>
                  </c:pt>
                  <c:pt idx="5">
                    <c:v>jun.</c:v>
                  </c:pt>
                  <c:pt idx="6">
                    <c:v>jul.</c:v>
                  </c:pt>
                  <c:pt idx="7">
                    <c:v>ago.</c:v>
                  </c:pt>
                  <c:pt idx="8">
                    <c:v>sep.</c:v>
                  </c:pt>
                  <c:pt idx="9">
                    <c:v>oct.</c:v>
                  </c:pt>
                  <c:pt idx="10">
                    <c:v>nov.</c:v>
                  </c:pt>
                  <c:pt idx="11">
                    <c:v>dic.</c:v>
                  </c:pt>
                  <c:pt idx="12">
                    <c:v>ene.</c:v>
                  </c:pt>
                  <c:pt idx="13">
                    <c:v>feb.</c:v>
                  </c:pt>
                  <c:pt idx="14">
                    <c:v>mar.</c:v>
                  </c:pt>
                  <c:pt idx="15">
                    <c:v>abr.</c:v>
                  </c:pt>
                  <c:pt idx="16">
                    <c:v>may.</c:v>
                  </c:pt>
                  <c:pt idx="17">
                    <c:v>jun.</c:v>
                  </c:pt>
                  <c:pt idx="18">
                    <c:v>jul.</c:v>
                  </c:pt>
                  <c:pt idx="19">
                    <c:v>ago.</c:v>
                  </c:pt>
                  <c:pt idx="20">
                    <c:v>sep.</c:v>
                  </c:pt>
                  <c:pt idx="21">
                    <c:v>oct.</c:v>
                  </c:pt>
                  <c:pt idx="22">
                    <c:v>nov.</c:v>
                  </c:pt>
                  <c:pt idx="23">
                    <c:v>dic.</c:v>
                  </c:pt>
                  <c:pt idx="24">
                    <c:v>ene.</c:v>
                  </c:pt>
                  <c:pt idx="25">
                    <c:v>feb.</c:v>
                  </c:pt>
                  <c:pt idx="26">
                    <c:v>mar.</c:v>
                  </c:pt>
                  <c:pt idx="27">
                    <c:v>abr.</c:v>
                  </c:pt>
                  <c:pt idx="28">
                    <c:v>may.</c:v>
                  </c:pt>
                  <c:pt idx="29">
                    <c:v>jun.</c:v>
                  </c:pt>
                  <c:pt idx="30">
                    <c:v>jul.</c:v>
                  </c:pt>
                  <c:pt idx="31">
                    <c:v>ago.</c:v>
                  </c:pt>
                  <c:pt idx="32">
                    <c:v>sep.</c:v>
                  </c:pt>
                  <c:pt idx="33">
                    <c:v>oct.</c:v>
                  </c:pt>
                  <c:pt idx="34">
                    <c:v>nov.</c:v>
                  </c:pt>
                  <c:pt idx="35">
                    <c:v>dic.</c:v>
                  </c:pt>
                  <c:pt idx="36">
                    <c:v>ene.</c:v>
                  </c:pt>
                  <c:pt idx="37">
                    <c:v>feb.</c:v>
                  </c:pt>
                  <c:pt idx="38">
                    <c:v>mar.</c:v>
                  </c:pt>
                  <c:pt idx="39">
                    <c:v>abr.</c:v>
                  </c:pt>
                  <c:pt idx="40">
                    <c:v>may.</c:v>
                  </c:pt>
                  <c:pt idx="41">
                    <c:v>jun.</c:v>
                  </c:pt>
                  <c:pt idx="42">
                    <c:v>jul.</c:v>
                  </c:pt>
                  <c:pt idx="43">
                    <c:v>ago.</c:v>
                  </c:pt>
                  <c:pt idx="44">
                    <c:v>sep.</c:v>
                  </c:pt>
                  <c:pt idx="45">
                    <c:v>oct.</c:v>
                  </c:pt>
                  <c:pt idx="46">
                    <c:v>nov.</c:v>
                  </c:pt>
                  <c:pt idx="47">
                    <c:v>dic.</c:v>
                  </c:pt>
                  <c:pt idx="48">
                    <c:v>ene.</c:v>
                  </c:pt>
                  <c:pt idx="49">
                    <c:v>feb.</c:v>
                  </c:pt>
                  <c:pt idx="50">
                    <c:v>mar.</c:v>
                  </c:pt>
                  <c:pt idx="51">
                    <c:v>abr.</c:v>
                  </c:pt>
                  <c:pt idx="52">
                    <c:v>may.</c:v>
                  </c:pt>
                  <c:pt idx="53">
                    <c:v>jun.</c:v>
                  </c:pt>
                  <c:pt idx="54">
                    <c:v>jul.</c:v>
                  </c:pt>
                  <c:pt idx="55">
                    <c:v>ago.</c:v>
                  </c:pt>
                  <c:pt idx="56">
                    <c:v>sep.</c:v>
                  </c:pt>
                  <c:pt idx="57">
                    <c:v>oct.</c:v>
                  </c:pt>
                  <c:pt idx="58">
                    <c:v>nov.</c:v>
                  </c:pt>
                  <c:pt idx="59">
                    <c:v>dic.</c:v>
                  </c:pt>
                  <c:pt idx="60">
                    <c:v>ene.</c:v>
                  </c:pt>
                  <c:pt idx="61">
                    <c:v>feb.</c:v>
                  </c:pt>
                  <c:pt idx="62">
                    <c:v>mar.</c:v>
                  </c:pt>
                  <c:pt idx="63">
                    <c:v>abr.</c:v>
                  </c:pt>
                  <c:pt idx="64">
                    <c:v>may.</c:v>
                  </c:pt>
                  <c:pt idx="65">
                    <c:v>jun.</c:v>
                  </c:pt>
                  <c:pt idx="66">
                    <c:v>jul.</c:v>
                  </c:pt>
                  <c:pt idx="67">
                    <c:v>ago.</c:v>
                  </c:pt>
                  <c:pt idx="68">
                    <c:v>sep.</c:v>
                  </c:pt>
                  <c:pt idx="69">
                    <c:v>oct.</c:v>
                  </c:pt>
                  <c:pt idx="70">
                    <c:v>nov.</c:v>
                  </c:pt>
                  <c:pt idx="71">
                    <c:v>dic.</c:v>
                  </c:pt>
                  <c:pt idx="72">
                    <c:v>ene.</c:v>
                  </c:pt>
                  <c:pt idx="73">
                    <c:v>feb.</c:v>
                  </c:pt>
                  <c:pt idx="74">
                    <c:v>mar.</c:v>
                  </c:pt>
                  <c:pt idx="75">
                    <c:v>abr.</c:v>
                  </c:pt>
                  <c:pt idx="76">
                    <c:v>may.</c:v>
                  </c:pt>
                  <c:pt idx="77">
                    <c:v>jun.</c:v>
                  </c:pt>
                  <c:pt idx="78">
                    <c:v>jul.</c:v>
                  </c:pt>
                  <c:pt idx="79">
                    <c:v>ago.</c:v>
                  </c:pt>
                  <c:pt idx="80">
                    <c:v>sep.</c:v>
                  </c:pt>
                  <c:pt idx="81">
                    <c:v>oct.</c:v>
                  </c:pt>
                  <c:pt idx="82">
                    <c:v>nov.</c:v>
                  </c:pt>
                  <c:pt idx="83">
                    <c:v>dic.</c:v>
                  </c:pt>
                  <c:pt idx="84">
                    <c:v>ene.</c:v>
                  </c:pt>
                  <c:pt idx="85">
                    <c:v>feb.</c:v>
                  </c:pt>
                  <c:pt idx="86">
                    <c:v>mar.</c:v>
                  </c:pt>
                  <c:pt idx="87">
                    <c:v>abr.</c:v>
                  </c:pt>
                  <c:pt idx="88">
                    <c:v>may.</c:v>
                  </c:pt>
                  <c:pt idx="89">
                    <c:v>jun.</c:v>
                  </c:pt>
                  <c:pt idx="90">
                    <c:v>jul.</c:v>
                  </c:pt>
                  <c:pt idx="91">
                    <c:v>ago.</c:v>
                  </c:pt>
                  <c:pt idx="92">
                    <c:v>sep.</c:v>
                  </c:pt>
                  <c:pt idx="93">
                    <c:v>oct.</c:v>
                  </c:pt>
                  <c:pt idx="94">
                    <c:v>nov.</c:v>
                  </c:pt>
                  <c:pt idx="95">
                    <c:v>dic.</c:v>
                  </c:pt>
                  <c:pt idx="96">
                    <c:v>ene.</c:v>
                  </c:pt>
                  <c:pt idx="97">
                    <c:v>feb.</c:v>
                  </c:pt>
                  <c:pt idx="98">
                    <c:v>mar.</c:v>
                  </c:pt>
                  <c:pt idx="99">
                    <c:v>abr.</c:v>
                  </c:pt>
                  <c:pt idx="100">
                    <c:v>may.</c:v>
                  </c:pt>
                  <c:pt idx="101">
                    <c:v>jun.</c:v>
                  </c:pt>
                  <c:pt idx="102">
                    <c:v>jul.</c:v>
                  </c:pt>
                  <c:pt idx="103">
                    <c:v>ago.</c:v>
                  </c:pt>
                  <c:pt idx="104">
                    <c:v>sep.</c:v>
                  </c:pt>
                  <c:pt idx="105">
                    <c:v>oct.</c:v>
                  </c:pt>
                  <c:pt idx="106">
                    <c:v>nov.</c:v>
                  </c:pt>
                  <c:pt idx="107">
                    <c:v>dic.</c:v>
                  </c:pt>
                  <c:pt idx="108">
                    <c:v>ene.</c:v>
                  </c:pt>
                  <c:pt idx="109">
                    <c:v>feb.</c:v>
                  </c:pt>
                  <c:pt idx="110">
                    <c:v>mar.</c:v>
                  </c:pt>
                  <c:pt idx="111">
                    <c:v>abr.</c:v>
                  </c:pt>
                  <c:pt idx="112">
                    <c:v>may.</c:v>
                  </c:pt>
                  <c:pt idx="113">
                    <c:v>jun.</c:v>
                  </c:pt>
                  <c:pt idx="114">
                    <c:v>jul.</c:v>
                  </c:pt>
                  <c:pt idx="115">
                    <c:v>ago.</c:v>
                  </c:pt>
                  <c:pt idx="116">
                    <c:v>sep.</c:v>
                  </c:pt>
                  <c:pt idx="117">
                    <c:v>oct.</c:v>
                  </c:pt>
                  <c:pt idx="118">
                    <c:v>nov.</c:v>
                  </c:pt>
                  <c:pt idx="119">
                    <c:v>dic.</c:v>
                  </c:pt>
                  <c:pt idx="120">
                    <c:v>ene.</c:v>
                  </c:pt>
                  <c:pt idx="121">
                    <c:v>feb.</c:v>
                  </c:pt>
                  <c:pt idx="122">
                    <c:v>mar.</c:v>
                  </c:pt>
                  <c:pt idx="123">
                    <c:v>abr.</c:v>
                  </c:pt>
                  <c:pt idx="124">
                    <c:v>may.</c:v>
                  </c:pt>
                  <c:pt idx="125">
                    <c:v>jun.</c:v>
                  </c:pt>
                  <c:pt idx="126">
                    <c:v>jul.</c:v>
                  </c:pt>
                  <c:pt idx="127">
                    <c:v>ago.</c:v>
                  </c:pt>
                  <c:pt idx="128">
                    <c:v>sep.</c:v>
                  </c:pt>
                  <c:pt idx="129">
                    <c:v>oct.</c:v>
                  </c:pt>
                </c:lvl>
                <c:lvl>
                  <c:pt idx="0">
                    <c:v>2007</c:v>
                  </c:pt>
                  <c:pt idx="12">
                    <c:v>2008</c:v>
                  </c:pt>
                  <c:pt idx="24">
                    <c:v>2009</c:v>
                  </c:pt>
                  <c:pt idx="36">
                    <c:v>2010</c:v>
                  </c:pt>
                  <c:pt idx="47">
                    <c:v>2011</c:v>
                  </c:pt>
                  <c:pt idx="60">
                    <c:v>2012</c:v>
                  </c:pt>
                  <c:pt idx="72">
                    <c:v>2013</c:v>
                  </c:pt>
                  <c:pt idx="84">
                    <c:v>2014</c:v>
                  </c:pt>
                  <c:pt idx="96">
                    <c:v>2015</c:v>
                  </c:pt>
                  <c:pt idx="97">
                    <c:v>2015</c:v>
                  </c:pt>
                  <c:pt idx="98">
                    <c:v>2015</c:v>
                  </c:pt>
                  <c:pt idx="99">
                    <c:v>2015</c:v>
                  </c:pt>
                  <c:pt idx="100">
                    <c:v>2015</c:v>
                  </c:pt>
                  <c:pt idx="101">
                    <c:v>2015</c:v>
                  </c:pt>
                  <c:pt idx="102">
                    <c:v>2015</c:v>
                  </c:pt>
                  <c:pt idx="103">
                    <c:v>2015</c:v>
                  </c:pt>
                  <c:pt idx="104">
                    <c:v>2015</c:v>
                  </c:pt>
                  <c:pt idx="105">
                    <c:v>2015</c:v>
                  </c:pt>
                  <c:pt idx="106">
                    <c:v>2015</c:v>
                  </c:pt>
                  <c:pt idx="107">
                    <c:v>2015</c:v>
                  </c:pt>
                  <c:pt idx="108">
                    <c:v>2016</c:v>
                  </c:pt>
                  <c:pt idx="109">
                    <c:v>2016</c:v>
                  </c:pt>
                  <c:pt idx="110">
                    <c:v>2016</c:v>
                  </c:pt>
                  <c:pt idx="111">
                    <c:v>2016</c:v>
                  </c:pt>
                  <c:pt idx="112">
                    <c:v>2016</c:v>
                  </c:pt>
                  <c:pt idx="113">
                    <c:v>2016</c:v>
                  </c:pt>
                  <c:pt idx="114">
                    <c:v>2016</c:v>
                  </c:pt>
                  <c:pt idx="115">
                    <c:v>2016</c:v>
                  </c:pt>
                  <c:pt idx="116">
                    <c:v>2016</c:v>
                  </c:pt>
                  <c:pt idx="117">
                    <c:v>2016</c:v>
                  </c:pt>
                  <c:pt idx="118">
                    <c:v>2016</c:v>
                  </c:pt>
                  <c:pt idx="119">
                    <c:v>2016</c:v>
                  </c:pt>
                  <c:pt idx="120">
                    <c:v>2017</c:v>
                  </c:pt>
                  <c:pt idx="121">
                    <c:v>2017</c:v>
                  </c:pt>
                  <c:pt idx="122">
                    <c:v>2017</c:v>
                  </c:pt>
                  <c:pt idx="123">
                    <c:v>2017</c:v>
                  </c:pt>
                  <c:pt idx="124">
                    <c:v>2017</c:v>
                  </c:pt>
                  <c:pt idx="125">
                    <c:v>2017</c:v>
                  </c:pt>
                  <c:pt idx="126">
                    <c:v>2017</c:v>
                  </c:pt>
                  <c:pt idx="127">
                    <c:v>2017</c:v>
                  </c:pt>
                  <c:pt idx="128">
                    <c:v>2017</c:v>
                  </c:pt>
                  <c:pt idx="129">
                    <c:v>2017</c:v>
                  </c:pt>
                </c:lvl>
              </c:multiLvlStrCache>
            </c:multiLvlStrRef>
          </c:cat>
          <c:val>
            <c:numRef>
              <c:f>'DATOS HISTÓRICOS'!$AR$7:$AR$136</c:f>
              <c:numCache>
                <c:formatCode>0.0%</c:formatCode>
                <c:ptCount val="130"/>
                <c:pt idx="0">
                  <c:v>-5.8212948100589742E-3</c:v>
                </c:pt>
                <c:pt idx="1">
                  <c:v>-7.0393731298301889E-3</c:v>
                </c:pt>
                <c:pt idx="2">
                  <c:v>6.2708667562762874E-2</c:v>
                </c:pt>
                <c:pt idx="3">
                  <c:v>7.690973816008256E-3</c:v>
                </c:pt>
                <c:pt idx="4">
                  <c:v>2.4394934761263826E-2</c:v>
                </c:pt>
                <c:pt idx="5">
                  <c:v>-4.4169524016561719E-3</c:v>
                </c:pt>
                <c:pt idx="6">
                  <c:v>-1.661472497369838E-2</c:v>
                </c:pt>
                <c:pt idx="7">
                  <c:v>-9.8001614856680769E-3</c:v>
                </c:pt>
                <c:pt idx="8">
                  <c:v>-1.8948312591097673E-2</c:v>
                </c:pt>
                <c:pt idx="9">
                  <c:v>-1.2187012987013007E-2</c:v>
                </c:pt>
                <c:pt idx="10">
                  <c:v>-2.3559851488792567E-3</c:v>
                </c:pt>
                <c:pt idx="11">
                  <c:v>1.7785415326874152E-2</c:v>
                </c:pt>
                <c:pt idx="12">
                  <c:v>-5.7074787652785872E-3</c:v>
                </c:pt>
                <c:pt idx="13">
                  <c:v>4.2088155934534152E-3</c:v>
                </c:pt>
                <c:pt idx="14">
                  <c:v>-2.6454203106035671E-3</c:v>
                </c:pt>
                <c:pt idx="15">
                  <c:v>-1.4562399883485339E-4</c:v>
                </c:pt>
                <c:pt idx="16">
                  <c:v>-8.3745994756773204E-3</c:v>
                </c:pt>
                <c:pt idx="17">
                  <c:v>-6.2946526925416552E-5</c:v>
                </c:pt>
                <c:pt idx="18">
                  <c:v>-1.4321236347612586E-2</c:v>
                </c:pt>
                <c:pt idx="19">
                  <c:v>-1.3592625707838465E-2</c:v>
                </c:pt>
                <c:pt idx="20">
                  <c:v>-1.2280001294903418E-2</c:v>
                </c:pt>
                <c:pt idx="21">
                  <c:v>-2.9279057826138892E-3</c:v>
                </c:pt>
                <c:pt idx="22">
                  <c:v>-1.0299676765463148E-2</c:v>
                </c:pt>
                <c:pt idx="23">
                  <c:v>-6.1334071408802168E-3</c:v>
                </c:pt>
                <c:pt idx="24">
                  <c:v>-3.085628989317195E-3</c:v>
                </c:pt>
                <c:pt idx="25">
                  <c:v>3.1287013654533301E-4</c:v>
                </c:pt>
                <c:pt idx="26">
                  <c:v>2.4910077969662564E-3</c:v>
                </c:pt>
                <c:pt idx="27">
                  <c:v>-8.5910078555910072E-3</c:v>
                </c:pt>
                <c:pt idx="28">
                  <c:v>7.530289747567124E-4</c:v>
                </c:pt>
                <c:pt idx="29">
                  <c:v>5.0987747217574797E-3</c:v>
                </c:pt>
                <c:pt idx="30">
                  <c:v>-1.8771998435666713E-3</c:v>
                </c:pt>
                <c:pt idx="31">
                  <c:v>-2.4740559965072159E-3</c:v>
                </c:pt>
                <c:pt idx="32">
                  <c:v>-8.181267254730392E-3</c:v>
                </c:pt>
                <c:pt idx="33">
                  <c:v>-3.753238964889051E-2</c:v>
                </c:pt>
                <c:pt idx="34">
                  <c:v>1.6576534211144031E-3</c:v>
                </c:pt>
                <c:pt idx="35">
                  <c:v>3.0163965211676509E-3</c:v>
                </c:pt>
                <c:pt idx="36">
                  <c:v>-2.9137119988767099E-3</c:v>
                </c:pt>
                <c:pt idx="37">
                  <c:v>-1.3026792944406107E-3</c:v>
                </c:pt>
                <c:pt idx="38">
                  <c:v>-1.029401396037511E-2</c:v>
                </c:pt>
                <c:pt idx="39">
                  <c:v>-7.195269644511039E-3</c:v>
                </c:pt>
                <c:pt idx="40">
                  <c:v>-4.0662074244154011E-4</c:v>
                </c:pt>
                <c:pt idx="41">
                  <c:v>-5.7907204900577739E-3</c:v>
                </c:pt>
                <c:pt idx="42">
                  <c:v>-7.4610700618543907E-4</c:v>
                </c:pt>
                <c:pt idx="43">
                  <c:v>-1.027265282528062E-2</c:v>
                </c:pt>
                <c:pt idx="44">
                  <c:v>-6.3395106043828255E-3</c:v>
                </c:pt>
                <c:pt idx="45">
                  <c:v>-2.2042075873715531E-4</c:v>
                </c:pt>
                <c:pt idx="46">
                  <c:v>-7.9124001763755357E-3</c:v>
                </c:pt>
                <c:pt idx="47">
                  <c:v>-5.7038445393714273E-3</c:v>
                </c:pt>
                <c:pt idx="48">
                  <c:v>-5.5006456739842783E-3</c:v>
                </c:pt>
                <c:pt idx="49">
                  <c:v>-3.2961682044622825E-3</c:v>
                </c:pt>
                <c:pt idx="50">
                  <c:v>-2.2447982562727807E-2</c:v>
                </c:pt>
                <c:pt idx="51">
                  <c:v>1.2365928982405757E-2</c:v>
                </c:pt>
                <c:pt idx="52">
                  <c:v>-5.6327687906635535E-3</c:v>
                </c:pt>
                <c:pt idx="53">
                  <c:v>6.2756979008873259E-3</c:v>
                </c:pt>
                <c:pt idx="54">
                  <c:v>-1.3333333333333381E-2</c:v>
                </c:pt>
                <c:pt idx="55">
                  <c:v>-2.0988255807990092E-2</c:v>
                </c:pt>
                <c:pt idx="56">
                  <c:v>4.4919393915582966E-3</c:v>
                </c:pt>
                <c:pt idx="57">
                  <c:v>-8.1614560246148285E-3</c:v>
                </c:pt>
                <c:pt idx="58">
                  <c:v>-3.7199642462800056E-3</c:v>
                </c:pt>
                <c:pt idx="59">
                  <c:v>-1.570065837214492E-3</c:v>
                </c:pt>
                <c:pt idx="60">
                  <c:v>2.3918386764277769E-3</c:v>
                </c:pt>
                <c:pt idx="61">
                  <c:v>-2.7157076000263597E-3</c:v>
                </c:pt>
                <c:pt idx="62">
                  <c:v>-1.8770902457401642E-3</c:v>
                </c:pt>
                <c:pt idx="63">
                  <c:v>-3.1255380295866697E-3</c:v>
                </c:pt>
                <c:pt idx="64">
                  <c:v>-3.7464627811507755E-3</c:v>
                </c:pt>
                <c:pt idx="65">
                  <c:v>-9.334702423021608E-4</c:v>
                </c:pt>
                <c:pt idx="66">
                  <c:v>8.4491250550594518E-3</c:v>
                </c:pt>
                <c:pt idx="67">
                  <c:v>-1.1012282930961537E-2</c:v>
                </c:pt>
                <c:pt idx="68">
                  <c:v>-8.3779443254817683E-3</c:v>
                </c:pt>
                <c:pt idx="69">
                  <c:v>-3.4010851081059047E-3</c:v>
                </c:pt>
                <c:pt idx="70">
                  <c:v>-8.491102624522566E-3</c:v>
                </c:pt>
                <c:pt idx="71">
                  <c:v>-5.2038516697398103E-3</c:v>
                </c:pt>
                <c:pt idx="72">
                  <c:v>-5.272262954114865E-3</c:v>
                </c:pt>
                <c:pt idx="73">
                  <c:v>-2.0703933747412791E-4</c:v>
                </c:pt>
                <c:pt idx="74">
                  <c:v>-6.5576033685373538E-3</c:v>
                </c:pt>
                <c:pt idx="75">
                  <c:v>-4.0439132851583775E-3</c:v>
                </c:pt>
                <c:pt idx="76">
                  <c:v>-5.4974954303812886E-3</c:v>
                </c:pt>
                <c:pt idx="77">
                  <c:v>-6.4538758330421957E-4</c:v>
                </c:pt>
                <c:pt idx="78">
                  <c:v>-3.2711395639416357E-3</c:v>
                </c:pt>
                <c:pt idx="79">
                  <c:v>-6.5637500704264686E-3</c:v>
                </c:pt>
                <c:pt idx="80">
                  <c:v>-8.6629802920742544E-3</c:v>
                </c:pt>
                <c:pt idx="81">
                  <c:v>-4.0475407256969718E-3</c:v>
                </c:pt>
                <c:pt idx="82">
                  <c:v>-4.8538112470560323E-3</c:v>
                </c:pt>
                <c:pt idx="83">
                  <c:v>-4.0982423735173345E-3</c:v>
                </c:pt>
                <c:pt idx="84">
                  <c:v>-5.1149042223316201E-3</c:v>
                </c:pt>
                <c:pt idx="85">
                  <c:v>4.951864959729658E-3</c:v>
                </c:pt>
                <c:pt idx="86">
                  <c:v>-2.6811205634701533E-3</c:v>
                </c:pt>
                <c:pt idx="87">
                  <c:v>4.0252266914671412E-3</c:v>
                </c:pt>
                <c:pt idx="88">
                  <c:v>-1.5341640976654892E-3</c:v>
                </c:pt>
                <c:pt idx="89">
                  <c:v>1.2524098743241518E-2</c:v>
                </c:pt>
                <c:pt idx="90">
                  <c:v>-3.040758185280092E-2</c:v>
                </c:pt>
                <c:pt idx="91">
                  <c:v>-7.3825800640819482E-4</c:v>
                </c:pt>
                <c:pt idx="92">
                  <c:v>-2.704020568287599E-3</c:v>
                </c:pt>
                <c:pt idx="93">
                  <c:v>2.5631908021454554E-3</c:v>
                </c:pt>
                <c:pt idx="94">
                  <c:v>-9.6058640105220418E-4</c:v>
                </c:pt>
                <c:pt idx="95">
                  <c:v>1.2721517114877513E-3</c:v>
                </c:pt>
                <c:pt idx="96">
                  <c:v>-3.8411535279520118E-4</c:v>
                </c:pt>
                <c:pt idx="97">
                  <c:v>1.2887588306582745E-2</c:v>
                </c:pt>
                <c:pt idx="98">
                  <c:v>1.5598097294773463E-2</c:v>
                </c:pt>
                <c:pt idx="99">
                  <c:v>2.3705874746777779E-3</c:v>
                </c:pt>
                <c:pt idx="100">
                  <c:v>4.7442953789703203E-3</c:v>
                </c:pt>
                <c:pt idx="101">
                  <c:v>8.1884192356524825E-3</c:v>
                </c:pt>
                <c:pt idx="102">
                  <c:v>4.527896084784858E-3</c:v>
                </c:pt>
                <c:pt idx="103">
                  <c:v>-3.9581367177045955E-3</c:v>
                </c:pt>
                <c:pt idx="104">
                  <c:v>-7.5941848625410225E-3</c:v>
                </c:pt>
                <c:pt idx="105">
                  <c:v>-5.5147844674029783E-3</c:v>
                </c:pt>
                <c:pt idx="106">
                  <c:v>5.215796411990662E-3</c:v>
                </c:pt>
                <c:pt idx="107">
                  <c:v>-4.2764283270639326E-5</c:v>
                </c:pt>
                <c:pt idx="108">
                  <c:v>5.445551611569629E-3</c:v>
                </c:pt>
                <c:pt idx="109">
                  <c:v>1.0690334746423578E-2</c:v>
                </c:pt>
                <c:pt idx="110">
                  <c:v>1.502419863926492E-2</c:v>
                </c:pt>
                <c:pt idx="111">
                  <c:v>7.9882801702692661E-3</c:v>
                </c:pt>
                <c:pt idx="112">
                  <c:v>9.6525625908355835E-3</c:v>
                </c:pt>
                <c:pt idx="113">
                  <c:v>6.2739346533039727E-3</c:v>
                </c:pt>
                <c:pt idx="114">
                  <c:v>-6.7476383265856711E-3</c:v>
                </c:pt>
                <c:pt idx="115">
                  <c:v>-3.0298913043478844E-3</c:v>
                </c:pt>
                <c:pt idx="116">
                  <c:v>-1.0180301729424751E-2</c:v>
                </c:pt>
                <c:pt idx="117">
                  <c:v>4.6950296020928633E-3</c:v>
                </c:pt>
                <c:pt idx="118">
                  <c:v>1.2902385879321916E-2</c:v>
                </c:pt>
                <c:pt idx="119">
                  <c:v>1.2738034838491452E-2</c:v>
                </c:pt>
                <c:pt idx="120">
                  <c:v>1.6565580997675428E-2</c:v>
                </c:pt>
                <c:pt idx="121">
                  <c:v>2.1315741057113615E-2</c:v>
                </c:pt>
                <c:pt idx="122">
                  <c:v>1.9841474085130404E-2</c:v>
                </c:pt>
                <c:pt idx="123">
                  <c:v>1.3815640061571035E-2</c:v>
                </c:pt>
                <c:pt idx="124">
                  <c:v>1.2644207434694566E-2</c:v>
                </c:pt>
                <c:pt idx="125">
                  <c:v>-3.514852093549244E-3</c:v>
                </c:pt>
                <c:pt idx="126">
                  <c:v>-3.6629133110516461E-3</c:v>
                </c:pt>
                <c:pt idx="127">
                  <c:v>-1.3244869160498021E-3</c:v>
                </c:pt>
                <c:pt idx="128">
                  <c:v>-1.2431983539706719E-2</c:v>
                </c:pt>
                <c:pt idx="129">
                  <c:v>4.4555449570761411E-3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6038992"/>
        <c:axId val="1026039536"/>
      </c:lineChart>
      <c:catAx>
        <c:axId val="10260389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1026039536"/>
        <c:crosses val="autoZero"/>
        <c:auto val="1"/>
        <c:lblAlgn val="ctr"/>
        <c:lblOffset val="100"/>
        <c:noMultiLvlLbl val="0"/>
      </c:catAx>
      <c:valAx>
        <c:axId val="1026039536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603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517953340093222E-2"/>
          <c:y val="8.402430820102319E-2"/>
          <c:w val="0.87916461157776582"/>
          <c:h val="0.5757437526725510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CCAA!$B$25:$B$42</c:f>
              <c:strCache>
                <c:ptCount val="18"/>
                <c:pt idx="0">
                  <c:v>Cataluña</c:v>
                </c:pt>
                <c:pt idx="1">
                  <c:v>Madrid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Canarias</c:v>
                </c:pt>
                <c:pt idx="6">
                  <c:v>Navarra</c:v>
                </c:pt>
                <c:pt idx="7">
                  <c:v>Cantabria</c:v>
                </c:pt>
                <c:pt idx="8">
                  <c:v>Aragón</c:v>
                </c:pt>
                <c:pt idx="9">
                  <c:v>Andalucía</c:v>
                </c:pt>
                <c:pt idx="10">
                  <c:v>Asturias</c:v>
                </c:pt>
                <c:pt idx="11">
                  <c:v>Comunitat Valenciana</c:v>
                </c:pt>
                <c:pt idx="12">
                  <c:v>Castilla y León</c:v>
                </c:pt>
                <c:pt idx="13">
                  <c:v>Galicia</c:v>
                </c:pt>
                <c:pt idx="14">
                  <c:v>Región de Murcia</c:v>
                </c:pt>
                <c:pt idx="15">
                  <c:v>La Rioja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CCAA!$C$25:$C$42</c:f>
              <c:numCache>
                <c:formatCode>_("€"* #,##0.00_);_("€"* \(#,##0.00\);_("€"* "-"??_);_(@_)</c:formatCode>
                <c:ptCount val="18"/>
                <c:pt idx="0">
                  <c:v>12.2745</c:v>
                </c:pt>
                <c:pt idx="1">
                  <c:v>11.5304</c:v>
                </c:pt>
                <c:pt idx="2">
                  <c:v>10.9146</c:v>
                </c:pt>
                <c:pt idx="3">
                  <c:v>9.7564999999999991</c:v>
                </c:pt>
                <c:pt idx="4">
                  <c:v>8.0030999999999999</c:v>
                </c:pt>
                <c:pt idx="5">
                  <c:v>7.3346</c:v>
                </c:pt>
                <c:pt idx="6">
                  <c:v>7.1675000000000004</c:v>
                </c:pt>
                <c:pt idx="7">
                  <c:v>7.0476000000000001</c:v>
                </c:pt>
                <c:pt idx="8">
                  <c:v>6.8220999999999998</c:v>
                </c:pt>
                <c:pt idx="9">
                  <c:v>6.5705999999999998</c:v>
                </c:pt>
                <c:pt idx="10">
                  <c:v>6.5143000000000004</c:v>
                </c:pt>
                <c:pt idx="11">
                  <c:v>6.2134999999999998</c:v>
                </c:pt>
                <c:pt idx="12">
                  <c:v>6.0259</c:v>
                </c:pt>
                <c:pt idx="13">
                  <c:v>5.5850999999999997</c:v>
                </c:pt>
                <c:pt idx="14">
                  <c:v>5.5594999999999999</c:v>
                </c:pt>
                <c:pt idx="15">
                  <c:v>5.4219999999999997</c:v>
                </c:pt>
                <c:pt idx="16">
                  <c:v>4.9897999999999998</c:v>
                </c:pt>
                <c:pt idx="17">
                  <c:v>4.7874999999999996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6041168"/>
        <c:axId val="1026042256"/>
      </c:barChart>
      <c:catAx>
        <c:axId val="102604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6042256"/>
        <c:crosses val="autoZero"/>
        <c:auto val="1"/>
        <c:lblAlgn val="ctr"/>
        <c:lblOffset val="100"/>
        <c:noMultiLvlLbl val="0"/>
      </c:catAx>
      <c:valAx>
        <c:axId val="1026042256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604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193F1-46F7-47D9-A398-5EAC598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717</TotalTime>
  <Pages>6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79</cp:revision>
  <dcterms:created xsi:type="dcterms:W3CDTF">2017-03-02T14:09:00Z</dcterms:created>
  <dcterms:modified xsi:type="dcterms:W3CDTF">2017-11-15T11:03:00Z</dcterms:modified>
</cp:coreProperties>
</file>