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1C44D9"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753088" w:rsidRDefault="003439AF" w:rsidP="00753088">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OCTUBRE</w:t>
      </w:r>
      <w:r w:rsidR="00753088" w:rsidRPr="00753088">
        <w:rPr>
          <w:rFonts w:ascii="National" w:hAnsi="National"/>
          <w:b/>
          <w:bCs/>
          <w:iCs/>
          <w:color w:val="1DBDC5"/>
          <w:sz w:val="42"/>
          <w:szCs w:val="52"/>
          <w:lang w:val="es-ES"/>
        </w:rPr>
        <w:t xml:space="preserve">: PRECIO VIVIENDA EN </w:t>
      </w:r>
      <w:r w:rsidR="00FB1FB5">
        <w:rPr>
          <w:rFonts w:ascii="National" w:hAnsi="National"/>
          <w:b/>
          <w:bCs/>
          <w:iCs/>
          <w:color w:val="1DBDC5"/>
          <w:sz w:val="42"/>
          <w:szCs w:val="52"/>
          <w:lang w:val="es-ES"/>
        </w:rPr>
        <w:t>ALQUILER</w:t>
      </w:r>
    </w:p>
    <w:p w:rsidR="00A84CA7" w:rsidRPr="0064757F" w:rsidRDefault="0064757F" w:rsidP="00753088">
      <w:pPr>
        <w:ind w:right="-574"/>
        <w:rPr>
          <w:rFonts w:ascii="National" w:hAnsi="National"/>
          <w:b/>
          <w:bCs/>
          <w:iCs/>
          <w:color w:val="303AB2"/>
          <w:sz w:val="56"/>
          <w:szCs w:val="200"/>
          <w:lang w:val="es-ES"/>
        </w:rPr>
      </w:pPr>
      <w:r w:rsidRPr="0064757F">
        <w:rPr>
          <w:rFonts w:ascii="National" w:hAnsi="National"/>
          <w:b/>
          <w:bCs/>
          <w:iCs/>
          <w:color w:val="303AB2"/>
          <w:sz w:val="56"/>
          <w:szCs w:val="200"/>
          <w:lang w:val="es-ES"/>
        </w:rPr>
        <w:t xml:space="preserve">El precio de la vivienda en alquiler </w:t>
      </w:r>
      <w:r w:rsidR="00502EB4">
        <w:rPr>
          <w:rFonts w:ascii="National" w:hAnsi="National"/>
          <w:b/>
          <w:bCs/>
          <w:iCs/>
          <w:color w:val="303AB2"/>
          <w:sz w:val="56"/>
          <w:szCs w:val="200"/>
          <w:lang w:val="es-ES"/>
        </w:rPr>
        <w:t>sube un 1,4% mensual en octubre</w:t>
      </w:r>
    </w:p>
    <w:p w:rsidR="0064757F" w:rsidRPr="005029E9" w:rsidRDefault="0064757F" w:rsidP="00753088">
      <w:pPr>
        <w:ind w:right="-574"/>
        <w:rPr>
          <w:rFonts w:ascii="National" w:hAnsi="National"/>
          <w:b/>
          <w:bCs/>
          <w:iCs/>
          <w:color w:val="303AB2"/>
          <w:sz w:val="36"/>
          <w:szCs w:val="36"/>
          <w:lang w:val="es-ES"/>
        </w:rPr>
      </w:pPr>
    </w:p>
    <w:p w:rsidR="0064757F" w:rsidRPr="004B357D" w:rsidRDefault="000855F9" w:rsidP="0064757F">
      <w:pPr>
        <w:pStyle w:val="Prrafodelista"/>
        <w:numPr>
          <w:ilvl w:val="0"/>
          <w:numId w:val="6"/>
        </w:numPr>
        <w:spacing w:line="276" w:lineRule="auto"/>
        <w:ind w:right="-574"/>
        <w:rPr>
          <w:rFonts w:ascii="Open Sans" w:eastAsia="Times New Roman" w:hAnsi="Open Sans" w:cs="Open Sans"/>
          <w:color w:val="000000"/>
          <w:lang w:val="es-ES" w:eastAsia="es-ES_tradnl"/>
        </w:rPr>
      </w:pPr>
      <w:r w:rsidRPr="004B357D">
        <w:rPr>
          <w:rFonts w:ascii="Open Sans" w:eastAsia="Times New Roman" w:hAnsi="Open Sans" w:cs="Open Sans"/>
          <w:color w:val="000000"/>
          <w:lang w:val="es-ES" w:eastAsia="es-ES_tradnl"/>
        </w:rPr>
        <w:t>El precio del alquiler se sitúa en octubre en 8,22 €/m2 al mes y vuelve a datos de 2010</w:t>
      </w:r>
    </w:p>
    <w:p w:rsidR="000855F9" w:rsidRPr="004B357D" w:rsidRDefault="000855F9" w:rsidP="0064757F">
      <w:pPr>
        <w:pStyle w:val="Prrafodelista"/>
        <w:numPr>
          <w:ilvl w:val="0"/>
          <w:numId w:val="6"/>
        </w:numPr>
        <w:spacing w:line="276" w:lineRule="auto"/>
        <w:ind w:right="-574"/>
        <w:rPr>
          <w:rFonts w:ascii="Open Sans" w:eastAsia="Times New Roman" w:hAnsi="Open Sans" w:cs="Open Sans"/>
          <w:color w:val="000000"/>
          <w:lang w:val="es-ES" w:eastAsia="es-ES_tradnl"/>
        </w:rPr>
      </w:pPr>
      <w:r w:rsidRPr="004B357D">
        <w:rPr>
          <w:rFonts w:ascii="Open Sans" w:eastAsia="Times New Roman" w:hAnsi="Open Sans" w:cs="Open Sans"/>
          <w:color w:val="000000"/>
          <w:lang w:val="es-ES" w:eastAsia="es-ES_tradnl"/>
        </w:rPr>
        <w:t>Interanualmente, el precio de la vivienda sube un 2,7%</w:t>
      </w:r>
    </w:p>
    <w:p w:rsidR="0064757F" w:rsidRPr="004B357D" w:rsidRDefault="0064757F" w:rsidP="0064757F">
      <w:pPr>
        <w:pStyle w:val="Prrafodelista"/>
        <w:numPr>
          <w:ilvl w:val="0"/>
          <w:numId w:val="6"/>
        </w:numPr>
        <w:spacing w:line="276" w:lineRule="auto"/>
        <w:ind w:right="-574"/>
        <w:rPr>
          <w:rFonts w:ascii="Open Sans" w:eastAsia="Times New Roman" w:hAnsi="Open Sans" w:cs="Open Sans"/>
          <w:color w:val="000000"/>
          <w:lang w:val="es-ES" w:eastAsia="es-ES_tradnl"/>
        </w:rPr>
      </w:pPr>
      <w:r w:rsidRPr="004B357D">
        <w:rPr>
          <w:rFonts w:ascii="Open Sans" w:eastAsia="Times New Roman" w:hAnsi="Open Sans" w:cs="Open Sans"/>
          <w:color w:val="000000"/>
          <w:lang w:val="es-ES" w:eastAsia="es-ES_tradnl"/>
        </w:rPr>
        <w:t>Barcelona es el municipio más caro para alquilar una vivienda</w:t>
      </w:r>
    </w:p>
    <w:p w:rsidR="0064757F" w:rsidRPr="004B357D" w:rsidRDefault="0064757F" w:rsidP="0064757F">
      <w:pPr>
        <w:pStyle w:val="Prrafodelista"/>
        <w:numPr>
          <w:ilvl w:val="0"/>
          <w:numId w:val="6"/>
        </w:numPr>
        <w:spacing w:line="276" w:lineRule="auto"/>
        <w:ind w:right="-574"/>
        <w:rPr>
          <w:rFonts w:ascii="Open Sans" w:eastAsia="Times New Roman" w:hAnsi="Open Sans" w:cs="Open Sans"/>
          <w:color w:val="000000"/>
          <w:lang w:val="es-ES" w:eastAsia="es-ES_tradnl"/>
        </w:rPr>
      </w:pPr>
      <w:r w:rsidRPr="004B357D">
        <w:rPr>
          <w:rFonts w:ascii="Open Sans" w:eastAsia="Times New Roman" w:hAnsi="Open Sans" w:cs="Open Sans"/>
          <w:color w:val="000000"/>
          <w:lang w:val="es-ES" w:eastAsia="es-ES_tradnl"/>
        </w:rPr>
        <w:t xml:space="preserve">Sube el precio del alquiler </w:t>
      </w:r>
      <w:r w:rsidR="000855F9" w:rsidRPr="004B357D">
        <w:rPr>
          <w:rFonts w:ascii="Open Sans" w:eastAsia="Times New Roman" w:hAnsi="Open Sans" w:cs="Open Sans"/>
          <w:color w:val="000000"/>
          <w:lang w:val="es-ES" w:eastAsia="es-ES_tradnl"/>
        </w:rPr>
        <w:t>diez distritos de Madrid y en ocho de Barcelona</w:t>
      </w:r>
    </w:p>
    <w:p w:rsidR="002A35C0" w:rsidRPr="002A35C0" w:rsidRDefault="00010ECE"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br/>
      </w:r>
      <w:r w:rsidR="00753088">
        <w:rPr>
          <w:rFonts w:ascii="Open Sans Light" w:hAnsi="Open Sans Light" w:cs="Open Sans Light"/>
          <w:b/>
          <w:iCs/>
          <w:color w:val="303AB2"/>
          <w:szCs w:val="20"/>
          <w:lang w:val="es-ES"/>
        </w:rPr>
        <w:t xml:space="preserve">Madrid, </w:t>
      </w:r>
      <w:r w:rsidR="00502EB4">
        <w:rPr>
          <w:rFonts w:ascii="Open Sans Light" w:hAnsi="Open Sans Light" w:cs="Open Sans Light"/>
          <w:b/>
          <w:iCs/>
          <w:color w:val="303AB2"/>
          <w:szCs w:val="20"/>
          <w:lang w:val="es-ES"/>
        </w:rPr>
        <w:t>19 de noviembre</w:t>
      </w:r>
      <w:r w:rsidR="002A35C0" w:rsidRPr="002A35C0">
        <w:rPr>
          <w:rFonts w:ascii="Open Sans Light" w:hAnsi="Open Sans Light" w:cs="Open Sans Light"/>
          <w:b/>
          <w:iCs/>
          <w:color w:val="303AB2"/>
          <w:szCs w:val="20"/>
          <w:lang w:val="es-ES"/>
        </w:rPr>
        <w:t xml:space="preserve"> de 2018</w:t>
      </w:r>
    </w:p>
    <w:p w:rsidR="006C1637" w:rsidRDefault="0064757F" w:rsidP="0064757F">
      <w:pPr>
        <w:pStyle w:val="NormalWeb"/>
        <w:shd w:val="clear" w:color="auto" w:fill="FFFFFF"/>
        <w:spacing w:after="225" w:line="276" w:lineRule="auto"/>
        <w:ind w:right="-574"/>
        <w:jc w:val="both"/>
        <w:rPr>
          <w:rFonts w:ascii="Open Sans" w:hAnsi="Open Sans" w:cs="Open Sans"/>
          <w:color w:val="000000"/>
        </w:rPr>
      </w:pPr>
      <w:r w:rsidRPr="0064757F">
        <w:rPr>
          <w:rFonts w:ascii="Open Sans" w:hAnsi="Open Sans" w:cs="Open Sans"/>
          <w:color w:val="000000"/>
        </w:rPr>
        <w:t>El precio medio de la vivienda en alquiler en Españ</w:t>
      </w:r>
      <w:r>
        <w:rPr>
          <w:rFonts w:ascii="Open Sans" w:hAnsi="Open Sans" w:cs="Open Sans"/>
          <w:color w:val="000000"/>
        </w:rPr>
        <w:t xml:space="preserve">a </w:t>
      </w:r>
      <w:r w:rsidR="006C1637">
        <w:rPr>
          <w:rFonts w:ascii="Open Sans" w:hAnsi="Open Sans" w:cs="Open Sans"/>
          <w:color w:val="000000"/>
        </w:rPr>
        <w:t>incrementa un 1,4</w:t>
      </w:r>
      <w:r>
        <w:rPr>
          <w:rFonts w:ascii="Open Sans" w:hAnsi="Open Sans" w:cs="Open Sans"/>
          <w:color w:val="000000"/>
        </w:rPr>
        <w:t xml:space="preserve">% </w:t>
      </w:r>
      <w:r w:rsidR="006C1637">
        <w:rPr>
          <w:rFonts w:ascii="Open Sans" w:hAnsi="Open Sans" w:cs="Open Sans"/>
          <w:color w:val="000000"/>
        </w:rPr>
        <w:t xml:space="preserve">mensual </w:t>
      </w:r>
      <w:r w:rsidRPr="0064757F">
        <w:rPr>
          <w:rFonts w:ascii="Open Sans" w:hAnsi="Open Sans" w:cs="Open Sans"/>
          <w:color w:val="000000"/>
        </w:rPr>
        <w:t xml:space="preserve"> y se sitúa en </w:t>
      </w:r>
      <w:r w:rsidR="006C1637">
        <w:rPr>
          <w:rFonts w:ascii="Open Sans" w:hAnsi="Open Sans" w:cs="Open Sans"/>
          <w:color w:val="000000"/>
        </w:rPr>
        <w:t>8,22</w:t>
      </w:r>
      <w:r w:rsidRPr="0064757F">
        <w:rPr>
          <w:rFonts w:ascii="Open Sans" w:hAnsi="Open Sans" w:cs="Open Sans"/>
          <w:color w:val="000000"/>
        </w:rPr>
        <w:t xml:space="preserve">€/m2 al mes, según los últimos datos del portal inmobiliario </w:t>
      </w:r>
      <w:hyperlink r:id="rId9" w:history="1">
        <w:r w:rsidRPr="00B10769">
          <w:rPr>
            <w:rStyle w:val="Hipervnculo"/>
            <w:rFonts w:ascii="Open Sans" w:hAnsi="Open Sans" w:cs="Open Sans"/>
            <w:b/>
            <w:bCs/>
          </w:rPr>
          <w:t>Fotocasa</w:t>
        </w:r>
      </w:hyperlink>
      <w:r w:rsidRPr="0064757F">
        <w:rPr>
          <w:rFonts w:ascii="Open Sans" w:hAnsi="Open Sans" w:cs="Open Sans"/>
          <w:color w:val="000000"/>
        </w:rPr>
        <w:t xml:space="preserve">. </w:t>
      </w:r>
      <w:r w:rsidR="00F637D5">
        <w:rPr>
          <w:rFonts w:ascii="Open Sans" w:hAnsi="Open Sans" w:cs="Open Sans"/>
          <w:color w:val="000000"/>
        </w:rPr>
        <w:t xml:space="preserve">En cuanto al incremento interanual, el precio de la vivienda en alquiler sube un 2,7% respecto al año pasado. Este incremento interanual </w:t>
      </w:r>
      <w:r w:rsidR="000855F9">
        <w:rPr>
          <w:rFonts w:ascii="Open Sans" w:hAnsi="Open Sans" w:cs="Open Sans"/>
          <w:color w:val="000000"/>
        </w:rPr>
        <w:t>continúa</w:t>
      </w:r>
      <w:r w:rsidR="00F637D5">
        <w:rPr>
          <w:rFonts w:ascii="Open Sans" w:hAnsi="Open Sans" w:cs="Open Sans"/>
          <w:color w:val="000000"/>
        </w:rPr>
        <w:t xml:space="preserve"> con la senda alcista de los últimos 44 meses, tan sólo roto el pasado mes de agosto cuando el precio interanual cayó un -2,2%.</w:t>
      </w:r>
    </w:p>
    <w:p w:rsidR="0064757F" w:rsidRPr="0064757F" w:rsidRDefault="005748D8" w:rsidP="0064757F">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w:t>
      </w:r>
      <w:r w:rsidRPr="005748D8">
        <w:rPr>
          <w:rFonts w:ascii="Open Sans" w:hAnsi="Open Sans" w:cs="Open Sans"/>
          <w:color w:val="000000"/>
        </w:rPr>
        <w:t>El precio medio del alquiler sigue subiendo en España, pero a un ritmo muy inferior a cómo lo hacía hace un año, cuando registrábamos subidas interanuales de dos dígitos. Aun así, nuestros datos revelan fuertes tensiones en los precios en las principales capitales del país, lo cual es llamativo sobre todo teniendo en cuenta que en buena parte de ellas ya hemos superado los precios máximos que registramos en 2007 y 2008</w:t>
      </w:r>
      <w:r>
        <w:rPr>
          <w:rFonts w:ascii="Open Sans" w:hAnsi="Open Sans" w:cs="Open Sans"/>
          <w:color w:val="000000"/>
        </w:rPr>
        <w:t xml:space="preserve">”, explica </w:t>
      </w:r>
      <w:r w:rsidR="0064757F" w:rsidRPr="005748D8">
        <w:rPr>
          <w:rFonts w:ascii="Open Sans" w:hAnsi="Open Sans" w:cs="Open Sans"/>
          <w:color w:val="000000"/>
        </w:rPr>
        <w:t xml:space="preserve">Beatriz Toribio, directora de Estudios de </w:t>
      </w:r>
      <w:hyperlink r:id="rId10" w:history="1">
        <w:r w:rsidR="0064757F" w:rsidRPr="005748D8">
          <w:rPr>
            <w:rStyle w:val="Hipervnculo"/>
            <w:rFonts w:ascii="Open Sans" w:hAnsi="Open Sans" w:cs="Open Sans"/>
            <w:b/>
            <w:bCs/>
          </w:rPr>
          <w:t>Fotocasa</w:t>
        </w:r>
      </w:hyperlink>
      <w:r w:rsidR="0064757F" w:rsidRPr="005748D8">
        <w:rPr>
          <w:rFonts w:ascii="Open Sans" w:hAnsi="Open Sans" w:cs="Open Sans"/>
          <w:color w:val="000000"/>
        </w:rPr>
        <w:t>.</w:t>
      </w:r>
    </w:p>
    <w:p w:rsidR="005748D8" w:rsidRDefault="005748D8" w:rsidP="0064757F">
      <w:pPr>
        <w:pStyle w:val="NormalWeb"/>
        <w:shd w:val="clear" w:color="auto" w:fill="FFFFFF"/>
        <w:spacing w:after="225" w:line="276" w:lineRule="auto"/>
        <w:ind w:right="-574"/>
        <w:jc w:val="both"/>
        <w:rPr>
          <w:rFonts w:ascii="Open Sans" w:hAnsi="Open Sans" w:cs="Open Sans"/>
          <w:color w:val="000000"/>
        </w:rPr>
      </w:pPr>
    </w:p>
    <w:p w:rsidR="0064757F" w:rsidRDefault="0064757F" w:rsidP="0064757F">
      <w:pPr>
        <w:pStyle w:val="NormalWeb"/>
        <w:shd w:val="clear" w:color="auto" w:fill="FFFFFF"/>
        <w:spacing w:after="225" w:line="276" w:lineRule="auto"/>
        <w:ind w:right="-574"/>
        <w:jc w:val="both"/>
        <w:rPr>
          <w:rFonts w:ascii="Open Sans" w:hAnsi="Open Sans" w:cs="Open Sans"/>
          <w:color w:val="000000"/>
        </w:rPr>
      </w:pPr>
      <w:r w:rsidRPr="0064757F">
        <w:rPr>
          <w:rFonts w:ascii="Open Sans" w:hAnsi="Open Sans" w:cs="Open Sans"/>
          <w:color w:val="000000"/>
        </w:rPr>
        <w:lastRenderedPageBreak/>
        <w:t xml:space="preserve">Por otro lado, el precio medio del mes de </w:t>
      </w:r>
      <w:r w:rsidR="00F637D5">
        <w:rPr>
          <w:rFonts w:ascii="Open Sans" w:hAnsi="Open Sans" w:cs="Open Sans"/>
          <w:color w:val="000000"/>
        </w:rPr>
        <w:t>octubre</w:t>
      </w:r>
      <w:r w:rsidRPr="0064757F">
        <w:rPr>
          <w:rFonts w:ascii="Open Sans" w:hAnsi="Open Sans" w:cs="Open Sans"/>
          <w:color w:val="000000"/>
        </w:rPr>
        <w:t xml:space="preserve"> (</w:t>
      </w:r>
      <w:r w:rsidR="00DB7D37">
        <w:rPr>
          <w:rFonts w:ascii="Open Sans" w:hAnsi="Open Sans" w:cs="Open Sans"/>
          <w:color w:val="000000"/>
        </w:rPr>
        <w:t>8,22</w:t>
      </w:r>
      <w:r w:rsidRPr="0064757F">
        <w:rPr>
          <w:rFonts w:ascii="Open Sans" w:hAnsi="Open Sans" w:cs="Open Sans"/>
          <w:color w:val="000000"/>
        </w:rPr>
        <w:t xml:space="preserve"> €/m2 al mes) nos devuelve a datos de </w:t>
      </w:r>
      <w:r w:rsidR="00DB7D37">
        <w:rPr>
          <w:rFonts w:ascii="Open Sans" w:hAnsi="Open Sans" w:cs="Open Sans"/>
          <w:color w:val="000000"/>
        </w:rPr>
        <w:t>agosto de 2010</w:t>
      </w:r>
      <w:r w:rsidRPr="0064757F">
        <w:rPr>
          <w:rFonts w:ascii="Open Sans" w:hAnsi="Open Sans" w:cs="Open Sans"/>
          <w:color w:val="000000"/>
        </w:rPr>
        <w:t xml:space="preserve">, cuando el precio del alquiler se situó en </w:t>
      </w:r>
      <w:r w:rsidR="00DB7D37">
        <w:rPr>
          <w:rFonts w:ascii="Open Sans" w:hAnsi="Open Sans" w:cs="Open Sans"/>
          <w:color w:val="000000"/>
        </w:rPr>
        <w:t>8,22</w:t>
      </w:r>
      <w:r w:rsidRPr="0064757F">
        <w:rPr>
          <w:rFonts w:ascii="Open Sans" w:hAnsi="Open Sans" w:cs="Open Sans"/>
          <w:color w:val="000000"/>
        </w:rPr>
        <w:t xml:space="preserve"> €/m2 al mes. Desde que alcanzó el precio máximo en mayo de 2007 (10,12 €/m2 al mes) el precio de la vivienda lleva acumulada una caída del -</w:t>
      </w:r>
      <w:r w:rsidR="00DB7D37">
        <w:rPr>
          <w:rFonts w:ascii="Open Sans" w:hAnsi="Open Sans" w:cs="Open Sans"/>
          <w:color w:val="000000"/>
        </w:rPr>
        <w:t>18,8</w:t>
      </w:r>
      <w:r w:rsidRPr="0064757F">
        <w:rPr>
          <w:rFonts w:ascii="Open Sans" w:hAnsi="Open Sans" w:cs="Open Sans"/>
          <w:color w:val="000000"/>
        </w:rPr>
        <w:t>%.</w:t>
      </w:r>
    </w:p>
    <w:p w:rsidR="0064757F" w:rsidRPr="0064757F" w:rsidRDefault="0064757F" w:rsidP="0064757F">
      <w:pPr>
        <w:spacing w:line="276" w:lineRule="auto"/>
        <w:ind w:right="-574"/>
        <w:rPr>
          <w:rFonts w:ascii="Open Sans Light" w:hAnsi="Open Sans Light" w:cs="Open Sans Light"/>
          <w:b/>
          <w:iCs/>
          <w:color w:val="303AB2"/>
          <w:sz w:val="28"/>
          <w:szCs w:val="22"/>
          <w:lang w:val="es-ES"/>
        </w:rPr>
      </w:pPr>
      <w:r w:rsidRPr="0064757F">
        <w:rPr>
          <w:rFonts w:ascii="Open Sans Light" w:hAnsi="Open Sans Light" w:cs="Open Sans Light"/>
          <w:b/>
          <w:iCs/>
          <w:color w:val="303AB2"/>
          <w:sz w:val="28"/>
          <w:szCs w:val="22"/>
          <w:lang w:val="es-ES"/>
        </w:rPr>
        <w:t>Evolución interanual precio de la vivienda en alquiler (2007-2018)</w:t>
      </w:r>
    </w:p>
    <w:p w:rsidR="0064757F" w:rsidRDefault="00DB7D37" w:rsidP="00753088">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5345108C" wp14:editId="1630E843">
            <wp:extent cx="5797550" cy="3171217"/>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357D" w:rsidRDefault="004B357D" w:rsidP="0064757F">
      <w:pPr>
        <w:spacing w:line="276" w:lineRule="auto"/>
        <w:ind w:right="-574"/>
        <w:rPr>
          <w:rFonts w:ascii="Open Sans Light" w:hAnsi="Open Sans Light" w:cs="Open Sans Light"/>
          <w:b/>
          <w:iCs/>
          <w:color w:val="303AB2"/>
          <w:sz w:val="28"/>
          <w:szCs w:val="22"/>
          <w:lang w:val="es-ES"/>
        </w:rPr>
      </w:pPr>
    </w:p>
    <w:p w:rsidR="0064757F" w:rsidRPr="0064757F" w:rsidRDefault="0064757F" w:rsidP="0064757F">
      <w:pPr>
        <w:spacing w:line="276" w:lineRule="auto"/>
        <w:ind w:right="-574"/>
        <w:rPr>
          <w:rFonts w:ascii="Open Sans Light" w:hAnsi="Open Sans Light" w:cs="Open Sans Light"/>
          <w:b/>
          <w:iCs/>
          <w:color w:val="303AB2"/>
          <w:sz w:val="28"/>
          <w:szCs w:val="22"/>
          <w:lang w:val="es-ES"/>
        </w:rPr>
      </w:pPr>
      <w:r w:rsidRPr="0064757F">
        <w:rPr>
          <w:rFonts w:ascii="Open Sans Light" w:hAnsi="Open Sans Light" w:cs="Open Sans Light"/>
          <w:b/>
          <w:iCs/>
          <w:color w:val="303AB2"/>
          <w:sz w:val="28"/>
          <w:szCs w:val="22"/>
          <w:lang w:val="es-ES"/>
        </w:rPr>
        <w:t xml:space="preserve">El precio </w:t>
      </w:r>
      <w:r w:rsidR="00DB7D37">
        <w:rPr>
          <w:rFonts w:ascii="Open Sans Light" w:hAnsi="Open Sans Light" w:cs="Open Sans Light"/>
          <w:b/>
          <w:iCs/>
          <w:color w:val="303AB2"/>
          <w:sz w:val="28"/>
          <w:szCs w:val="22"/>
          <w:lang w:val="es-ES"/>
        </w:rPr>
        <w:t>mensual sube en nueve</w:t>
      </w:r>
      <w:r w:rsidRPr="0064757F">
        <w:rPr>
          <w:rFonts w:ascii="Open Sans Light" w:hAnsi="Open Sans Light" w:cs="Open Sans Light"/>
          <w:b/>
          <w:iCs/>
          <w:color w:val="303AB2"/>
          <w:sz w:val="28"/>
          <w:szCs w:val="22"/>
          <w:lang w:val="es-ES"/>
        </w:rPr>
        <w:t xml:space="preserve"> comunidades</w:t>
      </w:r>
    </w:p>
    <w:p w:rsidR="006821ED" w:rsidRDefault="0064757F" w:rsidP="0064757F">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E</w:t>
      </w:r>
      <w:r w:rsidRPr="0064757F">
        <w:rPr>
          <w:rFonts w:ascii="Open Sans" w:hAnsi="Open Sans" w:cs="Open Sans"/>
          <w:color w:val="000000"/>
        </w:rPr>
        <w:t xml:space="preserve">n cuanto a las comunidades autónomas, en </w:t>
      </w:r>
      <w:r w:rsidR="006821ED">
        <w:rPr>
          <w:rFonts w:ascii="Open Sans" w:hAnsi="Open Sans" w:cs="Open Sans"/>
          <w:color w:val="000000"/>
        </w:rPr>
        <w:t>octubre sube</w:t>
      </w:r>
      <w:r w:rsidRPr="0064757F">
        <w:rPr>
          <w:rFonts w:ascii="Open Sans" w:hAnsi="Open Sans" w:cs="Open Sans"/>
          <w:color w:val="000000"/>
        </w:rPr>
        <w:t xml:space="preserve"> el precio en </w:t>
      </w:r>
      <w:r w:rsidR="006821ED">
        <w:rPr>
          <w:rFonts w:ascii="Open Sans" w:hAnsi="Open Sans" w:cs="Open Sans"/>
          <w:color w:val="000000"/>
        </w:rPr>
        <w:t xml:space="preserve">nueve </w:t>
      </w:r>
      <w:r w:rsidRPr="0064757F">
        <w:rPr>
          <w:rFonts w:ascii="Open Sans" w:hAnsi="Open Sans" w:cs="Open Sans"/>
          <w:color w:val="000000"/>
        </w:rPr>
        <w:t xml:space="preserve">comunidades. La comunidad que más </w:t>
      </w:r>
      <w:r w:rsidR="006821ED">
        <w:rPr>
          <w:rFonts w:ascii="Open Sans" w:hAnsi="Open Sans" w:cs="Open Sans"/>
          <w:color w:val="000000"/>
        </w:rPr>
        <w:t xml:space="preserve">sube el precio mensual en octubre es la Comunitat Valenciana (1,8%), seguido de La Rioja (1,6%), Galicia (1,3%), Madrid (0,9%) y Cataluña, Baleares y Aragón, que suben un 0,8%. </w:t>
      </w:r>
    </w:p>
    <w:p w:rsidR="0064757F" w:rsidRPr="0064757F" w:rsidRDefault="006821ED" w:rsidP="0064757F">
      <w:pPr>
        <w:pStyle w:val="NormalWeb"/>
        <w:shd w:val="clear" w:color="auto" w:fill="FFFFFF"/>
        <w:spacing w:after="225" w:line="276" w:lineRule="auto"/>
        <w:ind w:right="-574"/>
        <w:jc w:val="center"/>
        <w:rPr>
          <w:rFonts w:ascii="Open Sans" w:hAnsi="Open Sans" w:cs="Open Sans"/>
          <w:color w:val="000000"/>
        </w:rPr>
      </w:pPr>
      <w:r>
        <w:rPr>
          <w:rFonts w:ascii="Open Sans Light" w:hAnsi="Open Sans Light" w:cs="Open Sans Light"/>
          <w:b/>
          <w:iCs/>
          <w:color w:val="303AB2"/>
          <w:sz w:val="28"/>
          <w:szCs w:val="22"/>
        </w:rPr>
        <w:t>Incrementos mensuales</w:t>
      </w:r>
      <w:r w:rsidR="0064757F" w:rsidRPr="0064757F">
        <w:rPr>
          <w:rFonts w:ascii="Open Sans Light" w:hAnsi="Open Sans Light" w:cs="Open Sans Light"/>
          <w:b/>
          <w:iCs/>
          <w:color w:val="303AB2"/>
          <w:sz w:val="28"/>
          <w:szCs w:val="22"/>
        </w:rPr>
        <w:t xml:space="preserve"> por CC.AA. en </w:t>
      </w:r>
      <w:r>
        <w:rPr>
          <w:rFonts w:ascii="Open Sans Light" w:hAnsi="Open Sans Light" w:cs="Open Sans Light"/>
          <w:b/>
          <w:iCs/>
          <w:color w:val="303AB2"/>
          <w:sz w:val="28"/>
          <w:szCs w:val="22"/>
        </w:rPr>
        <w:t>octubre</w:t>
      </w:r>
    </w:p>
    <w:tbl>
      <w:tblPr>
        <w:tblStyle w:val="Tabladecuadrcula5oscura-nfasis11"/>
        <w:tblW w:w="0" w:type="auto"/>
        <w:jc w:val="center"/>
        <w:tblLook w:val="04A0" w:firstRow="1" w:lastRow="0" w:firstColumn="1" w:lastColumn="0" w:noHBand="0" w:noVBand="1"/>
      </w:tblPr>
      <w:tblGrid>
        <w:gridCol w:w="2943"/>
        <w:gridCol w:w="2869"/>
      </w:tblGrid>
      <w:tr w:rsidR="0064757F" w:rsidRPr="00201404" w:rsidTr="006475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64757F" w:rsidRPr="00201404" w:rsidRDefault="0064757F" w:rsidP="0064757F">
            <w:pPr>
              <w:jc w:val="center"/>
              <w:rPr>
                <w:rFonts w:ascii="Open Sans Light" w:hAnsi="Open Sans Light"/>
                <w:lang w:val="es-ES"/>
              </w:rPr>
            </w:pPr>
            <w:r>
              <w:rPr>
                <w:rFonts w:ascii="Open Sans Light" w:hAnsi="Open Sans Light"/>
                <w:lang w:val="es-ES"/>
              </w:rPr>
              <w:t>CC.AA.</w:t>
            </w:r>
          </w:p>
        </w:tc>
        <w:tc>
          <w:tcPr>
            <w:tcW w:w="2869" w:type="dxa"/>
          </w:tcPr>
          <w:p w:rsidR="0064757F" w:rsidRPr="00201404" w:rsidRDefault="006821ED" w:rsidP="006475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w:t>
            </w:r>
            <w:r w:rsidR="0064757F">
              <w:rPr>
                <w:rFonts w:ascii="Open Sans Light" w:hAnsi="Open Sans Light"/>
                <w:lang w:val="es-ES"/>
              </w:rPr>
              <w:t xml:space="preserve"> 2018</w:t>
            </w:r>
          </w:p>
          <w:p w:rsidR="0064757F" w:rsidRPr="00201404" w:rsidRDefault="0064757F" w:rsidP="0064757F">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6821ED" w:rsidRPr="00201404" w:rsidTr="00647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Comunitat Valenciana</w:t>
            </w:r>
          </w:p>
        </w:tc>
        <w:tc>
          <w:tcPr>
            <w:tcW w:w="2869" w:type="dxa"/>
            <w:vAlign w:val="bottom"/>
          </w:tcPr>
          <w:p w:rsidR="006821ED" w:rsidRPr="006821ED" w:rsidRDefault="006821ED" w:rsidP="006821E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1,8 %</w:t>
            </w:r>
          </w:p>
        </w:tc>
      </w:tr>
      <w:tr w:rsidR="006821ED" w:rsidRPr="00201404" w:rsidTr="0064757F">
        <w:trPr>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La Rioja</w:t>
            </w:r>
          </w:p>
        </w:tc>
        <w:tc>
          <w:tcPr>
            <w:tcW w:w="2869" w:type="dxa"/>
            <w:vAlign w:val="bottom"/>
          </w:tcPr>
          <w:p w:rsidR="006821ED" w:rsidRPr="006821ED" w:rsidRDefault="006821ED" w:rsidP="006821E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1,6 %</w:t>
            </w:r>
          </w:p>
        </w:tc>
      </w:tr>
      <w:tr w:rsidR="006821ED" w:rsidRPr="00201404" w:rsidTr="00647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Galicia</w:t>
            </w:r>
          </w:p>
        </w:tc>
        <w:tc>
          <w:tcPr>
            <w:tcW w:w="2869" w:type="dxa"/>
            <w:vAlign w:val="bottom"/>
          </w:tcPr>
          <w:p w:rsidR="006821ED" w:rsidRPr="006821ED" w:rsidRDefault="006821ED" w:rsidP="006821E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1,3 %</w:t>
            </w:r>
          </w:p>
        </w:tc>
      </w:tr>
      <w:tr w:rsidR="006821ED" w:rsidRPr="00201404" w:rsidTr="0064757F">
        <w:trPr>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Madrid</w:t>
            </w:r>
          </w:p>
        </w:tc>
        <w:tc>
          <w:tcPr>
            <w:tcW w:w="2869" w:type="dxa"/>
            <w:vAlign w:val="bottom"/>
          </w:tcPr>
          <w:p w:rsidR="006821ED" w:rsidRPr="006821ED" w:rsidRDefault="006821ED" w:rsidP="006821E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0,9 %</w:t>
            </w:r>
          </w:p>
        </w:tc>
      </w:tr>
      <w:tr w:rsidR="006821ED" w:rsidRPr="00201404" w:rsidTr="00647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lastRenderedPageBreak/>
              <w:t>Cataluña</w:t>
            </w:r>
          </w:p>
        </w:tc>
        <w:tc>
          <w:tcPr>
            <w:tcW w:w="2869" w:type="dxa"/>
            <w:vAlign w:val="bottom"/>
          </w:tcPr>
          <w:p w:rsidR="006821ED" w:rsidRPr="006821ED" w:rsidRDefault="006821ED" w:rsidP="006821E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0,8 %</w:t>
            </w:r>
          </w:p>
        </w:tc>
      </w:tr>
      <w:tr w:rsidR="006821ED" w:rsidRPr="00201404" w:rsidTr="0064757F">
        <w:trPr>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Baleares</w:t>
            </w:r>
          </w:p>
        </w:tc>
        <w:tc>
          <w:tcPr>
            <w:tcW w:w="2869" w:type="dxa"/>
            <w:vAlign w:val="bottom"/>
          </w:tcPr>
          <w:p w:rsidR="006821ED" w:rsidRPr="006821ED" w:rsidRDefault="006821ED" w:rsidP="006821E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0,8 %</w:t>
            </w:r>
          </w:p>
        </w:tc>
      </w:tr>
      <w:tr w:rsidR="006821ED" w:rsidRPr="00201404" w:rsidTr="00647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Aragón</w:t>
            </w:r>
          </w:p>
        </w:tc>
        <w:tc>
          <w:tcPr>
            <w:tcW w:w="2869" w:type="dxa"/>
            <w:vAlign w:val="bottom"/>
          </w:tcPr>
          <w:p w:rsidR="006821ED" w:rsidRPr="006821ED" w:rsidRDefault="006821ED" w:rsidP="006821E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0,8 %</w:t>
            </w:r>
          </w:p>
        </w:tc>
      </w:tr>
      <w:tr w:rsidR="006821ED" w:rsidRPr="00201404" w:rsidTr="0064757F">
        <w:trPr>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Andalucía</w:t>
            </w:r>
          </w:p>
        </w:tc>
        <w:tc>
          <w:tcPr>
            <w:tcW w:w="2869" w:type="dxa"/>
            <w:vAlign w:val="bottom"/>
          </w:tcPr>
          <w:p w:rsidR="006821ED" w:rsidRPr="006821ED" w:rsidRDefault="006821ED" w:rsidP="006821E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0,2 %</w:t>
            </w:r>
          </w:p>
        </w:tc>
      </w:tr>
      <w:tr w:rsidR="006821ED" w:rsidRPr="00201404" w:rsidTr="00647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Castilla-La Mancha</w:t>
            </w:r>
          </w:p>
        </w:tc>
        <w:tc>
          <w:tcPr>
            <w:tcW w:w="2869" w:type="dxa"/>
            <w:vAlign w:val="bottom"/>
          </w:tcPr>
          <w:p w:rsidR="006821ED" w:rsidRPr="006821ED" w:rsidRDefault="006821ED" w:rsidP="006821E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8"/>
                <w:szCs w:val="28"/>
              </w:rPr>
            </w:pPr>
            <w:r w:rsidRPr="006821ED">
              <w:rPr>
                <w:rFonts w:ascii="Open Sans Light" w:hAnsi="Open Sans Light" w:cs="Open Sans Light"/>
                <w:sz w:val="28"/>
                <w:szCs w:val="28"/>
              </w:rPr>
              <w:t>0,1 %</w:t>
            </w:r>
          </w:p>
        </w:tc>
      </w:tr>
    </w:tbl>
    <w:p w:rsidR="0064757F" w:rsidRDefault="0064757F" w:rsidP="0064757F">
      <w:pPr>
        <w:ind w:left="-1134"/>
        <w:jc w:val="both"/>
        <w:rPr>
          <w:rFonts w:ascii="Open Sans Light" w:hAnsi="Open Sans Light"/>
          <w:lang w:val="es-ES"/>
        </w:rPr>
      </w:pPr>
    </w:p>
    <w:p w:rsidR="006821ED" w:rsidRDefault="0064757F" w:rsidP="0064757F">
      <w:pPr>
        <w:pStyle w:val="NormalWeb"/>
        <w:shd w:val="clear" w:color="auto" w:fill="FFFFFF"/>
        <w:spacing w:after="225" w:line="276" w:lineRule="auto"/>
        <w:ind w:right="-574"/>
        <w:jc w:val="both"/>
        <w:rPr>
          <w:rFonts w:ascii="Open Sans" w:hAnsi="Open Sans" w:cs="Open Sans"/>
          <w:color w:val="000000"/>
        </w:rPr>
      </w:pPr>
      <w:r w:rsidRPr="0064757F">
        <w:rPr>
          <w:rFonts w:ascii="Open Sans" w:hAnsi="Open Sans" w:cs="Open Sans"/>
          <w:color w:val="000000"/>
        </w:rPr>
        <w:t xml:space="preserve">En el otro extremo, </w:t>
      </w:r>
      <w:r w:rsidR="006821ED">
        <w:rPr>
          <w:rFonts w:ascii="Open Sans" w:hAnsi="Open Sans" w:cs="Open Sans"/>
          <w:color w:val="000000"/>
        </w:rPr>
        <w:t>cuatro</w:t>
      </w:r>
      <w:r w:rsidRPr="0064757F">
        <w:rPr>
          <w:rFonts w:ascii="Open Sans" w:hAnsi="Open Sans" w:cs="Open Sans"/>
          <w:color w:val="000000"/>
        </w:rPr>
        <w:t xml:space="preserve"> comunidades incrementan el precio interanual en </w:t>
      </w:r>
      <w:r w:rsidR="006821ED">
        <w:rPr>
          <w:rFonts w:ascii="Open Sans" w:hAnsi="Open Sans" w:cs="Open Sans"/>
          <w:color w:val="000000"/>
        </w:rPr>
        <w:t>octubre</w:t>
      </w:r>
      <w:r w:rsidRPr="0064757F">
        <w:rPr>
          <w:rFonts w:ascii="Open Sans" w:hAnsi="Open Sans" w:cs="Open Sans"/>
          <w:color w:val="000000"/>
        </w:rPr>
        <w:t xml:space="preserve">. Se trata de </w:t>
      </w:r>
      <w:r w:rsidR="006821ED">
        <w:rPr>
          <w:rFonts w:ascii="Open Sans" w:hAnsi="Open Sans" w:cs="Open Sans"/>
          <w:color w:val="000000"/>
        </w:rPr>
        <w:t>Navarra (2,6%), Canarias (-0,4%), Murcia (-0,3%) y País Vasco (-0,2%).</w:t>
      </w:r>
    </w:p>
    <w:p w:rsidR="0064757F" w:rsidRPr="0064757F" w:rsidRDefault="006821ED" w:rsidP="0064757F">
      <w:pPr>
        <w:pStyle w:val="NormalWeb"/>
        <w:shd w:val="clear" w:color="auto" w:fill="FFFFFF"/>
        <w:spacing w:after="225" w:line="276" w:lineRule="auto"/>
        <w:ind w:right="-574"/>
        <w:jc w:val="center"/>
        <w:rPr>
          <w:rFonts w:ascii="Open Sans" w:hAnsi="Open Sans" w:cs="Open Sans"/>
          <w:color w:val="000000"/>
        </w:rPr>
      </w:pPr>
      <w:r>
        <w:rPr>
          <w:rFonts w:ascii="Open Sans Light" w:hAnsi="Open Sans Light" w:cs="Open Sans Light"/>
          <w:b/>
          <w:iCs/>
          <w:color w:val="303AB2"/>
          <w:sz w:val="28"/>
          <w:szCs w:val="22"/>
        </w:rPr>
        <w:t>Descensos interanuales por CC.AA. en octubre</w:t>
      </w:r>
    </w:p>
    <w:tbl>
      <w:tblPr>
        <w:tblStyle w:val="Tabladecuadrcula5oscura-nfasis11"/>
        <w:tblW w:w="0" w:type="auto"/>
        <w:jc w:val="center"/>
        <w:tblLook w:val="04A0" w:firstRow="1" w:lastRow="0" w:firstColumn="1" w:lastColumn="0" w:noHBand="0" w:noVBand="1"/>
      </w:tblPr>
      <w:tblGrid>
        <w:gridCol w:w="2943"/>
        <w:gridCol w:w="2869"/>
      </w:tblGrid>
      <w:tr w:rsidR="0064757F" w:rsidRPr="00201404" w:rsidTr="006475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64757F" w:rsidRPr="00201404" w:rsidRDefault="0064757F" w:rsidP="00982404">
            <w:pPr>
              <w:jc w:val="center"/>
              <w:rPr>
                <w:rFonts w:ascii="Open Sans Light" w:hAnsi="Open Sans Light"/>
                <w:lang w:val="es-ES"/>
              </w:rPr>
            </w:pPr>
            <w:r>
              <w:rPr>
                <w:rFonts w:ascii="Open Sans Light" w:hAnsi="Open Sans Light"/>
                <w:lang w:val="es-ES"/>
              </w:rPr>
              <w:t>CC.AA.</w:t>
            </w:r>
          </w:p>
        </w:tc>
        <w:tc>
          <w:tcPr>
            <w:tcW w:w="2869" w:type="dxa"/>
          </w:tcPr>
          <w:p w:rsidR="0064757F" w:rsidRPr="00201404" w:rsidRDefault="006821ED" w:rsidP="00982404">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w:t>
            </w:r>
            <w:r w:rsidR="0064757F">
              <w:rPr>
                <w:rFonts w:ascii="Open Sans Light" w:hAnsi="Open Sans Light"/>
                <w:lang w:val="es-ES"/>
              </w:rPr>
              <w:t xml:space="preserve"> 2018</w:t>
            </w:r>
          </w:p>
          <w:p w:rsidR="0064757F" w:rsidRPr="00201404" w:rsidRDefault="0064757F" w:rsidP="00982404">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6821ED" w:rsidRPr="00201404" w:rsidTr="00647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Navarra</w:t>
            </w:r>
          </w:p>
        </w:tc>
        <w:tc>
          <w:tcPr>
            <w:tcW w:w="2869" w:type="dxa"/>
            <w:vAlign w:val="bottom"/>
          </w:tcPr>
          <w:p w:rsidR="006821ED" w:rsidRPr="006821ED" w:rsidRDefault="006821ED" w:rsidP="006821E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FF0000"/>
                <w:sz w:val="28"/>
                <w:szCs w:val="28"/>
              </w:rPr>
            </w:pPr>
            <w:r w:rsidRPr="006821ED">
              <w:rPr>
                <w:rFonts w:ascii="Open Sans Light" w:hAnsi="Open Sans Light" w:cs="Open Sans Light"/>
                <w:color w:val="FF0000"/>
                <w:sz w:val="28"/>
                <w:szCs w:val="28"/>
              </w:rPr>
              <w:t>-2,6 %</w:t>
            </w:r>
          </w:p>
        </w:tc>
      </w:tr>
      <w:tr w:rsidR="006821ED" w:rsidRPr="00201404" w:rsidTr="0064757F">
        <w:trPr>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Canarias</w:t>
            </w:r>
          </w:p>
        </w:tc>
        <w:tc>
          <w:tcPr>
            <w:tcW w:w="2869" w:type="dxa"/>
            <w:vAlign w:val="bottom"/>
          </w:tcPr>
          <w:p w:rsidR="006821ED" w:rsidRPr="006821ED" w:rsidRDefault="006821ED" w:rsidP="006821E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FF0000"/>
                <w:sz w:val="28"/>
                <w:szCs w:val="28"/>
              </w:rPr>
            </w:pPr>
            <w:r w:rsidRPr="006821ED">
              <w:rPr>
                <w:rFonts w:ascii="Open Sans Light" w:hAnsi="Open Sans Light" w:cs="Open Sans Light"/>
                <w:color w:val="FF0000"/>
                <w:sz w:val="28"/>
                <w:szCs w:val="28"/>
              </w:rPr>
              <w:t>-0,4 %</w:t>
            </w:r>
          </w:p>
        </w:tc>
      </w:tr>
      <w:tr w:rsidR="006821ED" w:rsidRPr="00201404" w:rsidTr="006475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Región de Murcia</w:t>
            </w:r>
          </w:p>
        </w:tc>
        <w:tc>
          <w:tcPr>
            <w:tcW w:w="2869" w:type="dxa"/>
            <w:vAlign w:val="bottom"/>
          </w:tcPr>
          <w:p w:rsidR="006821ED" w:rsidRPr="006821ED" w:rsidRDefault="006821ED" w:rsidP="006821ED">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FF0000"/>
                <w:sz w:val="28"/>
                <w:szCs w:val="28"/>
              </w:rPr>
            </w:pPr>
            <w:r w:rsidRPr="006821ED">
              <w:rPr>
                <w:rFonts w:ascii="Open Sans Light" w:hAnsi="Open Sans Light" w:cs="Open Sans Light"/>
                <w:color w:val="FF0000"/>
                <w:sz w:val="28"/>
                <w:szCs w:val="28"/>
              </w:rPr>
              <w:t>-0,3 %</w:t>
            </w:r>
          </w:p>
        </w:tc>
      </w:tr>
      <w:tr w:rsidR="006821ED" w:rsidRPr="00201404" w:rsidTr="0064757F">
        <w:trPr>
          <w:jc w:val="center"/>
        </w:trPr>
        <w:tc>
          <w:tcPr>
            <w:cnfStyle w:val="001000000000" w:firstRow="0" w:lastRow="0" w:firstColumn="1" w:lastColumn="0" w:oddVBand="0" w:evenVBand="0" w:oddHBand="0" w:evenHBand="0" w:firstRowFirstColumn="0" w:firstRowLastColumn="0" w:lastRowFirstColumn="0" w:lastRowLastColumn="0"/>
            <w:tcW w:w="2943" w:type="dxa"/>
            <w:vAlign w:val="bottom"/>
          </w:tcPr>
          <w:p w:rsidR="006821ED" w:rsidRPr="006821ED" w:rsidRDefault="006821ED" w:rsidP="006821ED">
            <w:pPr>
              <w:rPr>
                <w:rFonts w:ascii="Open Sans Light" w:hAnsi="Open Sans Light" w:cs="Open Sans Light"/>
              </w:rPr>
            </w:pPr>
            <w:r w:rsidRPr="006821ED">
              <w:rPr>
                <w:rFonts w:ascii="Open Sans Light" w:hAnsi="Open Sans Light" w:cs="Open Sans Light"/>
              </w:rPr>
              <w:t>País Vasco</w:t>
            </w:r>
          </w:p>
        </w:tc>
        <w:tc>
          <w:tcPr>
            <w:tcW w:w="2869" w:type="dxa"/>
            <w:vAlign w:val="bottom"/>
          </w:tcPr>
          <w:p w:rsidR="006821ED" w:rsidRPr="006821ED" w:rsidRDefault="006821ED" w:rsidP="006821ED">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FF0000"/>
                <w:sz w:val="28"/>
                <w:szCs w:val="28"/>
              </w:rPr>
            </w:pPr>
            <w:r w:rsidRPr="006821ED">
              <w:rPr>
                <w:rFonts w:ascii="Open Sans Light" w:hAnsi="Open Sans Light" w:cs="Open Sans Light"/>
                <w:color w:val="FF0000"/>
                <w:sz w:val="28"/>
                <w:szCs w:val="28"/>
              </w:rPr>
              <w:t>-0,2 %</w:t>
            </w:r>
          </w:p>
        </w:tc>
      </w:tr>
    </w:tbl>
    <w:p w:rsidR="0064757F" w:rsidRDefault="0064757F" w:rsidP="0064757F">
      <w:pPr>
        <w:ind w:left="-1134"/>
        <w:jc w:val="both"/>
        <w:rPr>
          <w:rFonts w:ascii="Open Sans Light" w:hAnsi="Open Sans Light"/>
          <w:lang w:val="es-ES"/>
        </w:rPr>
      </w:pPr>
    </w:p>
    <w:p w:rsidR="0064757F" w:rsidRDefault="0064757F" w:rsidP="0064757F">
      <w:pPr>
        <w:ind w:left="-1134"/>
        <w:jc w:val="both"/>
        <w:rPr>
          <w:rFonts w:ascii="Open Sans Light" w:hAnsi="Open Sans Light"/>
          <w:lang w:val="es-ES"/>
        </w:rPr>
      </w:pPr>
    </w:p>
    <w:p w:rsidR="006821ED" w:rsidRDefault="006821ED" w:rsidP="0064757F">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Por su parte, cuatro comunidades mantienen el precio estable respecto al mes anterior. Se trata de Castilla y León, Extremadura, Asturias y Cantabria.</w:t>
      </w:r>
    </w:p>
    <w:p w:rsidR="0064757F" w:rsidRPr="0064757F" w:rsidRDefault="0064757F" w:rsidP="0064757F">
      <w:pPr>
        <w:pStyle w:val="NormalWeb"/>
        <w:shd w:val="clear" w:color="auto" w:fill="FFFFFF"/>
        <w:spacing w:after="225" w:line="276" w:lineRule="auto"/>
        <w:ind w:right="-574"/>
        <w:jc w:val="both"/>
        <w:rPr>
          <w:rFonts w:ascii="Open Sans" w:hAnsi="Open Sans" w:cs="Open Sans"/>
          <w:color w:val="000000"/>
        </w:rPr>
      </w:pPr>
      <w:r w:rsidRPr="0064757F">
        <w:rPr>
          <w:rFonts w:ascii="Open Sans" w:hAnsi="Open Sans" w:cs="Open Sans"/>
          <w:color w:val="000000"/>
        </w:rPr>
        <w:t>En cuanto al ranking de precios, Madrid es la comunidad más cara para alquilar una vivienda de segunda mano, con un precio de 12,</w:t>
      </w:r>
      <w:r w:rsidR="006821ED">
        <w:rPr>
          <w:rFonts w:ascii="Open Sans" w:hAnsi="Open Sans" w:cs="Open Sans"/>
          <w:color w:val="000000"/>
        </w:rPr>
        <w:t>92</w:t>
      </w:r>
      <w:r w:rsidRPr="0064757F">
        <w:rPr>
          <w:rFonts w:ascii="Open Sans" w:hAnsi="Open Sans" w:cs="Open Sans"/>
          <w:color w:val="000000"/>
        </w:rPr>
        <w:t xml:space="preserve"> €/m2 al mes. Le sigue Cataluña (</w:t>
      </w:r>
      <w:r w:rsidR="006821ED">
        <w:rPr>
          <w:rFonts w:ascii="Open Sans" w:hAnsi="Open Sans" w:cs="Open Sans"/>
          <w:color w:val="000000"/>
        </w:rPr>
        <w:t>12,09</w:t>
      </w:r>
      <w:r w:rsidRPr="0064757F">
        <w:rPr>
          <w:rFonts w:ascii="Open Sans" w:hAnsi="Open Sans" w:cs="Open Sans"/>
          <w:color w:val="000000"/>
        </w:rPr>
        <w:t xml:space="preserve"> €/m2 al mes), </w:t>
      </w:r>
      <w:r w:rsidR="0020022E">
        <w:rPr>
          <w:rFonts w:ascii="Open Sans" w:hAnsi="Open Sans" w:cs="Open Sans"/>
          <w:color w:val="000000"/>
        </w:rPr>
        <w:t xml:space="preserve">País Vasco (9,76 €/m2 al mes) y Baleares (9,66 €/m2 al mes). </w:t>
      </w:r>
      <w:r w:rsidRPr="0064757F">
        <w:rPr>
          <w:rFonts w:ascii="Open Sans" w:hAnsi="Open Sans" w:cs="Open Sans"/>
          <w:color w:val="000000"/>
        </w:rPr>
        <w:t>En el lado opuesto, Extremadura (4,</w:t>
      </w:r>
      <w:r w:rsidR="0020022E">
        <w:rPr>
          <w:rFonts w:ascii="Open Sans" w:hAnsi="Open Sans" w:cs="Open Sans"/>
          <w:color w:val="000000"/>
        </w:rPr>
        <w:t>63</w:t>
      </w:r>
      <w:r w:rsidRPr="0064757F">
        <w:rPr>
          <w:rFonts w:ascii="Open Sans" w:hAnsi="Open Sans" w:cs="Open Sans"/>
          <w:color w:val="000000"/>
        </w:rPr>
        <w:t xml:space="preserve"> €/m2 al mes) y Castilla-La Mancha (</w:t>
      </w:r>
      <w:r w:rsidR="0020022E">
        <w:rPr>
          <w:rFonts w:ascii="Open Sans" w:hAnsi="Open Sans" w:cs="Open Sans"/>
          <w:color w:val="000000"/>
        </w:rPr>
        <w:t>5,01</w:t>
      </w:r>
      <w:r w:rsidRPr="0064757F">
        <w:rPr>
          <w:rFonts w:ascii="Open Sans" w:hAnsi="Open Sans" w:cs="Open Sans"/>
          <w:color w:val="000000"/>
        </w:rPr>
        <w:t xml:space="preserve"> €/m2 al mes) son las dos comunidades con los precios de la vivienda en alquiler más asequibles.</w:t>
      </w:r>
    </w:p>
    <w:p w:rsidR="0064757F" w:rsidRDefault="0064757F" w:rsidP="0064757F">
      <w:pPr>
        <w:pStyle w:val="NormalWeb"/>
        <w:shd w:val="clear" w:color="auto" w:fill="FFFFFF"/>
        <w:spacing w:after="225" w:line="276" w:lineRule="auto"/>
        <w:ind w:right="-574"/>
        <w:jc w:val="both"/>
        <w:rPr>
          <w:rFonts w:ascii="Open Sans" w:hAnsi="Open Sans" w:cs="Open Sans"/>
          <w:color w:val="000000"/>
        </w:rPr>
      </w:pPr>
      <w:r w:rsidRPr="0064757F">
        <w:rPr>
          <w:rFonts w:ascii="Open Sans" w:hAnsi="Open Sans" w:cs="Open Sans"/>
          <w:color w:val="000000"/>
        </w:rPr>
        <w:t xml:space="preserve">Respecto a la </w:t>
      </w:r>
      <w:r w:rsidRPr="0064757F">
        <w:rPr>
          <w:rFonts w:ascii="Open Sans" w:hAnsi="Open Sans" w:cs="Open Sans"/>
          <w:b/>
          <w:bCs/>
          <w:color w:val="000000"/>
        </w:rPr>
        <w:t>evolución por provincias</w:t>
      </w:r>
      <w:r w:rsidRPr="0064757F">
        <w:rPr>
          <w:rFonts w:ascii="Open Sans" w:hAnsi="Open Sans" w:cs="Open Sans"/>
          <w:color w:val="000000"/>
        </w:rPr>
        <w:t xml:space="preserve">, </w:t>
      </w:r>
      <w:r w:rsidR="0020022E">
        <w:rPr>
          <w:rFonts w:ascii="Open Sans" w:hAnsi="Open Sans" w:cs="Open Sans"/>
          <w:color w:val="000000"/>
        </w:rPr>
        <w:t>27</w:t>
      </w:r>
      <w:r w:rsidRPr="0064757F">
        <w:rPr>
          <w:rFonts w:ascii="Open Sans" w:hAnsi="Open Sans" w:cs="Open Sans"/>
          <w:color w:val="000000"/>
        </w:rPr>
        <w:t xml:space="preserve"> de ellas registran aumentos </w:t>
      </w:r>
      <w:r w:rsidR="0020022E">
        <w:rPr>
          <w:rFonts w:ascii="Open Sans" w:hAnsi="Open Sans" w:cs="Open Sans"/>
          <w:color w:val="000000"/>
        </w:rPr>
        <w:t>mensuales</w:t>
      </w:r>
      <w:r w:rsidRPr="0064757F">
        <w:rPr>
          <w:rFonts w:ascii="Open Sans" w:hAnsi="Open Sans" w:cs="Open Sans"/>
          <w:color w:val="000000"/>
        </w:rPr>
        <w:t xml:space="preserve"> en el precio del alquiler respecto al pasado año, con incrementos que van del </w:t>
      </w:r>
      <w:r w:rsidR="0020022E">
        <w:rPr>
          <w:rFonts w:ascii="Open Sans" w:hAnsi="Open Sans" w:cs="Open Sans"/>
          <w:color w:val="000000"/>
        </w:rPr>
        <w:t>3</w:t>
      </w:r>
      <w:r w:rsidRPr="0064757F">
        <w:rPr>
          <w:rFonts w:ascii="Open Sans" w:hAnsi="Open Sans" w:cs="Open Sans"/>
          <w:color w:val="000000"/>
        </w:rPr>
        <w:t>,3% en Valencia al 0,</w:t>
      </w:r>
      <w:r w:rsidR="0020022E">
        <w:rPr>
          <w:rFonts w:ascii="Open Sans" w:hAnsi="Open Sans" w:cs="Open Sans"/>
          <w:color w:val="000000"/>
        </w:rPr>
        <w:t>1</w:t>
      </w:r>
      <w:r w:rsidRPr="0064757F">
        <w:rPr>
          <w:rFonts w:ascii="Open Sans" w:hAnsi="Open Sans" w:cs="Open Sans"/>
          <w:color w:val="000000"/>
        </w:rPr>
        <w:t xml:space="preserve">% de </w:t>
      </w:r>
      <w:r w:rsidR="0020022E">
        <w:rPr>
          <w:rFonts w:ascii="Open Sans" w:hAnsi="Open Sans" w:cs="Open Sans"/>
          <w:color w:val="000000"/>
        </w:rPr>
        <w:t>Salamanca, Málaga, Teruel y Toledo</w:t>
      </w:r>
      <w:r w:rsidRPr="0064757F">
        <w:rPr>
          <w:rFonts w:ascii="Open Sans" w:hAnsi="Open Sans" w:cs="Open Sans"/>
          <w:color w:val="000000"/>
        </w:rPr>
        <w:t xml:space="preserve">. Por el contrario, el precio del alquiler desciende </w:t>
      </w:r>
      <w:r w:rsidR="0020022E">
        <w:rPr>
          <w:rFonts w:ascii="Open Sans" w:hAnsi="Open Sans" w:cs="Open Sans"/>
          <w:color w:val="000000"/>
        </w:rPr>
        <w:t>mensualmente en 18</w:t>
      </w:r>
      <w:r w:rsidRPr="0064757F">
        <w:rPr>
          <w:rFonts w:ascii="Open Sans" w:hAnsi="Open Sans" w:cs="Open Sans"/>
          <w:color w:val="000000"/>
        </w:rPr>
        <w:t xml:space="preserve"> provincias con descensos que van del -</w:t>
      </w:r>
      <w:r w:rsidR="0020022E">
        <w:rPr>
          <w:rFonts w:ascii="Open Sans" w:hAnsi="Open Sans" w:cs="Open Sans"/>
          <w:color w:val="000000"/>
        </w:rPr>
        <w:t>0,1</w:t>
      </w:r>
      <w:r w:rsidRPr="0064757F">
        <w:rPr>
          <w:rFonts w:ascii="Open Sans" w:hAnsi="Open Sans" w:cs="Open Sans"/>
          <w:color w:val="000000"/>
        </w:rPr>
        <w:t xml:space="preserve">% de </w:t>
      </w:r>
      <w:r w:rsidR="0020022E">
        <w:rPr>
          <w:rFonts w:ascii="Open Sans" w:hAnsi="Open Sans" w:cs="Open Sans"/>
          <w:color w:val="000000"/>
        </w:rPr>
        <w:t>Granada</w:t>
      </w:r>
      <w:r w:rsidRPr="0064757F">
        <w:rPr>
          <w:rFonts w:ascii="Open Sans" w:hAnsi="Open Sans" w:cs="Open Sans"/>
          <w:color w:val="000000"/>
        </w:rPr>
        <w:t xml:space="preserve"> a la caída del </w:t>
      </w:r>
      <w:r w:rsidR="0020022E">
        <w:rPr>
          <w:rFonts w:ascii="Open Sans" w:hAnsi="Open Sans" w:cs="Open Sans"/>
          <w:color w:val="000000"/>
        </w:rPr>
        <w:t>-3,4</w:t>
      </w:r>
      <w:r w:rsidRPr="0064757F">
        <w:rPr>
          <w:rFonts w:ascii="Open Sans" w:hAnsi="Open Sans" w:cs="Open Sans"/>
          <w:color w:val="000000"/>
        </w:rPr>
        <w:t xml:space="preserve">% de </w:t>
      </w:r>
      <w:r w:rsidR="0020022E">
        <w:rPr>
          <w:rFonts w:ascii="Open Sans" w:hAnsi="Open Sans" w:cs="Open Sans"/>
          <w:color w:val="000000"/>
        </w:rPr>
        <w:t>Álava.</w:t>
      </w:r>
    </w:p>
    <w:p w:rsidR="00C07A68" w:rsidRDefault="00C07A68" w:rsidP="0064757F">
      <w:pPr>
        <w:spacing w:line="276" w:lineRule="auto"/>
        <w:ind w:right="-574"/>
        <w:rPr>
          <w:rFonts w:ascii="Open Sans Light" w:hAnsi="Open Sans Light" w:cs="Open Sans Light"/>
          <w:b/>
          <w:iCs/>
          <w:color w:val="303AB2"/>
          <w:sz w:val="28"/>
          <w:szCs w:val="22"/>
          <w:lang w:val="es-ES"/>
        </w:rPr>
      </w:pPr>
    </w:p>
    <w:p w:rsidR="0064757F" w:rsidRPr="0064757F" w:rsidRDefault="0064757F" w:rsidP="0064757F">
      <w:pPr>
        <w:spacing w:line="276" w:lineRule="auto"/>
        <w:ind w:right="-574"/>
        <w:rPr>
          <w:rFonts w:ascii="Open Sans Light" w:hAnsi="Open Sans Light" w:cs="Open Sans Light"/>
          <w:b/>
          <w:iCs/>
          <w:color w:val="303AB2"/>
          <w:sz w:val="28"/>
          <w:szCs w:val="22"/>
          <w:lang w:val="es-ES"/>
        </w:rPr>
      </w:pPr>
      <w:r w:rsidRPr="0064757F">
        <w:rPr>
          <w:rFonts w:ascii="Open Sans Light" w:hAnsi="Open Sans Light" w:cs="Open Sans Light"/>
          <w:b/>
          <w:iCs/>
          <w:color w:val="303AB2"/>
          <w:sz w:val="28"/>
          <w:szCs w:val="22"/>
          <w:lang w:val="es-ES"/>
        </w:rPr>
        <w:lastRenderedPageBreak/>
        <w:t>Barcelona es el municipio más caro para alquilar una vivienda</w:t>
      </w:r>
    </w:p>
    <w:p w:rsidR="0064757F" w:rsidRDefault="0064757F" w:rsidP="0064757F">
      <w:pPr>
        <w:pStyle w:val="NormalWeb"/>
        <w:shd w:val="clear" w:color="auto" w:fill="FFFFFF"/>
        <w:spacing w:after="225" w:line="276" w:lineRule="auto"/>
        <w:ind w:right="-574"/>
        <w:jc w:val="both"/>
        <w:rPr>
          <w:rFonts w:ascii="Open Sans" w:hAnsi="Open Sans" w:cs="Open Sans"/>
          <w:color w:val="000000"/>
        </w:rPr>
      </w:pPr>
      <w:r w:rsidRPr="0064757F">
        <w:rPr>
          <w:rFonts w:ascii="Open Sans" w:hAnsi="Open Sans" w:cs="Open Sans"/>
          <w:color w:val="000000"/>
        </w:rPr>
        <w:t xml:space="preserve">Respecto al </w:t>
      </w:r>
      <w:r w:rsidRPr="0064757F">
        <w:rPr>
          <w:rFonts w:ascii="Open Sans" w:hAnsi="Open Sans" w:cs="Open Sans"/>
          <w:b/>
          <w:bCs/>
          <w:color w:val="000000"/>
        </w:rPr>
        <w:t>análisis de los municipios</w:t>
      </w:r>
      <w:r w:rsidRPr="0064757F">
        <w:rPr>
          <w:rFonts w:ascii="Open Sans" w:hAnsi="Open Sans" w:cs="Open Sans"/>
          <w:color w:val="000000"/>
        </w:rPr>
        <w:t xml:space="preserve">, en el mes de </w:t>
      </w:r>
      <w:r w:rsidR="0020022E">
        <w:rPr>
          <w:rFonts w:ascii="Open Sans" w:hAnsi="Open Sans" w:cs="Open Sans"/>
          <w:color w:val="000000"/>
        </w:rPr>
        <w:t>octubre</w:t>
      </w:r>
      <w:r w:rsidRPr="0064757F">
        <w:rPr>
          <w:rFonts w:ascii="Open Sans" w:hAnsi="Open Sans" w:cs="Open Sans"/>
          <w:color w:val="000000"/>
        </w:rPr>
        <w:t xml:space="preserve"> destaca un mes más la ciudad de Barcelona como la más cara para alquilar una vivienda con </w:t>
      </w:r>
      <w:r w:rsidR="0020022E">
        <w:rPr>
          <w:rFonts w:ascii="Open Sans" w:hAnsi="Open Sans" w:cs="Open Sans"/>
          <w:color w:val="000000"/>
        </w:rPr>
        <w:t>16,08</w:t>
      </w:r>
      <w:r w:rsidRPr="0064757F">
        <w:rPr>
          <w:rFonts w:ascii="Open Sans" w:hAnsi="Open Sans" w:cs="Open Sans"/>
          <w:color w:val="000000"/>
        </w:rPr>
        <w:t xml:space="preserve"> €/m2 al mes y registra un incremento interanual del 5,</w:t>
      </w:r>
      <w:r w:rsidR="007D0107">
        <w:rPr>
          <w:rFonts w:ascii="Open Sans" w:hAnsi="Open Sans" w:cs="Open Sans"/>
          <w:color w:val="000000"/>
        </w:rPr>
        <w:t>7</w:t>
      </w:r>
      <w:r w:rsidRPr="0064757F">
        <w:rPr>
          <w:rFonts w:ascii="Open Sans" w:hAnsi="Open Sans" w:cs="Open Sans"/>
          <w:color w:val="000000"/>
        </w:rPr>
        <w:t xml:space="preserve">%. Le sigue </w:t>
      </w:r>
      <w:r w:rsidR="007D0107">
        <w:rPr>
          <w:rFonts w:ascii="Open Sans" w:hAnsi="Open Sans" w:cs="Open Sans"/>
          <w:color w:val="000000"/>
        </w:rPr>
        <w:t>Madrid</w:t>
      </w:r>
      <w:r w:rsidRPr="0064757F">
        <w:rPr>
          <w:rFonts w:ascii="Open Sans" w:hAnsi="Open Sans" w:cs="Open Sans"/>
          <w:color w:val="000000"/>
        </w:rPr>
        <w:t xml:space="preserve"> (</w:t>
      </w:r>
      <w:r w:rsidR="007D0107">
        <w:rPr>
          <w:rFonts w:ascii="Open Sans" w:hAnsi="Open Sans" w:cs="Open Sans"/>
          <w:color w:val="000000"/>
        </w:rPr>
        <w:t>14,86</w:t>
      </w:r>
      <w:r w:rsidRPr="0064757F">
        <w:rPr>
          <w:rFonts w:ascii="Open Sans" w:hAnsi="Open Sans" w:cs="Open Sans"/>
          <w:color w:val="000000"/>
        </w:rPr>
        <w:t xml:space="preserve"> €/m2 al mes), </w:t>
      </w:r>
      <w:r w:rsidR="007D0107">
        <w:rPr>
          <w:rFonts w:ascii="Open Sans" w:hAnsi="Open Sans" w:cs="Open Sans"/>
          <w:color w:val="000000"/>
        </w:rPr>
        <w:t>Gavà (14,84</w:t>
      </w:r>
      <w:r w:rsidRPr="0064757F">
        <w:rPr>
          <w:rFonts w:ascii="Open Sans" w:hAnsi="Open Sans" w:cs="Open Sans"/>
          <w:color w:val="000000"/>
        </w:rPr>
        <w:t xml:space="preserve"> €/m2 al mes) y </w:t>
      </w:r>
      <w:r w:rsidR="007D0107">
        <w:rPr>
          <w:rFonts w:ascii="Open Sans" w:hAnsi="Open Sans" w:cs="Open Sans"/>
          <w:color w:val="000000"/>
        </w:rPr>
        <w:t>Sitges</w:t>
      </w:r>
      <w:r w:rsidRPr="0064757F">
        <w:rPr>
          <w:rFonts w:ascii="Open Sans" w:hAnsi="Open Sans" w:cs="Open Sans"/>
          <w:color w:val="000000"/>
        </w:rPr>
        <w:t xml:space="preserve"> (14,</w:t>
      </w:r>
      <w:r w:rsidR="007D0107">
        <w:rPr>
          <w:rFonts w:ascii="Open Sans" w:hAnsi="Open Sans" w:cs="Open Sans"/>
          <w:color w:val="000000"/>
        </w:rPr>
        <w:t>72</w:t>
      </w:r>
      <w:r w:rsidRPr="0064757F">
        <w:rPr>
          <w:rFonts w:ascii="Open Sans" w:hAnsi="Open Sans" w:cs="Open Sans"/>
          <w:color w:val="000000"/>
        </w:rPr>
        <w:t xml:space="preserve"> €/m2 al mes)</w:t>
      </w:r>
      <w:r>
        <w:rPr>
          <w:rFonts w:ascii="Open Sans" w:hAnsi="Open Sans" w:cs="Open Sans"/>
          <w:color w:val="000000"/>
        </w:rPr>
        <w:t>.</w:t>
      </w:r>
    </w:p>
    <w:p w:rsidR="00F50838" w:rsidRPr="00C07A68" w:rsidRDefault="00D001C4" w:rsidP="00F50838">
      <w:pPr>
        <w:spacing w:line="276" w:lineRule="auto"/>
        <w:ind w:right="-574"/>
        <w:rPr>
          <w:rFonts w:ascii="Open Sans Light" w:hAnsi="Open Sans Light" w:cs="Open Sans Light"/>
          <w:b/>
          <w:iCs/>
          <w:color w:val="303AB2"/>
          <w:sz w:val="28"/>
          <w:szCs w:val="22"/>
          <w:lang w:val="es-ES"/>
        </w:rPr>
      </w:pPr>
      <w:r w:rsidRPr="00C07A68">
        <w:rPr>
          <w:rFonts w:ascii="Open Sans Light" w:hAnsi="Open Sans Light" w:cs="Open Sans Light"/>
          <w:b/>
          <w:iCs/>
          <w:color w:val="303AB2"/>
          <w:sz w:val="28"/>
          <w:szCs w:val="22"/>
          <w:lang w:val="es-ES"/>
        </w:rPr>
        <w:t>Sube el precio en diez distritos de Madrid y en ocho de Barcelona</w:t>
      </w:r>
    </w:p>
    <w:p w:rsidR="00087022" w:rsidRPr="00EE12AE" w:rsidRDefault="00087022" w:rsidP="00087022">
      <w:pPr>
        <w:pStyle w:val="NormalWeb"/>
        <w:shd w:val="clear" w:color="auto" w:fill="FFFFFF"/>
        <w:spacing w:after="225" w:line="276" w:lineRule="auto"/>
        <w:ind w:right="-574"/>
        <w:jc w:val="both"/>
        <w:rPr>
          <w:rFonts w:ascii="Open Sans" w:hAnsi="Open Sans" w:cs="Open Sans"/>
          <w:color w:val="000000"/>
        </w:rPr>
      </w:pPr>
      <w:r w:rsidRPr="00EE12AE">
        <w:rPr>
          <w:rFonts w:ascii="Open Sans" w:hAnsi="Open Sans" w:cs="Open Sans"/>
          <w:color w:val="000000"/>
        </w:rPr>
        <w:t xml:space="preserve">De los 21 distritos analizados por </w:t>
      </w:r>
      <w:hyperlink r:id="rId12" w:history="1">
        <w:r w:rsidRPr="00B10769">
          <w:rPr>
            <w:rStyle w:val="Hipervnculo"/>
            <w:rFonts w:ascii="Open Sans" w:hAnsi="Open Sans" w:cs="Open Sans"/>
            <w:b/>
            <w:bCs/>
          </w:rPr>
          <w:t>Fotocasa</w:t>
        </w:r>
      </w:hyperlink>
      <w:r>
        <w:rPr>
          <w:rFonts w:ascii="Open Sans" w:hAnsi="Open Sans" w:cs="Open Sans"/>
          <w:color w:val="000000"/>
        </w:rPr>
        <w:t xml:space="preserve">, diez </w:t>
      </w:r>
      <w:r w:rsidRPr="00EE12AE">
        <w:rPr>
          <w:rFonts w:ascii="Open Sans" w:hAnsi="Open Sans" w:cs="Open Sans"/>
          <w:color w:val="000000"/>
        </w:rPr>
        <w:t xml:space="preserve">registran aumentos del precio en el mes de </w:t>
      </w:r>
      <w:r>
        <w:rPr>
          <w:rFonts w:ascii="Open Sans" w:hAnsi="Open Sans" w:cs="Open Sans"/>
          <w:color w:val="000000"/>
        </w:rPr>
        <w:t>octubre</w:t>
      </w:r>
      <w:r w:rsidRPr="00EE12AE">
        <w:rPr>
          <w:rFonts w:ascii="Open Sans" w:hAnsi="Open Sans" w:cs="Open Sans"/>
          <w:color w:val="000000"/>
        </w:rPr>
        <w:t xml:space="preserve">. </w:t>
      </w:r>
      <w:r>
        <w:rPr>
          <w:rFonts w:ascii="Open Sans" w:hAnsi="Open Sans" w:cs="Open Sans"/>
          <w:color w:val="000000"/>
        </w:rPr>
        <w:t>Villa de Vallecas, Fuencarral y Barajas</w:t>
      </w:r>
      <w:r w:rsidRPr="00EE12AE">
        <w:rPr>
          <w:rFonts w:ascii="Open Sans" w:hAnsi="Open Sans" w:cs="Open Sans"/>
          <w:color w:val="000000"/>
        </w:rPr>
        <w:t xml:space="preserve"> son los distritos que registran un precio más alto con un </w:t>
      </w:r>
      <w:r>
        <w:rPr>
          <w:rFonts w:ascii="Open Sans" w:hAnsi="Open Sans" w:cs="Open Sans"/>
          <w:color w:val="000000"/>
        </w:rPr>
        <w:t>4,3</w:t>
      </w:r>
      <w:r w:rsidRPr="00EE12AE">
        <w:rPr>
          <w:rFonts w:ascii="Open Sans" w:hAnsi="Open Sans" w:cs="Open Sans"/>
          <w:color w:val="000000"/>
        </w:rPr>
        <w:t xml:space="preserve">%, </w:t>
      </w:r>
      <w:r>
        <w:rPr>
          <w:rFonts w:ascii="Open Sans" w:hAnsi="Open Sans" w:cs="Open Sans"/>
          <w:color w:val="000000"/>
        </w:rPr>
        <w:t>3,5</w:t>
      </w:r>
      <w:r w:rsidRPr="00EE12AE">
        <w:rPr>
          <w:rFonts w:ascii="Open Sans" w:hAnsi="Open Sans" w:cs="Open Sans"/>
          <w:color w:val="000000"/>
        </w:rPr>
        <w:t xml:space="preserve">% y </w:t>
      </w:r>
      <w:r>
        <w:rPr>
          <w:rFonts w:ascii="Open Sans" w:hAnsi="Open Sans" w:cs="Open Sans"/>
          <w:color w:val="000000"/>
        </w:rPr>
        <w:t>3</w:t>
      </w:r>
      <w:r w:rsidRPr="00EE12AE">
        <w:rPr>
          <w:rFonts w:ascii="Open Sans" w:hAnsi="Open Sans" w:cs="Open Sans"/>
          <w:color w:val="000000"/>
        </w:rPr>
        <w:t>,</w:t>
      </w:r>
      <w:r>
        <w:rPr>
          <w:rFonts w:ascii="Open Sans" w:hAnsi="Open Sans" w:cs="Open Sans"/>
          <w:color w:val="000000"/>
        </w:rPr>
        <w:t>4</w:t>
      </w:r>
      <w:r w:rsidRPr="00EE12AE">
        <w:rPr>
          <w:rFonts w:ascii="Open Sans" w:hAnsi="Open Sans" w:cs="Open Sans"/>
          <w:color w:val="000000"/>
        </w:rPr>
        <w:t>%</w:t>
      </w:r>
      <w:r>
        <w:rPr>
          <w:rFonts w:ascii="Open Sans" w:hAnsi="Open Sans" w:cs="Open Sans"/>
          <w:color w:val="000000"/>
        </w:rPr>
        <w:t>,</w:t>
      </w:r>
      <w:r w:rsidRPr="00EE12AE">
        <w:rPr>
          <w:rFonts w:ascii="Open Sans" w:hAnsi="Open Sans" w:cs="Open Sans"/>
          <w:color w:val="000000"/>
        </w:rPr>
        <w:t xml:space="preserve"> respectivamente. Por el contrario, </w:t>
      </w:r>
      <w:r>
        <w:rPr>
          <w:rFonts w:ascii="Open Sans" w:hAnsi="Open Sans" w:cs="Open Sans"/>
          <w:color w:val="000000"/>
        </w:rPr>
        <w:t>Chamartín</w:t>
      </w:r>
      <w:r w:rsidRPr="00EE12AE">
        <w:rPr>
          <w:rFonts w:ascii="Open Sans" w:hAnsi="Open Sans" w:cs="Open Sans"/>
          <w:color w:val="000000"/>
        </w:rPr>
        <w:t xml:space="preserve"> es el distrito que registra un mayor descenso en el mes de </w:t>
      </w:r>
      <w:r>
        <w:rPr>
          <w:rFonts w:ascii="Open Sans" w:hAnsi="Open Sans" w:cs="Open Sans"/>
          <w:color w:val="000000"/>
        </w:rPr>
        <w:t>octubre en concreto lo hace con un -2,4</w:t>
      </w:r>
      <w:r w:rsidRPr="00EE12AE">
        <w:rPr>
          <w:rFonts w:ascii="Open Sans" w:hAnsi="Open Sans" w:cs="Open Sans"/>
          <w:color w:val="000000"/>
        </w:rPr>
        <w:t xml:space="preserve">%. </w:t>
      </w:r>
    </w:p>
    <w:p w:rsidR="00087022" w:rsidRDefault="00087022" w:rsidP="00087022">
      <w:pPr>
        <w:pStyle w:val="NormalWeb"/>
        <w:shd w:val="clear" w:color="auto" w:fill="FFFFFF"/>
        <w:spacing w:after="225" w:line="276" w:lineRule="auto"/>
        <w:ind w:right="-574"/>
        <w:jc w:val="both"/>
        <w:rPr>
          <w:rFonts w:ascii="Open Sans" w:hAnsi="Open Sans" w:cs="Open Sans"/>
          <w:color w:val="000000"/>
        </w:rPr>
      </w:pPr>
      <w:r w:rsidRPr="00EE12AE">
        <w:rPr>
          <w:rFonts w:ascii="Open Sans" w:hAnsi="Open Sans" w:cs="Open Sans"/>
          <w:color w:val="000000"/>
        </w:rPr>
        <w:t xml:space="preserve">En cuanto a los distritos con mayor y menor precio, Salamanca es el distrito más caro de la capital para </w:t>
      </w:r>
      <w:r>
        <w:rPr>
          <w:rFonts w:ascii="Open Sans" w:hAnsi="Open Sans" w:cs="Open Sans"/>
          <w:color w:val="000000"/>
        </w:rPr>
        <w:t>alquilar</w:t>
      </w:r>
      <w:r w:rsidRPr="00EE12AE">
        <w:rPr>
          <w:rFonts w:ascii="Open Sans" w:hAnsi="Open Sans" w:cs="Open Sans"/>
          <w:color w:val="000000"/>
        </w:rPr>
        <w:t xml:space="preserve"> una vivienda con un precio de </w:t>
      </w:r>
      <w:r>
        <w:rPr>
          <w:rFonts w:ascii="Open Sans" w:hAnsi="Open Sans" w:cs="Open Sans"/>
          <w:color w:val="000000"/>
        </w:rPr>
        <w:t>18,04</w:t>
      </w:r>
      <w:r w:rsidRPr="00EE12AE">
        <w:rPr>
          <w:rFonts w:ascii="Open Sans" w:hAnsi="Open Sans" w:cs="Open Sans"/>
          <w:color w:val="000000"/>
        </w:rPr>
        <w:t>€/m2. Le siguen Chamberí</w:t>
      </w:r>
      <w:r>
        <w:rPr>
          <w:rFonts w:ascii="Open Sans" w:hAnsi="Open Sans" w:cs="Open Sans"/>
          <w:color w:val="000000"/>
        </w:rPr>
        <w:t xml:space="preserve"> con</w:t>
      </w:r>
      <w:r w:rsidRPr="00EE12AE">
        <w:rPr>
          <w:rFonts w:ascii="Open Sans" w:hAnsi="Open Sans" w:cs="Open Sans"/>
          <w:color w:val="000000"/>
        </w:rPr>
        <w:t xml:space="preserve"> </w:t>
      </w:r>
      <w:r>
        <w:rPr>
          <w:rFonts w:ascii="Open Sans" w:hAnsi="Open Sans" w:cs="Open Sans"/>
          <w:color w:val="000000"/>
        </w:rPr>
        <w:t>17,88</w:t>
      </w:r>
      <w:r w:rsidRPr="00EE12AE">
        <w:rPr>
          <w:rFonts w:ascii="Open Sans" w:hAnsi="Open Sans" w:cs="Open Sans"/>
          <w:color w:val="000000"/>
        </w:rPr>
        <w:t xml:space="preserve">€/m2, </w:t>
      </w:r>
      <w:r>
        <w:rPr>
          <w:rFonts w:ascii="Open Sans" w:hAnsi="Open Sans" w:cs="Open Sans"/>
          <w:color w:val="000000"/>
        </w:rPr>
        <w:t>Centro con 16,38</w:t>
      </w:r>
      <w:r w:rsidRPr="00EE12AE">
        <w:rPr>
          <w:rFonts w:ascii="Open Sans" w:hAnsi="Open Sans" w:cs="Open Sans"/>
          <w:color w:val="000000"/>
        </w:rPr>
        <w:t xml:space="preserve">€/m2 y </w:t>
      </w:r>
      <w:r>
        <w:rPr>
          <w:rFonts w:ascii="Open Sans" w:hAnsi="Open Sans" w:cs="Open Sans"/>
          <w:color w:val="000000"/>
        </w:rPr>
        <w:t>Retiro con</w:t>
      </w:r>
      <w:r w:rsidRPr="00EE12AE">
        <w:rPr>
          <w:rFonts w:ascii="Open Sans" w:hAnsi="Open Sans" w:cs="Open Sans"/>
          <w:color w:val="000000"/>
        </w:rPr>
        <w:t xml:space="preserve"> </w:t>
      </w:r>
      <w:r>
        <w:rPr>
          <w:rFonts w:ascii="Open Sans" w:hAnsi="Open Sans" w:cs="Open Sans"/>
          <w:color w:val="000000"/>
        </w:rPr>
        <w:t>15,87</w:t>
      </w:r>
      <w:r w:rsidRPr="00EE12AE">
        <w:rPr>
          <w:rFonts w:ascii="Open Sans" w:hAnsi="Open Sans" w:cs="Open Sans"/>
          <w:color w:val="000000"/>
        </w:rPr>
        <w:t xml:space="preserve">€/m2. </w:t>
      </w:r>
    </w:p>
    <w:p w:rsidR="00087022" w:rsidRDefault="00087022" w:rsidP="00087022">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E</w:t>
      </w:r>
      <w:r w:rsidRPr="00EE12AE">
        <w:rPr>
          <w:rFonts w:ascii="Open Sans" w:hAnsi="Open Sans" w:cs="Open Sans"/>
          <w:color w:val="000000"/>
        </w:rPr>
        <w:t>n el lado opuesto, V</w:t>
      </w:r>
      <w:r>
        <w:rPr>
          <w:rFonts w:ascii="Open Sans" w:hAnsi="Open Sans" w:cs="Open Sans"/>
          <w:color w:val="000000"/>
        </w:rPr>
        <w:t>icálvaro</w:t>
      </w:r>
      <w:r w:rsidRPr="00EE12AE">
        <w:rPr>
          <w:rFonts w:ascii="Open Sans" w:hAnsi="Open Sans" w:cs="Open Sans"/>
          <w:color w:val="000000"/>
        </w:rPr>
        <w:t xml:space="preserve"> es el distrito más económico para </w:t>
      </w:r>
      <w:r>
        <w:rPr>
          <w:rFonts w:ascii="Open Sans" w:hAnsi="Open Sans" w:cs="Open Sans"/>
          <w:color w:val="000000"/>
        </w:rPr>
        <w:t>alquilar</w:t>
      </w:r>
      <w:r w:rsidRPr="00EE12AE">
        <w:rPr>
          <w:rFonts w:ascii="Open Sans" w:hAnsi="Open Sans" w:cs="Open Sans"/>
          <w:color w:val="000000"/>
        </w:rPr>
        <w:t xml:space="preserve"> una vivienda, con un precio medio de</w:t>
      </w:r>
      <w:r>
        <w:rPr>
          <w:rFonts w:ascii="Open Sans" w:hAnsi="Open Sans" w:cs="Open Sans"/>
          <w:color w:val="000000"/>
        </w:rPr>
        <w:t xml:space="preserve"> 10,13</w:t>
      </w:r>
      <w:r w:rsidRPr="00EE12AE">
        <w:rPr>
          <w:rFonts w:ascii="Open Sans" w:hAnsi="Open Sans" w:cs="Open Sans"/>
          <w:color w:val="000000"/>
        </w:rPr>
        <w:t>€/m2.</w:t>
      </w:r>
      <w:r>
        <w:rPr>
          <w:rFonts w:ascii="Open Sans" w:hAnsi="Open Sans" w:cs="Open Sans"/>
          <w:color w:val="000000"/>
        </w:rPr>
        <w:t xml:space="preserve"> </w:t>
      </w:r>
    </w:p>
    <w:p w:rsidR="00F50838" w:rsidRPr="00F50838" w:rsidRDefault="00F50838" w:rsidP="00F50838">
      <w:pPr>
        <w:spacing w:line="276" w:lineRule="auto"/>
        <w:ind w:right="-574"/>
        <w:rPr>
          <w:rFonts w:ascii="Open Sans Light" w:hAnsi="Open Sans Light" w:cs="Open Sans Light"/>
          <w:b/>
          <w:iCs/>
          <w:color w:val="303AB2"/>
          <w:szCs w:val="20"/>
          <w:lang w:val="es-ES"/>
        </w:rPr>
      </w:pPr>
      <w:r w:rsidRPr="00F50838">
        <w:rPr>
          <w:rFonts w:ascii="Open Sans Light" w:hAnsi="Open Sans Light" w:cs="Open Sans Light"/>
          <w:b/>
          <w:iCs/>
          <w:color w:val="303AB2"/>
          <w:szCs w:val="20"/>
          <w:lang w:val="es-ES"/>
        </w:rPr>
        <w:t xml:space="preserve">Distritos </w:t>
      </w:r>
      <w:r>
        <w:rPr>
          <w:rFonts w:ascii="Open Sans Light" w:hAnsi="Open Sans Light" w:cs="Open Sans Light"/>
          <w:b/>
          <w:iCs/>
          <w:color w:val="303AB2"/>
          <w:szCs w:val="20"/>
          <w:lang w:val="es-ES"/>
        </w:rPr>
        <w:t xml:space="preserve">de Madrid </w:t>
      </w:r>
      <w:r w:rsidRPr="00F50838">
        <w:rPr>
          <w:rFonts w:ascii="Open Sans Light" w:hAnsi="Open Sans Light" w:cs="Open Sans Light"/>
          <w:b/>
          <w:iCs/>
          <w:color w:val="303AB2"/>
          <w:szCs w:val="20"/>
          <w:lang w:val="es-ES"/>
        </w:rPr>
        <w:t>con mayor y menor ascenso men</w:t>
      </w:r>
      <w:r>
        <w:rPr>
          <w:rFonts w:ascii="Open Sans Light" w:hAnsi="Open Sans Light" w:cs="Open Sans Light"/>
          <w:b/>
          <w:iCs/>
          <w:color w:val="303AB2"/>
          <w:szCs w:val="20"/>
          <w:lang w:val="es-ES"/>
        </w:rPr>
        <w:t>sual en el precio de la vivienda</w:t>
      </w:r>
    </w:p>
    <w:tbl>
      <w:tblPr>
        <w:tblStyle w:val="Tabladecuadrcula5oscura-nfasis11"/>
        <w:tblpPr w:leftFromText="141" w:rightFromText="141" w:vertAnchor="text" w:horzAnchor="margin" w:tblpXSpec="center" w:tblpY="577"/>
        <w:tblW w:w="0" w:type="auto"/>
        <w:tblLook w:val="04A0" w:firstRow="1" w:lastRow="0" w:firstColumn="1" w:lastColumn="0" w:noHBand="0" w:noVBand="1"/>
      </w:tblPr>
      <w:tblGrid>
        <w:gridCol w:w="2240"/>
        <w:gridCol w:w="2551"/>
        <w:gridCol w:w="2688"/>
      </w:tblGrid>
      <w:tr w:rsidR="00087022" w:rsidRPr="00EF2CB9" w:rsidTr="00CC0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center"/>
          </w:tcPr>
          <w:p w:rsidR="00087022" w:rsidRPr="00EF2CB9" w:rsidRDefault="00087022" w:rsidP="00087022">
            <w:pPr>
              <w:jc w:val="center"/>
              <w:rPr>
                <w:rFonts w:ascii="Open Sans Light" w:hAnsi="Open Sans Light"/>
                <w:iCs/>
                <w:lang w:val="es-ES"/>
              </w:rPr>
            </w:pPr>
            <w:r w:rsidRPr="00EF2CB9">
              <w:rPr>
                <w:rFonts w:ascii="Open Sans Light" w:hAnsi="Open Sans Light"/>
                <w:iCs/>
                <w:lang w:val="es-ES"/>
              </w:rPr>
              <w:t>Distrito</w:t>
            </w:r>
          </w:p>
        </w:tc>
        <w:tc>
          <w:tcPr>
            <w:tcW w:w="2551" w:type="dxa"/>
            <w:vAlign w:val="center"/>
          </w:tcPr>
          <w:p w:rsidR="00087022" w:rsidRPr="00EF2CB9" w:rsidRDefault="00087022" w:rsidP="0008702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EF2CB9">
              <w:rPr>
                <w:rFonts w:ascii="Open Sans Light" w:hAnsi="Open Sans Light"/>
                <w:lang w:val="es-ES"/>
              </w:rPr>
              <w:t>Variación</w:t>
            </w:r>
          </w:p>
          <w:p w:rsidR="00087022" w:rsidRPr="00EF2CB9" w:rsidRDefault="001C44D9" w:rsidP="0008702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proofErr w:type="gramStart"/>
            <w:r>
              <w:rPr>
                <w:rFonts w:ascii="Open Sans Light" w:hAnsi="Open Sans Light"/>
                <w:lang w:val="es-ES"/>
              </w:rPr>
              <w:t>mensual</w:t>
            </w:r>
            <w:proofErr w:type="gramEnd"/>
            <w:r>
              <w:rPr>
                <w:rFonts w:ascii="Open Sans Light" w:hAnsi="Open Sans Light"/>
                <w:lang w:val="es-ES"/>
              </w:rPr>
              <w:t xml:space="preserve"> </w:t>
            </w:r>
            <w:r w:rsidR="00087022" w:rsidRPr="00EF2CB9">
              <w:rPr>
                <w:rFonts w:ascii="Open Sans Light" w:hAnsi="Open Sans Light"/>
                <w:lang w:val="es-ES"/>
              </w:rPr>
              <w:t>(%)</w:t>
            </w:r>
          </w:p>
        </w:tc>
        <w:tc>
          <w:tcPr>
            <w:tcW w:w="2688" w:type="dxa"/>
            <w:vAlign w:val="center"/>
          </w:tcPr>
          <w:p w:rsidR="00087022" w:rsidRPr="00EF2CB9" w:rsidRDefault="00087022" w:rsidP="0008702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Octubre</w:t>
            </w:r>
            <w:r w:rsidRPr="00EF2CB9">
              <w:rPr>
                <w:rFonts w:ascii="Open Sans Light" w:hAnsi="Open Sans Light"/>
                <w:lang w:val="es-ES"/>
              </w:rPr>
              <w:t xml:space="preserve"> 2018</w:t>
            </w:r>
            <w:r w:rsidRPr="00EF2CB9">
              <w:rPr>
                <w:rFonts w:ascii="Open Sans Light" w:hAnsi="Open Sans Light"/>
                <w:lang w:val="es-ES"/>
              </w:rPr>
              <w:br/>
              <w:t>(€/m2)</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Centro</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23,1%</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16,38</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Villa de Vallecas</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19,8%</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1,32</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Chamberí</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19,3%</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17,88</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Villaverde</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15,8%</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0,18</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Retiro</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15,1%</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5,87</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Salamanca</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11,6%</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8,04</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Arganzuela</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11,0%</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4</w:t>
            </w:r>
            <w:r w:rsidRPr="008C3B88">
              <w:rPr>
                <w:rFonts w:ascii="Calibri" w:hAnsi="Calibri"/>
                <w:b/>
                <w:color w:val="000000"/>
                <w:sz w:val="22"/>
                <w:szCs w:val="22"/>
              </w:rPr>
              <w:t>,2</w:t>
            </w:r>
            <w:r>
              <w:rPr>
                <w:rFonts w:ascii="Calibri" w:hAnsi="Calibri"/>
                <w:b/>
                <w:color w:val="000000"/>
                <w:sz w:val="22"/>
                <w:szCs w:val="22"/>
              </w:rPr>
              <w:t>8</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Moncloa</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10,7%</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5,67</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Puente de Vallecas</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10,3%</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1,17</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Carabanchel</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9,9%</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1,07</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sidRPr="008C3B88">
              <w:rPr>
                <w:rFonts w:ascii="Open Sans Light" w:hAnsi="Open Sans Light" w:cs="Open Sans Light"/>
                <w:sz w:val="22"/>
                <w:szCs w:val="22"/>
              </w:rPr>
              <w:t>Vi</w:t>
            </w:r>
            <w:r>
              <w:rPr>
                <w:rFonts w:ascii="Open Sans Light" w:hAnsi="Open Sans Light" w:cs="Open Sans Light"/>
                <w:sz w:val="22"/>
                <w:szCs w:val="22"/>
              </w:rPr>
              <w:t>cálvaro</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9,0%</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10,</w:t>
            </w:r>
            <w:r>
              <w:rPr>
                <w:rFonts w:ascii="Calibri" w:hAnsi="Calibri"/>
                <w:b/>
                <w:color w:val="000000"/>
                <w:sz w:val="22"/>
                <w:szCs w:val="22"/>
              </w:rPr>
              <w:t>13</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San Blas</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1,85</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Usera</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8,6%</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0,73</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Ciudad Lineal</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2,83</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lastRenderedPageBreak/>
              <w:t>Barajas</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1,75</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Latina</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0,65</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Moratalaz</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6,7%</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0,52</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Fuencarral</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4,6%</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2,59</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Hortaleza</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4,2%</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2,78</w:t>
            </w:r>
            <w:r w:rsidRPr="008C3B88">
              <w:rPr>
                <w:rFonts w:ascii="Calibri" w:hAnsi="Calibri"/>
                <w:b/>
                <w:color w:val="000000"/>
                <w:sz w:val="22"/>
                <w:szCs w:val="22"/>
              </w:rPr>
              <w:t>€</w:t>
            </w:r>
          </w:p>
        </w:tc>
      </w:tr>
      <w:tr w:rsidR="00087022" w:rsidRPr="00EF2CB9" w:rsidTr="00CC0C6B">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Tetuán</w:t>
            </w:r>
          </w:p>
        </w:tc>
        <w:tc>
          <w:tcPr>
            <w:tcW w:w="2551" w:type="dxa"/>
            <w:vAlign w:val="bottom"/>
          </w:tcPr>
          <w:p w:rsidR="00087022"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w:t>
            </w:r>
          </w:p>
        </w:tc>
        <w:tc>
          <w:tcPr>
            <w:tcW w:w="2688" w:type="dxa"/>
            <w:vAlign w:val="bottom"/>
          </w:tcPr>
          <w:p w:rsidR="00087022" w:rsidRPr="008C3B88" w:rsidRDefault="00087022" w:rsidP="0008702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C3B88">
              <w:rPr>
                <w:rFonts w:ascii="Calibri" w:hAnsi="Calibri"/>
                <w:b/>
                <w:color w:val="000000"/>
                <w:sz w:val="22"/>
                <w:szCs w:val="22"/>
              </w:rPr>
              <w:t>1</w:t>
            </w:r>
            <w:r>
              <w:rPr>
                <w:rFonts w:ascii="Calibri" w:hAnsi="Calibri"/>
                <w:b/>
                <w:color w:val="000000"/>
                <w:sz w:val="22"/>
                <w:szCs w:val="22"/>
              </w:rPr>
              <w:t>5,23</w:t>
            </w:r>
            <w:r w:rsidRPr="008C3B88">
              <w:rPr>
                <w:rFonts w:ascii="Calibri" w:hAnsi="Calibri"/>
                <w:b/>
                <w:color w:val="000000"/>
                <w:sz w:val="22"/>
                <w:szCs w:val="22"/>
              </w:rPr>
              <w:t>€</w:t>
            </w:r>
          </w:p>
        </w:tc>
      </w:tr>
      <w:tr w:rsidR="00087022" w:rsidRPr="00EF2CB9" w:rsidTr="00CC0C6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087022" w:rsidRPr="008C3B88" w:rsidRDefault="00087022" w:rsidP="00087022">
            <w:pPr>
              <w:rPr>
                <w:rFonts w:ascii="Open Sans Light" w:hAnsi="Open Sans Light" w:cs="Open Sans Light"/>
                <w:sz w:val="22"/>
                <w:szCs w:val="22"/>
              </w:rPr>
            </w:pPr>
            <w:r>
              <w:rPr>
                <w:rFonts w:ascii="Open Sans Light" w:hAnsi="Open Sans Light" w:cs="Open Sans Light"/>
                <w:sz w:val="22"/>
                <w:szCs w:val="22"/>
              </w:rPr>
              <w:t>Chamartín</w:t>
            </w:r>
          </w:p>
        </w:tc>
        <w:tc>
          <w:tcPr>
            <w:tcW w:w="2551" w:type="dxa"/>
            <w:vAlign w:val="bottom"/>
          </w:tcPr>
          <w:p w:rsidR="00087022"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w:t>
            </w:r>
          </w:p>
        </w:tc>
        <w:tc>
          <w:tcPr>
            <w:tcW w:w="2688" w:type="dxa"/>
            <w:vAlign w:val="bottom"/>
          </w:tcPr>
          <w:p w:rsidR="00087022" w:rsidRPr="008C3B88" w:rsidRDefault="00087022" w:rsidP="0008702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15,02</w:t>
            </w:r>
            <w:r w:rsidRPr="008C3B88">
              <w:rPr>
                <w:rFonts w:ascii="Calibri" w:hAnsi="Calibri"/>
                <w:b/>
                <w:color w:val="000000"/>
                <w:sz w:val="22"/>
                <w:szCs w:val="22"/>
              </w:rPr>
              <w:t>€</w:t>
            </w:r>
          </w:p>
        </w:tc>
      </w:tr>
    </w:tbl>
    <w:p w:rsidR="00D001C4" w:rsidRDefault="00D001C4" w:rsidP="00F50838">
      <w:pPr>
        <w:pStyle w:val="NormalWeb"/>
        <w:shd w:val="clear" w:color="auto" w:fill="FFFFFF"/>
        <w:spacing w:after="225" w:line="276" w:lineRule="auto"/>
        <w:ind w:right="-574"/>
        <w:jc w:val="both"/>
        <w:rPr>
          <w:rFonts w:ascii="Open Sans" w:hAnsi="Open Sans" w:cs="Open Sans"/>
          <w:color w:val="000000"/>
        </w:rPr>
      </w:pPr>
    </w:p>
    <w:p w:rsidR="00087022" w:rsidRDefault="00087022" w:rsidP="00F50838">
      <w:pPr>
        <w:pStyle w:val="NormalWeb"/>
        <w:shd w:val="clear" w:color="auto" w:fill="FFFFFF"/>
        <w:spacing w:after="225" w:line="276" w:lineRule="auto"/>
        <w:ind w:right="-574"/>
        <w:jc w:val="both"/>
        <w:rPr>
          <w:rFonts w:ascii="Open Sans" w:hAnsi="Open Sans" w:cs="Open Sans"/>
          <w:color w:val="000000"/>
        </w:rPr>
      </w:pPr>
    </w:p>
    <w:p w:rsidR="00087022" w:rsidRDefault="00087022" w:rsidP="00F50838">
      <w:pPr>
        <w:pStyle w:val="NormalWeb"/>
        <w:shd w:val="clear" w:color="auto" w:fill="FFFFFF"/>
        <w:spacing w:after="225" w:line="276" w:lineRule="auto"/>
        <w:ind w:right="-574"/>
        <w:jc w:val="both"/>
        <w:rPr>
          <w:rFonts w:ascii="Open Sans" w:hAnsi="Open Sans" w:cs="Open Sans"/>
          <w:color w:val="000000"/>
        </w:rPr>
      </w:pPr>
    </w:p>
    <w:p w:rsidR="00087022" w:rsidRDefault="00087022" w:rsidP="00F50838">
      <w:pPr>
        <w:pStyle w:val="NormalWeb"/>
        <w:shd w:val="clear" w:color="auto" w:fill="FFFFFF"/>
        <w:spacing w:after="225" w:line="276" w:lineRule="auto"/>
        <w:ind w:right="-574"/>
        <w:jc w:val="both"/>
        <w:rPr>
          <w:rFonts w:ascii="Open Sans" w:hAnsi="Open Sans" w:cs="Open Sans"/>
          <w:color w:val="000000"/>
        </w:rPr>
      </w:pPr>
    </w:p>
    <w:p w:rsidR="00087022" w:rsidRPr="00395FE0" w:rsidRDefault="00087022" w:rsidP="00087022">
      <w:pPr>
        <w:pStyle w:val="NormalWeb"/>
        <w:shd w:val="clear" w:color="auto" w:fill="FFFFFF"/>
        <w:spacing w:after="225" w:line="276" w:lineRule="auto"/>
        <w:ind w:right="-574"/>
        <w:jc w:val="both"/>
        <w:rPr>
          <w:rFonts w:ascii="Open Sans" w:hAnsi="Open Sans" w:cs="Open Sans"/>
          <w:color w:val="000000"/>
        </w:rPr>
      </w:pPr>
      <w:r w:rsidRPr="00395FE0">
        <w:rPr>
          <w:rFonts w:ascii="Open Sans" w:hAnsi="Open Sans" w:cs="Open Sans"/>
          <w:color w:val="000000"/>
        </w:rPr>
        <w:t xml:space="preserve">En la ciudad de Barcelona, </w:t>
      </w:r>
      <w:r>
        <w:rPr>
          <w:rFonts w:ascii="Open Sans" w:hAnsi="Open Sans" w:cs="Open Sans"/>
          <w:color w:val="000000"/>
        </w:rPr>
        <w:t xml:space="preserve">de </w:t>
      </w:r>
      <w:r w:rsidRPr="00395FE0">
        <w:rPr>
          <w:rFonts w:ascii="Open Sans" w:hAnsi="Open Sans" w:cs="Open Sans"/>
          <w:color w:val="000000"/>
        </w:rPr>
        <w:t xml:space="preserve">los diez distritos analizados por </w:t>
      </w:r>
      <w:hyperlink r:id="rId13" w:history="1">
        <w:r w:rsidRPr="00B10769">
          <w:rPr>
            <w:rStyle w:val="Hipervnculo"/>
            <w:rFonts w:ascii="Open Sans" w:hAnsi="Open Sans" w:cs="Open Sans"/>
            <w:b/>
            <w:bCs/>
          </w:rPr>
          <w:t>Fotocasa</w:t>
        </w:r>
      </w:hyperlink>
      <w:r>
        <w:rPr>
          <w:rFonts w:ascii="Open Sans" w:hAnsi="Open Sans" w:cs="Open Sans"/>
          <w:color w:val="000000"/>
        </w:rPr>
        <w:t xml:space="preserve">, ocho </w:t>
      </w:r>
      <w:r w:rsidRPr="00395FE0">
        <w:rPr>
          <w:rFonts w:ascii="Open Sans" w:hAnsi="Open Sans" w:cs="Open Sans"/>
          <w:color w:val="000000"/>
        </w:rPr>
        <w:t xml:space="preserve">incrementan el precio en </w:t>
      </w:r>
      <w:r>
        <w:rPr>
          <w:rFonts w:ascii="Open Sans" w:hAnsi="Open Sans" w:cs="Open Sans"/>
          <w:color w:val="000000"/>
        </w:rPr>
        <w:t>octubre</w:t>
      </w:r>
      <w:r w:rsidRPr="00395FE0">
        <w:rPr>
          <w:rFonts w:ascii="Open Sans" w:hAnsi="Open Sans" w:cs="Open Sans"/>
          <w:color w:val="000000"/>
        </w:rPr>
        <w:t xml:space="preserve">. El mayor ascenso se da en </w:t>
      </w:r>
      <w:r>
        <w:rPr>
          <w:rFonts w:ascii="Open Sans" w:hAnsi="Open Sans" w:cs="Open Sans"/>
          <w:color w:val="000000"/>
        </w:rPr>
        <w:t>Les Corts</w:t>
      </w:r>
      <w:r w:rsidRPr="00395FE0">
        <w:rPr>
          <w:rFonts w:ascii="Open Sans" w:hAnsi="Open Sans" w:cs="Open Sans"/>
          <w:color w:val="000000"/>
        </w:rPr>
        <w:t xml:space="preserve">, con una subida del </w:t>
      </w:r>
      <w:r>
        <w:rPr>
          <w:rFonts w:ascii="Open Sans" w:hAnsi="Open Sans" w:cs="Open Sans"/>
          <w:color w:val="000000"/>
        </w:rPr>
        <w:t>2,7</w:t>
      </w:r>
      <w:r w:rsidRPr="00395FE0">
        <w:rPr>
          <w:rFonts w:ascii="Open Sans" w:hAnsi="Open Sans" w:cs="Open Sans"/>
          <w:color w:val="000000"/>
        </w:rPr>
        <w:t xml:space="preserve">%. </w:t>
      </w:r>
      <w:r>
        <w:rPr>
          <w:rFonts w:ascii="Open Sans" w:hAnsi="Open Sans" w:cs="Open Sans"/>
          <w:color w:val="000000"/>
        </w:rPr>
        <w:t>Horta-Guinardó y Sant Martí son los dos únicos</w:t>
      </w:r>
      <w:r w:rsidRPr="00395FE0">
        <w:rPr>
          <w:rFonts w:ascii="Open Sans" w:hAnsi="Open Sans" w:cs="Open Sans"/>
          <w:color w:val="000000"/>
        </w:rPr>
        <w:t xml:space="preserve"> distrito</w:t>
      </w:r>
      <w:r>
        <w:rPr>
          <w:rFonts w:ascii="Open Sans" w:hAnsi="Open Sans" w:cs="Open Sans"/>
          <w:color w:val="000000"/>
        </w:rPr>
        <w:t>s</w:t>
      </w:r>
      <w:r w:rsidRPr="00395FE0">
        <w:rPr>
          <w:rFonts w:ascii="Open Sans" w:hAnsi="Open Sans" w:cs="Open Sans"/>
          <w:color w:val="000000"/>
        </w:rPr>
        <w:t xml:space="preserve"> que ha</w:t>
      </w:r>
      <w:r>
        <w:rPr>
          <w:rFonts w:ascii="Open Sans" w:hAnsi="Open Sans" w:cs="Open Sans"/>
          <w:color w:val="000000"/>
        </w:rPr>
        <w:t>n</w:t>
      </w:r>
      <w:r w:rsidRPr="00395FE0">
        <w:rPr>
          <w:rFonts w:ascii="Open Sans" w:hAnsi="Open Sans" w:cs="Open Sans"/>
          <w:color w:val="000000"/>
        </w:rPr>
        <w:t xml:space="preserve"> sufrido un descenso </w:t>
      </w:r>
      <w:r>
        <w:rPr>
          <w:rFonts w:ascii="Open Sans" w:hAnsi="Open Sans" w:cs="Open Sans"/>
          <w:color w:val="000000"/>
        </w:rPr>
        <w:t xml:space="preserve">en </w:t>
      </w:r>
      <w:r w:rsidRPr="00395FE0">
        <w:rPr>
          <w:rFonts w:ascii="Open Sans" w:hAnsi="Open Sans" w:cs="Open Sans"/>
          <w:color w:val="000000"/>
        </w:rPr>
        <w:t xml:space="preserve">el precio, </w:t>
      </w:r>
      <w:r>
        <w:rPr>
          <w:rFonts w:ascii="Open Sans" w:hAnsi="Open Sans" w:cs="Open Sans"/>
          <w:color w:val="000000"/>
        </w:rPr>
        <w:t xml:space="preserve">ambos </w:t>
      </w:r>
      <w:r w:rsidRPr="00395FE0">
        <w:rPr>
          <w:rFonts w:ascii="Open Sans" w:hAnsi="Open Sans" w:cs="Open Sans"/>
          <w:color w:val="000000"/>
        </w:rPr>
        <w:t xml:space="preserve">con un </w:t>
      </w:r>
      <w:r>
        <w:rPr>
          <w:rFonts w:ascii="Open Sans" w:hAnsi="Open Sans" w:cs="Open Sans"/>
          <w:color w:val="000000"/>
        </w:rPr>
        <w:t>-0,1</w:t>
      </w:r>
      <w:r w:rsidRPr="00395FE0">
        <w:rPr>
          <w:rFonts w:ascii="Open Sans" w:hAnsi="Open Sans" w:cs="Open Sans"/>
          <w:color w:val="000000"/>
        </w:rPr>
        <w:t xml:space="preserve">%. </w:t>
      </w:r>
    </w:p>
    <w:p w:rsidR="00087022" w:rsidRPr="00395FE0" w:rsidRDefault="00087022" w:rsidP="00087022">
      <w:pPr>
        <w:spacing w:line="276" w:lineRule="auto"/>
        <w:ind w:right="-574"/>
        <w:jc w:val="center"/>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Variación </w:t>
      </w:r>
      <w:r w:rsidRPr="00395FE0">
        <w:rPr>
          <w:rFonts w:ascii="Open Sans Light" w:hAnsi="Open Sans Light" w:cs="Open Sans Light"/>
          <w:b/>
          <w:iCs/>
          <w:color w:val="303AB2"/>
          <w:sz w:val="28"/>
          <w:szCs w:val="22"/>
          <w:lang w:val="es-ES"/>
        </w:rPr>
        <w:t>mensual</w:t>
      </w:r>
      <w:r>
        <w:rPr>
          <w:rFonts w:ascii="Open Sans Light" w:hAnsi="Open Sans Light" w:cs="Open Sans Light"/>
          <w:b/>
          <w:iCs/>
          <w:color w:val="303AB2"/>
          <w:sz w:val="28"/>
          <w:szCs w:val="22"/>
          <w:lang w:val="es-ES"/>
        </w:rPr>
        <w:t xml:space="preserve"> distritos Barcelona</w:t>
      </w:r>
    </w:p>
    <w:p w:rsidR="00087022" w:rsidRPr="002668B8" w:rsidRDefault="00087022" w:rsidP="00087022">
      <w:pPr>
        <w:jc w:val="both"/>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972"/>
        <w:gridCol w:w="2811"/>
        <w:gridCol w:w="2552"/>
      </w:tblGrid>
      <w:tr w:rsidR="00087022" w:rsidRPr="002668B8" w:rsidTr="00087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087022" w:rsidRPr="00395FE0" w:rsidRDefault="00087022" w:rsidP="00CC0C6B">
            <w:pPr>
              <w:jc w:val="center"/>
              <w:rPr>
                <w:rFonts w:ascii="Open Sans Light" w:hAnsi="Open Sans Light" w:cs="Open Sans Light"/>
                <w:iCs/>
                <w:lang w:val="es-ES"/>
              </w:rPr>
            </w:pPr>
            <w:r w:rsidRPr="00395FE0">
              <w:rPr>
                <w:rFonts w:ascii="Open Sans Light" w:hAnsi="Open Sans Light" w:cs="Open Sans Light"/>
                <w:iCs/>
                <w:lang w:val="es-ES"/>
              </w:rPr>
              <w:t>Distritos</w:t>
            </w:r>
          </w:p>
        </w:tc>
        <w:tc>
          <w:tcPr>
            <w:tcW w:w="2811" w:type="dxa"/>
            <w:vAlign w:val="center"/>
          </w:tcPr>
          <w:p w:rsidR="00087022" w:rsidRPr="00395FE0" w:rsidRDefault="00087022" w:rsidP="00CC0C6B">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lang w:val="es-ES"/>
              </w:rPr>
            </w:pPr>
            <w:r w:rsidRPr="00395FE0">
              <w:rPr>
                <w:rFonts w:ascii="Open Sans Light" w:hAnsi="Open Sans Light" w:cs="Open Sans Light"/>
                <w:lang w:val="es-ES"/>
              </w:rPr>
              <w:t>Variación</w:t>
            </w:r>
          </w:p>
          <w:p w:rsidR="00087022" w:rsidRPr="00395FE0" w:rsidRDefault="001C44D9" w:rsidP="00CC0C6B">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lang w:val="es-ES"/>
              </w:rPr>
            </w:pPr>
            <w:r>
              <w:rPr>
                <w:rFonts w:ascii="Open Sans Light" w:hAnsi="Open Sans Light" w:cs="Open Sans Light"/>
                <w:lang w:val="es-ES"/>
              </w:rPr>
              <w:t>m</w:t>
            </w:r>
            <w:bookmarkStart w:id="0" w:name="_GoBack"/>
            <w:bookmarkEnd w:id="0"/>
            <w:r>
              <w:rPr>
                <w:rFonts w:ascii="Open Sans Light" w:hAnsi="Open Sans Light" w:cs="Open Sans Light"/>
                <w:lang w:val="es-ES"/>
              </w:rPr>
              <w:t xml:space="preserve">ensual </w:t>
            </w:r>
            <w:r w:rsidR="00087022" w:rsidRPr="00395FE0">
              <w:rPr>
                <w:rFonts w:ascii="Open Sans Light" w:hAnsi="Open Sans Light" w:cs="Open Sans Light"/>
                <w:lang w:val="es-ES"/>
              </w:rPr>
              <w:t>(%)</w:t>
            </w:r>
          </w:p>
        </w:tc>
        <w:tc>
          <w:tcPr>
            <w:tcW w:w="2552" w:type="dxa"/>
            <w:vAlign w:val="center"/>
          </w:tcPr>
          <w:p w:rsidR="00087022" w:rsidRPr="00395FE0" w:rsidRDefault="00087022" w:rsidP="00CC0C6B">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lang w:val="es-ES"/>
              </w:rPr>
            </w:pPr>
            <w:r>
              <w:rPr>
                <w:rFonts w:ascii="Open Sans Light" w:hAnsi="Open Sans Light" w:cs="Open Sans Light"/>
                <w:lang w:val="es-ES"/>
              </w:rPr>
              <w:t>Octubre</w:t>
            </w:r>
            <w:r w:rsidRPr="00395FE0">
              <w:rPr>
                <w:rFonts w:ascii="Open Sans Light" w:hAnsi="Open Sans Light" w:cs="Open Sans Light"/>
                <w:lang w:val="es-ES"/>
              </w:rPr>
              <w:t xml:space="preserve"> 2018</w:t>
            </w:r>
            <w:r w:rsidRPr="00395FE0">
              <w:rPr>
                <w:rFonts w:ascii="Open Sans Light" w:hAnsi="Open Sans Light" w:cs="Open Sans Light"/>
                <w:lang w:val="es-ES"/>
              </w:rPr>
              <w:br/>
              <w:t>(€/m2)</w:t>
            </w:r>
          </w:p>
        </w:tc>
      </w:tr>
      <w:tr w:rsidR="00087022" w:rsidRPr="002668B8" w:rsidTr="00087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Les Corts</w:t>
            </w:r>
          </w:p>
        </w:tc>
        <w:tc>
          <w:tcPr>
            <w:tcW w:w="2811" w:type="dxa"/>
            <w:vAlign w:val="bottom"/>
          </w:tcPr>
          <w:p w:rsidR="00087022"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w:t>
            </w:r>
          </w:p>
        </w:tc>
        <w:tc>
          <w:tcPr>
            <w:tcW w:w="2552" w:type="dxa"/>
            <w:vAlign w:val="bottom"/>
          </w:tcPr>
          <w:p w:rsidR="00087022" w:rsidRPr="000B206B"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16,</w:t>
            </w:r>
            <w:r>
              <w:rPr>
                <w:rFonts w:ascii="Calibri" w:hAnsi="Calibri"/>
                <w:b/>
                <w:color w:val="000000"/>
                <w:sz w:val="22"/>
                <w:szCs w:val="22"/>
              </w:rPr>
              <w:t>09</w:t>
            </w:r>
            <w:r w:rsidRPr="000B206B">
              <w:rPr>
                <w:rFonts w:ascii="Calibri" w:hAnsi="Calibri"/>
                <w:b/>
                <w:color w:val="000000"/>
                <w:sz w:val="22"/>
                <w:szCs w:val="22"/>
              </w:rPr>
              <w:t>€</w:t>
            </w:r>
          </w:p>
        </w:tc>
      </w:tr>
      <w:tr w:rsidR="00087022" w:rsidRPr="002668B8" w:rsidTr="00087022">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Ciutat Vella</w:t>
            </w:r>
          </w:p>
        </w:tc>
        <w:tc>
          <w:tcPr>
            <w:tcW w:w="2811" w:type="dxa"/>
            <w:vAlign w:val="bottom"/>
          </w:tcPr>
          <w:p w:rsidR="00087022"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w:t>
            </w:r>
          </w:p>
        </w:tc>
        <w:tc>
          <w:tcPr>
            <w:tcW w:w="2552" w:type="dxa"/>
            <w:vAlign w:val="bottom"/>
          </w:tcPr>
          <w:p w:rsidR="00087022" w:rsidRPr="000B206B"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7,42</w:t>
            </w:r>
            <w:r w:rsidRPr="000B206B">
              <w:rPr>
                <w:rFonts w:ascii="Calibri" w:hAnsi="Calibri"/>
                <w:b/>
                <w:color w:val="000000"/>
                <w:sz w:val="22"/>
                <w:szCs w:val="22"/>
              </w:rPr>
              <w:t>€</w:t>
            </w:r>
          </w:p>
        </w:tc>
      </w:tr>
      <w:tr w:rsidR="00087022" w:rsidRPr="002668B8" w:rsidTr="00087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Sants - Montjuïc</w:t>
            </w:r>
          </w:p>
        </w:tc>
        <w:tc>
          <w:tcPr>
            <w:tcW w:w="2811" w:type="dxa"/>
            <w:vAlign w:val="bottom"/>
          </w:tcPr>
          <w:p w:rsidR="00087022"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w:t>
            </w:r>
          </w:p>
        </w:tc>
        <w:tc>
          <w:tcPr>
            <w:tcW w:w="2552" w:type="dxa"/>
            <w:vAlign w:val="bottom"/>
          </w:tcPr>
          <w:p w:rsidR="00087022" w:rsidRPr="000B206B"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5,08</w:t>
            </w:r>
            <w:r w:rsidRPr="000B206B">
              <w:rPr>
                <w:rFonts w:ascii="Calibri" w:hAnsi="Calibri"/>
                <w:b/>
                <w:color w:val="000000"/>
                <w:sz w:val="22"/>
                <w:szCs w:val="22"/>
              </w:rPr>
              <w:t>€</w:t>
            </w:r>
          </w:p>
        </w:tc>
      </w:tr>
      <w:tr w:rsidR="00087022" w:rsidRPr="002668B8" w:rsidTr="00087022">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sidRPr="000B206B">
              <w:rPr>
                <w:rFonts w:ascii="Open Sans Light" w:hAnsi="Open Sans Light" w:cs="Open Sans Light"/>
                <w:sz w:val="22"/>
                <w:szCs w:val="22"/>
              </w:rPr>
              <w:t>Sarrià - Sant Gervasi</w:t>
            </w:r>
          </w:p>
        </w:tc>
        <w:tc>
          <w:tcPr>
            <w:tcW w:w="2811" w:type="dxa"/>
            <w:vAlign w:val="bottom"/>
          </w:tcPr>
          <w:p w:rsidR="00087022"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w:t>
            </w:r>
          </w:p>
        </w:tc>
        <w:tc>
          <w:tcPr>
            <w:tcW w:w="2552" w:type="dxa"/>
            <w:vAlign w:val="bottom"/>
          </w:tcPr>
          <w:p w:rsidR="00087022" w:rsidRPr="000B206B"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7,09</w:t>
            </w:r>
            <w:r w:rsidRPr="000B206B">
              <w:rPr>
                <w:rFonts w:ascii="Calibri" w:hAnsi="Calibri"/>
                <w:b/>
                <w:color w:val="000000"/>
                <w:sz w:val="22"/>
                <w:szCs w:val="22"/>
              </w:rPr>
              <w:t>€</w:t>
            </w:r>
          </w:p>
        </w:tc>
      </w:tr>
      <w:tr w:rsidR="00087022" w:rsidRPr="002668B8" w:rsidTr="00087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Nou Barris</w:t>
            </w:r>
          </w:p>
        </w:tc>
        <w:tc>
          <w:tcPr>
            <w:tcW w:w="2811" w:type="dxa"/>
            <w:vAlign w:val="bottom"/>
          </w:tcPr>
          <w:p w:rsidR="00087022"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0,9%</w:t>
            </w:r>
          </w:p>
        </w:tc>
        <w:tc>
          <w:tcPr>
            <w:tcW w:w="2552" w:type="dxa"/>
            <w:vAlign w:val="bottom"/>
          </w:tcPr>
          <w:p w:rsidR="00087022" w:rsidRPr="000B206B"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2,73</w:t>
            </w:r>
            <w:r w:rsidRPr="000B206B">
              <w:rPr>
                <w:rFonts w:ascii="Calibri" w:hAnsi="Calibri"/>
                <w:b/>
                <w:color w:val="000000"/>
                <w:sz w:val="22"/>
                <w:szCs w:val="22"/>
              </w:rPr>
              <w:t>€</w:t>
            </w:r>
          </w:p>
        </w:tc>
      </w:tr>
      <w:tr w:rsidR="00087022" w:rsidRPr="002668B8" w:rsidTr="00087022">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Gràcia</w:t>
            </w:r>
          </w:p>
        </w:tc>
        <w:tc>
          <w:tcPr>
            <w:tcW w:w="2811" w:type="dxa"/>
            <w:vAlign w:val="bottom"/>
          </w:tcPr>
          <w:p w:rsidR="00087022"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0,7%</w:t>
            </w:r>
          </w:p>
        </w:tc>
        <w:tc>
          <w:tcPr>
            <w:tcW w:w="2552" w:type="dxa"/>
            <w:vAlign w:val="bottom"/>
          </w:tcPr>
          <w:p w:rsidR="00087022" w:rsidRPr="000B206B"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5,45</w:t>
            </w:r>
            <w:r w:rsidRPr="000B206B">
              <w:rPr>
                <w:rFonts w:ascii="Calibri" w:hAnsi="Calibri"/>
                <w:b/>
                <w:color w:val="000000"/>
                <w:sz w:val="22"/>
                <w:szCs w:val="22"/>
              </w:rPr>
              <w:t>€</w:t>
            </w:r>
          </w:p>
        </w:tc>
      </w:tr>
      <w:tr w:rsidR="00087022" w:rsidRPr="002668B8" w:rsidTr="00087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Sant Andreu</w:t>
            </w:r>
          </w:p>
        </w:tc>
        <w:tc>
          <w:tcPr>
            <w:tcW w:w="2811" w:type="dxa"/>
            <w:vAlign w:val="bottom"/>
          </w:tcPr>
          <w:p w:rsidR="00087022"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w:t>
            </w:r>
          </w:p>
        </w:tc>
        <w:tc>
          <w:tcPr>
            <w:tcW w:w="2552" w:type="dxa"/>
            <w:vAlign w:val="bottom"/>
          </w:tcPr>
          <w:p w:rsidR="00087022" w:rsidRPr="000B206B"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12</w:t>
            </w:r>
            <w:r>
              <w:rPr>
                <w:rFonts w:ascii="Calibri" w:hAnsi="Calibri"/>
                <w:b/>
                <w:color w:val="000000"/>
                <w:sz w:val="22"/>
                <w:szCs w:val="22"/>
              </w:rPr>
              <w:t>,98</w:t>
            </w:r>
            <w:r w:rsidRPr="000B206B">
              <w:rPr>
                <w:rFonts w:ascii="Calibri" w:hAnsi="Calibri"/>
                <w:b/>
                <w:color w:val="000000"/>
                <w:sz w:val="22"/>
                <w:szCs w:val="22"/>
              </w:rPr>
              <w:t>€</w:t>
            </w:r>
          </w:p>
        </w:tc>
      </w:tr>
      <w:tr w:rsidR="00087022" w:rsidRPr="002668B8" w:rsidTr="00087022">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Eixample</w:t>
            </w:r>
          </w:p>
        </w:tc>
        <w:tc>
          <w:tcPr>
            <w:tcW w:w="2811" w:type="dxa"/>
            <w:vAlign w:val="bottom"/>
          </w:tcPr>
          <w:p w:rsidR="00087022"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w:t>
            </w:r>
          </w:p>
        </w:tc>
        <w:tc>
          <w:tcPr>
            <w:tcW w:w="2552" w:type="dxa"/>
            <w:vAlign w:val="bottom"/>
          </w:tcPr>
          <w:p w:rsidR="00087022" w:rsidRPr="000B206B"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6,44</w:t>
            </w:r>
            <w:r w:rsidRPr="000B206B">
              <w:rPr>
                <w:rFonts w:ascii="Calibri" w:hAnsi="Calibri"/>
                <w:b/>
                <w:color w:val="000000"/>
                <w:sz w:val="22"/>
                <w:szCs w:val="22"/>
              </w:rPr>
              <w:t>€</w:t>
            </w:r>
          </w:p>
        </w:tc>
      </w:tr>
      <w:tr w:rsidR="00087022" w:rsidRPr="002668B8" w:rsidTr="00087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sidRPr="000B206B">
              <w:rPr>
                <w:rFonts w:ascii="Open Sans Light" w:hAnsi="Open Sans Light" w:cs="Open Sans Light"/>
                <w:sz w:val="22"/>
                <w:szCs w:val="22"/>
              </w:rPr>
              <w:t>Sa</w:t>
            </w:r>
            <w:r>
              <w:rPr>
                <w:rFonts w:ascii="Open Sans Light" w:hAnsi="Open Sans Light" w:cs="Open Sans Light"/>
                <w:sz w:val="22"/>
                <w:szCs w:val="22"/>
              </w:rPr>
              <w:t>nt Martí</w:t>
            </w:r>
          </w:p>
        </w:tc>
        <w:tc>
          <w:tcPr>
            <w:tcW w:w="2811" w:type="dxa"/>
            <w:vAlign w:val="bottom"/>
          </w:tcPr>
          <w:p w:rsidR="00087022" w:rsidRPr="00E45991"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sidRPr="00E45991">
              <w:rPr>
                <w:rFonts w:ascii="Calibri" w:hAnsi="Calibri"/>
                <w:color w:val="FF0000"/>
                <w:sz w:val="22"/>
                <w:szCs w:val="22"/>
              </w:rPr>
              <w:t>-0,1%</w:t>
            </w:r>
          </w:p>
        </w:tc>
        <w:tc>
          <w:tcPr>
            <w:tcW w:w="2552" w:type="dxa"/>
            <w:vAlign w:val="bottom"/>
          </w:tcPr>
          <w:p w:rsidR="00087022" w:rsidRPr="000B206B" w:rsidRDefault="00087022" w:rsidP="00CC0C6B">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5,89</w:t>
            </w:r>
            <w:r w:rsidRPr="000B206B">
              <w:rPr>
                <w:rFonts w:ascii="Calibri" w:hAnsi="Calibri"/>
                <w:b/>
                <w:color w:val="000000"/>
                <w:sz w:val="22"/>
                <w:szCs w:val="22"/>
              </w:rPr>
              <w:t>€</w:t>
            </w:r>
          </w:p>
        </w:tc>
      </w:tr>
      <w:tr w:rsidR="00087022" w:rsidRPr="002668B8" w:rsidTr="00087022">
        <w:trPr>
          <w:trHeight w:val="54"/>
        </w:trPr>
        <w:tc>
          <w:tcPr>
            <w:cnfStyle w:val="001000000000" w:firstRow="0" w:lastRow="0" w:firstColumn="1" w:lastColumn="0" w:oddVBand="0" w:evenVBand="0" w:oddHBand="0" w:evenHBand="0" w:firstRowFirstColumn="0" w:firstRowLastColumn="0" w:lastRowFirstColumn="0" w:lastRowLastColumn="0"/>
            <w:tcW w:w="2972" w:type="dxa"/>
            <w:vAlign w:val="bottom"/>
          </w:tcPr>
          <w:p w:rsidR="00087022" w:rsidRPr="000B206B" w:rsidRDefault="00087022" w:rsidP="00CC0C6B">
            <w:pPr>
              <w:rPr>
                <w:rFonts w:ascii="Open Sans Light" w:hAnsi="Open Sans Light" w:cs="Open Sans Light"/>
                <w:sz w:val="22"/>
                <w:szCs w:val="22"/>
              </w:rPr>
            </w:pPr>
            <w:r>
              <w:rPr>
                <w:rFonts w:ascii="Open Sans Light" w:hAnsi="Open Sans Light" w:cs="Open Sans Light"/>
                <w:sz w:val="22"/>
                <w:szCs w:val="22"/>
              </w:rPr>
              <w:t>Horta - Guinardó</w:t>
            </w:r>
          </w:p>
        </w:tc>
        <w:tc>
          <w:tcPr>
            <w:tcW w:w="2811" w:type="dxa"/>
            <w:vAlign w:val="bottom"/>
          </w:tcPr>
          <w:p w:rsidR="00087022" w:rsidRPr="00E45991"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2"/>
                <w:szCs w:val="22"/>
              </w:rPr>
            </w:pPr>
            <w:r w:rsidRPr="00E45991">
              <w:rPr>
                <w:rFonts w:ascii="Calibri" w:hAnsi="Calibri"/>
                <w:color w:val="FF0000"/>
                <w:sz w:val="22"/>
                <w:szCs w:val="22"/>
              </w:rPr>
              <w:t>-0,1%</w:t>
            </w:r>
          </w:p>
        </w:tc>
        <w:tc>
          <w:tcPr>
            <w:tcW w:w="2552" w:type="dxa"/>
            <w:vAlign w:val="bottom"/>
          </w:tcPr>
          <w:p w:rsidR="00087022" w:rsidRPr="000B206B" w:rsidRDefault="00087022" w:rsidP="00CC0C6B">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0B206B">
              <w:rPr>
                <w:rFonts w:ascii="Calibri" w:hAnsi="Calibri"/>
                <w:b/>
                <w:color w:val="000000"/>
                <w:sz w:val="22"/>
                <w:szCs w:val="22"/>
              </w:rPr>
              <w:t>1</w:t>
            </w:r>
            <w:r>
              <w:rPr>
                <w:rFonts w:ascii="Calibri" w:hAnsi="Calibri"/>
                <w:b/>
                <w:color w:val="000000"/>
                <w:sz w:val="22"/>
                <w:szCs w:val="22"/>
              </w:rPr>
              <w:t>3,16</w:t>
            </w:r>
            <w:r w:rsidRPr="000B206B">
              <w:rPr>
                <w:rFonts w:ascii="Calibri" w:hAnsi="Calibri"/>
                <w:b/>
                <w:color w:val="000000"/>
                <w:sz w:val="22"/>
                <w:szCs w:val="22"/>
              </w:rPr>
              <w:t>€</w:t>
            </w:r>
          </w:p>
        </w:tc>
      </w:tr>
    </w:tbl>
    <w:p w:rsidR="00C07A68" w:rsidRDefault="00C07A68"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proofErr w:type="spellStart"/>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roofErr w:type="spellEnd"/>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C07A68" w:rsidRP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Portal inmobiliario que dispone de oferta </w:t>
      </w:r>
      <w:r w:rsidR="00AC04DB">
        <w:rPr>
          <w:rFonts w:ascii="Open Sans" w:hAnsi="Open Sans" w:cs="Open Sans"/>
          <w:color w:val="000000"/>
          <w:sz w:val="21"/>
          <w:szCs w:val="21"/>
        </w:rPr>
        <w:t>de</w:t>
      </w:r>
      <w:r w:rsidRPr="00B41A97">
        <w:rPr>
          <w:rFonts w:ascii="Open Sans" w:hAnsi="Open Sans" w:cs="Open Sans"/>
          <w:color w:val="000000"/>
          <w:sz w:val="21"/>
          <w:szCs w:val="21"/>
        </w:rPr>
        <w:t xml:space="preserve"> inmuebles de</w:t>
      </w:r>
      <w:r>
        <w:rPr>
          <w:rFonts w:ascii="Open Sans" w:hAnsi="Open Sans" w:cs="Open Sans"/>
          <w:color w:val="000000"/>
          <w:sz w:val="21"/>
          <w:szCs w:val="21"/>
        </w:rPr>
        <w:t xml:space="preserve"> </w:t>
      </w:r>
      <w:r w:rsidR="00AC04DB">
        <w:rPr>
          <w:rFonts w:ascii="Open Sans" w:hAnsi="Open Sans" w:cs="Open Sans"/>
          <w:color w:val="000000"/>
          <w:sz w:val="21"/>
          <w:szCs w:val="21"/>
        </w:rPr>
        <w:t>segunda mano,</w:t>
      </w:r>
      <w:r w:rsidRPr="00B41A97">
        <w:rPr>
          <w:rFonts w:ascii="Open Sans" w:hAnsi="Open Sans" w:cs="Open Sans"/>
          <w:color w:val="000000"/>
          <w:sz w:val="21"/>
          <w:szCs w:val="21"/>
        </w:rPr>
        <w:t xml:space="preserve"> promociones de obra nueva y alquiler. Cada mes genera un tráfico</w:t>
      </w:r>
      <w:r>
        <w:rPr>
          <w:rFonts w:ascii="Open Sans" w:hAnsi="Open Sans" w:cs="Open Sans"/>
          <w:color w:val="000000"/>
          <w:sz w:val="21"/>
          <w:szCs w:val="21"/>
        </w:rPr>
        <w:t xml:space="preserve"> de 22 millones de visitas al mes (70</w:t>
      </w:r>
      <w:r w:rsidRPr="00B41A97">
        <w:rPr>
          <w:rFonts w:ascii="Open Sans" w:hAnsi="Open Sans" w:cs="Open Sans"/>
          <w:color w:val="000000"/>
          <w:sz w:val="21"/>
          <w:szCs w:val="21"/>
        </w:rPr>
        <w:t>% a través de dispositivos móviles) y 650 millones de</w:t>
      </w:r>
      <w:r>
        <w:rPr>
          <w:rFonts w:ascii="Open Sans" w:hAnsi="Open Sans" w:cs="Open Sans"/>
          <w:color w:val="000000"/>
          <w:sz w:val="21"/>
          <w:szCs w:val="21"/>
        </w:rPr>
        <w:t xml:space="preserve"> </w:t>
      </w:r>
      <w:r w:rsidRPr="00B41A97">
        <w:rPr>
          <w:rFonts w:ascii="Open Sans" w:hAnsi="Open Sans" w:cs="Open Sans"/>
          <w:color w:val="000000"/>
          <w:sz w:val="21"/>
          <w:szCs w:val="21"/>
        </w:rPr>
        <w:t>páginas vistas y cada día la visitan un promedio de 493.000 usuarios únicos.</w:t>
      </w:r>
    </w:p>
    <w:p w:rsidR="00B41A97" w:rsidRP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Mensualmente </w:t>
      </w:r>
      <w:r>
        <w:rPr>
          <w:rFonts w:ascii="Open Sans" w:hAnsi="Open Sans" w:cs="Open Sans"/>
          <w:color w:val="000000"/>
          <w:sz w:val="21"/>
          <w:szCs w:val="21"/>
        </w:rPr>
        <w:t xml:space="preserve">elabora el </w:t>
      </w:r>
      <w:hyperlink r:id="rId14" w:history="1">
        <w:r w:rsidRPr="00B41A97">
          <w:rPr>
            <w:rStyle w:val="Hipervnculo"/>
            <w:rFonts w:ascii="Open Sans" w:hAnsi="Open Sans" w:cs="Open Sans"/>
            <w:sz w:val="21"/>
            <w:szCs w:val="21"/>
          </w:rPr>
          <w:t>índice inmobiliario Fotocasa</w:t>
        </w:r>
      </w:hyperlink>
      <w:r w:rsidRPr="00B41A97">
        <w:rPr>
          <w:rFonts w:ascii="Open Sans" w:hAnsi="Open Sans" w:cs="Open Sans"/>
          <w:color w:val="000000"/>
          <w:sz w:val="21"/>
          <w:szCs w:val="21"/>
        </w:rPr>
        <w:t>, un informe de referencia sobre la</w:t>
      </w:r>
      <w:r>
        <w:rPr>
          <w:rFonts w:ascii="Open Sans" w:hAnsi="Open Sans" w:cs="Open Sans"/>
          <w:color w:val="000000"/>
          <w:sz w:val="21"/>
          <w:szCs w:val="21"/>
        </w:rPr>
        <w:t xml:space="preserve"> </w:t>
      </w:r>
      <w:r w:rsidRPr="00B41A97">
        <w:rPr>
          <w:rFonts w:ascii="Open Sans" w:hAnsi="Open Sans" w:cs="Open Sans"/>
          <w:color w:val="000000"/>
          <w:sz w:val="21"/>
          <w:szCs w:val="21"/>
        </w:rPr>
        <w:t>evolución del precio medio de la vivienda en España, tanto en venta como en alquiler.</w:t>
      </w:r>
    </w:p>
    <w:p w:rsid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Default="001C44D9"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hyperlink r:id="rId15" w:history="1">
        <w:proofErr w:type="spellStart"/>
        <w:r w:rsidR="00B41A97" w:rsidRPr="00010ECE">
          <w:rPr>
            <w:rStyle w:val="Hipervnculo"/>
            <w:rFonts w:ascii="Open Sans" w:hAnsi="Open Sans" w:cs="Open Sans"/>
            <w:b/>
            <w:bCs/>
            <w:sz w:val="21"/>
            <w:szCs w:val="21"/>
          </w:rPr>
          <w:t>Fotocasa</w:t>
        </w:r>
        <w:proofErr w:type="spellEnd"/>
      </w:hyperlink>
      <w:r w:rsidR="00B41A97" w:rsidRPr="00B41A97">
        <w:rPr>
          <w:rFonts w:ascii="Open Sans" w:hAnsi="Open Sans" w:cs="Open Sans"/>
          <w:color w:val="000000"/>
          <w:sz w:val="21"/>
          <w:szCs w:val="21"/>
        </w:rPr>
        <w:t xml:space="preserve"> pertenece a </w:t>
      </w:r>
      <w:hyperlink r:id="rId16" w:history="1">
        <w:proofErr w:type="spellStart"/>
        <w:r w:rsidR="00B41A97" w:rsidRPr="00D31A57">
          <w:rPr>
            <w:rStyle w:val="Hipervnculo"/>
            <w:rFonts w:ascii="Open Sans" w:hAnsi="Open Sans" w:cs="Open Sans"/>
            <w:sz w:val="21"/>
            <w:szCs w:val="21"/>
          </w:rPr>
          <w:t>Schibsted</w:t>
        </w:r>
        <w:proofErr w:type="spellEnd"/>
        <w:r w:rsidR="00B41A97" w:rsidRPr="00D31A57">
          <w:rPr>
            <w:rStyle w:val="Hipervnculo"/>
            <w:rFonts w:ascii="Open Sans" w:hAnsi="Open Sans" w:cs="Open Sans"/>
            <w:sz w:val="21"/>
            <w:szCs w:val="21"/>
          </w:rPr>
          <w:t xml:space="preserve"> </w:t>
        </w:r>
        <w:proofErr w:type="spellStart"/>
        <w:r w:rsidR="00B41A97" w:rsidRPr="00D31A57">
          <w:rPr>
            <w:rStyle w:val="Hipervnculo"/>
            <w:rFonts w:ascii="Open Sans" w:hAnsi="Open Sans" w:cs="Open Sans"/>
            <w:sz w:val="21"/>
            <w:szCs w:val="21"/>
          </w:rPr>
          <w:t>Spain</w:t>
        </w:r>
        <w:proofErr w:type="spellEnd"/>
      </w:hyperlink>
      <w:r w:rsidR="00B41A97" w:rsidRPr="00B41A97">
        <w:rPr>
          <w:rFonts w:ascii="Open Sans" w:hAnsi="Open Sans" w:cs="Open Sans"/>
          <w:color w:val="000000"/>
          <w:sz w:val="21"/>
          <w:szCs w:val="21"/>
        </w:rPr>
        <w:t>, la compañía de anuncios clasificados y de ofertas</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de empleo más grande y </w:t>
      </w:r>
      <w:proofErr w:type="gramStart"/>
      <w:r w:rsidR="00B41A97" w:rsidRPr="00B41A97">
        <w:rPr>
          <w:rFonts w:ascii="Open Sans" w:hAnsi="Open Sans" w:cs="Open Sans"/>
          <w:color w:val="000000"/>
          <w:sz w:val="21"/>
          <w:szCs w:val="21"/>
        </w:rPr>
        <w:t>diversificada</w:t>
      </w:r>
      <w:proofErr w:type="gramEnd"/>
      <w:r w:rsidR="00B41A97" w:rsidRPr="00B41A97">
        <w:rPr>
          <w:rFonts w:ascii="Open Sans" w:hAnsi="Open Sans" w:cs="Open Sans"/>
          <w:color w:val="000000"/>
          <w:sz w:val="21"/>
          <w:szCs w:val="21"/>
        </w:rPr>
        <w:t xml:space="preserve"> del país. Además de gestionar el portal</w:t>
      </w:r>
      <w:r w:rsidR="00B41A97">
        <w:rPr>
          <w:rFonts w:ascii="Open Sans" w:hAnsi="Open Sans" w:cs="Open Sans"/>
          <w:color w:val="000000"/>
          <w:sz w:val="21"/>
          <w:szCs w:val="21"/>
        </w:rPr>
        <w:t xml:space="preserve"> </w:t>
      </w:r>
      <w:r w:rsidR="00D31A57">
        <w:rPr>
          <w:rFonts w:ascii="Open Sans" w:hAnsi="Open Sans" w:cs="Open Sans"/>
          <w:color w:val="000000"/>
          <w:sz w:val="21"/>
          <w:szCs w:val="21"/>
        </w:rPr>
        <w:t>inmobiliario F</w:t>
      </w:r>
      <w:r w:rsidR="00B41A97" w:rsidRPr="00B41A97">
        <w:rPr>
          <w:rFonts w:ascii="Open Sans" w:hAnsi="Open Sans" w:cs="Open Sans"/>
          <w:color w:val="000000"/>
          <w:sz w:val="21"/>
          <w:szCs w:val="21"/>
        </w:rPr>
        <w:t xml:space="preserve">otocasa, cuenta con los siguientes portales de referencia: </w:t>
      </w:r>
      <w:hyperlink r:id="rId17" w:history="1">
        <w:proofErr w:type="spellStart"/>
        <w:r w:rsidR="00B41A97" w:rsidRPr="00D31A57">
          <w:rPr>
            <w:rStyle w:val="Hipervnculo"/>
            <w:rFonts w:ascii="Open Sans" w:hAnsi="Open Sans" w:cs="Open Sans"/>
            <w:sz w:val="21"/>
            <w:szCs w:val="21"/>
          </w:rPr>
          <w:t>vibbo</w:t>
        </w:r>
        <w:proofErr w:type="spellEnd"/>
      </w:hyperlink>
      <w:r w:rsidR="00B41A97" w:rsidRPr="00B41A97">
        <w:rPr>
          <w:rFonts w:ascii="Open Sans" w:hAnsi="Open Sans" w:cs="Open Sans"/>
          <w:color w:val="000000"/>
          <w:sz w:val="21"/>
          <w:szCs w:val="21"/>
        </w:rPr>
        <w:t>,</w:t>
      </w:r>
      <w:r w:rsidR="00B41A97">
        <w:rPr>
          <w:rFonts w:ascii="Open Sans" w:hAnsi="Open Sans" w:cs="Open Sans"/>
          <w:color w:val="000000"/>
          <w:sz w:val="21"/>
          <w:szCs w:val="21"/>
        </w:rPr>
        <w:t xml:space="preserve"> </w:t>
      </w:r>
      <w:hyperlink r:id="rId18" w:history="1">
        <w:r w:rsidR="00D31A57" w:rsidRPr="00D31A57">
          <w:rPr>
            <w:rStyle w:val="Hipervnculo"/>
            <w:rFonts w:ascii="Open Sans" w:hAnsi="Open Sans" w:cs="Open Sans"/>
            <w:sz w:val="21"/>
            <w:szCs w:val="21"/>
          </w:rPr>
          <w:t>I</w:t>
        </w:r>
        <w:r w:rsidR="00B41A97" w:rsidRPr="00D31A57">
          <w:rPr>
            <w:rStyle w:val="Hipervnculo"/>
            <w:rFonts w:ascii="Open Sans" w:hAnsi="Open Sans" w:cs="Open Sans"/>
            <w:sz w:val="21"/>
            <w:szCs w:val="21"/>
          </w:rPr>
          <w:t>nfojobs.net</w:t>
        </w:r>
      </w:hyperlink>
      <w:r w:rsidR="00B41A97" w:rsidRPr="00B41A97">
        <w:rPr>
          <w:rFonts w:ascii="Open Sans" w:hAnsi="Open Sans" w:cs="Open Sans"/>
          <w:color w:val="000000"/>
          <w:sz w:val="21"/>
          <w:szCs w:val="21"/>
        </w:rPr>
        <w:t xml:space="preserve">, </w:t>
      </w:r>
      <w:hyperlink r:id="rId19" w:history="1">
        <w:proofErr w:type="spellStart"/>
        <w:r w:rsidR="00B41A97" w:rsidRPr="00D31A57">
          <w:rPr>
            <w:rStyle w:val="Hipervnculo"/>
            <w:rFonts w:ascii="Open Sans" w:hAnsi="Open Sans" w:cs="Open Sans"/>
            <w:sz w:val="21"/>
            <w:szCs w:val="21"/>
          </w:rPr>
          <w:t>habitaclia</w:t>
        </w:r>
        <w:proofErr w:type="spellEnd"/>
      </w:hyperlink>
      <w:r w:rsidR="00B41A97" w:rsidRPr="00B41A97">
        <w:rPr>
          <w:rFonts w:ascii="Open Sans" w:hAnsi="Open Sans" w:cs="Open Sans"/>
          <w:color w:val="000000"/>
          <w:sz w:val="21"/>
          <w:szCs w:val="21"/>
        </w:rPr>
        <w:t xml:space="preserve">, </w:t>
      </w:r>
      <w:hyperlink r:id="rId20" w:history="1">
        <w:r w:rsidR="00B41A97" w:rsidRPr="00D31A57">
          <w:rPr>
            <w:rStyle w:val="Hipervnculo"/>
            <w:rFonts w:ascii="Open Sans" w:hAnsi="Open Sans" w:cs="Open Sans"/>
            <w:sz w:val="21"/>
            <w:szCs w:val="21"/>
          </w:rPr>
          <w:t>coches.net</w:t>
        </w:r>
      </w:hyperlink>
      <w:r w:rsidR="00B41A97" w:rsidRPr="00B41A97">
        <w:rPr>
          <w:rFonts w:ascii="Open Sans" w:hAnsi="Open Sans" w:cs="Open Sans"/>
          <w:color w:val="000000"/>
          <w:sz w:val="21"/>
          <w:szCs w:val="21"/>
        </w:rPr>
        <w:t xml:space="preserve">, </w:t>
      </w:r>
      <w:hyperlink r:id="rId21" w:history="1">
        <w:r w:rsidR="00B41A97" w:rsidRPr="00D31A57">
          <w:rPr>
            <w:rStyle w:val="Hipervnculo"/>
            <w:rFonts w:ascii="Open Sans" w:hAnsi="Open Sans" w:cs="Open Sans"/>
            <w:sz w:val="21"/>
            <w:szCs w:val="21"/>
          </w:rPr>
          <w:t>motos.ne</w:t>
        </w:r>
      </w:hyperlink>
      <w:r w:rsidR="00B41A97" w:rsidRPr="00B41A97">
        <w:rPr>
          <w:rFonts w:ascii="Open Sans" w:hAnsi="Open Sans" w:cs="Open Sans"/>
          <w:color w:val="000000"/>
          <w:sz w:val="21"/>
          <w:szCs w:val="21"/>
        </w:rPr>
        <w:t xml:space="preserve">t y </w:t>
      </w:r>
      <w:hyperlink r:id="rId22" w:history="1">
        <w:proofErr w:type="spellStart"/>
        <w:r w:rsidR="00B41A97" w:rsidRPr="00D31A57">
          <w:rPr>
            <w:rStyle w:val="Hipervnculo"/>
            <w:rFonts w:ascii="Open Sans" w:hAnsi="Open Sans" w:cs="Open Sans"/>
            <w:sz w:val="21"/>
            <w:szCs w:val="21"/>
          </w:rPr>
          <w:t>milanuncios</w:t>
        </w:r>
        <w:proofErr w:type="spellEnd"/>
      </w:hyperlink>
      <w:r w:rsidR="00B41A97" w:rsidRPr="00B41A97">
        <w:rPr>
          <w:rFonts w:ascii="Open Sans" w:hAnsi="Open Sans" w:cs="Open Sans"/>
          <w:color w:val="000000"/>
          <w:sz w:val="21"/>
          <w:szCs w:val="21"/>
        </w:rPr>
        <w:t xml:space="preserve">. </w:t>
      </w:r>
      <w:proofErr w:type="spellStart"/>
      <w:r w:rsidR="00B41A97" w:rsidRPr="00B41A97">
        <w:rPr>
          <w:rFonts w:ascii="Open Sans" w:hAnsi="Open Sans" w:cs="Open Sans"/>
          <w:color w:val="000000"/>
          <w:sz w:val="21"/>
          <w:szCs w:val="21"/>
        </w:rPr>
        <w:t>Schibsted</w:t>
      </w:r>
      <w:proofErr w:type="spellEnd"/>
      <w:r w:rsidR="00B41A97" w:rsidRPr="00B41A97">
        <w:rPr>
          <w:rFonts w:ascii="Open Sans" w:hAnsi="Open Sans" w:cs="Open Sans"/>
          <w:color w:val="000000"/>
          <w:sz w:val="21"/>
          <w:szCs w:val="21"/>
        </w:rPr>
        <w:t xml:space="preserve"> </w:t>
      </w:r>
      <w:proofErr w:type="spellStart"/>
      <w:r w:rsidR="00B41A97" w:rsidRPr="00B41A97">
        <w:rPr>
          <w:rFonts w:ascii="Open Sans" w:hAnsi="Open Sans" w:cs="Open Sans"/>
          <w:color w:val="000000"/>
          <w:sz w:val="21"/>
          <w:szCs w:val="21"/>
        </w:rPr>
        <w:t>Spain</w:t>
      </w:r>
      <w:proofErr w:type="spellEnd"/>
      <w:r w:rsidR="00B41A97" w:rsidRPr="00B41A97">
        <w:rPr>
          <w:rFonts w:ascii="Open Sans" w:hAnsi="Open Sans" w:cs="Open Sans"/>
          <w:color w:val="000000"/>
          <w:sz w:val="21"/>
          <w:szCs w:val="21"/>
        </w:rPr>
        <w:t xml:space="preserve"> forma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parte del grupo internacional </w:t>
      </w:r>
      <w:r w:rsidR="00B41A97" w:rsidRPr="00B41A97">
        <w:rPr>
          <w:rFonts w:ascii="Open Sans" w:hAnsi="Open Sans" w:cs="Open Sans"/>
          <w:color w:val="000000"/>
          <w:sz w:val="21"/>
          <w:szCs w:val="21"/>
        </w:rPr>
        <w:lastRenderedPageBreak/>
        <w:t xml:space="preserve">de origen noruego </w:t>
      </w:r>
      <w:proofErr w:type="spellStart"/>
      <w:r w:rsidR="00B41A97" w:rsidRPr="00B41A97">
        <w:rPr>
          <w:rFonts w:ascii="Open Sans" w:hAnsi="Open Sans" w:cs="Open Sans"/>
          <w:color w:val="000000"/>
          <w:sz w:val="21"/>
          <w:szCs w:val="21"/>
        </w:rPr>
        <w:t>Schibsted</w:t>
      </w:r>
      <w:proofErr w:type="spellEnd"/>
      <w:r w:rsidR="00B41A97" w:rsidRPr="00B41A97">
        <w:rPr>
          <w:rFonts w:ascii="Open Sans" w:hAnsi="Open Sans" w:cs="Open Sans"/>
          <w:color w:val="000000"/>
          <w:sz w:val="21"/>
          <w:szCs w:val="21"/>
        </w:rPr>
        <w:t xml:space="preserve"> Media </w:t>
      </w:r>
      <w:proofErr w:type="spellStart"/>
      <w:r w:rsidR="00B41A97" w:rsidRPr="00B41A97">
        <w:rPr>
          <w:rFonts w:ascii="Open Sans" w:hAnsi="Open Sans" w:cs="Open Sans"/>
          <w:color w:val="000000"/>
          <w:sz w:val="21"/>
          <w:szCs w:val="21"/>
        </w:rPr>
        <w:t>Group</w:t>
      </w:r>
      <w:proofErr w:type="spellEnd"/>
      <w:r w:rsidR="00B41A97" w:rsidRPr="00B41A97">
        <w:rPr>
          <w:rFonts w:ascii="Open Sans" w:hAnsi="Open Sans" w:cs="Open Sans"/>
          <w:color w:val="000000"/>
          <w:sz w:val="21"/>
          <w:szCs w:val="21"/>
        </w:rPr>
        <w:t>, que está</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presente en más de 30 países y cuenta con 6.800 empleados. Más información en la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web de </w:t>
      </w:r>
      <w:proofErr w:type="spellStart"/>
      <w:r w:rsidR="00B41A97" w:rsidRPr="00B41A97">
        <w:rPr>
          <w:rFonts w:ascii="Open Sans" w:hAnsi="Open Sans" w:cs="Open Sans"/>
          <w:color w:val="000000"/>
          <w:sz w:val="21"/>
          <w:szCs w:val="21"/>
        </w:rPr>
        <w:t>Schibsted</w:t>
      </w:r>
      <w:proofErr w:type="spellEnd"/>
      <w:r w:rsidR="00B41A97" w:rsidRPr="00B41A97">
        <w:rPr>
          <w:rFonts w:ascii="Open Sans" w:hAnsi="Open Sans" w:cs="Open Sans"/>
          <w:color w:val="000000"/>
          <w:sz w:val="21"/>
          <w:szCs w:val="21"/>
        </w:rPr>
        <w:t xml:space="preserve"> Media </w:t>
      </w:r>
      <w:proofErr w:type="spellStart"/>
      <w:r w:rsidR="00B41A97" w:rsidRPr="00B41A97">
        <w:rPr>
          <w:rFonts w:ascii="Open Sans" w:hAnsi="Open Sans" w:cs="Open Sans"/>
          <w:color w:val="000000"/>
          <w:sz w:val="21"/>
          <w:szCs w:val="21"/>
        </w:rPr>
        <w:t>Group</w:t>
      </w:r>
      <w:proofErr w:type="spellEnd"/>
      <w:r w:rsidR="00B41A97" w:rsidRPr="00B41A97">
        <w:rPr>
          <w:rFonts w:ascii="Open Sans" w:hAnsi="Open Sans" w:cs="Open Sans"/>
          <w:color w:val="000000"/>
          <w:sz w:val="21"/>
          <w:szCs w:val="21"/>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087022" w:rsidRPr="00B41A97" w:rsidRDefault="00087022"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Tlf</w:t>
      </w:r>
      <w:proofErr w:type="spellEnd"/>
      <w:r w:rsidRPr="00B41A97">
        <w:rPr>
          <w:rFonts w:ascii="Open Sans" w:hAnsi="Open Sans" w:cs="Open Sans"/>
          <w:color w:val="000000"/>
          <w:sz w:val="21"/>
          <w:szCs w:val="21"/>
        </w:rPr>
        <w:t>.: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1C44D9"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B41A97" w:rsidRPr="00B41A97">
          <w:rPr>
            <w:rStyle w:val="Hipervnculo"/>
            <w:rFonts w:ascii="Open Sans" w:hAnsi="Open Sans" w:cs="Open Sans"/>
            <w:sz w:val="21"/>
            <w:szCs w:val="21"/>
          </w:rPr>
          <w:t>comunicacion@fotocasa.es</w:t>
        </w:r>
      </w:hyperlink>
    </w:p>
    <w:p w:rsidR="00B41A97" w:rsidRPr="00B41A97" w:rsidRDefault="001C44D9"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4"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gramStart"/>
      <w:r w:rsidRPr="00B41A97">
        <w:rPr>
          <w:rFonts w:ascii="Open Sans" w:hAnsi="Open Sans" w:cs="Open Sans"/>
          <w:color w:val="000000"/>
          <w:sz w:val="21"/>
          <w:szCs w:val="21"/>
        </w:rPr>
        <w:t>twitter</w:t>
      </w:r>
      <w:proofErr w:type="gram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5E" w:rsidRDefault="0093735E" w:rsidP="00DD4CA4">
      <w:r>
        <w:separator/>
      </w:r>
    </w:p>
  </w:endnote>
  <w:endnote w:type="continuationSeparator" w:id="0">
    <w:p w:rsidR="0093735E" w:rsidRDefault="0093735E"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5E" w:rsidRDefault="0093735E" w:rsidP="00DD4CA4">
      <w:r>
        <w:separator/>
      </w:r>
    </w:p>
  </w:footnote>
  <w:footnote w:type="continuationSeparator" w:id="0">
    <w:p w:rsidR="0093735E" w:rsidRDefault="0093735E" w:rsidP="00DD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7"/>
    <w:rsid w:val="00010ECE"/>
    <w:rsid w:val="000855F9"/>
    <w:rsid w:val="00087022"/>
    <w:rsid w:val="00152FC9"/>
    <w:rsid w:val="001C44D9"/>
    <w:rsid w:val="0020022E"/>
    <w:rsid w:val="00247090"/>
    <w:rsid w:val="002A35C0"/>
    <w:rsid w:val="003439AF"/>
    <w:rsid w:val="00435CE7"/>
    <w:rsid w:val="004577E7"/>
    <w:rsid w:val="00491A38"/>
    <w:rsid w:val="004B0DEC"/>
    <w:rsid w:val="004B357D"/>
    <w:rsid w:val="005029E9"/>
    <w:rsid w:val="00502EB4"/>
    <w:rsid w:val="00503F5B"/>
    <w:rsid w:val="005748D8"/>
    <w:rsid w:val="005A4CB5"/>
    <w:rsid w:val="0064757F"/>
    <w:rsid w:val="006821ED"/>
    <w:rsid w:val="006860F7"/>
    <w:rsid w:val="006C1637"/>
    <w:rsid w:val="007027AA"/>
    <w:rsid w:val="00753088"/>
    <w:rsid w:val="00793775"/>
    <w:rsid w:val="007A2951"/>
    <w:rsid w:val="007A55E0"/>
    <w:rsid w:val="007A6F56"/>
    <w:rsid w:val="007D0107"/>
    <w:rsid w:val="00911C0D"/>
    <w:rsid w:val="0093735E"/>
    <w:rsid w:val="00A84CA7"/>
    <w:rsid w:val="00AC04DB"/>
    <w:rsid w:val="00AD0C78"/>
    <w:rsid w:val="00AD62DD"/>
    <w:rsid w:val="00B10769"/>
    <w:rsid w:val="00B41A97"/>
    <w:rsid w:val="00BC1D19"/>
    <w:rsid w:val="00C07A68"/>
    <w:rsid w:val="00D001C4"/>
    <w:rsid w:val="00D31A57"/>
    <w:rsid w:val="00D33644"/>
    <w:rsid w:val="00D3495E"/>
    <w:rsid w:val="00D91C64"/>
    <w:rsid w:val="00DB7D37"/>
    <w:rsid w:val="00DC7AC3"/>
    <w:rsid w:val="00DD4CA4"/>
    <w:rsid w:val="00ED6CFA"/>
    <w:rsid w:val="00F50838"/>
    <w:rsid w:val="00F535CC"/>
    <w:rsid w:val="00F637D5"/>
    <w:rsid w:val="00F90273"/>
    <w:rsid w:val="00FB1FB5"/>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E8A2305-47AF-47F0-8E90-C844A6A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vibb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file:///\\servidor\Users\Techsales%20Comunicaci&#243;n\CLIENTES\Fotocasa\fotocasa%202018\NP%20&#205;NDICES\Ndp%20&#237;ndices%20AGOSTO\&#205;ndices%20Alquiler\comunicacion@fotocasa.es" TargetMode="External"/><Relationship Id="rId10" Type="http://schemas.openxmlformats.org/officeDocument/2006/relationships/hyperlink" Target="https://www.fotocasa.es"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s://www.milanuncios.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HISTORICO%20ALQUILER\GR&#193;FICA%20INFORMES%20ALQUILER%20-%20IMPORTAN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75051693319445E-2"/>
          <c:y val="5.9093823130830718E-2"/>
          <c:w val="0.89596263050269687"/>
          <c:h val="0.72971616390127925"/>
        </c:manualLayout>
      </c:layout>
      <c:lineChart>
        <c:grouping val="standard"/>
        <c:varyColors val="0"/>
        <c:ser>
          <c:idx val="0"/>
          <c:order val="0"/>
          <c:spPr>
            <a:ln w="34925" cap="rnd">
              <a:solidFill>
                <a:schemeClr val="accent1"/>
              </a:solidFill>
              <a:round/>
            </a:ln>
            <a:effectLst>
              <a:outerShdw blurRad="40000" dist="23000" dir="5400000" rotWithShape="0">
                <a:srgbClr val="000000">
                  <a:alpha val="35000"/>
                </a:srgbClr>
              </a:outerShdw>
            </a:effectLst>
          </c:spPr>
          <c:marker>
            <c:symbol val="none"/>
          </c:marker>
          <c:cat>
            <c:multiLvlStrRef>
              <c:f>'DATOS HISTÓRICOS'!$BS$18:$BT$148</c:f>
              <c:multiLvlStrCache>
                <c:ptCount val="131"/>
                <c:lvl>
                  <c:pt idx="0">
                    <c:v>dic.</c:v>
                  </c:pt>
                  <c:pt idx="1">
                    <c:v>ene.</c:v>
                  </c:pt>
                  <c:pt idx="2">
                    <c:v>feb.</c:v>
                  </c:pt>
                  <c:pt idx="3">
                    <c:v>mar.</c:v>
                  </c:pt>
                  <c:pt idx="4">
                    <c:v>abr.</c:v>
                  </c:pt>
                  <c:pt idx="5">
                    <c:v>may.</c:v>
                  </c:pt>
                  <c:pt idx="6">
                    <c:v>jun.</c:v>
                  </c:pt>
                  <c:pt idx="7">
                    <c:v>jul.</c:v>
                  </c:pt>
                  <c:pt idx="8">
                    <c:v>ago.</c:v>
                  </c:pt>
                  <c:pt idx="9">
                    <c:v>sep.</c:v>
                  </c:pt>
                  <c:pt idx="10">
                    <c:v>oct.</c:v>
                  </c:pt>
                  <c:pt idx="11">
                    <c:v>nov.</c:v>
                  </c:pt>
                  <c:pt idx="12">
                    <c:v>dic.</c:v>
                  </c:pt>
                  <c:pt idx="13">
                    <c:v>ene.</c:v>
                  </c:pt>
                  <c:pt idx="14">
                    <c:v>feb.</c:v>
                  </c:pt>
                  <c:pt idx="15">
                    <c:v>mar.</c:v>
                  </c:pt>
                  <c:pt idx="16">
                    <c:v>abr.</c:v>
                  </c:pt>
                  <c:pt idx="17">
                    <c:v>may.</c:v>
                  </c:pt>
                  <c:pt idx="18">
                    <c:v>jun.</c:v>
                  </c:pt>
                  <c:pt idx="19">
                    <c:v>jul.</c:v>
                  </c:pt>
                  <c:pt idx="20">
                    <c:v>ago.</c:v>
                  </c:pt>
                  <c:pt idx="21">
                    <c:v>sep.</c:v>
                  </c:pt>
                  <c:pt idx="22">
                    <c:v>oct.</c:v>
                  </c:pt>
                  <c:pt idx="23">
                    <c:v>nov.</c:v>
                  </c:pt>
                  <c:pt idx="24">
                    <c:v>dic.</c:v>
                  </c:pt>
                  <c:pt idx="25">
                    <c:v>ene.</c:v>
                  </c:pt>
                  <c:pt idx="26">
                    <c:v>feb.</c:v>
                  </c:pt>
                  <c:pt idx="27">
                    <c:v>mar.</c:v>
                  </c:pt>
                  <c:pt idx="28">
                    <c:v>abr.</c:v>
                  </c:pt>
                  <c:pt idx="29">
                    <c:v>may.</c:v>
                  </c:pt>
                  <c:pt idx="30">
                    <c:v>jun.</c:v>
                  </c:pt>
                  <c:pt idx="31">
                    <c:v>jul.</c:v>
                  </c:pt>
                  <c:pt idx="32">
                    <c:v>ago.</c:v>
                  </c:pt>
                  <c:pt idx="33">
                    <c:v>sep.</c:v>
                  </c:pt>
                  <c:pt idx="34">
                    <c:v>oct.</c:v>
                  </c:pt>
                  <c:pt idx="35">
                    <c:v>nov.</c:v>
                  </c:pt>
                  <c:pt idx="36">
                    <c:v>dic.</c:v>
                  </c:pt>
                  <c:pt idx="37">
                    <c:v>ene.</c:v>
                  </c:pt>
                  <c:pt idx="38">
                    <c:v>feb.</c:v>
                  </c:pt>
                  <c:pt idx="39">
                    <c:v>mar.</c:v>
                  </c:pt>
                  <c:pt idx="40">
                    <c:v>abr.</c:v>
                  </c:pt>
                  <c:pt idx="41">
                    <c:v>may.</c:v>
                  </c:pt>
                  <c:pt idx="42">
                    <c:v>jun.</c:v>
                  </c:pt>
                  <c:pt idx="43">
                    <c:v>jul.</c:v>
                  </c:pt>
                  <c:pt idx="44">
                    <c:v>ago.</c:v>
                  </c:pt>
                  <c:pt idx="45">
                    <c:v>sep.</c:v>
                  </c:pt>
                  <c:pt idx="46">
                    <c:v>oct.</c:v>
                  </c:pt>
                  <c:pt idx="47">
                    <c:v>nov.</c:v>
                  </c:pt>
                  <c:pt idx="48">
                    <c:v>dic.</c:v>
                  </c:pt>
                  <c:pt idx="49">
                    <c:v>ene.</c:v>
                  </c:pt>
                  <c:pt idx="50">
                    <c:v>feb.</c:v>
                  </c:pt>
                  <c:pt idx="51">
                    <c:v>mar.</c:v>
                  </c:pt>
                  <c:pt idx="52">
                    <c:v>abr.</c:v>
                  </c:pt>
                  <c:pt idx="53">
                    <c:v>may.</c:v>
                  </c:pt>
                  <c:pt idx="54">
                    <c:v>jun.</c:v>
                  </c:pt>
                  <c:pt idx="55">
                    <c:v>jul.</c:v>
                  </c:pt>
                  <c:pt idx="56">
                    <c:v>ago.</c:v>
                  </c:pt>
                  <c:pt idx="57">
                    <c:v>sep.</c:v>
                  </c:pt>
                  <c:pt idx="58">
                    <c:v>oct.</c:v>
                  </c:pt>
                  <c:pt idx="59">
                    <c:v>nov.</c:v>
                  </c:pt>
                  <c:pt idx="60">
                    <c:v>dic.</c:v>
                  </c:pt>
                  <c:pt idx="61">
                    <c:v>ene.</c:v>
                  </c:pt>
                  <c:pt idx="62">
                    <c:v>feb.</c:v>
                  </c:pt>
                  <c:pt idx="63">
                    <c:v>mar.</c:v>
                  </c:pt>
                  <c:pt idx="64">
                    <c:v>abr.</c:v>
                  </c:pt>
                  <c:pt idx="65">
                    <c:v>may.</c:v>
                  </c:pt>
                  <c:pt idx="66">
                    <c:v>jun.</c:v>
                  </c:pt>
                  <c:pt idx="67">
                    <c:v>jul.</c:v>
                  </c:pt>
                  <c:pt idx="68">
                    <c:v>ago.</c:v>
                  </c:pt>
                  <c:pt idx="69">
                    <c:v>sep.</c:v>
                  </c:pt>
                  <c:pt idx="70">
                    <c:v>oct.</c:v>
                  </c:pt>
                  <c:pt idx="71">
                    <c:v>nov.</c:v>
                  </c:pt>
                  <c:pt idx="72">
                    <c:v>dic.</c:v>
                  </c:pt>
                  <c:pt idx="73">
                    <c:v>ene.</c:v>
                  </c:pt>
                  <c:pt idx="74">
                    <c:v>feb.</c:v>
                  </c:pt>
                  <c:pt idx="75">
                    <c:v>mar.</c:v>
                  </c:pt>
                  <c:pt idx="76">
                    <c:v>abr.</c:v>
                  </c:pt>
                  <c:pt idx="77">
                    <c:v>may.</c:v>
                  </c:pt>
                  <c:pt idx="78">
                    <c:v>jun.</c:v>
                  </c:pt>
                  <c:pt idx="79">
                    <c:v>jul.</c:v>
                  </c:pt>
                  <c:pt idx="80">
                    <c:v>ago.</c:v>
                  </c:pt>
                  <c:pt idx="81">
                    <c:v>sep.</c:v>
                  </c:pt>
                  <c:pt idx="82">
                    <c:v>oct.</c:v>
                  </c:pt>
                  <c:pt idx="83">
                    <c:v>nov.</c:v>
                  </c:pt>
                  <c:pt idx="84">
                    <c:v>dic.</c:v>
                  </c:pt>
                  <c:pt idx="85">
                    <c:v>ene.</c:v>
                  </c:pt>
                  <c:pt idx="86">
                    <c:v>feb.</c:v>
                  </c:pt>
                  <c:pt idx="87">
                    <c:v>mar.</c:v>
                  </c:pt>
                  <c:pt idx="88">
                    <c:v>abr.</c:v>
                  </c:pt>
                  <c:pt idx="89">
                    <c:v>may.</c:v>
                  </c:pt>
                  <c:pt idx="90">
                    <c:v>jun.</c:v>
                  </c:pt>
                  <c:pt idx="91">
                    <c:v>jul.</c:v>
                  </c:pt>
                  <c:pt idx="92">
                    <c:v>ago.</c:v>
                  </c:pt>
                  <c:pt idx="93">
                    <c:v>sep.</c:v>
                  </c:pt>
                  <c:pt idx="94">
                    <c:v>oct.</c:v>
                  </c:pt>
                  <c:pt idx="95">
                    <c:v>nov.</c:v>
                  </c:pt>
                  <c:pt idx="96">
                    <c:v>dic.</c:v>
                  </c:pt>
                  <c:pt idx="97">
                    <c:v>ene.</c:v>
                  </c:pt>
                  <c:pt idx="98">
                    <c:v>feb.</c:v>
                  </c:pt>
                  <c:pt idx="99">
                    <c:v>mar.</c:v>
                  </c:pt>
                  <c:pt idx="100">
                    <c:v>abr.</c:v>
                  </c:pt>
                  <c:pt idx="101">
                    <c:v>may.</c:v>
                  </c:pt>
                  <c:pt idx="102">
                    <c:v>jun.</c:v>
                  </c:pt>
                  <c:pt idx="103">
                    <c:v>jul.</c:v>
                  </c:pt>
                  <c:pt idx="104">
                    <c:v>ago.</c:v>
                  </c:pt>
                  <c:pt idx="105">
                    <c:v>sep.</c:v>
                  </c:pt>
                  <c:pt idx="106">
                    <c:v>oct.</c:v>
                  </c:pt>
                  <c:pt idx="107">
                    <c:v>nov.</c:v>
                  </c:pt>
                  <c:pt idx="108">
                    <c:v>dic.</c:v>
                  </c:pt>
                  <c:pt idx="109">
                    <c:v>ene.</c:v>
                  </c:pt>
                  <c:pt idx="110">
                    <c:v>feb.</c:v>
                  </c:pt>
                  <c:pt idx="111">
                    <c:v>mar.</c:v>
                  </c:pt>
                  <c:pt idx="112">
                    <c:v>abr.</c:v>
                  </c:pt>
                  <c:pt idx="113">
                    <c:v>may.</c:v>
                  </c:pt>
                  <c:pt idx="114">
                    <c:v>jun.</c:v>
                  </c:pt>
                  <c:pt idx="115">
                    <c:v>jul.</c:v>
                  </c:pt>
                  <c:pt idx="116">
                    <c:v>ago.</c:v>
                  </c:pt>
                  <c:pt idx="117">
                    <c:v>sep.</c:v>
                  </c:pt>
                  <c:pt idx="118">
                    <c:v>oct.</c:v>
                  </c:pt>
                  <c:pt idx="119">
                    <c:v>nov.</c:v>
                  </c:pt>
                  <c:pt idx="120">
                    <c:v>dic.</c:v>
                  </c:pt>
                  <c:pt idx="121">
                    <c:v>ene.</c:v>
                  </c:pt>
                  <c:pt idx="122">
                    <c:v>feb.</c:v>
                  </c:pt>
                  <c:pt idx="123">
                    <c:v>mar.</c:v>
                  </c:pt>
                  <c:pt idx="124">
                    <c:v>abr.</c:v>
                  </c:pt>
                  <c:pt idx="125">
                    <c:v>may.</c:v>
                  </c:pt>
                  <c:pt idx="126">
                    <c:v>jun.</c:v>
                  </c:pt>
                  <c:pt idx="127">
                    <c:v>jul.</c:v>
                  </c:pt>
                  <c:pt idx="128">
                    <c:v>ago.</c:v>
                  </c:pt>
                  <c:pt idx="129">
                    <c:v>sep.</c:v>
                  </c:pt>
                  <c:pt idx="130">
                    <c:v>oct.</c:v>
                  </c:pt>
                </c:lvl>
                <c:lvl>
                  <c:pt idx="0">
                    <c:v>2007</c:v>
                  </c:pt>
                  <c:pt idx="1">
                    <c:v>2008</c:v>
                  </c:pt>
                  <c:pt idx="13">
                    <c:v>2009</c:v>
                  </c:pt>
                  <c:pt idx="25">
                    <c:v>2010</c:v>
                  </c:pt>
                  <c:pt idx="37">
                    <c:v>2011</c:v>
                  </c:pt>
                  <c:pt idx="49">
                    <c:v>2012</c:v>
                  </c:pt>
                  <c:pt idx="61">
                    <c:v>2013</c:v>
                  </c:pt>
                  <c:pt idx="73">
                    <c:v>2014</c:v>
                  </c:pt>
                  <c:pt idx="85">
                    <c:v>2015</c:v>
                  </c:pt>
                  <c:pt idx="97">
                    <c:v>2016</c:v>
                  </c:pt>
                  <c:pt idx="109">
                    <c:v>2017</c:v>
                  </c:pt>
                  <c:pt idx="121">
                    <c:v>2018</c:v>
                  </c:pt>
                </c:lvl>
              </c:multiLvlStrCache>
            </c:multiLvlStrRef>
          </c:cat>
          <c:val>
            <c:numRef>
              <c:f>'DATOS HISTÓRICOS'!$CL$18:$CL$148</c:f>
              <c:numCache>
                <c:formatCode>0.0%</c:formatCode>
                <c:ptCount val="131"/>
                <c:pt idx="0">
                  <c:v>3.3065810593900402E-2</c:v>
                </c:pt>
                <c:pt idx="1">
                  <c:v>3.3184078530988412E-2</c:v>
                </c:pt>
                <c:pt idx="2">
                  <c:v>4.4887915709144653E-2</c:v>
                </c:pt>
                <c:pt idx="3">
                  <c:v>-1.9370237767373517E-2</c:v>
                </c:pt>
                <c:pt idx="4">
                  <c:v>-2.6996386310493708E-2</c:v>
                </c:pt>
                <c:pt idx="5">
                  <c:v>-5.8121955316647114E-2</c:v>
                </c:pt>
                <c:pt idx="6">
                  <c:v>-5.4002818746650284E-2</c:v>
                </c:pt>
                <c:pt idx="7">
                  <c:v>-5.1796528058134783E-2</c:v>
                </c:pt>
                <c:pt idx="8">
                  <c:v>-5.5428146245502546E-2</c:v>
                </c:pt>
                <c:pt idx="9">
                  <c:v>-4.9007792207792229E-2</c:v>
                </c:pt>
                <c:pt idx="10">
                  <c:v>-4.0093818694321423E-2</c:v>
                </c:pt>
                <c:pt idx="11">
                  <c:v>-4.7737024659209495E-2</c:v>
                </c:pt>
                <c:pt idx="12">
                  <c:v>-7.0116014087424891E-2</c:v>
                </c:pt>
                <c:pt idx="13">
                  <c:v>-6.7664003167029529E-2</c:v>
                </c:pt>
                <c:pt idx="14">
                  <c:v>-7.1281109624142927E-2</c:v>
                </c:pt>
                <c:pt idx="15">
                  <c:v>-6.6498158896586015E-2</c:v>
                </c:pt>
                <c:pt idx="16">
                  <c:v>-7.4383088510673878E-2</c:v>
                </c:pt>
                <c:pt idx="17">
                  <c:v>-6.5863049339586074E-2</c:v>
                </c:pt>
                <c:pt idx="18">
                  <c:v>-6.1040991260373656E-2</c:v>
                </c:pt>
                <c:pt idx="19">
                  <c:v>-4.9186784178481664E-2</c:v>
                </c:pt>
                <c:pt idx="20">
                  <c:v>-3.8469424091679028E-2</c:v>
                </c:pt>
                <c:pt idx="21">
                  <c:v>-3.4479368096751978E-2</c:v>
                </c:pt>
                <c:pt idx="22">
                  <c:v>-6.7988823754999164E-2</c:v>
                </c:pt>
                <c:pt idx="23">
                  <c:v>-5.6728480487129952E-2</c:v>
                </c:pt>
                <c:pt idx="24">
                  <c:v>-4.8044468703701666E-2</c:v>
                </c:pt>
                <c:pt idx="25">
                  <c:v>-4.7880304824904622E-2</c:v>
                </c:pt>
                <c:pt idx="26">
                  <c:v>-4.9418020151471065E-2</c:v>
                </c:pt>
                <c:pt idx="27">
                  <c:v>-6.1541032926625508E-2</c:v>
                </c:pt>
                <c:pt idx="28">
                  <c:v>-6.0219839503675245E-2</c:v>
                </c:pt>
                <c:pt idx="29">
                  <c:v>-6.1308835255668694E-2</c:v>
                </c:pt>
                <c:pt idx="30">
                  <c:v>-7.1478853567238529E-2</c:v>
                </c:pt>
                <c:pt idx="31">
                  <c:v>-7.0426634724103696E-2</c:v>
                </c:pt>
                <c:pt idx="32">
                  <c:v>-7.7693982447871207E-2</c:v>
                </c:pt>
                <c:pt idx="33">
                  <c:v>-7.5981307353723257E-2</c:v>
                </c:pt>
                <c:pt idx="34">
                  <c:v>-4.015988713849044E-2</c:v>
                </c:pt>
                <c:pt idx="35">
                  <c:v>-4.9330406920106484E-2</c:v>
                </c:pt>
                <c:pt idx="36">
                  <c:v>-5.7595544009923054E-2</c:v>
                </c:pt>
                <c:pt idx="37">
                  <c:v>-6.0040606039268113E-2</c:v>
                </c:pt>
                <c:pt idx="38">
                  <c:v>-6.1916848809607787E-2</c:v>
                </c:pt>
                <c:pt idx="39">
                  <c:v>-7.3436869226567891E-2</c:v>
                </c:pt>
                <c:pt idx="40">
                  <c:v>-5.5180826636050444E-2</c:v>
                </c:pt>
                <c:pt idx="41">
                  <c:v>-6.0120600129214469E-2</c:v>
                </c:pt>
                <c:pt idx="42">
                  <c:v>-4.8713567113528485E-2</c:v>
                </c:pt>
                <c:pt idx="43">
                  <c:v>-6.069656534515145E-2</c:v>
                </c:pt>
                <c:pt idx="44">
                  <c:v>-7.0866237543044053E-2</c:v>
                </c:pt>
                <c:pt idx="45">
                  <c:v>-6.073816462981553E-2</c:v>
                </c:pt>
                <c:pt idx="46">
                  <c:v>-6.819852040566371E-2</c:v>
                </c:pt>
                <c:pt idx="47">
                  <c:v>-6.4260845946813527E-2</c:v>
                </c:pt>
                <c:pt idx="48">
                  <c:v>-6.0370517532531955E-2</c:v>
                </c:pt>
                <c:pt idx="49">
                  <c:v>-5.2913488070118482E-2</c:v>
                </c:pt>
                <c:pt idx="50">
                  <c:v>-5.2361923611720068E-2</c:v>
                </c:pt>
                <c:pt idx="51">
                  <c:v>-3.242051847200688E-2</c:v>
                </c:pt>
                <c:pt idx="52">
                  <c:v>-4.7226652489810381E-2</c:v>
                </c:pt>
                <c:pt idx="53">
                  <c:v>-4.5419249716766141E-2</c:v>
                </c:pt>
                <c:pt idx="54">
                  <c:v>-5.2258064516129035E-2</c:v>
                </c:pt>
                <c:pt idx="55">
                  <c:v>-3.1334940253346294E-2</c:v>
                </c:pt>
                <c:pt idx="56">
                  <c:v>-2.1464398433714536E-2</c:v>
                </c:pt>
                <c:pt idx="57">
                  <c:v>-3.4001720945998876E-2</c:v>
                </c:pt>
                <c:pt idx="58">
                  <c:v>-2.9365371470634605E-2</c:v>
                </c:pt>
                <c:pt idx="59">
                  <c:v>-3.4013695196126237E-2</c:v>
                </c:pt>
                <c:pt idx="60">
                  <c:v>-3.7529402436768215E-2</c:v>
                </c:pt>
                <c:pt idx="61">
                  <c:v>-4.4888273680047407E-2</c:v>
                </c:pt>
                <c:pt idx="62">
                  <c:v>-4.2485690491612542E-2</c:v>
                </c:pt>
                <c:pt idx="63">
                  <c:v>-4.6975777080270738E-2</c:v>
                </c:pt>
                <c:pt idx="64">
                  <c:v>-4.7853755098244986E-2</c:v>
                </c:pt>
                <c:pt idx="65">
                  <c:v>-4.9527263998719748E-2</c:v>
                </c:pt>
                <c:pt idx="66">
                  <c:v>-4.9253193448924926E-2</c:v>
                </c:pt>
                <c:pt idx="67">
                  <c:v>-6.0302837780601498E-2</c:v>
                </c:pt>
                <c:pt idx="68">
                  <c:v>-5.6076017130620937E-2</c:v>
                </c:pt>
                <c:pt idx="69">
                  <c:v>-5.6347342564849995E-2</c:v>
                </c:pt>
                <c:pt idx="70">
                  <c:v>-5.6959453969285812E-2</c:v>
                </c:pt>
                <c:pt idx="71">
                  <c:v>-5.3499965853991686E-2</c:v>
                </c:pt>
                <c:pt idx="72">
                  <c:v>-5.2448032512288294E-2</c:v>
                </c:pt>
                <c:pt idx="73">
                  <c:v>-5.2298136645962702E-2</c:v>
                </c:pt>
                <c:pt idx="74">
                  <c:v>-4.7408020984330772E-2</c:v>
                </c:pt>
                <c:pt idx="75">
                  <c:v>-4.3690939410783773E-2</c:v>
                </c:pt>
                <c:pt idx="76">
                  <c:v>-3.5943015808787629E-2</c:v>
                </c:pt>
                <c:pt idx="77">
                  <c:v>-3.2101017186952026E-2</c:v>
                </c:pt>
                <c:pt idx="78">
                  <c:v>-1.9346052871723522E-2</c:v>
                </c:pt>
                <c:pt idx="79">
                  <c:v>-4.6044847597047626E-2</c:v>
                </c:pt>
                <c:pt idx="80">
                  <c:v>-4.0450871969374781E-2</c:v>
                </c:pt>
                <c:pt idx="81">
                  <c:v>-3.4682990317367324E-2</c:v>
                </c:pt>
                <c:pt idx="82">
                  <c:v>-2.8275604572347554E-2</c:v>
                </c:pt>
                <c:pt idx="83">
                  <c:v>-2.4474010793962303E-2</c:v>
                </c:pt>
                <c:pt idx="84">
                  <c:v>-1.9213492914481128E-2</c:v>
                </c:pt>
                <c:pt idx="85">
                  <c:v>-1.4549744396382337E-2</c:v>
                </c:pt>
                <c:pt idx="86">
                  <c:v>-6.7680178548137574E-3</c:v>
                </c:pt>
                <c:pt idx="87">
                  <c:v>1.1436293885143054E-2</c:v>
                </c:pt>
                <c:pt idx="88">
                  <c:v>9.7694411879640335E-3</c:v>
                </c:pt>
                <c:pt idx="89">
                  <c:v>1.6118978938060823E-2</c:v>
                </c:pt>
                <c:pt idx="90">
                  <c:v>1.1767905971281767E-2</c:v>
                </c:pt>
                <c:pt idx="91">
                  <c:v>4.8223012978575751E-2</c:v>
                </c:pt>
                <c:pt idx="92">
                  <c:v>4.4845368441272598E-2</c:v>
                </c:pt>
                <c:pt idx="93">
                  <c:v>3.9722049367351242E-2</c:v>
                </c:pt>
                <c:pt idx="94">
                  <c:v>3.1344673178949782E-2</c:v>
                </c:pt>
                <c:pt idx="95">
                  <c:v>3.7720777491790168E-2</c:v>
                </c:pt>
                <c:pt idx="96">
                  <c:v>3.6357995508805141E-2</c:v>
                </c:pt>
                <c:pt idx="97">
                  <c:v>4.2401939049983767E-2</c:v>
                </c:pt>
                <c:pt idx="98">
                  <c:v>4.0140660110310228E-2</c:v>
                </c:pt>
                <c:pt idx="99">
                  <c:v>3.9552892835078894E-2</c:v>
                </c:pt>
                <c:pt idx="100">
                  <c:v>4.5378970301570953E-2</c:v>
                </c:pt>
                <c:pt idx="101">
                  <c:v>5.0485741594031346E-2</c:v>
                </c:pt>
                <c:pt idx="102">
                  <c:v>4.8490937132992767E-2</c:v>
                </c:pt>
                <c:pt idx="103">
                  <c:v>3.6721930331159398E-2</c:v>
                </c:pt>
                <c:pt idx="104">
                  <c:v>3.7688086887656937E-2</c:v>
                </c:pt>
                <c:pt idx="105">
                  <c:v>3.4983968649804034E-2</c:v>
                </c:pt>
                <c:pt idx="106">
                  <c:v>4.5609560382873948E-2</c:v>
                </c:pt>
                <c:pt idx="107">
                  <c:v>5.3605029079712652E-2</c:v>
                </c:pt>
                <c:pt idx="108">
                  <c:v>6.707151919485671E-2</c:v>
                </c:pt>
                <c:pt idx="109">
                  <c:v>7.8873119621159532E-2</c:v>
                </c:pt>
                <c:pt idx="110">
                  <c:v>9.0215332818966182E-2</c:v>
                </c:pt>
                <c:pt idx="111">
                  <c:v>9.5389463209685429E-2</c:v>
                </c:pt>
                <c:pt idx="112">
                  <c:v>0.10172210491677398</c:v>
                </c:pt>
                <c:pt idx="113">
                  <c:v>0.10498655585431439</c:v>
                </c:pt>
                <c:pt idx="114">
                  <c:v>9.4237516869095775E-2</c:v>
                </c:pt>
                <c:pt idx="115">
                  <c:v>9.7635869565217318E-2</c:v>
                </c:pt>
                <c:pt idx="116">
                  <c:v>9.9513471523774474E-2</c:v>
                </c:pt>
                <c:pt idx="117">
                  <c:v>9.7012253889577321E-2</c:v>
                </c:pt>
                <c:pt idx="118">
                  <c:v>9.6750764002137765E-2</c:v>
                </c:pt>
                <c:pt idx="119">
                  <c:v>0.100355149670218</c:v>
                </c:pt>
                <c:pt idx="120">
                  <c:v>8.8772811072220625E-2</c:v>
                </c:pt>
                <c:pt idx="121">
                  <c:v>0.10874707598496593</c:v>
                </c:pt>
                <c:pt idx="122">
                  <c:v>1.0602707293221448E-2</c:v>
                </c:pt>
                <c:pt idx="123">
                  <c:v>3.5453834313255404E-2</c:v>
                </c:pt>
                <c:pt idx="124">
                  <c:v>6.1852077707117335E-2</c:v>
                </c:pt>
                <c:pt idx="125">
                  <c:v>3.7372955302387892E-2</c:v>
                </c:pt>
                <c:pt idx="126">
                  <c:v>4.2425662592651903E-2</c:v>
                </c:pt>
                <c:pt idx="127">
                  <c:v>3.629341717624348E-2</c:v>
                </c:pt>
                <c:pt idx="128">
                  <c:v>-2.2112321669827326E-2</c:v>
                </c:pt>
                <c:pt idx="129">
                  <c:v>1.6680054219589367E-2</c:v>
                </c:pt>
                <c:pt idx="130">
                  <c:v>2.6627181966987885E-2</c:v>
                </c:pt>
              </c:numCache>
            </c:numRef>
          </c:val>
          <c:smooth val="0"/>
        </c:ser>
        <c:dLbls>
          <c:showLegendKey val="0"/>
          <c:showVal val="0"/>
          <c:showCatName val="0"/>
          <c:showSerName val="0"/>
          <c:showPercent val="0"/>
          <c:showBubbleSize val="0"/>
        </c:dLbls>
        <c:smooth val="0"/>
        <c:axId val="1138778080"/>
        <c:axId val="1138779168"/>
      </c:lineChart>
      <c:catAx>
        <c:axId val="1138778080"/>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crossAx val="1138779168"/>
        <c:crosses val="autoZero"/>
        <c:auto val="1"/>
        <c:lblAlgn val="ctr"/>
        <c:lblOffset val="100"/>
        <c:noMultiLvlLbl val="0"/>
      </c:catAx>
      <c:valAx>
        <c:axId val="113877916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crossAx val="1138778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9547-2E98-4A91-9D48-835DD097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20</cp:revision>
  <dcterms:created xsi:type="dcterms:W3CDTF">2018-09-14T11:00:00Z</dcterms:created>
  <dcterms:modified xsi:type="dcterms:W3CDTF">2018-11-18T21:35:00Z</dcterms:modified>
</cp:coreProperties>
</file>