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A7" w:rsidRDefault="00A84CA7" w:rsidP="00753088">
      <w:pPr>
        <w:ind w:right="-574"/>
      </w:pPr>
      <w:bookmarkStart w:id="0" w:name="_Hlk1467840"/>
      <w:bookmarkEnd w:id="0"/>
      <w:r>
        <w:rPr>
          <w:rFonts w:ascii="National" w:hAnsi="National"/>
          <w:noProof/>
          <w:color w:val="303AB2"/>
          <w:sz w:val="36"/>
          <w:szCs w:val="36"/>
          <w:lang w:val="es-ES" w:eastAsia="es-ES" w:bidi="ks-Deva"/>
        </w:rPr>
        <w:drawing>
          <wp:anchor distT="0" distB="0" distL="114300" distR="114300" simplePos="0" relativeHeight="251656192" behindDoc="0" locked="0" layoutInCell="1" allowOverlap="1">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rsidR="008B29C8" w:rsidRDefault="00D77A13" w:rsidP="00753088">
      <w:pPr>
        <w:ind w:right="-574"/>
        <w:jc w:val="right"/>
        <w:rPr>
          <w:rFonts w:ascii="National" w:hAnsi="National"/>
          <w:color w:val="303AB2"/>
          <w:sz w:val="36"/>
          <w:szCs w:val="36"/>
        </w:rPr>
      </w:pPr>
    </w:p>
    <w:p w:rsidR="00A84CA7" w:rsidRDefault="00A84CA7" w:rsidP="00753088">
      <w:pPr>
        <w:ind w:right="-574"/>
        <w:jc w:val="right"/>
        <w:rPr>
          <w:rFonts w:ascii="National" w:hAnsi="National"/>
          <w:color w:val="303AB2"/>
          <w:sz w:val="36"/>
          <w:szCs w:val="36"/>
        </w:rPr>
      </w:pPr>
    </w:p>
    <w:p w:rsidR="00A84CA7" w:rsidRDefault="00A84CA7" w:rsidP="00753088">
      <w:pPr>
        <w:ind w:right="-574"/>
        <w:rPr>
          <w:rFonts w:ascii="National" w:hAnsi="National"/>
          <w:color w:val="303AB2"/>
          <w:sz w:val="36"/>
          <w:szCs w:val="36"/>
        </w:rPr>
      </w:pPr>
    </w:p>
    <w:p w:rsidR="00753088" w:rsidRPr="000A4242" w:rsidRDefault="004F4D46" w:rsidP="00753088">
      <w:pPr>
        <w:spacing w:line="276" w:lineRule="auto"/>
        <w:ind w:right="-574"/>
        <w:jc w:val="center"/>
        <w:rPr>
          <w:rFonts w:ascii="National" w:hAnsi="National"/>
          <w:b/>
          <w:bCs/>
          <w:iCs/>
          <w:color w:val="1DBDC5"/>
          <w:sz w:val="38"/>
          <w:szCs w:val="40"/>
          <w:lang w:val="es-ES"/>
        </w:rPr>
      </w:pPr>
      <w:r>
        <w:rPr>
          <w:rFonts w:ascii="National" w:hAnsi="National"/>
          <w:b/>
          <w:bCs/>
          <w:iCs/>
          <w:color w:val="1DBDC5"/>
          <w:sz w:val="38"/>
          <w:szCs w:val="40"/>
          <w:lang w:val="es-ES"/>
        </w:rPr>
        <w:t>ANÁLISIS RENTABILIDAD VIVIENDA</w:t>
      </w:r>
    </w:p>
    <w:p w:rsidR="00516F9C" w:rsidRPr="004F4D46" w:rsidRDefault="004F4D46" w:rsidP="00A2313F">
      <w:pPr>
        <w:ind w:right="-574"/>
        <w:jc w:val="both"/>
        <w:rPr>
          <w:rFonts w:ascii="National" w:hAnsi="National"/>
          <w:b/>
          <w:bCs/>
          <w:iCs/>
          <w:color w:val="303AB2"/>
          <w:sz w:val="46"/>
          <w:szCs w:val="56"/>
          <w:lang w:val="es-ES"/>
        </w:rPr>
      </w:pPr>
      <w:r w:rsidRPr="004F4D46">
        <w:rPr>
          <w:rFonts w:ascii="National" w:hAnsi="National"/>
          <w:b/>
          <w:bCs/>
          <w:iCs/>
          <w:color w:val="303AB2"/>
          <w:sz w:val="46"/>
          <w:szCs w:val="56"/>
          <w:lang w:val="es-ES"/>
        </w:rPr>
        <w:t>La rentabilidad de la vivienda en España se sitúa en 5,4% en enero, un -7% menos que hace un año</w:t>
      </w:r>
    </w:p>
    <w:p w:rsidR="00B85F69" w:rsidRPr="005029E9" w:rsidRDefault="00B85F69" w:rsidP="008D2DD9">
      <w:pPr>
        <w:ind w:right="-574"/>
        <w:rPr>
          <w:rFonts w:ascii="National" w:hAnsi="National"/>
          <w:b/>
          <w:bCs/>
          <w:iCs/>
          <w:color w:val="303AB2"/>
          <w:sz w:val="36"/>
          <w:szCs w:val="36"/>
          <w:lang w:val="es-ES"/>
        </w:rPr>
      </w:pPr>
    </w:p>
    <w:p w:rsidR="004F4D46" w:rsidRPr="004F4D46" w:rsidRDefault="004F4D46" w:rsidP="004F4D46">
      <w:pPr>
        <w:pStyle w:val="Prrafodelista"/>
        <w:numPr>
          <w:ilvl w:val="0"/>
          <w:numId w:val="7"/>
        </w:numPr>
        <w:spacing w:line="276" w:lineRule="auto"/>
        <w:ind w:right="-574"/>
        <w:rPr>
          <w:rFonts w:ascii="Open Sans" w:eastAsia="Times New Roman" w:hAnsi="Open Sans" w:cs="Open Sans"/>
          <w:color w:val="000000"/>
          <w:sz w:val="22"/>
          <w:szCs w:val="22"/>
          <w:lang w:val="es-ES" w:eastAsia="es-ES_tradnl"/>
        </w:rPr>
      </w:pPr>
      <w:r w:rsidRPr="004F4D46">
        <w:rPr>
          <w:rFonts w:ascii="Open Sans" w:eastAsia="Times New Roman" w:hAnsi="Open Sans" w:cs="Open Sans"/>
          <w:color w:val="000000"/>
          <w:sz w:val="22"/>
          <w:szCs w:val="22"/>
          <w:lang w:val="es-ES" w:eastAsia="es-ES_tradnl"/>
        </w:rPr>
        <w:t xml:space="preserve">Baja la rentabilidad </w:t>
      </w:r>
      <w:r>
        <w:rPr>
          <w:rFonts w:ascii="Open Sans" w:eastAsia="Times New Roman" w:hAnsi="Open Sans" w:cs="Open Sans"/>
          <w:color w:val="000000"/>
          <w:sz w:val="22"/>
          <w:szCs w:val="22"/>
          <w:lang w:val="es-ES" w:eastAsia="es-ES_tradnl"/>
        </w:rPr>
        <w:t>de la vivienda en</w:t>
      </w:r>
      <w:r w:rsidRPr="004F4D46">
        <w:rPr>
          <w:rFonts w:ascii="Open Sans" w:eastAsia="Times New Roman" w:hAnsi="Open Sans" w:cs="Open Sans"/>
          <w:color w:val="000000"/>
          <w:sz w:val="22"/>
          <w:szCs w:val="22"/>
          <w:lang w:val="es-ES" w:eastAsia="es-ES_tradnl"/>
        </w:rPr>
        <w:t xml:space="preserve"> España </w:t>
      </w:r>
      <w:r>
        <w:rPr>
          <w:rFonts w:ascii="Open Sans" w:eastAsia="Times New Roman" w:hAnsi="Open Sans" w:cs="Open Sans"/>
          <w:color w:val="000000"/>
          <w:sz w:val="22"/>
          <w:szCs w:val="22"/>
          <w:lang w:val="es-ES" w:eastAsia="es-ES_tradnl"/>
        </w:rPr>
        <w:t xml:space="preserve">un -7% en un año: </w:t>
      </w:r>
      <w:r w:rsidRPr="004F4D46">
        <w:rPr>
          <w:rFonts w:ascii="Open Sans" w:eastAsia="Times New Roman" w:hAnsi="Open Sans" w:cs="Open Sans"/>
          <w:color w:val="000000"/>
          <w:sz w:val="22"/>
          <w:szCs w:val="22"/>
          <w:lang w:val="es-ES" w:eastAsia="es-ES_tradnl"/>
        </w:rPr>
        <w:t>del 5,8% registrado en 2018 al 5,4% de 2019</w:t>
      </w:r>
      <w:r>
        <w:rPr>
          <w:rFonts w:ascii="Open Sans" w:eastAsia="Times New Roman" w:hAnsi="Open Sans" w:cs="Open Sans"/>
          <w:color w:val="000000"/>
          <w:sz w:val="22"/>
          <w:szCs w:val="22"/>
          <w:lang w:val="es-ES" w:eastAsia="es-ES_tradnl"/>
        </w:rPr>
        <w:t xml:space="preserve"> </w:t>
      </w:r>
    </w:p>
    <w:p w:rsidR="004F4D46" w:rsidRPr="004F4D46" w:rsidRDefault="004F4D46" w:rsidP="004F4D46">
      <w:pPr>
        <w:pStyle w:val="Prrafodelista"/>
        <w:numPr>
          <w:ilvl w:val="0"/>
          <w:numId w:val="7"/>
        </w:numPr>
        <w:spacing w:line="276" w:lineRule="auto"/>
        <w:ind w:right="-574"/>
        <w:rPr>
          <w:rFonts w:ascii="Open Sans" w:eastAsia="Times New Roman" w:hAnsi="Open Sans" w:cs="Open Sans"/>
          <w:color w:val="000000"/>
          <w:sz w:val="22"/>
          <w:szCs w:val="22"/>
          <w:lang w:val="es-ES" w:eastAsia="es-ES_tradnl"/>
        </w:rPr>
      </w:pPr>
      <w:r w:rsidRPr="004F4D46">
        <w:rPr>
          <w:rFonts w:ascii="Open Sans" w:eastAsia="Times New Roman" w:hAnsi="Open Sans" w:cs="Open Sans"/>
          <w:color w:val="000000"/>
          <w:sz w:val="22"/>
          <w:szCs w:val="22"/>
          <w:lang w:val="es-ES" w:eastAsia="es-ES_tradnl"/>
        </w:rPr>
        <w:t xml:space="preserve">Cataluña (5,8%) es la comunidad que ofrece mayor rentabilidad y Galicia la que menos (4,2%) </w:t>
      </w:r>
    </w:p>
    <w:p w:rsidR="004F4D46" w:rsidRPr="004F4D46" w:rsidRDefault="004F4D46" w:rsidP="004F4D46">
      <w:pPr>
        <w:pStyle w:val="Prrafodelista"/>
        <w:numPr>
          <w:ilvl w:val="0"/>
          <w:numId w:val="7"/>
        </w:numPr>
        <w:spacing w:line="276" w:lineRule="auto"/>
        <w:ind w:right="-574"/>
        <w:rPr>
          <w:rFonts w:ascii="Open Sans" w:eastAsia="Times New Roman" w:hAnsi="Open Sans" w:cs="Open Sans"/>
          <w:color w:val="000000"/>
          <w:sz w:val="22"/>
          <w:szCs w:val="22"/>
          <w:lang w:val="es-ES" w:eastAsia="es-ES_tradnl"/>
        </w:rPr>
      </w:pPr>
      <w:r w:rsidRPr="004F4D46">
        <w:rPr>
          <w:rFonts w:ascii="Open Sans" w:eastAsia="Times New Roman" w:hAnsi="Open Sans" w:cs="Open Sans"/>
          <w:color w:val="000000"/>
          <w:sz w:val="22"/>
          <w:szCs w:val="22"/>
          <w:lang w:val="es-ES" w:eastAsia="es-ES_tradnl"/>
        </w:rPr>
        <w:t xml:space="preserve">Hospitalet de Llobregat (6,3%) sigue siendo, por </w:t>
      </w:r>
      <w:r>
        <w:rPr>
          <w:rFonts w:ascii="Open Sans" w:eastAsia="Times New Roman" w:hAnsi="Open Sans" w:cs="Open Sans"/>
          <w:color w:val="000000"/>
          <w:sz w:val="22"/>
          <w:szCs w:val="22"/>
          <w:lang w:val="es-ES" w:eastAsia="es-ES_tradnl"/>
        </w:rPr>
        <w:t>noveno año</w:t>
      </w:r>
      <w:r w:rsidRPr="004F4D46">
        <w:rPr>
          <w:rFonts w:ascii="Open Sans" w:eastAsia="Times New Roman" w:hAnsi="Open Sans" w:cs="Open Sans"/>
          <w:color w:val="000000"/>
          <w:sz w:val="22"/>
          <w:szCs w:val="22"/>
          <w:lang w:val="es-ES" w:eastAsia="es-ES_tradnl"/>
        </w:rPr>
        <w:t xml:space="preserve"> consecutivos, la ciudad con mayor rentabilidad de España</w:t>
      </w:r>
    </w:p>
    <w:p w:rsidR="004F4D46" w:rsidRPr="004F4D46" w:rsidRDefault="004F4D46" w:rsidP="004F4D46">
      <w:pPr>
        <w:pStyle w:val="Prrafodelista"/>
        <w:numPr>
          <w:ilvl w:val="0"/>
          <w:numId w:val="7"/>
        </w:numPr>
        <w:spacing w:line="276" w:lineRule="auto"/>
        <w:ind w:right="-574"/>
        <w:rPr>
          <w:rFonts w:ascii="Open Sans" w:eastAsia="Times New Roman" w:hAnsi="Open Sans" w:cs="Open Sans"/>
          <w:color w:val="000000"/>
          <w:sz w:val="22"/>
          <w:szCs w:val="22"/>
          <w:lang w:val="es-ES" w:eastAsia="es-ES_tradnl"/>
        </w:rPr>
      </w:pPr>
      <w:r>
        <w:rPr>
          <w:rFonts w:ascii="Open Sans" w:eastAsia="Times New Roman" w:hAnsi="Open Sans" w:cs="Open Sans"/>
          <w:color w:val="000000"/>
          <w:sz w:val="22"/>
          <w:szCs w:val="22"/>
          <w:lang w:val="es-ES" w:eastAsia="es-ES_tradnl"/>
        </w:rPr>
        <w:t>E</w:t>
      </w:r>
      <w:r w:rsidRPr="004F4D46">
        <w:rPr>
          <w:rFonts w:ascii="Open Sans" w:eastAsia="Times New Roman" w:hAnsi="Open Sans" w:cs="Open Sans"/>
          <w:color w:val="000000"/>
          <w:sz w:val="22"/>
          <w:szCs w:val="22"/>
          <w:lang w:val="es-ES" w:eastAsia="es-ES_tradnl"/>
        </w:rPr>
        <w:t xml:space="preserve">l distrito más rentable </w:t>
      </w:r>
      <w:r>
        <w:rPr>
          <w:rFonts w:ascii="Open Sans" w:eastAsia="Times New Roman" w:hAnsi="Open Sans" w:cs="Open Sans"/>
          <w:color w:val="000000"/>
          <w:sz w:val="22"/>
          <w:szCs w:val="22"/>
          <w:lang w:val="es-ES" w:eastAsia="es-ES_tradnl"/>
        </w:rPr>
        <w:t>de España</w:t>
      </w:r>
      <w:r w:rsidRPr="004F4D46">
        <w:rPr>
          <w:rFonts w:ascii="Open Sans" w:eastAsia="Times New Roman" w:hAnsi="Open Sans" w:cs="Open Sans"/>
          <w:color w:val="000000"/>
          <w:sz w:val="22"/>
          <w:szCs w:val="22"/>
          <w:lang w:val="es-ES" w:eastAsia="es-ES_tradnl"/>
        </w:rPr>
        <w:t xml:space="preserve"> es Villaverde (7%) aunque lo fue, durante seis años seguidos, Puente de Vallecas </w:t>
      </w:r>
    </w:p>
    <w:p w:rsidR="000A4242" w:rsidRDefault="000A4242" w:rsidP="00753088">
      <w:pPr>
        <w:spacing w:line="276" w:lineRule="auto"/>
        <w:ind w:right="-574"/>
        <w:rPr>
          <w:rFonts w:ascii="Open Sans Light" w:hAnsi="Open Sans Light" w:cs="Open Sans Light"/>
          <w:b/>
          <w:iCs/>
          <w:color w:val="303AB2"/>
          <w:szCs w:val="20"/>
          <w:lang w:val="es-ES"/>
        </w:rPr>
      </w:pPr>
    </w:p>
    <w:p w:rsidR="002A35C0" w:rsidRPr="002A35C0" w:rsidRDefault="00753088" w:rsidP="00753088">
      <w:pPr>
        <w:spacing w:line="276" w:lineRule="auto"/>
        <w:ind w:right="-574"/>
        <w:rPr>
          <w:rFonts w:ascii="Open Sans Light" w:hAnsi="Open Sans Light" w:cs="Open Sans Light"/>
          <w:b/>
          <w:iCs/>
          <w:color w:val="303AB2"/>
          <w:szCs w:val="20"/>
          <w:lang w:val="es-ES"/>
        </w:rPr>
      </w:pPr>
      <w:r>
        <w:rPr>
          <w:rFonts w:ascii="Open Sans Light" w:hAnsi="Open Sans Light" w:cs="Open Sans Light"/>
          <w:b/>
          <w:iCs/>
          <w:color w:val="303AB2"/>
          <w:szCs w:val="20"/>
          <w:lang w:val="es-ES"/>
        </w:rPr>
        <w:t xml:space="preserve">Madrid, </w:t>
      </w:r>
      <w:r w:rsidR="004F4D46">
        <w:rPr>
          <w:rFonts w:ascii="Open Sans Light" w:hAnsi="Open Sans Light" w:cs="Open Sans Light"/>
          <w:b/>
          <w:iCs/>
          <w:color w:val="303AB2"/>
          <w:szCs w:val="20"/>
          <w:lang w:val="es-ES"/>
        </w:rPr>
        <w:t>2</w:t>
      </w:r>
      <w:r w:rsidR="00CE6775">
        <w:rPr>
          <w:rFonts w:ascii="Open Sans Light" w:hAnsi="Open Sans Light" w:cs="Open Sans Light"/>
          <w:b/>
          <w:iCs/>
          <w:color w:val="303AB2"/>
          <w:szCs w:val="20"/>
          <w:lang w:val="es-ES"/>
        </w:rPr>
        <w:t>6</w:t>
      </w:r>
      <w:r w:rsidR="001761D6">
        <w:rPr>
          <w:rFonts w:ascii="Open Sans Light" w:hAnsi="Open Sans Light" w:cs="Open Sans Light"/>
          <w:b/>
          <w:iCs/>
          <w:color w:val="303AB2"/>
          <w:szCs w:val="20"/>
          <w:lang w:val="es-ES"/>
        </w:rPr>
        <w:t xml:space="preserve"> de febrero</w:t>
      </w:r>
      <w:r w:rsidR="00FD6A4B">
        <w:rPr>
          <w:rFonts w:ascii="Open Sans Light" w:hAnsi="Open Sans Light" w:cs="Open Sans Light"/>
          <w:b/>
          <w:iCs/>
          <w:color w:val="303AB2"/>
          <w:szCs w:val="20"/>
          <w:lang w:val="es-ES"/>
        </w:rPr>
        <w:t xml:space="preserve"> de 2019</w:t>
      </w:r>
    </w:p>
    <w:p w:rsidR="004F4D46" w:rsidRDefault="004F4D46" w:rsidP="00E84EE3">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La rentabilidad de la vivienda en España se sitúa en un 5,4%</w:t>
      </w:r>
      <w:r>
        <w:rPr>
          <w:rFonts w:ascii="Open Sans" w:hAnsi="Open Sans" w:cs="Open Sans"/>
          <w:color w:val="000000"/>
          <w:sz w:val="22"/>
          <w:szCs w:val="22"/>
        </w:rPr>
        <w:t xml:space="preserve">, </w:t>
      </w:r>
      <w:r w:rsidRPr="004F4D46">
        <w:rPr>
          <w:rFonts w:ascii="Open Sans" w:hAnsi="Open Sans" w:cs="Open Sans"/>
          <w:color w:val="000000"/>
          <w:sz w:val="22"/>
          <w:szCs w:val="22"/>
        </w:rPr>
        <w:t xml:space="preserve">según un análisis realizado por el portal inmobiliario </w:t>
      </w:r>
      <w:hyperlink r:id="rId9" w:history="1">
        <w:r w:rsidRPr="000A4242">
          <w:rPr>
            <w:rStyle w:val="Hipervnculo"/>
            <w:rFonts w:ascii="Open Sans" w:hAnsi="Open Sans" w:cs="Open Sans"/>
            <w:sz w:val="22"/>
            <w:szCs w:val="22"/>
          </w:rPr>
          <w:t>Fotocasa</w:t>
        </w:r>
      </w:hyperlink>
      <w:r w:rsidRPr="004F4D46">
        <w:rPr>
          <w:rFonts w:ascii="Open Sans" w:hAnsi="Open Sans" w:cs="Open Sans"/>
          <w:color w:val="000000"/>
          <w:sz w:val="22"/>
          <w:szCs w:val="22"/>
        </w:rPr>
        <w:t xml:space="preserve"> a partir de los precios de la vivienda en venta y alquiler del mes de enero. </w:t>
      </w:r>
      <w:r w:rsidR="00410D15">
        <w:rPr>
          <w:rFonts w:ascii="Open Sans" w:hAnsi="Open Sans" w:cs="Open Sans"/>
          <w:color w:val="000000"/>
          <w:sz w:val="22"/>
          <w:szCs w:val="22"/>
        </w:rPr>
        <w:t>Aunque los datos muestran que adquirir una propiedad para ponerla en alquiler era algo más rentable en 2018, de media, la rentabilidad anual que se puede obtener en España por un inmueble es del 5,4%, mientras que en 2018 la rentabilidad era del 5,8%, en</w:t>
      </w:r>
      <w:r w:rsidRPr="004F4D46">
        <w:rPr>
          <w:rFonts w:ascii="Open Sans" w:hAnsi="Open Sans" w:cs="Open Sans"/>
          <w:color w:val="000000"/>
          <w:sz w:val="22"/>
          <w:szCs w:val="22"/>
        </w:rPr>
        <w:t xml:space="preserve"> 2017 del 5,5% y en 2016 era de 5,2%.</w:t>
      </w:r>
      <w:r>
        <w:rPr>
          <w:rFonts w:ascii="Open Sans" w:hAnsi="Open Sans" w:cs="Open Sans"/>
          <w:color w:val="000000"/>
          <w:sz w:val="22"/>
          <w:szCs w:val="22"/>
        </w:rPr>
        <w:t xml:space="preserve"> En un año, la rentabilidad ha </w:t>
      </w:r>
      <w:r w:rsidR="00410D15">
        <w:rPr>
          <w:rFonts w:ascii="Open Sans" w:hAnsi="Open Sans" w:cs="Open Sans"/>
          <w:color w:val="000000"/>
          <w:sz w:val="22"/>
          <w:szCs w:val="22"/>
        </w:rPr>
        <w:t xml:space="preserve">descendido </w:t>
      </w:r>
      <w:r>
        <w:rPr>
          <w:rFonts w:ascii="Open Sans" w:hAnsi="Open Sans" w:cs="Open Sans"/>
          <w:color w:val="000000"/>
          <w:sz w:val="22"/>
          <w:szCs w:val="22"/>
        </w:rPr>
        <w:t>un -7%.</w:t>
      </w:r>
    </w:p>
    <w:p w:rsidR="004F4D46" w:rsidRPr="004F4D46" w:rsidRDefault="004F4D46" w:rsidP="004F4D46">
      <w:pPr>
        <w:pStyle w:val="NormalWeb"/>
        <w:shd w:val="clear" w:color="auto" w:fill="FFFFFF"/>
        <w:spacing w:after="225" w:line="276" w:lineRule="auto"/>
        <w:ind w:right="-574"/>
        <w:jc w:val="center"/>
        <w:rPr>
          <w:rFonts w:ascii="Open Sans Light" w:hAnsi="Open Sans Light" w:cs="Open Sans Light"/>
          <w:b/>
          <w:iCs/>
          <w:color w:val="303AB2"/>
          <w:sz w:val="30"/>
          <w:szCs w:val="20"/>
        </w:rPr>
      </w:pPr>
      <w:r w:rsidRPr="004F4D46">
        <w:rPr>
          <w:rFonts w:ascii="Open Sans Light" w:hAnsi="Open Sans Light" w:cs="Open Sans Light"/>
          <w:b/>
          <w:iCs/>
          <w:color w:val="303AB2"/>
          <w:sz w:val="30"/>
          <w:szCs w:val="20"/>
        </w:rPr>
        <w:t>Rentabilidad de la vivienda en España</w:t>
      </w:r>
    </w:p>
    <w:p w:rsidR="004F4D46" w:rsidRDefault="004F4D46" w:rsidP="00E84EE3">
      <w:pPr>
        <w:pStyle w:val="NormalWeb"/>
        <w:shd w:val="clear" w:color="auto" w:fill="FFFFFF"/>
        <w:spacing w:after="225" w:line="276" w:lineRule="auto"/>
        <w:ind w:right="-574"/>
        <w:jc w:val="both"/>
        <w:rPr>
          <w:rFonts w:ascii="Open Sans" w:hAnsi="Open Sans" w:cs="Open Sans"/>
          <w:color w:val="000000"/>
          <w:sz w:val="22"/>
          <w:szCs w:val="22"/>
        </w:rPr>
      </w:pPr>
      <w:r>
        <w:rPr>
          <w:noProof/>
        </w:rPr>
        <w:drawing>
          <wp:inline distT="0" distB="0" distL="0" distR="0" wp14:anchorId="441CCF39" wp14:editId="2046874A">
            <wp:extent cx="5705475" cy="1866900"/>
            <wp:effectExtent l="0" t="0" r="0" b="0"/>
            <wp:docPr id="13" name="Gráfico 13">
              <a:extLst xmlns:a="http://schemas.openxmlformats.org/drawingml/2006/main">
                <a:ext uri="{FF2B5EF4-FFF2-40B4-BE49-F238E27FC236}">
                  <a16:creationId xmlns:a16="http://schemas.microsoft.com/office/drawing/2014/main" id="{25F385A6-8803-408B-9CFC-1EC6589BB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0D15" w:rsidRPr="00410D15" w:rsidRDefault="00410D15" w:rsidP="00410D15">
      <w:pPr>
        <w:pStyle w:val="NormalWeb"/>
        <w:shd w:val="clear" w:color="auto" w:fill="FFFFFF"/>
        <w:spacing w:after="225" w:line="276" w:lineRule="auto"/>
        <w:ind w:right="-574"/>
        <w:jc w:val="both"/>
        <w:rPr>
          <w:rFonts w:ascii="Open Sans" w:hAnsi="Open Sans" w:cs="Open Sans"/>
          <w:color w:val="000000"/>
          <w:sz w:val="22"/>
          <w:szCs w:val="22"/>
        </w:rPr>
      </w:pPr>
      <w:r w:rsidRPr="00410D15">
        <w:rPr>
          <w:rFonts w:ascii="Open Sans" w:hAnsi="Open Sans" w:cs="Open Sans"/>
          <w:color w:val="000000"/>
          <w:sz w:val="22"/>
          <w:szCs w:val="22"/>
        </w:rPr>
        <w:lastRenderedPageBreak/>
        <w:t xml:space="preserve">“Este ligero descenso de la rentabilidad destaca por ser el primero que registramos en un mes de enero en los últimos diez años y se explica por el menor crecimiento del precio de los alquileres al que estamos asistiendo desde finales de 2018. Tras tres años continuados de fuertes subidas del precio medio del alquiler, cerramos 2018 con un crecimiento medio interanual del 1,8% que contrasta con la subida del 9% de 2017 y en enero de 2019 el precio cayó un -0,7%”, explica Beatriz Toribio, directora de Estudios de </w:t>
      </w:r>
      <w:hyperlink r:id="rId11" w:history="1">
        <w:r w:rsidRPr="000A4242">
          <w:rPr>
            <w:rStyle w:val="Hipervnculo"/>
            <w:rFonts w:ascii="Open Sans" w:hAnsi="Open Sans" w:cs="Open Sans"/>
            <w:sz w:val="22"/>
            <w:szCs w:val="22"/>
          </w:rPr>
          <w:t>Fotocasa</w:t>
        </w:r>
      </w:hyperlink>
      <w:r w:rsidRPr="00410D15">
        <w:rPr>
          <w:rFonts w:ascii="Open Sans" w:hAnsi="Open Sans" w:cs="Open Sans"/>
          <w:color w:val="000000"/>
          <w:sz w:val="22"/>
          <w:szCs w:val="22"/>
        </w:rPr>
        <w:t>.</w:t>
      </w:r>
    </w:p>
    <w:p w:rsidR="004F4D46" w:rsidRPr="002F1AD6" w:rsidRDefault="00AE1825" w:rsidP="00E84EE3">
      <w:pPr>
        <w:pStyle w:val="NormalWeb"/>
        <w:shd w:val="clear" w:color="auto" w:fill="FFFFFF"/>
        <w:spacing w:after="225" w:line="276" w:lineRule="auto"/>
        <w:ind w:right="-574"/>
        <w:jc w:val="both"/>
        <w:rPr>
          <w:rFonts w:ascii="Open Sans Light" w:hAnsi="Open Sans Light" w:cs="Open Sans Light"/>
          <w:b/>
          <w:iCs/>
          <w:color w:val="303AB2"/>
          <w:sz w:val="28"/>
          <w:szCs w:val="20"/>
        </w:rPr>
      </w:pPr>
      <w:r w:rsidRPr="002F1AD6">
        <w:rPr>
          <w:rFonts w:ascii="Open Sans Light" w:hAnsi="Open Sans Light" w:cs="Open Sans Light"/>
          <w:b/>
          <w:iCs/>
          <w:color w:val="303AB2"/>
          <w:sz w:val="28"/>
          <w:szCs w:val="20"/>
        </w:rPr>
        <w:t xml:space="preserve">Cataluña es la comunidad autónoma más rentable </w:t>
      </w:r>
    </w:p>
    <w:p w:rsidR="004F4D46" w:rsidRDefault="004F4D46" w:rsidP="004F4D46">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Por comunidades, Cataluña, Comunitat Valenciana, Murcia y Madrid son las más rentables para comprar una vivienda y ponerla en alquiler. Así, Cataluña ofrece una rentabilidad del 5,8% (frente al 6,7% que ofrecía en 2018 y el 6,5% de 2017)</w:t>
      </w:r>
      <w:r w:rsidR="003D2610">
        <w:rPr>
          <w:rFonts w:ascii="Open Sans" w:hAnsi="Open Sans" w:cs="Open Sans"/>
          <w:color w:val="000000"/>
          <w:sz w:val="22"/>
          <w:szCs w:val="22"/>
        </w:rPr>
        <w:t xml:space="preserve">. En un año, la rentabilidad en Cataluña ha caído un -13%. La segunda comunidad más rentable es la </w:t>
      </w:r>
      <w:r w:rsidRPr="004F4D46">
        <w:rPr>
          <w:rFonts w:ascii="Open Sans" w:hAnsi="Open Sans" w:cs="Open Sans"/>
          <w:color w:val="000000"/>
          <w:sz w:val="22"/>
          <w:szCs w:val="22"/>
        </w:rPr>
        <w:t>Comunitat Valenciana</w:t>
      </w:r>
      <w:r w:rsidR="003D2610">
        <w:rPr>
          <w:rFonts w:ascii="Open Sans" w:hAnsi="Open Sans" w:cs="Open Sans"/>
          <w:color w:val="000000"/>
          <w:sz w:val="22"/>
          <w:szCs w:val="22"/>
        </w:rPr>
        <w:t xml:space="preserve">, con una rentabilidad media del </w:t>
      </w:r>
      <w:r w:rsidRPr="004F4D46">
        <w:rPr>
          <w:rFonts w:ascii="Open Sans" w:hAnsi="Open Sans" w:cs="Open Sans"/>
          <w:color w:val="000000"/>
          <w:sz w:val="22"/>
          <w:szCs w:val="22"/>
        </w:rPr>
        <w:t xml:space="preserve">5,7% </w:t>
      </w:r>
      <w:r w:rsidR="003D2610">
        <w:rPr>
          <w:rFonts w:ascii="Open Sans" w:hAnsi="Open Sans" w:cs="Open Sans"/>
          <w:color w:val="000000"/>
          <w:sz w:val="22"/>
          <w:szCs w:val="22"/>
        </w:rPr>
        <w:t>(</w:t>
      </w:r>
      <w:r w:rsidRPr="004F4D46">
        <w:rPr>
          <w:rFonts w:ascii="Open Sans" w:hAnsi="Open Sans" w:cs="Open Sans"/>
          <w:color w:val="000000"/>
          <w:sz w:val="22"/>
          <w:szCs w:val="22"/>
        </w:rPr>
        <w:t>frente al 5,9% de 2018 y el 5,4% de 2017), Murcia</w:t>
      </w:r>
      <w:r w:rsidR="00DC6B59">
        <w:rPr>
          <w:rFonts w:ascii="Open Sans" w:hAnsi="Open Sans" w:cs="Open Sans"/>
          <w:color w:val="000000"/>
          <w:sz w:val="22"/>
          <w:szCs w:val="22"/>
        </w:rPr>
        <w:t xml:space="preserve">, que cuenta con una rentabilidad en 2019 del </w:t>
      </w:r>
      <w:r w:rsidRPr="004F4D46">
        <w:rPr>
          <w:rFonts w:ascii="Open Sans" w:hAnsi="Open Sans" w:cs="Open Sans"/>
          <w:color w:val="000000"/>
          <w:sz w:val="22"/>
          <w:szCs w:val="22"/>
        </w:rPr>
        <w:t xml:space="preserve">5,6% </w:t>
      </w:r>
      <w:r w:rsidR="00DC6B59">
        <w:rPr>
          <w:rFonts w:ascii="Open Sans" w:hAnsi="Open Sans" w:cs="Open Sans"/>
          <w:color w:val="000000"/>
          <w:sz w:val="22"/>
          <w:szCs w:val="22"/>
        </w:rPr>
        <w:t>(</w:t>
      </w:r>
      <w:r w:rsidRPr="004F4D46">
        <w:rPr>
          <w:rFonts w:ascii="Open Sans" w:hAnsi="Open Sans" w:cs="Open Sans"/>
          <w:color w:val="000000"/>
          <w:sz w:val="22"/>
          <w:szCs w:val="22"/>
        </w:rPr>
        <w:t>frente al 5,7% de 2018 y 2017) y Madrid</w:t>
      </w:r>
      <w:r w:rsidR="00DC6B59">
        <w:rPr>
          <w:rFonts w:ascii="Open Sans" w:hAnsi="Open Sans" w:cs="Open Sans"/>
          <w:color w:val="000000"/>
          <w:sz w:val="22"/>
          <w:szCs w:val="22"/>
        </w:rPr>
        <w:t xml:space="preserve">, que tiene en 2019 una rentabilidad del </w:t>
      </w:r>
      <w:r w:rsidRPr="004F4D46">
        <w:rPr>
          <w:rFonts w:ascii="Open Sans" w:hAnsi="Open Sans" w:cs="Open Sans"/>
          <w:color w:val="000000"/>
          <w:sz w:val="22"/>
          <w:szCs w:val="22"/>
        </w:rPr>
        <w:t xml:space="preserve">5,5% </w:t>
      </w:r>
      <w:r w:rsidR="00DC6B59">
        <w:rPr>
          <w:rFonts w:ascii="Open Sans" w:hAnsi="Open Sans" w:cs="Open Sans"/>
          <w:color w:val="000000"/>
          <w:sz w:val="22"/>
          <w:szCs w:val="22"/>
        </w:rPr>
        <w:t>(</w:t>
      </w:r>
      <w:r w:rsidRPr="004F4D46">
        <w:rPr>
          <w:rFonts w:ascii="Open Sans" w:hAnsi="Open Sans" w:cs="Open Sans"/>
          <w:color w:val="000000"/>
          <w:sz w:val="22"/>
          <w:szCs w:val="22"/>
        </w:rPr>
        <w:t xml:space="preserve">frente al 5,9% de 2018 y 5,8% de 2017). </w:t>
      </w:r>
    </w:p>
    <w:p w:rsidR="00410D15" w:rsidRPr="00410D15" w:rsidRDefault="00410D15" w:rsidP="00410D15">
      <w:pPr>
        <w:pStyle w:val="NormalWeb"/>
        <w:shd w:val="clear" w:color="auto" w:fill="FFFFFF"/>
        <w:spacing w:after="225" w:line="276" w:lineRule="auto"/>
        <w:ind w:right="-574"/>
        <w:jc w:val="both"/>
        <w:rPr>
          <w:rFonts w:ascii="Open Sans" w:hAnsi="Open Sans" w:cs="Open Sans"/>
          <w:color w:val="000000"/>
          <w:sz w:val="22"/>
          <w:szCs w:val="22"/>
        </w:rPr>
      </w:pPr>
      <w:r w:rsidRPr="00410D15">
        <w:rPr>
          <w:rFonts w:ascii="Open Sans" w:hAnsi="Open Sans" w:cs="Open Sans"/>
          <w:color w:val="000000"/>
          <w:sz w:val="22"/>
          <w:szCs w:val="22"/>
        </w:rPr>
        <w:t>“La rentabilidad que ofrece la compra de vivienda para ponerla en alquiler explica el protagonismo que han tenido los inversores en la recuperación del sector inmobiliario, que han apostado por este mercado en un contexto de bajos tipos de interés como el actual”, añade</w:t>
      </w:r>
      <w:r>
        <w:rPr>
          <w:rFonts w:ascii="Open Sans" w:hAnsi="Open Sans" w:cs="Open Sans"/>
          <w:color w:val="000000"/>
          <w:sz w:val="22"/>
          <w:szCs w:val="22"/>
        </w:rPr>
        <w:t xml:space="preserve"> Toribio. </w:t>
      </w:r>
    </w:p>
    <w:p w:rsidR="004F4D46" w:rsidRPr="004F4D46" w:rsidRDefault="004F4D46" w:rsidP="004F4D46">
      <w:pPr>
        <w:pStyle w:val="NormalWeb"/>
        <w:shd w:val="clear" w:color="auto" w:fill="FFFFFF"/>
        <w:spacing w:after="225" w:line="276" w:lineRule="auto"/>
        <w:ind w:right="-574"/>
        <w:jc w:val="center"/>
        <w:rPr>
          <w:rFonts w:ascii="Open Sans Light" w:hAnsi="Open Sans Light" w:cs="Open Sans Light"/>
          <w:b/>
          <w:iCs/>
          <w:color w:val="303AB2"/>
          <w:sz w:val="30"/>
          <w:szCs w:val="20"/>
        </w:rPr>
      </w:pPr>
      <w:r w:rsidRPr="004F4D46">
        <w:rPr>
          <w:rFonts w:ascii="Open Sans Light" w:hAnsi="Open Sans Light" w:cs="Open Sans Light"/>
          <w:b/>
          <w:iCs/>
          <w:color w:val="303AB2"/>
          <w:sz w:val="30"/>
          <w:szCs w:val="20"/>
        </w:rPr>
        <w:t>Rentabilidad por comunidades autónomas (enero 2019)</w:t>
      </w:r>
    </w:p>
    <w:p w:rsidR="004F4D46" w:rsidRPr="004F4D46" w:rsidRDefault="00AE1825" w:rsidP="004F4D46">
      <w:pPr>
        <w:pStyle w:val="NormalWeb"/>
        <w:shd w:val="clear" w:color="auto" w:fill="FFFFFF"/>
        <w:spacing w:after="225" w:line="276" w:lineRule="auto"/>
        <w:ind w:right="-574"/>
        <w:jc w:val="both"/>
        <w:rPr>
          <w:rFonts w:ascii="Open Sans" w:hAnsi="Open Sans" w:cs="Open Sans"/>
          <w:color w:val="000000"/>
          <w:sz w:val="22"/>
          <w:szCs w:val="22"/>
        </w:rPr>
      </w:pPr>
      <w:r>
        <w:rPr>
          <w:noProof/>
        </w:rPr>
        <w:drawing>
          <wp:inline distT="0" distB="0" distL="0" distR="0" wp14:anchorId="468D1241" wp14:editId="2617FF96">
            <wp:extent cx="5705475" cy="241917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5483" cy="2427655"/>
                    </a:xfrm>
                    <a:prstGeom prst="rect">
                      <a:avLst/>
                    </a:prstGeom>
                  </pic:spPr>
                </pic:pic>
              </a:graphicData>
            </a:graphic>
          </wp:inline>
        </w:drawing>
      </w:r>
    </w:p>
    <w:p w:rsidR="005B37BD" w:rsidRDefault="004F4D46" w:rsidP="004F4D46">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 xml:space="preserve">Es llamativo que, en tan solo un año, Comunitat Valenciana ha pasado de ser la cuarta comunidad más rentable </w:t>
      </w:r>
      <w:r w:rsidR="005B37BD">
        <w:rPr>
          <w:rFonts w:ascii="Open Sans" w:hAnsi="Open Sans" w:cs="Open Sans"/>
          <w:color w:val="000000"/>
          <w:sz w:val="22"/>
          <w:szCs w:val="22"/>
        </w:rPr>
        <w:t>hasta situarse en la segunda posición, desplazando a Canarias hasta la quinta posición, que hasta 2018 ocupaba el segundo lugar.</w:t>
      </w:r>
    </w:p>
    <w:p w:rsidR="004F4D46" w:rsidRDefault="004F4D46" w:rsidP="004F4D46">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Las Comunidades con menor rentabilidad son Galicia y La Rioja (4,2%), Navarra (4,4%), y Castilla y León (4,5%).</w:t>
      </w:r>
    </w:p>
    <w:p w:rsidR="0014415E" w:rsidRDefault="005B37BD" w:rsidP="00A56319">
      <w:pPr>
        <w:pStyle w:val="NormalWeb"/>
        <w:shd w:val="clear" w:color="auto" w:fill="FFFFFF"/>
        <w:spacing w:after="225" w:line="276" w:lineRule="auto"/>
        <w:ind w:right="-574"/>
        <w:rPr>
          <w:rFonts w:ascii="Open Sans Light" w:hAnsi="Open Sans Light"/>
          <w:color w:val="404040" w:themeColor="text1" w:themeTint="BF"/>
        </w:rPr>
      </w:pPr>
      <w:bookmarkStart w:id="1" w:name="_Hlk1469128"/>
      <w:r>
        <w:rPr>
          <w:rFonts w:ascii="Open Sans Light" w:hAnsi="Open Sans Light" w:cs="Open Sans Light"/>
          <w:b/>
          <w:iCs/>
          <w:color w:val="303AB2"/>
          <w:sz w:val="28"/>
          <w:szCs w:val="20"/>
        </w:rPr>
        <w:lastRenderedPageBreak/>
        <w:t>C</w:t>
      </w:r>
      <w:r w:rsidR="0014415E" w:rsidRPr="00A95883">
        <w:rPr>
          <w:rFonts w:ascii="Open Sans Light" w:hAnsi="Open Sans Light" w:cs="Open Sans Light"/>
          <w:b/>
          <w:iCs/>
          <w:color w:val="303AB2"/>
          <w:sz w:val="28"/>
          <w:szCs w:val="20"/>
        </w:rPr>
        <w:t>omunidades más rentables (comparativa 2019 vs 2018 vs 2017 vs 2016)</w:t>
      </w:r>
    </w:p>
    <w:tbl>
      <w:tblPr>
        <w:tblStyle w:val="Tablaconcuadrcula5oscura-nfasis1"/>
        <w:tblW w:w="8789" w:type="dxa"/>
        <w:tblLayout w:type="fixed"/>
        <w:tblLook w:val="04A0" w:firstRow="1" w:lastRow="0" w:firstColumn="1" w:lastColumn="0" w:noHBand="0" w:noVBand="1"/>
      </w:tblPr>
      <w:tblGrid>
        <w:gridCol w:w="2552"/>
        <w:gridCol w:w="1559"/>
        <w:gridCol w:w="1559"/>
        <w:gridCol w:w="1560"/>
        <w:gridCol w:w="1559"/>
      </w:tblGrid>
      <w:tr w:rsidR="0014415E" w:rsidRPr="003A0469" w:rsidTr="0014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Comunidades Autónomas</w:t>
            </w:r>
          </w:p>
        </w:tc>
        <w:tc>
          <w:tcPr>
            <w:tcW w:w="1559" w:type="dxa"/>
          </w:tcPr>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b w:val="0"/>
                <w:i w:val="0"/>
                <w:iCs w:val="0"/>
                <w:sz w:val="22"/>
              </w:rPr>
            </w:pPr>
            <w:r w:rsidRPr="003A0469">
              <w:rPr>
                <w:rStyle w:val="nfasis"/>
                <w:rFonts w:ascii="Open Sans Light" w:hAnsi="Open Sans Light" w:cs="Open Sans Light"/>
                <w:i w:val="0"/>
                <w:iCs w:val="0"/>
                <w:sz w:val="22"/>
              </w:rPr>
              <w:t>Rentabilidad 2016</w:t>
            </w:r>
          </w:p>
        </w:tc>
        <w:tc>
          <w:tcPr>
            <w:tcW w:w="1559" w:type="dxa"/>
            <w:vAlign w:val="center"/>
          </w:tcPr>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rPr>
            </w:pPr>
            <w:r w:rsidRPr="003A0469">
              <w:rPr>
                <w:rStyle w:val="nfasis"/>
                <w:rFonts w:ascii="Open Sans Light" w:hAnsi="Open Sans Light" w:cs="Open Sans Light"/>
                <w:i w:val="0"/>
                <w:iCs w:val="0"/>
                <w:sz w:val="22"/>
              </w:rPr>
              <w:t>Rentabilidad</w:t>
            </w:r>
          </w:p>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rPr>
            </w:pPr>
            <w:r w:rsidRPr="003A0469">
              <w:rPr>
                <w:rStyle w:val="nfasis"/>
                <w:rFonts w:ascii="Open Sans Light" w:hAnsi="Open Sans Light" w:cs="Open Sans Light"/>
                <w:i w:val="0"/>
                <w:iCs w:val="0"/>
                <w:sz w:val="22"/>
              </w:rPr>
              <w:t>2017</w:t>
            </w:r>
          </w:p>
        </w:tc>
        <w:tc>
          <w:tcPr>
            <w:tcW w:w="1560" w:type="dxa"/>
            <w:vAlign w:val="center"/>
          </w:tcPr>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rPr>
            </w:pPr>
            <w:r w:rsidRPr="003A0469">
              <w:rPr>
                <w:rStyle w:val="nfasis"/>
                <w:rFonts w:ascii="Open Sans Light" w:hAnsi="Open Sans Light" w:cs="Open Sans Light"/>
                <w:i w:val="0"/>
                <w:iCs w:val="0"/>
                <w:sz w:val="22"/>
              </w:rPr>
              <w:t>Rentabilidad</w:t>
            </w:r>
          </w:p>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rPr>
            </w:pPr>
            <w:r w:rsidRPr="003A0469">
              <w:rPr>
                <w:rStyle w:val="nfasis"/>
                <w:rFonts w:ascii="Open Sans Light" w:hAnsi="Open Sans Light" w:cs="Open Sans Light"/>
                <w:i w:val="0"/>
                <w:iCs w:val="0"/>
                <w:sz w:val="22"/>
              </w:rPr>
              <w:t>2018</w:t>
            </w:r>
          </w:p>
        </w:tc>
        <w:tc>
          <w:tcPr>
            <w:tcW w:w="1559" w:type="dxa"/>
            <w:vAlign w:val="center"/>
          </w:tcPr>
          <w:p w:rsidR="0014415E" w:rsidRPr="003A0469"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rPr>
            </w:pPr>
            <w:r w:rsidRPr="003A0469">
              <w:rPr>
                <w:rStyle w:val="nfasis"/>
                <w:rFonts w:ascii="Open Sans Light" w:hAnsi="Open Sans Light" w:cs="Open Sans Light"/>
                <w:i w:val="0"/>
                <w:iCs w:val="0"/>
                <w:sz w:val="22"/>
              </w:rPr>
              <w:t>Rentabilidad</w:t>
            </w:r>
          </w:p>
          <w:p w:rsidR="0014415E" w:rsidRPr="003A0469" w:rsidRDefault="0014415E" w:rsidP="0014415E">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szCs w:val="24"/>
                <w:lang w:val="es-ES"/>
              </w:rPr>
            </w:pPr>
            <w:r w:rsidRPr="003A0469">
              <w:rPr>
                <w:rStyle w:val="nfasis"/>
                <w:rFonts w:ascii="Open Sans Light" w:hAnsi="Open Sans Light" w:cs="Open Sans Light"/>
                <w:i w:val="0"/>
                <w:iCs w:val="0"/>
                <w:szCs w:val="24"/>
                <w:lang w:val="es-ES"/>
              </w:rPr>
              <w:t>2019</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Cataluña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5,8%</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6,5%</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6,7%</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5,8%</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Comunitat Valenciana</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5,1%</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5,4%</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5,9%</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5,7%</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Región de Murcia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5,2%</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5,7%</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5,7%</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5,6%</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Madrid</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5,4%</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5,8%</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5,9%</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5,5%</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Canarias</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5,6%</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5,8%</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6,0%</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5,3%</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Castilla-La Mancha</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5,3%</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5,4%</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5,5%</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5,3%</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Cantabria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4,6%</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4,8%</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5,4%</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5,2%</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Asturias</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4,7%</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4,8%</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5,0%</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5,1%</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Andalucía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5,1%</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5,2%</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5,2%</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5,0%</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Aragón</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5,2%</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5,5%</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5,3%</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5,0%</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Extremadura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4,9%</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5,0%</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5,1%</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4,6%</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Baleares</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5,3%</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5,8%</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5,3%</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4,6%</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País Vasco</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4,4%</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4,7%</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4,8%</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4,5%</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Castilla y León</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4,6%</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4,9%</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5,0%</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4,5%</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Navarra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5,1%</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5,3%</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5,5%</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4,4%</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La Rioja</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4,6%</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4,9%</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5,2%</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4,2%</w:t>
            </w:r>
          </w:p>
        </w:tc>
      </w:tr>
      <w:tr w:rsidR="0014415E" w:rsidRPr="003A0469" w:rsidTr="0014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Galicia</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4,1%</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4,1%</w:t>
            </w:r>
          </w:p>
        </w:tc>
        <w:tc>
          <w:tcPr>
            <w:tcW w:w="1560"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rPr>
            </w:pPr>
            <w:r w:rsidRPr="003A0469">
              <w:rPr>
                <w:rFonts w:ascii="Open Sans Light" w:hAnsi="Open Sans Light" w:cs="Open Sans Light"/>
                <w:color w:val="000000"/>
                <w:sz w:val="22"/>
              </w:rPr>
              <w:t>4,3%</w:t>
            </w:r>
          </w:p>
        </w:tc>
        <w:tc>
          <w:tcPr>
            <w:tcW w:w="1559" w:type="dxa"/>
            <w:vAlign w:val="bottom"/>
          </w:tcPr>
          <w:p w:rsidR="0014415E" w:rsidRPr="003A0469"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rPr>
            </w:pPr>
            <w:r w:rsidRPr="003A0469">
              <w:rPr>
                <w:rFonts w:ascii="Open Sans Light" w:hAnsi="Open Sans Light" w:cs="Open Sans Light"/>
                <w:b/>
                <w:color w:val="000000"/>
                <w:sz w:val="22"/>
              </w:rPr>
              <w:t>4,2%</w:t>
            </w:r>
          </w:p>
        </w:tc>
      </w:tr>
      <w:tr w:rsidR="0014415E" w:rsidRPr="003A0469" w:rsidTr="0014415E">
        <w:tc>
          <w:tcPr>
            <w:cnfStyle w:val="001000000000" w:firstRow="0" w:lastRow="0" w:firstColumn="1" w:lastColumn="0" w:oddVBand="0" w:evenVBand="0" w:oddHBand="0" w:evenHBand="0" w:firstRowFirstColumn="0" w:firstRowLastColumn="0" w:lastRowFirstColumn="0" w:lastRowLastColumn="0"/>
            <w:tcW w:w="2552" w:type="dxa"/>
            <w:vAlign w:val="bottom"/>
          </w:tcPr>
          <w:p w:rsidR="0014415E" w:rsidRPr="003A0469" w:rsidRDefault="0014415E" w:rsidP="0014415E">
            <w:pPr>
              <w:rPr>
                <w:rFonts w:ascii="Open Sans Light" w:hAnsi="Open Sans Light" w:cs="Open Sans Light"/>
                <w:sz w:val="22"/>
              </w:rPr>
            </w:pPr>
            <w:r w:rsidRPr="003A0469">
              <w:rPr>
                <w:rFonts w:ascii="Open Sans Light" w:hAnsi="Open Sans Light" w:cs="Open Sans Light"/>
                <w:sz w:val="22"/>
              </w:rPr>
              <w:t>ESPAÑA</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bCs/>
                <w:color w:val="000000"/>
                <w:sz w:val="22"/>
              </w:rPr>
            </w:pPr>
            <w:r w:rsidRPr="003A0469">
              <w:rPr>
                <w:rFonts w:ascii="Open Sans Light" w:hAnsi="Open Sans Light" w:cs="Open Sans Light"/>
                <w:b/>
                <w:bCs/>
                <w:color w:val="000000"/>
                <w:sz w:val="22"/>
              </w:rPr>
              <w:t>5,2%</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bCs/>
                <w:color w:val="000000"/>
                <w:sz w:val="22"/>
              </w:rPr>
            </w:pPr>
            <w:r w:rsidRPr="003A0469">
              <w:rPr>
                <w:rFonts w:ascii="Open Sans Light" w:hAnsi="Open Sans Light" w:cs="Open Sans Light"/>
                <w:b/>
                <w:bCs/>
                <w:color w:val="000000"/>
                <w:sz w:val="22"/>
              </w:rPr>
              <w:t>5,5%</w:t>
            </w:r>
          </w:p>
        </w:tc>
        <w:tc>
          <w:tcPr>
            <w:tcW w:w="1560"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bCs/>
                <w:color w:val="000000"/>
                <w:sz w:val="22"/>
              </w:rPr>
            </w:pPr>
            <w:r w:rsidRPr="003A0469">
              <w:rPr>
                <w:rFonts w:ascii="Open Sans Light" w:hAnsi="Open Sans Light" w:cs="Open Sans Light"/>
                <w:b/>
                <w:bCs/>
                <w:color w:val="000000"/>
                <w:sz w:val="22"/>
              </w:rPr>
              <w:t>5,8%</w:t>
            </w:r>
          </w:p>
        </w:tc>
        <w:tc>
          <w:tcPr>
            <w:tcW w:w="1559" w:type="dxa"/>
            <w:vAlign w:val="bottom"/>
          </w:tcPr>
          <w:p w:rsidR="0014415E" w:rsidRPr="003A0469"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bCs/>
                <w:color w:val="000000"/>
                <w:sz w:val="22"/>
              </w:rPr>
            </w:pPr>
            <w:r w:rsidRPr="003A0469">
              <w:rPr>
                <w:rFonts w:ascii="Open Sans Light" w:hAnsi="Open Sans Light" w:cs="Open Sans Light"/>
                <w:b/>
                <w:bCs/>
                <w:color w:val="000000"/>
                <w:sz w:val="22"/>
              </w:rPr>
              <w:t>5,4%</w:t>
            </w:r>
          </w:p>
        </w:tc>
      </w:tr>
      <w:bookmarkEnd w:id="1"/>
    </w:tbl>
    <w:p w:rsidR="0014415E" w:rsidRDefault="0014415E" w:rsidP="0014415E">
      <w:pPr>
        <w:jc w:val="both"/>
        <w:rPr>
          <w:rFonts w:ascii="Open Sans Light" w:hAnsi="Open Sans Light"/>
          <w:color w:val="404040" w:themeColor="text1" w:themeTint="BF"/>
          <w:lang w:val="es-ES"/>
        </w:rPr>
      </w:pPr>
    </w:p>
    <w:p w:rsidR="00A56319" w:rsidRDefault="00A56319" w:rsidP="00A56319">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p>
    <w:p w:rsidR="0014415E" w:rsidRPr="00A56319" w:rsidRDefault="0014415E" w:rsidP="00A56319">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sidRPr="00A56319">
        <w:rPr>
          <w:rFonts w:ascii="Open Sans Light" w:hAnsi="Open Sans Light" w:cs="Open Sans Light"/>
          <w:b/>
          <w:iCs/>
          <w:color w:val="303AB2"/>
          <w:sz w:val="28"/>
          <w:szCs w:val="20"/>
        </w:rPr>
        <w:t>Hospitalet de Llobregat es la ciudad más rentable del país</w:t>
      </w:r>
    </w:p>
    <w:p w:rsidR="0014415E" w:rsidRPr="00A56319" w:rsidRDefault="0014415E" w:rsidP="00A56319">
      <w:pPr>
        <w:pStyle w:val="NormalWeb"/>
        <w:shd w:val="clear" w:color="auto" w:fill="FFFFFF"/>
        <w:spacing w:after="225" w:line="276" w:lineRule="auto"/>
        <w:ind w:left="-142" w:right="-574"/>
        <w:jc w:val="both"/>
        <w:rPr>
          <w:rFonts w:ascii="Open Sans" w:hAnsi="Open Sans" w:cs="Open Sans"/>
          <w:color w:val="000000"/>
          <w:sz w:val="22"/>
          <w:szCs w:val="22"/>
        </w:rPr>
      </w:pPr>
      <w:r w:rsidRPr="00A56319">
        <w:rPr>
          <w:rFonts w:ascii="Open Sans" w:hAnsi="Open Sans" w:cs="Open Sans"/>
          <w:color w:val="000000"/>
          <w:sz w:val="22"/>
          <w:szCs w:val="22"/>
        </w:rPr>
        <w:t xml:space="preserve">El análisis de </w:t>
      </w:r>
      <w:hyperlink r:id="rId13" w:history="1">
        <w:r w:rsidR="00A56319" w:rsidRPr="000A4242">
          <w:rPr>
            <w:rStyle w:val="Hipervnculo"/>
            <w:rFonts w:ascii="Open Sans" w:hAnsi="Open Sans" w:cs="Open Sans"/>
            <w:sz w:val="22"/>
            <w:szCs w:val="22"/>
          </w:rPr>
          <w:t>Fotocasa</w:t>
        </w:r>
      </w:hyperlink>
      <w:r w:rsidRPr="00A56319">
        <w:rPr>
          <w:rFonts w:ascii="Open Sans" w:hAnsi="Open Sans" w:cs="Open Sans"/>
          <w:color w:val="000000"/>
          <w:sz w:val="22"/>
          <w:szCs w:val="22"/>
        </w:rPr>
        <w:t xml:space="preserve"> también ofrece datos de rentabilidad de los 20 municipios españoles con más habitantes. Así, del análisis se desprende que </w:t>
      </w:r>
      <w:r w:rsidR="00410D15">
        <w:rPr>
          <w:rFonts w:ascii="Open Sans" w:hAnsi="Open Sans" w:cs="Open Sans"/>
          <w:color w:val="000000"/>
          <w:sz w:val="22"/>
          <w:szCs w:val="22"/>
        </w:rPr>
        <w:t>el municipio más rentable</w:t>
      </w:r>
      <w:r w:rsidRPr="00A56319">
        <w:rPr>
          <w:rFonts w:ascii="Open Sans" w:hAnsi="Open Sans" w:cs="Open Sans"/>
          <w:color w:val="000000"/>
          <w:sz w:val="22"/>
          <w:szCs w:val="22"/>
        </w:rPr>
        <w:t>, y por nueve años consecutivos es Hospitalet de Llobregat (6,3% frente al 6,3% de 2018 y el 6,5% de 2017). Le sigue</w:t>
      </w:r>
      <w:r w:rsidR="00410D15">
        <w:rPr>
          <w:rFonts w:ascii="Open Sans" w:hAnsi="Open Sans" w:cs="Open Sans"/>
          <w:color w:val="000000"/>
          <w:sz w:val="22"/>
          <w:szCs w:val="22"/>
        </w:rPr>
        <w:t>n</w:t>
      </w:r>
      <w:r w:rsidRPr="00A56319">
        <w:rPr>
          <w:rFonts w:ascii="Open Sans" w:hAnsi="Open Sans" w:cs="Open Sans"/>
          <w:color w:val="000000"/>
          <w:sz w:val="22"/>
          <w:szCs w:val="22"/>
        </w:rPr>
        <w:t xml:space="preserve">, Córdoba (5,6% frente al 5,7% de 2018 y el 5,6% de 2017) y Zaragoza (5,3% frente al 5,2% de 2018 y el 5,3% de 2017) como los municipios más rentables para comprar una vivienda y ponerla en alquiler. </w:t>
      </w:r>
    </w:p>
    <w:p w:rsidR="0014415E" w:rsidRPr="00A56319" w:rsidRDefault="0014415E" w:rsidP="00A56319">
      <w:pPr>
        <w:pStyle w:val="NormalWeb"/>
        <w:shd w:val="clear" w:color="auto" w:fill="FFFFFF"/>
        <w:spacing w:after="225" w:line="276" w:lineRule="auto"/>
        <w:ind w:left="-142" w:right="-574"/>
        <w:jc w:val="both"/>
        <w:rPr>
          <w:rFonts w:ascii="Open Sans" w:hAnsi="Open Sans" w:cs="Open Sans"/>
          <w:color w:val="000000"/>
          <w:sz w:val="22"/>
          <w:szCs w:val="22"/>
        </w:rPr>
      </w:pPr>
      <w:r w:rsidRPr="00A56319">
        <w:rPr>
          <w:rFonts w:ascii="Open Sans" w:hAnsi="Open Sans" w:cs="Open Sans"/>
          <w:color w:val="000000"/>
          <w:sz w:val="22"/>
          <w:szCs w:val="22"/>
        </w:rPr>
        <w:t>En el otro extremo, los municipios con más habitantes y menos rentables para comprar una vivienda son Vitoria (3,4% frente al 4,3% de 2018 y el 5,1% de 2017), A Coruña (4% frente al 4% de 2018 y el 3,8% de 2017) y Barcelona (4,3% frente al 4,5% de 2018 y el 4,6% de 2017).</w:t>
      </w:r>
    </w:p>
    <w:p w:rsidR="00A95883" w:rsidRDefault="00A95883" w:rsidP="0014415E">
      <w:pPr>
        <w:jc w:val="both"/>
        <w:rPr>
          <w:rFonts w:ascii="Open Sans Light" w:hAnsi="Open Sans Light"/>
          <w:color w:val="404040" w:themeColor="text1" w:themeTint="BF"/>
          <w:lang w:val="es-ES"/>
        </w:rPr>
      </w:pPr>
    </w:p>
    <w:p w:rsidR="00A56319" w:rsidRDefault="00A56319" w:rsidP="0014415E">
      <w:pPr>
        <w:jc w:val="both"/>
        <w:rPr>
          <w:rFonts w:ascii="Open Sans Light" w:hAnsi="Open Sans Light"/>
          <w:color w:val="404040" w:themeColor="text1" w:themeTint="BF"/>
          <w:lang w:val="es-ES"/>
        </w:rPr>
      </w:pPr>
    </w:p>
    <w:p w:rsidR="00A56319" w:rsidRDefault="00A56319" w:rsidP="0014415E">
      <w:pPr>
        <w:jc w:val="both"/>
        <w:rPr>
          <w:rFonts w:ascii="Open Sans Light" w:hAnsi="Open Sans Light"/>
          <w:color w:val="404040" w:themeColor="text1" w:themeTint="BF"/>
          <w:lang w:val="es-ES"/>
        </w:rPr>
      </w:pPr>
    </w:p>
    <w:p w:rsidR="00A56319" w:rsidRDefault="00A56319" w:rsidP="0014415E">
      <w:pPr>
        <w:jc w:val="both"/>
        <w:rPr>
          <w:rFonts w:ascii="Open Sans Light" w:hAnsi="Open Sans Light"/>
          <w:color w:val="404040" w:themeColor="text1" w:themeTint="BF"/>
          <w:lang w:val="es-ES"/>
        </w:rPr>
      </w:pPr>
    </w:p>
    <w:p w:rsidR="00A56319" w:rsidRDefault="00A56319" w:rsidP="0014415E">
      <w:pPr>
        <w:jc w:val="both"/>
        <w:rPr>
          <w:rFonts w:ascii="Open Sans Light" w:hAnsi="Open Sans Light"/>
          <w:color w:val="404040" w:themeColor="text1" w:themeTint="BF"/>
          <w:lang w:val="es-ES"/>
        </w:rPr>
      </w:pPr>
    </w:p>
    <w:p w:rsidR="00A56319" w:rsidRDefault="00A56319" w:rsidP="0014415E">
      <w:pPr>
        <w:jc w:val="both"/>
        <w:rPr>
          <w:rFonts w:ascii="Open Sans Light" w:hAnsi="Open Sans Light"/>
          <w:color w:val="404040" w:themeColor="text1" w:themeTint="BF"/>
          <w:lang w:val="es-ES"/>
        </w:rPr>
      </w:pPr>
    </w:p>
    <w:p w:rsidR="0014415E" w:rsidRPr="00A56319" w:rsidRDefault="0014415E" w:rsidP="00A56319">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sidRPr="00A56319">
        <w:rPr>
          <w:rFonts w:ascii="Open Sans Light" w:hAnsi="Open Sans Light" w:cs="Open Sans Light"/>
          <w:b/>
          <w:iCs/>
          <w:color w:val="303AB2"/>
          <w:sz w:val="28"/>
          <w:szCs w:val="20"/>
        </w:rPr>
        <w:lastRenderedPageBreak/>
        <w:t>Ciudades más rentables (comparativa 2019 vs 2018 vs 2017 vs 2016)</w:t>
      </w:r>
    </w:p>
    <w:tbl>
      <w:tblPr>
        <w:tblStyle w:val="Tablaconcuadrcula5oscura-nfasis1"/>
        <w:tblW w:w="8783" w:type="dxa"/>
        <w:tblLayout w:type="fixed"/>
        <w:tblLook w:val="04A0" w:firstRow="1" w:lastRow="0" w:firstColumn="1" w:lastColumn="0" w:noHBand="0" w:noVBand="1"/>
      </w:tblPr>
      <w:tblGrid>
        <w:gridCol w:w="2268"/>
        <w:gridCol w:w="1701"/>
        <w:gridCol w:w="1701"/>
        <w:gridCol w:w="1560"/>
        <w:gridCol w:w="1553"/>
      </w:tblGrid>
      <w:tr w:rsidR="0014415E" w:rsidRPr="0048452A" w:rsidTr="00A9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14415E" w:rsidRPr="0048452A" w:rsidRDefault="0014415E" w:rsidP="0014415E">
            <w:pPr>
              <w:rPr>
                <w:rFonts w:ascii="Open Sans Light" w:hAnsi="Open Sans Light" w:cs="Open Sans Light"/>
                <w:sz w:val="22"/>
                <w:szCs w:val="22"/>
              </w:rPr>
            </w:pPr>
            <w:r>
              <w:rPr>
                <w:rFonts w:ascii="Open Sans Light" w:hAnsi="Open Sans Light" w:cs="Open Sans Light"/>
                <w:sz w:val="22"/>
                <w:szCs w:val="22"/>
              </w:rPr>
              <w:t>Ciudades</w:t>
            </w:r>
          </w:p>
        </w:tc>
        <w:tc>
          <w:tcPr>
            <w:tcW w:w="1701" w:type="dxa"/>
          </w:tcPr>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b w:val="0"/>
                <w:i w:val="0"/>
                <w:iCs w:val="0"/>
                <w:sz w:val="22"/>
                <w:szCs w:val="22"/>
              </w:rPr>
            </w:pPr>
            <w:r w:rsidRPr="0048452A">
              <w:rPr>
                <w:rStyle w:val="nfasis"/>
                <w:rFonts w:ascii="Open Sans Light" w:hAnsi="Open Sans Light" w:cs="Open Sans Light"/>
                <w:i w:val="0"/>
                <w:iCs w:val="0"/>
                <w:sz w:val="22"/>
                <w:szCs w:val="22"/>
              </w:rPr>
              <w:t>Rentabilidad 2016</w:t>
            </w:r>
          </w:p>
        </w:tc>
        <w:tc>
          <w:tcPr>
            <w:tcW w:w="1701" w:type="dxa"/>
            <w:vAlign w:val="center"/>
          </w:tcPr>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48452A">
              <w:rPr>
                <w:rStyle w:val="nfasis"/>
                <w:rFonts w:ascii="Open Sans Light" w:hAnsi="Open Sans Light" w:cs="Open Sans Light"/>
                <w:i w:val="0"/>
                <w:iCs w:val="0"/>
                <w:sz w:val="22"/>
                <w:szCs w:val="22"/>
              </w:rPr>
              <w:t>Rentabilidad</w:t>
            </w:r>
          </w:p>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48452A">
              <w:rPr>
                <w:rStyle w:val="nfasis"/>
                <w:rFonts w:ascii="Open Sans Light" w:hAnsi="Open Sans Light" w:cs="Open Sans Light"/>
                <w:i w:val="0"/>
                <w:iCs w:val="0"/>
                <w:sz w:val="22"/>
                <w:szCs w:val="22"/>
              </w:rPr>
              <w:t>2017</w:t>
            </w:r>
          </w:p>
        </w:tc>
        <w:tc>
          <w:tcPr>
            <w:tcW w:w="1560" w:type="dxa"/>
            <w:vAlign w:val="center"/>
          </w:tcPr>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48452A">
              <w:rPr>
                <w:rStyle w:val="nfasis"/>
                <w:rFonts w:ascii="Open Sans Light" w:hAnsi="Open Sans Light" w:cs="Open Sans Light"/>
                <w:i w:val="0"/>
                <w:iCs w:val="0"/>
                <w:sz w:val="22"/>
                <w:szCs w:val="22"/>
              </w:rPr>
              <w:t>Rentabilidad</w:t>
            </w:r>
          </w:p>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48452A">
              <w:rPr>
                <w:rStyle w:val="nfasis"/>
                <w:rFonts w:ascii="Open Sans Light" w:hAnsi="Open Sans Light" w:cs="Open Sans Light"/>
                <w:i w:val="0"/>
                <w:iCs w:val="0"/>
                <w:sz w:val="22"/>
                <w:szCs w:val="22"/>
              </w:rPr>
              <w:t>2018</w:t>
            </w:r>
          </w:p>
        </w:tc>
        <w:tc>
          <w:tcPr>
            <w:tcW w:w="1553" w:type="dxa"/>
            <w:vAlign w:val="center"/>
          </w:tcPr>
          <w:p w:rsidR="0014415E" w:rsidRPr="0048452A" w:rsidRDefault="0014415E" w:rsidP="0014415E">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48452A">
              <w:rPr>
                <w:rStyle w:val="nfasis"/>
                <w:rFonts w:ascii="Open Sans Light" w:hAnsi="Open Sans Light" w:cs="Open Sans Light"/>
                <w:i w:val="0"/>
                <w:iCs w:val="0"/>
                <w:sz w:val="22"/>
                <w:szCs w:val="22"/>
              </w:rPr>
              <w:t>Rentabilidad</w:t>
            </w:r>
          </w:p>
          <w:p w:rsidR="0014415E" w:rsidRPr="0048452A" w:rsidRDefault="0014415E" w:rsidP="0014415E">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lang w:val="es-ES"/>
              </w:rPr>
            </w:pPr>
            <w:r w:rsidRPr="0048452A">
              <w:rPr>
                <w:rStyle w:val="nfasis"/>
                <w:rFonts w:ascii="Open Sans Light" w:hAnsi="Open Sans Light" w:cs="Open Sans Light"/>
                <w:i w:val="0"/>
                <w:iCs w:val="0"/>
                <w:lang w:val="es-ES"/>
              </w:rPr>
              <w:t>2019</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L'Hospitalet de Llobregat</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6,6%</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6,5%</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6,3%</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6,3%</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Córdoba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5,4%</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5,6%</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5,7%</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5,6%</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Zaragoza Capital</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5,1%</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5,2%</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5,3%</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Valencia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5,0%</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5,2%</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5,6%</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5,3%</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Sevilla Capital</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5,4%</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5,5%</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5,3%</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Gijón </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4,8%</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4,8%</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5,2%</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5,3%</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Alicante </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4,9%</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5,2%</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6,0%</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5,2%</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Elche </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4,8%</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5,9%</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5,1%</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Las Palmas de Gran Canaria</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5,4%</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5,5%</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5,7%</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4,9%</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Madrid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5,1%</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5,1%</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4,9%</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Murcia Capital</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5,0%</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5,2%</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4,9%</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Málaga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5,1%</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5,5%</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4,7%</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 Palma de Mallorca</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5,3%</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5,5%</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4,8%</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4,7%</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Valladolid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4,9%</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4,7%</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4,6%</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Vigo </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4,0%</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4,2%</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4,6%</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Granada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4,3%</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4,5%</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4,7%</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4,5%</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Bilbao </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4,4%</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4,5%</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4,4%</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Barcelona Capital</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4,6%</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4,5%</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4,3%</w:t>
            </w:r>
          </w:p>
        </w:tc>
      </w:tr>
      <w:tr w:rsidR="0014415E" w:rsidRPr="0048452A" w:rsidTr="00A95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 xml:space="preserve">A Coruña Capital </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3,5%</w:t>
            </w:r>
          </w:p>
        </w:tc>
        <w:tc>
          <w:tcPr>
            <w:tcW w:w="1701"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3,8%</w:t>
            </w:r>
          </w:p>
        </w:tc>
        <w:tc>
          <w:tcPr>
            <w:tcW w:w="1560"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4,0%</w:t>
            </w:r>
          </w:p>
        </w:tc>
        <w:tc>
          <w:tcPr>
            <w:tcW w:w="1553" w:type="dxa"/>
            <w:vAlign w:val="bottom"/>
          </w:tcPr>
          <w:p w:rsidR="0014415E" w:rsidRPr="0048452A" w:rsidRDefault="0014415E" w:rsidP="001441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4,0%</w:t>
            </w:r>
          </w:p>
        </w:tc>
      </w:tr>
      <w:tr w:rsidR="0014415E" w:rsidRPr="0048452A" w:rsidTr="00A95883">
        <w:tc>
          <w:tcPr>
            <w:cnfStyle w:val="001000000000" w:firstRow="0" w:lastRow="0" w:firstColumn="1" w:lastColumn="0" w:oddVBand="0" w:evenVBand="0" w:oddHBand="0" w:evenHBand="0" w:firstRowFirstColumn="0" w:firstRowLastColumn="0" w:lastRowFirstColumn="0" w:lastRowLastColumn="0"/>
            <w:tcW w:w="2268" w:type="dxa"/>
          </w:tcPr>
          <w:p w:rsidR="0014415E" w:rsidRPr="0048452A" w:rsidRDefault="0014415E" w:rsidP="0014415E">
            <w:pPr>
              <w:rPr>
                <w:rFonts w:ascii="Open Sans Light" w:hAnsi="Open Sans Light" w:cs="Open Sans Light"/>
                <w:sz w:val="22"/>
                <w:szCs w:val="22"/>
              </w:rPr>
            </w:pPr>
            <w:r w:rsidRPr="0048452A">
              <w:rPr>
                <w:rFonts w:ascii="Open Sans Light" w:hAnsi="Open Sans Light" w:cs="Open Sans Light"/>
                <w:sz w:val="22"/>
                <w:szCs w:val="22"/>
              </w:rPr>
              <w:t>Vitoria - Gasteiz</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4,4%</w:t>
            </w:r>
          </w:p>
        </w:tc>
        <w:tc>
          <w:tcPr>
            <w:tcW w:w="1701"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5,1%</w:t>
            </w:r>
          </w:p>
        </w:tc>
        <w:tc>
          <w:tcPr>
            <w:tcW w:w="1560"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48452A">
              <w:rPr>
                <w:rFonts w:ascii="Open Sans Light" w:hAnsi="Open Sans Light" w:cs="Open Sans Light"/>
                <w:color w:val="000000"/>
                <w:sz w:val="22"/>
                <w:szCs w:val="22"/>
              </w:rPr>
              <w:t>4,3%</w:t>
            </w:r>
          </w:p>
        </w:tc>
        <w:tc>
          <w:tcPr>
            <w:tcW w:w="1553" w:type="dxa"/>
            <w:vAlign w:val="bottom"/>
          </w:tcPr>
          <w:p w:rsidR="0014415E" w:rsidRPr="0048452A" w:rsidRDefault="0014415E" w:rsidP="0014415E">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48452A">
              <w:rPr>
                <w:rFonts w:ascii="Open Sans Light" w:hAnsi="Open Sans Light" w:cs="Open Sans Light"/>
                <w:b/>
                <w:color w:val="000000"/>
                <w:sz w:val="22"/>
                <w:szCs w:val="22"/>
              </w:rPr>
              <w:t>3,4%</w:t>
            </w:r>
          </w:p>
        </w:tc>
      </w:tr>
    </w:tbl>
    <w:p w:rsidR="0014415E" w:rsidRDefault="0014415E" w:rsidP="0014415E">
      <w:pPr>
        <w:pStyle w:val="Cuerpo"/>
        <w:jc w:val="right"/>
        <w:rPr>
          <w:rStyle w:val="Ninguno"/>
          <w:rFonts w:ascii="Open Sans Light" w:hAnsi="Open Sans Light" w:cs="Gisha"/>
          <w:b/>
          <w:color w:val="00AAAB"/>
        </w:rPr>
      </w:pPr>
    </w:p>
    <w:p w:rsidR="00410D15" w:rsidRDefault="00410D15" w:rsidP="00E17B06">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p>
    <w:p w:rsidR="0014415E" w:rsidRPr="00E17B06" w:rsidRDefault="0014415E" w:rsidP="00E17B06">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sidRPr="00E17B06">
        <w:rPr>
          <w:rFonts w:ascii="Open Sans Light" w:hAnsi="Open Sans Light" w:cs="Open Sans Light"/>
          <w:b/>
          <w:iCs/>
          <w:color w:val="303AB2"/>
          <w:sz w:val="28"/>
          <w:szCs w:val="20"/>
        </w:rPr>
        <w:t xml:space="preserve">El distrito más rentable de España es el madrileño distrito de Villaverde </w:t>
      </w:r>
    </w:p>
    <w:p w:rsidR="0014415E" w:rsidRPr="00E17B06" w:rsidRDefault="0014415E" w:rsidP="00E17B06">
      <w:pPr>
        <w:pStyle w:val="NormalWeb"/>
        <w:shd w:val="clear" w:color="auto" w:fill="FFFFFF"/>
        <w:spacing w:after="225" w:line="276" w:lineRule="auto"/>
        <w:ind w:left="-142" w:right="-574"/>
        <w:jc w:val="both"/>
        <w:rPr>
          <w:rFonts w:ascii="Open Sans" w:hAnsi="Open Sans" w:cs="Open Sans"/>
          <w:color w:val="000000"/>
          <w:sz w:val="22"/>
          <w:szCs w:val="22"/>
        </w:rPr>
      </w:pPr>
      <w:r w:rsidRPr="00E17B06">
        <w:rPr>
          <w:rFonts w:ascii="Open Sans" w:hAnsi="Open Sans" w:cs="Open Sans"/>
          <w:color w:val="000000"/>
          <w:sz w:val="22"/>
          <w:szCs w:val="22"/>
        </w:rPr>
        <w:t xml:space="preserve">El análisis de </w:t>
      </w:r>
      <w:hyperlink r:id="rId14" w:history="1">
        <w:r w:rsidR="00E17B06" w:rsidRPr="000A4242">
          <w:rPr>
            <w:rStyle w:val="Hipervnculo"/>
            <w:rFonts w:ascii="Open Sans" w:hAnsi="Open Sans" w:cs="Open Sans"/>
            <w:sz w:val="22"/>
            <w:szCs w:val="22"/>
          </w:rPr>
          <w:t>Fotocasa</w:t>
        </w:r>
      </w:hyperlink>
      <w:r w:rsidRPr="00E17B06">
        <w:rPr>
          <w:rFonts w:ascii="Open Sans" w:hAnsi="Open Sans" w:cs="Open Sans"/>
          <w:color w:val="000000"/>
          <w:sz w:val="22"/>
          <w:szCs w:val="22"/>
        </w:rPr>
        <w:t xml:space="preserve"> también ofrece datos de los distritos más rentables para comprar una vivienda y ponerla en alquiler en Madrid y en Barcelona. Así, del análisis se desprende que el distrito más rentable del país es el distrito madrileño de Villaverde que alcanza el 7% de rentabilidad. Por otro lado, el distrito menos rentable de ambas ciudades también pertenece a la ciudad de Madrid y es el distrito de Chamartín, que muestra una rentabilidad del 3,5%. </w:t>
      </w:r>
    </w:p>
    <w:p w:rsidR="0014415E" w:rsidRDefault="0014415E" w:rsidP="00E17B06">
      <w:pPr>
        <w:pStyle w:val="NormalWeb"/>
        <w:shd w:val="clear" w:color="auto" w:fill="FFFFFF"/>
        <w:spacing w:after="225" w:line="276" w:lineRule="auto"/>
        <w:ind w:left="-142" w:right="-574"/>
        <w:jc w:val="both"/>
        <w:rPr>
          <w:rFonts w:ascii="Open Sans" w:hAnsi="Open Sans" w:cs="Open Sans"/>
          <w:color w:val="000000"/>
          <w:sz w:val="22"/>
          <w:szCs w:val="22"/>
        </w:rPr>
      </w:pPr>
      <w:r w:rsidRPr="00E17B06">
        <w:rPr>
          <w:rFonts w:ascii="Open Sans" w:hAnsi="Open Sans" w:cs="Open Sans"/>
          <w:color w:val="000000"/>
          <w:sz w:val="22"/>
          <w:szCs w:val="22"/>
        </w:rPr>
        <w:t>Por otro lado, tanto Villaverde (7% frente al 7% de 2018 y el 6,9% de 2017) como Chamartín (3,5% frente al 3,7% de 2018 y el 3,9% de 2017) son los distritos con mayor y menor rentabilidad para comprar una vivienda y ponerla en alquiler de Madrid.</w:t>
      </w:r>
    </w:p>
    <w:p w:rsidR="00E17B06" w:rsidRDefault="00E17B06" w:rsidP="00E17B06">
      <w:pPr>
        <w:pStyle w:val="NormalWeb"/>
        <w:shd w:val="clear" w:color="auto" w:fill="FFFFFF"/>
        <w:spacing w:after="225" w:line="276" w:lineRule="auto"/>
        <w:ind w:left="-142" w:right="-574"/>
        <w:jc w:val="both"/>
        <w:rPr>
          <w:rFonts w:ascii="Open Sans" w:hAnsi="Open Sans" w:cs="Open Sans"/>
          <w:color w:val="000000"/>
          <w:sz w:val="22"/>
          <w:szCs w:val="22"/>
        </w:rPr>
      </w:pPr>
    </w:p>
    <w:p w:rsidR="00D77A13" w:rsidRDefault="00D77A13" w:rsidP="00E17B06">
      <w:pPr>
        <w:pStyle w:val="NormalWeb"/>
        <w:shd w:val="clear" w:color="auto" w:fill="FFFFFF"/>
        <w:spacing w:after="225" w:line="276" w:lineRule="auto"/>
        <w:ind w:left="-142" w:right="-574"/>
        <w:jc w:val="both"/>
        <w:rPr>
          <w:rFonts w:ascii="Open Sans" w:hAnsi="Open Sans" w:cs="Open Sans"/>
          <w:color w:val="000000"/>
          <w:sz w:val="22"/>
          <w:szCs w:val="22"/>
        </w:rPr>
      </w:pPr>
      <w:bookmarkStart w:id="2" w:name="_GoBack"/>
      <w:bookmarkEnd w:id="2"/>
    </w:p>
    <w:p w:rsidR="00410D15" w:rsidRDefault="00410D15" w:rsidP="00E17B06">
      <w:pPr>
        <w:pStyle w:val="NormalWeb"/>
        <w:shd w:val="clear" w:color="auto" w:fill="FFFFFF"/>
        <w:spacing w:after="225" w:line="276" w:lineRule="auto"/>
        <w:ind w:left="-142" w:right="-574"/>
        <w:jc w:val="both"/>
        <w:rPr>
          <w:rFonts w:ascii="Open Sans" w:hAnsi="Open Sans" w:cs="Open Sans"/>
          <w:color w:val="000000"/>
          <w:sz w:val="22"/>
          <w:szCs w:val="22"/>
        </w:rPr>
      </w:pPr>
    </w:p>
    <w:p w:rsidR="00E17B06" w:rsidRPr="00E17B06" w:rsidRDefault="00E17B06" w:rsidP="00E17B06">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sidRPr="00E17B06">
        <w:rPr>
          <w:rFonts w:ascii="Open Sans Light" w:hAnsi="Open Sans Light" w:cs="Open Sans Light"/>
          <w:b/>
          <w:iCs/>
          <w:color w:val="303AB2"/>
          <w:sz w:val="28"/>
          <w:szCs w:val="20"/>
        </w:rPr>
        <w:lastRenderedPageBreak/>
        <w:t xml:space="preserve">Comparativa de los distritos </w:t>
      </w:r>
      <w:r w:rsidR="00470ED1">
        <w:rPr>
          <w:rFonts w:ascii="Open Sans Light" w:hAnsi="Open Sans Light" w:cs="Open Sans Light"/>
          <w:b/>
          <w:iCs/>
          <w:color w:val="303AB2"/>
          <w:sz w:val="28"/>
          <w:szCs w:val="20"/>
        </w:rPr>
        <w:t xml:space="preserve">madrileños </w:t>
      </w:r>
      <w:r w:rsidRPr="00E17B06">
        <w:rPr>
          <w:rFonts w:ascii="Open Sans Light" w:hAnsi="Open Sans Light" w:cs="Open Sans Light"/>
          <w:b/>
          <w:iCs/>
          <w:color w:val="303AB2"/>
          <w:sz w:val="28"/>
          <w:szCs w:val="20"/>
        </w:rPr>
        <w:t>con mayor y menor rentabilidad</w:t>
      </w:r>
    </w:p>
    <w:p w:rsidR="0014415E" w:rsidRDefault="0014415E" w:rsidP="0014415E">
      <w:pPr>
        <w:jc w:val="both"/>
        <w:rPr>
          <w:rFonts w:ascii="Open Sans Light" w:hAnsi="Open Sans Light"/>
          <w:color w:val="404040" w:themeColor="text1" w:themeTint="BF"/>
          <w:lang w:val="es-ES"/>
        </w:rPr>
      </w:pPr>
      <w:r>
        <w:rPr>
          <w:noProof/>
        </w:rPr>
        <w:drawing>
          <wp:inline distT="0" distB="0" distL="0" distR="0" wp14:anchorId="222E9034" wp14:editId="6F5ED3AF">
            <wp:extent cx="5800725" cy="2571750"/>
            <wp:effectExtent l="0" t="0" r="0" b="0"/>
            <wp:docPr id="5" name="Gráfico 5">
              <a:extLst xmlns:a="http://schemas.openxmlformats.org/drawingml/2006/main">
                <a:ext uri="{FF2B5EF4-FFF2-40B4-BE49-F238E27FC236}">
                  <a16:creationId xmlns:a16="http://schemas.microsoft.com/office/drawing/2014/main" id="{D7C40513-2AD5-4A14-89D8-1DDBC5589B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415E" w:rsidRDefault="0014415E" w:rsidP="0014415E">
      <w:pPr>
        <w:jc w:val="both"/>
        <w:rPr>
          <w:rFonts w:ascii="Open Sans Light" w:hAnsi="Open Sans Light"/>
          <w:color w:val="404040" w:themeColor="text1" w:themeTint="BF"/>
          <w:lang w:val="es-ES"/>
        </w:rPr>
      </w:pPr>
    </w:p>
    <w:p w:rsidR="0014415E" w:rsidRPr="00E17B06" w:rsidRDefault="0014415E" w:rsidP="00E17B06">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sidRPr="00E17B06">
        <w:rPr>
          <w:rFonts w:ascii="Open Sans Light" w:hAnsi="Open Sans Light" w:cs="Open Sans Light"/>
          <w:b/>
          <w:iCs/>
          <w:color w:val="303AB2"/>
          <w:sz w:val="28"/>
          <w:szCs w:val="20"/>
        </w:rPr>
        <w:t xml:space="preserve">Distritos de Madrid más rentables </w:t>
      </w:r>
    </w:p>
    <w:tbl>
      <w:tblPr>
        <w:tblStyle w:val="Tablaconcuadrcula5oscura-nfasis1"/>
        <w:tblpPr w:leftFromText="141" w:rightFromText="141" w:vertAnchor="text" w:horzAnchor="margin" w:tblpY="40"/>
        <w:tblW w:w="8783" w:type="dxa"/>
        <w:tblLayout w:type="fixed"/>
        <w:tblLook w:val="04A0" w:firstRow="1" w:lastRow="0" w:firstColumn="1" w:lastColumn="0" w:noHBand="0" w:noVBand="1"/>
      </w:tblPr>
      <w:tblGrid>
        <w:gridCol w:w="2268"/>
        <w:gridCol w:w="1701"/>
        <w:gridCol w:w="1701"/>
        <w:gridCol w:w="1560"/>
        <w:gridCol w:w="1553"/>
      </w:tblGrid>
      <w:tr w:rsidR="00E17B06" w:rsidRPr="007E5A6B" w:rsidTr="00E17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Distritos</w:t>
            </w:r>
            <w:r>
              <w:rPr>
                <w:rFonts w:ascii="Open Sans Light" w:hAnsi="Open Sans Light" w:cs="Open Sans Light"/>
                <w:sz w:val="22"/>
                <w:szCs w:val="22"/>
              </w:rPr>
              <w:t xml:space="preserve"> de Madrid</w:t>
            </w:r>
          </w:p>
        </w:tc>
        <w:tc>
          <w:tcPr>
            <w:tcW w:w="1701" w:type="dxa"/>
          </w:tcPr>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b w:val="0"/>
                <w:i w:val="0"/>
                <w:iCs w:val="0"/>
                <w:sz w:val="22"/>
                <w:szCs w:val="22"/>
              </w:rPr>
            </w:pPr>
            <w:r w:rsidRPr="007E5A6B">
              <w:rPr>
                <w:rStyle w:val="nfasis"/>
                <w:rFonts w:ascii="Open Sans Light" w:hAnsi="Open Sans Light" w:cs="Open Sans Light"/>
                <w:i w:val="0"/>
                <w:iCs w:val="0"/>
                <w:sz w:val="22"/>
                <w:szCs w:val="22"/>
              </w:rPr>
              <w:t>Rentabilidad 2016</w:t>
            </w:r>
          </w:p>
        </w:tc>
        <w:tc>
          <w:tcPr>
            <w:tcW w:w="1701" w:type="dxa"/>
            <w:vAlign w:val="center"/>
          </w:tcPr>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7E5A6B">
              <w:rPr>
                <w:rStyle w:val="nfasis"/>
                <w:rFonts w:ascii="Open Sans Light" w:hAnsi="Open Sans Light" w:cs="Open Sans Light"/>
                <w:i w:val="0"/>
                <w:iCs w:val="0"/>
                <w:sz w:val="22"/>
                <w:szCs w:val="22"/>
              </w:rPr>
              <w:t>Rentabilidad</w:t>
            </w:r>
          </w:p>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7E5A6B">
              <w:rPr>
                <w:rStyle w:val="nfasis"/>
                <w:rFonts w:ascii="Open Sans Light" w:hAnsi="Open Sans Light" w:cs="Open Sans Light"/>
                <w:i w:val="0"/>
                <w:iCs w:val="0"/>
                <w:sz w:val="22"/>
                <w:szCs w:val="22"/>
              </w:rPr>
              <w:t>2017</w:t>
            </w:r>
          </w:p>
        </w:tc>
        <w:tc>
          <w:tcPr>
            <w:tcW w:w="1560" w:type="dxa"/>
            <w:vAlign w:val="center"/>
          </w:tcPr>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7E5A6B">
              <w:rPr>
                <w:rStyle w:val="nfasis"/>
                <w:rFonts w:ascii="Open Sans Light" w:hAnsi="Open Sans Light" w:cs="Open Sans Light"/>
                <w:i w:val="0"/>
                <w:iCs w:val="0"/>
                <w:sz w:val="22"/>
                <w:szCs w:val="22"/>
              </w:rPr>
              <w:t>Rentabilidad</w:t>
            </w:r>
          </w:p>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7E5A6B">
              <w:rPr>
                <w:rStyle w:val="nfasis"/>
                <w:rFonts w:ascii="Open Sans Light" w:hAnsi="Open Sans Light" w:cs="Open Sans Light"/>
                <w:i w:val="0"/>
                <w:iCs w:val="0"/>
                <w:sz w:val="22"/>
                <w:szCs w:val="22"/>
              </w:rPr>
              <w:t>2018</w:t>
            </w:r>
          </w:p>
        </w:tc>
        <w:tc>
          <w:tcPr>
            <w:tcW w:w="1553" w:type="dxa"/>
            <w:vAlign w:val="center"/>
          </w:tcPr>
          <w:p w:rsidR="00E17B06" w:rsidRPr="007E5A6B" w:rsidRDefault="00E17B06" w:rsidP="00E17B06">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7E5A6B">
              <w:rPr>
                <w:rStyle w:val="nfasis"/>
                <w:rFonts w:ascii="Open Sans Light" w:hAnsi="Open Sans Light" w:cs="Open Sans Light"/>
                <w:i w:val="0"/>
                <w:iCs w:val="0"/>
                <w:sz w:val="22"/>
                <w:szCs w:val="22"/>
              </w:rPr>
              <w:t>Rentabilidad</w:t>
            </w:r>
          </w:p>
          <w:p w:rsidR="00E17B06" w:rsidRPr="007E5A6B" w:rsidRDefault="00E17B06" w:rsidP="00E17B06">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lang w:val="es-ES"/>
              </w:rPr>
            </w:pPr>
            <w:r w:rsidRPr="007E5A6B">
              <w:rPr>
                <w:rStyle w:val="nfasis"/>
                <w:rFonts w:ascii="Open Sans Light" w:hAnsi="Open Sans Light" w:cs="Open Sans Light"/>
                <w:i w:val="0"/>
                <w:iCs w:val="0"/>
                <w:lang w:val="es-ES"/>
              </w:rPr>
              <w:t>2019</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Villaverde</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6,1%</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6,9%</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7,0%</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7,0%</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Puente de Vallecas</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7,4%</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7,4%</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7,8%</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6,8%</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Usera</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6,7%</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6,6%</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6,9%</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6,4%</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Carabanchel</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6,6%</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6,7%</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6,4%</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6,2%</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Villa de Vallecas</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5,6%</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5,6%</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5,6%</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5,7%</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Vicálvaro</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6,0%</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6,5%</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5,8%</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5,6%</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San Blas</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6,0%</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6,0%</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5,4%</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5,5%</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Latina</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6,3%</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6,1%</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5,7%</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5,4%</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Moratalaz</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5,5%</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5,4%</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5,4%</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5,2%</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Ciudad Lineal</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5,3%</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5,6%</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5,5%</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5,1%</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Tetuán</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5,3%</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5,9%</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5,0%</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4,8%</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Arganzuela</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5,1%</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4,9%</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4,4%</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Fuencarral</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4,7%</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4,4%</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Barajas</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4,7%</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4,8%</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4,3%</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Moncloa</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4,5%</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4,7%</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4,2%</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4,3%</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Hortaleza</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4,8%</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4,3%</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Centro</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4,6%</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4,7%</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3,7%</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4,1%</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Chamberí</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4,5%</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4,4%</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4,1%</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4,0%</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Retiro</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4,4%</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4,4%</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4,2%</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4,0%</w:t>
            </w:r>
          </w:p>
        </w:tc>
      </w:tr>
      <w:tr w:rsidR="00E17B06" w:rsidRPr="007E5A6B" w:rsidTr="00E17B06">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Salamanca</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4,1%</w:t>
            </w:r>
          </w:p>
        </w:tc>
        <w:tc>
          <w:tcPr>
            <w:tcW w:w="1701"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4,2%</w:t>
            </w:r>
          </w:p>
        </w:tc>
        <w:tc>
          <w:tcPr>
            <w:tcW w:w="1560" w:type="dxa"/>
            <w:vAlign w:val="bottom"/>
          </w:tcPr>
          <w:p w:rsidR="00E17B06" w:rsidRPr="007E5A6B"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3,8%</w:t>
            </w:r>
          </w:p>
        </w:tc>
        <w:tc>
          <w:tcPr>
            <w:tcW w:w="1553" w:type="dxa"/>
            <w:vAlign w:val="bottom"/>
          </w:tcPr>
          <w:p w:rsidR="00E17B06" w:rsidRPr="00D164B1" w:rsidRDefault="00E17B06" w:rsidP="00E17B06">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3,6%</w:t>
            </w:r>
          </w:p>
        </w:tc>
      </w:tr>
      <w:tr w:rsidR="00E17B06" w:rsidRPr="007E5A6B" w:rsidTr="00E1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17B06" w:rsidRPr="007E5A6B" w:rsidRDefault="00E17B06" w:rsidP="00E17B06">
            <w:pPr>
              <w:rPr>
                <w:rFonts w:ascii="Open Sans Light" w:hAnsi="Open Sans Light" w:cs="Open Sans Light"/>
                <w:sz w:val="22"/>
                <w:szCs w:val="22"/>
              </w:rPr>
            </w:pPr>
            <w:r w:rsidRPr="007E5A6B">
              <w:rPr>
                <w:rFonts w:ascii="Open Sans Light" w:hAnsi="Open Sans Light" w:cs="Open Sans Light"/>
                <w:sz w:val="22"/>
                <w:szCs w:val="22"/>
              </w:rPr>
              <w:t>Chamartín</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4,0%</w:t>
            </w:r>
          </w:p>
        </w:tc>
        <w:tc>
          <w:tcPr>
            <w:tcW w:w="1701"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3,9%</w:t>
            </w:r>
          </w:p>
        </w:tc>
        <w:tc>
          <w:tcPr>
            <w:tcW w:w="1560" w:type="dxa"/>
            <w:vAlign w:val="bottom"/>
          </w:tcPr>
          <w:p w:rsidR="00E17B06" w:rsidRPr="007E5A6B"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7E5A6B">
              <w:rPr>
                <w:rFonts w:ascii="Open Sans Light" w:hAnsi="Open Sans Light" w:cs="Open Sans Light"/>
                <w:color w:val="000000"/>
                <w:sz w:val="22"/>
                <w:szCs w:val="22"/>
              </w:rPr>
              <w:t>3,7%</w:t>
            </w:r>
          </w:p>
        </w:tc>
        <w:tc>
          <w:tcPr>
            <w:tcW w:w="1553" w:type="dxa"/>
            <w:vAlign w:val="bottom"/>
          </w:tcPr>
          <w:p w:rsidR="00E17B06" w:rsidRPr="00D164B1" w:rsidRDefault="00E17B06" w:rsidP="00E17B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3,5%</w:t>
            </w:r>
          </w:p>
        </w:tc>
      </w:tr>
    </w:tbl>
    <w:p w:rsidR="0014415E" w:rsidRDefault="0014415E" w:rsidP="0014415E">
      <w:pPr>
        <w:jc w:val="both"/>
        <w:rPr>
          <w:rFonts w:ascii="Open Sans Light" w:hAnsi="Open Sans Light"/>
          <w:color w:val="404040" w:themeColor="text1" w:themeTint="BF"/>
          <w:lang w:val="es-ES"/>
        </w:rPr>
      </w:pPr>
    </w:p>
    <w:p w:rsidR="0014415E" w:rsidRDefault="0014415E" w:rsidP="0014415E">
      <w:pPr>
        <w:jc w:val="both"/>
        <w:rPr>
          <w:rFonts w:ascii="Open Sans Light" w:hAnsi="Open Sans Light"/>
          <w:color w:val="404040" w:themeColor="text1" w:themeTint="BF"/>
          <w:lang w:val="es-ES"/>
        </w:rPr>
      </w:pPr>
    </w:p>
    <w:p w:rsidR="00470ED1" w:rsidRDefault="00470ED1" w:rsidP="00470ED1">
      <w:pPr>
        <w:pStyle w:val="NormalWeb"/>
        <w:shd w:val="clear" w:color="auto" w:fill="FFFFFF"/>
        <w:spacing w:after="225" w:line="276" w:lineRule="auto"/>
        <w:ind w:left="-142" w:right="-574"/>
        <w:jc w:val="both"/>
        <w:rPr>
          <w:rFonts w:ascii="Open Sans" w:hAnsi="Open Sans" w:cs="Open Sans"/>
          <w:color w:val="000000"/>
          <w:sz w:val="22"/>
          <w:szCs w:val="22"/>
        </w:rPr>
      </w:pPr>
    </w:p>
    <w:p w:rsidR="0014415E" w:rsidRPr="00470ED1" w:rsidRDefault="0014415E" w:rsidP="00470ED1">
      <w:pPr>
        <w:pStyle w:val="NormalWeb"/>
        <w:shd w:val="clear" w:color="auto" w:fill="FFFFFF"/>
        <w:spacing w:after="225" w:line="276" w:lineRule="auto"/>
        <w:ind w:left="-142" w:right="-574"/>
        <w:jc w:val="both"/>
        <w:rPr>
          <w:rFonts w:ascii="Open Sans" w:hAnsi="Open Sans" w:cs="Open Sans"/>
          <w:color w:val="000000"/>
          <w:sz w:val="22"/>
          <w:szCs w:val="22"/>
        </w:rPr>
      </w:pPr>
      <w:r w:rsidRPr="00470ED1">
        <w:rPr>
          <w:rFonts w:ascii="Open Sans" w:hAnsi="Open Sans" w:cs="Open Sans"/>
          <w:color w:val="000000"/>
          <w:sz w:val="22"/>
          <w:szCs w:val="22"/>
        </w:rPr>
        <w:lastRenderedPageBreak/>
        <w:t xml:space="preserve">En la </w:t>
      </w:r>
      <w:r w:rsidRPr="00470ED1">
        <w:rPr>
          <w:rFonts w:ascii="Open Sans" w:hAnsi="Open Sans" w:cs="Open Sans"/>
          <w:b/>
          <w:color w:val="000000"/>
          <w:sz w:val="22"/>
          <w:szCs w:val="22"/>
        </w:rPr>
        <w:t>ciudad de Barcelona</w:t>
      </w:r>
      <w:r w:rsidRPr="00470ED1">
        <w:rPr>
          <w:rFonts w:ascii="Open Sans" w:hAnsi="Open Sans" w:cs="Open Sans"/>
          <w:color w:val="000000"/>
          <w:sz w:val="22"/>
          <w:szCs w:val="22"/>
        </w:rPr>
        <w:t xml:space="preserve"> el distrito más rentable sigue siendo, por siete años consecutivos, Nou </w:t>
      </w:r>
      <w:proofErr w:type="spellStart"/>
      <w:r w:rsidRPr="00470ED1">
        <w:rPr>
          <w:rFonts w:ascii="Open Sans" w:hAnsi="Open Sans" w:cs="Open Sans"/>
          <w:color w:val="000000"/>
          <w:sz w:val="22"/>
          <w:szCs w:val="22"/>
        </w:rPr>
        <w:t>Barris</w:t>
      </w:r>
      <w:proofErr w:type="spellEnd"/>
      <w:r w:rsidRPr="00470ED1">
        <w:rPr>
          <w:rFonts w:ascii="Open Sans" w:hAnsi="Open Sans" w:cs="Open Sans"/>
          <w:color w:val="000000"/>
          <w:sz w:val="22"/>
          <w:szCs w:val="22"/>
        </w:rPr>
        <w:t>, que alcanza el 5,9% (frente al 6% de 2018 y el 6,4% de 2017) de rentabilidad. Por otro lado, el distrito menos rentable desde hace cinco años en la ciudad condal es Les Corts, que presenta una rentabilidad de 3,9% (frente al 3,6% de 2018 y el 3,7% de 2017).</w:t>
      </w:r>
    </w:p>
    <w:p w:rsidR="00470ED1" w:rsidRPr="00E17B06" w:rsidRDefault="00470ED1" w:rsidP="00470ED1">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sidRPr="00E17B06">
        <w:rPr>
          <w:rFonts w:ascii="Open Sans Light" w:hAnsi="Open Sans Light" w:cs="Open Sans Light"/>
          <w:b/>
          <w:iCs/>
          <w:color w:val="303AB2"/>
          <w:sz w:val="28"/>
          <w:szCs w:val="20"/>
        </w:rPr>
        <w:t xml:space="preserve">Comparativa de los distritos </w:t>
      </w:r>
      <w:r>
        <w:rPr>
          <w:rFonts w:ascii="Open Sans Light" w:hAnsi="Open Sans Light" w:cs="Open Sans Light"/>
          <w:b/>
          <w:iCs/>
          <w:color w:val="303AB2"/>
          <w:sz w:val="28"/>
          <w:szCs w:val="20"/>
        </w:rPr>
        <w:t xml:space="preserve">barceloneses </w:t>
      </w:r>
      <w:r w:rsidRPr="00E17B06">
        <w:rPr>
          <w:rFonts w:ascii="Open Sans Light" w:hAnsi="Open Sans Light" w:cs="Open Sans Light"/>
          <w:b/>
          <w:iCs/>
          <w:color w:val="303AB2"/>
          <w:sz w:val="28"/>
          <w:szCs w:val="20"/>
        </w:rPr>
        <w:t>con mayor y menor rentabilidad</w:t>
      </w:r>
    </w:p>
    <w:p w:rsidR="0014415E" w:rsidRDefault="0014415E" w:rsidP="0014415E">
      <w:pPr>
        <w:jc w:val="both"/>
        <w:rPr>
          <w:rFonts w:ascii="Open Sans" w:hAnsi="Open Sans"/>
          <w:color w:val="00AAAB"/>
          <w:lang w:val="es-ES"/>
        </w:rPr>
      </w:pPr>
      <w:r>
        <w:rPr>
          <w:noProof/>
        </w:rPr>
        <w:drawing>
          <wp:inline distT="0" distB="0" distL="0" distR="0" wp14:anchorId="23EBD4A4" wp14:editId="294958FE">
            <wp:extent cx="5572125" cy="2266950"/>
            <wp:effectExtent l="0" t="0" r="0" b="0"/>
            <wp:docPr id="4" name="Gráfico 4">
              <a:extLst xmlns:a="http://schemas.openxmlformats.org/drawingml/2006/main">
                <a:ext uri="{FF2B5EF4-FFF2-40B4-BE49-F238E27FC236}">
                  <a16:creationId xmlns:a16="http://schemas.microsoft.com/office/drawing/2014/main" id="{9A656DCC-D1C9-4013-BEC0-77EB9647D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80FF9">
        <w:rPr>
          <w:rFonts w:ascii="Open Sans" w:hAnsi="Open Sans"/>
          <w:color w:val="00AAAB"/>
          <w:lang w:val="es-ES"/>
        </w:rPr>
        <w:t xml:space="preserve"> </w:t>
      </w:r>
    </w:p>
    <w:p w:rsidR="0014415E" w:rsidRDefault="0014415E" w:rsidP="0014415E">
      <w:pPr>
        <w:jc w:val="both"/>
        <w:rPr>
          <w:rFonts w:ascii="Open Sans" w:hAnsi="Open Sans"/>
          <w:color w:val="00AAAB"/>
          <w:lang w:val="es-ES"/>
        </w:rPr>
      </w:pPr>
    </w:p>
    <w:tbl>
      <w:tblPr>
        <w:tblStyle w:val="Tablaconcuadrcula5oscura-nfasis1"/>
        <w:tblpPr w:leftFromText="141" w:rightFromText="141" w:vertAnchor="text" w:horzAnchor="margin" w:tblpY="820"/>
        <w:tblW w:w="8783" w:type="dxa"/>
        <w:tblLayout w:type="fixed"/>
        <w:tblLook w:val="04A0" w:firstRow="1" w:lastRow="0" w:firstColumn="1" w:lastColumn="0" w:noHBand="0" w:noVBand="1"/>
      </w:tblPr>
      <w:tblGrid>
        <w:gridCol w:w="2268"/>
        <w:gridCol w:w="1701"/>
        <w:gridCol w:w="1701"/>
        <w:gridCol w:w="1560"/>
        <w:gridCol w:w="1553"/>
      </w:tblGrid>
      <w:tr w:rsidR="00470ED1" w:rsidRPr="00D164B1" w:rsidTr="00470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Distritos de Barcelona</w:t>
            </w:r>
          </w:p>
        </w:tc>
        <w:tc>
          <w:tcPr>
            <w:tcW w:w="1701" w:type="dxa"/>
          </w:tcPr>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b w:val="0"/>
                <w:i w:val="0"/>
                <w:iCs w:val="0"/>
                <w:sz w:val="22"/>
                <w:szCs w:val="22"/>
              </w:rPr>
            </w:pPr>
            <w:r w:rsidRPr="00D164B1">
              <w:rPr>
                <w:rStyle w:val="nfasis"/>
                <w:rFonts w:ascii="Open Sans Light" w:hAnsi="Open Sans Light" w:cs="Open Sans Light"/>
                <w:i w:val="0"/>
                <w:iCs w:val="0"/>
                <w:sz w:val="22"/>
                <w:szCs w:val="22"/>
              </w:rPr>
              <w:t>Rentabilidad 2016</w:t>
            </w:r>
          </w:p>
        </w:tc>
        <w:tc>
          <w:tcPr>
            <w:tcW w:w="1701" w:type="dxa"/>
            <w:vAlign w:val="center"/>
          </w:tcPr>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D164B1">
              <w:rPr>
                <w:rStyle w:val="nfasis"/>
                <w:rFonts w:ascii="Open Sans Light" w:hAnsi="Open Sans Light" w:cs="Open Sans Light"/>
                <w:i w:val="0"/>
                <w:iCs w:val="0"/>
                <w:sz w:val="22"/>
                <w:szCs w:val="22"/>
              </w:rPr>
              <w:t>Rentabilidad</w:t>
            </w:r>
          </w:p>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D164B1">
              <w:rPr>
                <w:rStyle w:val="nfasis"/>
                <w:rFonts w:ascii="Open Sans Light" w:hAnsi="Open Sans Light" w:cs="Open Sans Light"/>
                <w:i w:val="0"/>
                <w:iCs w:val="0"/>
                <w:sz w:val="22"/>
                <w:szCs w:val="22"/>
              </w:rPr>
              <w:t>2017</w:t>
            </w:r>
          </w:p>
        </w:tc>
        <w:tc>
          <w:tcPr>
            <w:tcW w:w="1560" w:type="dxa"/>
            <w:vAlign w:val="center"/>
          </w:tcPr>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D164B1">
              <w:rPr>
                <w:rStyle w:val="nfasis"/>
                <w:rFonts w:ascii="Open Sans Light" w:hAnsi="Open Sans Light" w:cs="Open Sans Light"/>
                <w:i w:val="0"/>
                <w:iCs w:val="0"/>
                <w:sz w:val="22"/>
                <w:szCs w:val="22"/>
              </w:rPr>
              <w:t>Rentabilidad</w:t>
            </w:r>
          </w:p>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D164B1">
              <w:rPr>
                <w:rStyle w:val="nfasis"/>
                <w:rFonts w:ascii="Open Sans Light" w:hAnsi="Open Sans Light" w:cs="Open Sans Light"/>
                <w:i w:val="0"/>
                <w:iCs w:val="0"/>
                <w:sz w:val="22"/>
                <w:szCs w:val="22"/>
              </w:rPr>
              <w:t>2018</w:t>
            </w:r>
          </w:p>
        </w:tc>
        <w:tc>
          <w:tcPr>
            <w:tcW w:w="1553" w:type="dxa"/>
            <w:vAlign w:val="center"/>
          </w:tcPr>
          <w:p w:rsidR="00470ED1" w:rsidRPr="00D164B1" w:rsidRDefault="00470ED1" w:rsidP="00470ED1">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i w:val="0"/>
                <w:iCs w:val="0"/>
                <w:sz w:val="22"/>
                <w:szCs w:val="22"/>
              </w:rPr>
            </w:pPr>
            <w:r w:rsidRPr="00D164B1">
              <w:rPr>
                <w:rStyle w:val="nfasis"/>
                <w:rFonts w:ascii="Open Sans Light" w:hAnsi="Open Sans Light" w:cs="Open Sans Light"/>
                <w:i w:val="0"/>
                <w:iCs w:val="0"/>
                <w:sz w:val="22"/>
                <w:szCs w:val="22"/>
              </w:rPr>
              <w:t>Rentabilidad</w:t>
            </w:r>
          </w:p>
          <w:p w:rsidR="00470ED1" w:rsidRPr="00D164B1" w:rsidRDefault="00470ED1" w:rsidP="00470ED1">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Light" w:hAnsi="Open Sans Light" w:cs="Open Sans Light"/>
                <w:lang w:val="es-ES"/>
              </w:rPr>
            </w:pPr>
            <w:r w:rsidRPr="00D164B1">
              <w:rPr>
                <w:rStyle w:val="nfasis"/>
                <w:rFonts w:ascii="Open Sans Light" w:hAnsi="Open Sans Light" w:cs="Open Sans Light"/>
                <w:i w:val="0"/>
                <w:iCs w:val="0"/>
                <w:lang w:val="es-ES"/>
              </w:rPr>
              <w:t>2019</w:t>
            </w:r>
          </w:p>
        </w:tc>
      </w:tr>
      <w:tr w:rsidR="00470ED1" w:rsidRPr="00D164B1" w:rsidTr="00470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 xml:space="preserve">Nou </w:t>
            </w:r>
            <w:proofErr w:type="spellStart"/>
            <w:r w:rsidRPr="00D164B1">
              <w:rPr>
                <w:rFonts w:ascii="Open Sans Light" w:hAnsi="Open Sans Light" w:cs="Open Sans Light"/>
                <w:sz w:val="22"/>
                <w:szCs w:val="22"/>
              </w:rPr>
              <w:t>Barris</w:t>
            </w:r>
            <w:proofErr w:type="spellEnd"/>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6,0%</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6,4%</w:t>
            </w:r>
          </w:p>
        </w:tc>
        <w:tc>
          <w:tcPr>
            <w:tcW w:w="1560"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6,0%</w:t>
            </w:r>
          </w:p>
        </w:tc>
        <w:tc>
          <w:tcPr>
            <w:tcW w:w="1553"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5,9%</w:t>
            </w:r>
          </w:p>
        </w:tc>
      </w:tr>
      <w:tr w:rsidR="00470ED1" w:rsidRPr="00D164B1" w:rsidTr="00470ED1">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proofErr w:type="spellStart"/>
            <w:r w:rsidRPr="00D164B1">
              <w:rPr>
                <w:rFonts w:ascii="Open Sans Light" w:hAnsi="Open Sans Light" w:cs="Open Sans Light"/>
                <w:sz w:val="22"/>
                <w:szCs w:val="22"/>
              </w:rPr>
              <w:t>Ciutat</w:t>
            </w:r>
            <w:proofErr w:type="spellEnd"/>
            <w:r w:rsidRPr="00D164B1">
              <w:rPr>
                <w:rFonts w:ascii="Open Sans Light" w:hAnsi="Open Sans Light" w:cs="Open Sans Light"/>
                <w:sz w:val="22"/>
                <w:szCs w:val="22"/>
              </w:rPr>
              <w:t xml:space="preserve"> Vella</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5,2%</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4,8%</w:t>
            </w:r>
          </w:p>
        </w:tc>
        <w:tc>
          <w:tcPr>
            <w:tcW w:w="1560"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4,5%</w:t>
            </w:r>
          </w:p>
        </w:tc>
        <w:tc>
          <w:tcPr>
            <w:tcW w:w="1553"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4,4%</w:t>
            </w:r>
          </w:p>
        </w:tc>
      </w:tr>
      <w:tr w:rsidR="00470ED1" w:rsidRPr="00D164B1" w:rsidTr="00470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Sants - Montjuïc</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5,1%</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5,3%</w:t>
            </w:r>
          </w:p>
        </w:tc>
        <w:tc>
          <w:tcPr>
            <w:tcW w:w="1560"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4,7%</w:t>
            </w:r>
          </w:p>
        </w:tc>
        <w:tc>
          <w:tcPr>
            <w:tcW w:w="1553"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4,6%</w:t>
            </w:r>
          </w:p>
        </w:tc>
      </w:tr>
      <w:tr w:rsidR="00470ED1" w:rsidRPr="00D164B1" w:rsidTr="00470ED1">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Sant Andreu</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5,0%</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5,5%</w:t>
            </w:r>
          </w:p>
        </w:tc>
        <w:tc>
          <w:tcPr>
            <w:tcW w:w="1560"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5,1%</w:t>
            </w:r>
          </w:p>
        </w:tc>
        <w:tc>
          <w:tcPr>
            <w:tcW w:w="1553"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4,9%</w:t>
            </w:r>
          </w:p>
        </w:tc>
      </w:tr>
      <w:tr w:rsidR="00470ED1" w:rsidRPr="00D164B1" w:rsidTr="00470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Horta - Guinardó</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5,2%</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5,2%</w:t>
            </w:r>
          </w:p>
        </w:tc>
        <w:tc>
          <w:tcPr>
            <w:tcW w:w="1560"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4,8%</w:t>
            </w:r>
          </w:p>
        </w:tc>
        <w:tc>
          <w:tcPr>
            <w:tcW w:w="1553"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4,9%</w:t>
            </w:r>
          </w:p>
        </w:tc>
      </w:tr>
      <w:tr w:rsidR="00470ED1" w:rsidRPr="00D164B1" w:rsidTr="00470ED1">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Gràcia</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4,5%</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4,4%</w:t>
            </w:r>
          </w:p>
        </w:tc>
        <w:tc>
          <w:tcPr>
            <w:tcW w:w="1560"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4,1%</w:t>
            </w:r>
          </w:p>
        </w:tc>
        <w:tc>
          <w:tcPr>
            <w:tcW w:w="1553"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4,0%</w:t>
            </w:r>
          </w:p>
        </w:tc>
      </w:tr>
      <w:tr w:rsidR="00470ED1" w:rsidRPr="00D164B1" w:rsidTr="00470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Sant Martí</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4,7%</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4,7%</w:t>
            </w:r>
          </w:p>
        </w:tc>
        <w:tc>
          <w:tcPr>
            <w:tcW w:w="1560"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5,0%</w:t>
            </w:r>
          </w:p>
        </w:tc>
        <w:tc>
          <w:tcPr>
            <w:tcW w:w="1553"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4,7%</w:t>
            </w:r>
          </w:p>
        </w:tc>
      </w:tr>
      <w:tr w:rsidR="00470ED1" w:rsidRPr="00D164B1" w:rsidTr="00470ED1">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Eixample</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4,1%</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4,0%</w:t>
            </w:r>
          </w:p>
        </w:tc>
        <w:tc>
          <w:tcPr>
            <w:tcW w:w="1560"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3,8%</w:t>
            </w:r>
          </w:p>
        </w:tc>
        <w:tc>
          <w:tcPr>
            <w:tcW w:w="1553"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3,9%</w:t>
            </w:r>
          </w:p>
        </w:tc>
      </w:tr>
      <w:tr w:rsidR="00470ED1" w:rsidRPr="00D164B1" w:rsidTr="00470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Sarrià - Sant Gervasi</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3,9%</w:t>
            </w:r>
          </w:p>
        </w:tc>
        <w:tc>
          <w:tcPr>
            <w:tcW w:w="1701"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3,8%</w:t>
            </w:r>
          </w:p>
        </w:tc>
        <w:tc>
          <w:tcPr>
            <w:tcW w:w="1560"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3,7%</w:t>
            </w:r>
          </w:p>
        </w:tc>
        <w:tc>
          <w:tcPr>
            <w:tcW w:w="1553" w:type="dxa"/>
            <w:vAlign w:val="bottom"/>
          </w:tcPr>
          <w:p w:rsidR="00470ED1" w:rsidRPr="00D164B1" w:rsidRDefault="00470ED1" w:rsidP="00470ED1">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3,6%</w:t>
            </w:r>
          </w:p>
        </w:tc>
      </w:tr>
      <w:tr w:rsidR="00470ED1" w:rsidRPr="00D164B1" w:rsidTr="00470ED1">
        <w:tc>
          <w:tcPr>
            <w:cnfStyle w:val="001000000000" w:firstRow="0" w:lastRow="0" w:firstColumn="1" w:lastColumn="0" w:oddVBand="0" w:evenVBand="0" w:oddHBand="0" w:evenHBand="0" w:firstRowFirstColumn="0" w:firstRowLastColumn="0" w:lastRowFirstColumn="0" w:lastRowLastColumn="0"/>
            <w:tcW w:w="2268" w:type="dxa"/>
          </w:tcPr>
          <w:p w:rsidR="00470ED1" w:rsidRPr="00D164B1" w:rsidRDefault="00470ED1" w:rsidP="00470ED1">
            <w:pPr>
              <w:rPr>
                <w:rFonts w:ascii="Open Sans Light" w:hAnsi="Open Sans Light" w:cs="Open Sans Light"/>
                <w:sz w:val="22"/>
                <w:szCs w:val="22"/>
              </w:rPr>
            </w:pPr>
            <w:r w:rsidRPr="00D164B1">
              <w:rPr>
                <w:rFonts w:ascii="Open Sans Light" w:hAnsi="Open Sans Light" w:cs="Open Sans Light"/>
                <w:sz w:val="22"/>
                <w:szCs w:val="22"/>
              </w:rPr>
              <w:t>Les Corts</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3,9%</w:t>
            </w:r>
          </w:p>
        </w:tc>
        <w:tc>
          <w:tcPr>
            <w:tcW w:w="1701"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3,7%</w:t>
            </w:r>
          </w:p>
        </w:tc>
        <w:tc>
          <w:tcPr>
            <w:tcW w:w="1560"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D164B1">
              <w:rPr>
                <w:rFonts w:ascii="Open Sans Light" w:hAnsi="Open Sans Light" w:cs="Open Sans Light"/>
                <w:color w:val="000000"/>
                <w:sz w:val="22"/>
                <w:szCs w:val="22"/>
              </w:rPr>
              <w:t>3,6%</w:t>
            </w:r>
          </w:p>
        </w:tc>
        <w:tc>
          <w:tcPr>
            <w:tcW w:w="1553" w:type="dxa"/>
            <w:vAlign w:val="bottom"/>
          </w:tcPr>
          <w:p w:rsidR="00470ED1" w:rsidRPr="00D164B1" w:rsidRDefault="00470ED1" w:rsidP="00470ED1">
            <w:pPr>
              <w:jc w:val="cente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b/>
                <w:color w:val="000000"/>
                <w:sz w:val="22"/>
                <w:szCs w:val="22"/>
              </w:rPr>
            </w:pPr>
            <w:r w:rsidRPr="00D164B1">
              <w:rPr>
                <w:rFonts w:ascii="Open Sans Light" w:hAnsi="Open Sans Light" w:cs="Open Sans Light"/>
                <w:b/>
                <w:color w:val="000000"/>
                <w:sz w:val="22"/>
                <w:szCs w:val="22"/>
              </w:rPr>
              <w:t>3,9%</w:t>
            </w:r>
          </w:p>
        </w:tc>
      </w:tr>
    </w:tbl>
    <w:p w:rsidR="0014415E" w:rsidRPr="00470ED1" w:rsidRDefault="0014415E" w:rsidP="00470ED1">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sidRPr="00470ED1">
        <w:rPr>
          <w:rFonts w:ascii="Open Sans Light" w:hAnsi="Open Sans Light" w:cs="Open Sans Light"/>
          <w:b/>
          <w:iCs/>
          <w:color w:val="303AB2"/>
          <w:sz w:val="28"/>
          <w:szCs w:val="20"/>
        </w:rPr>
        <w:t xml:space="preserve">Distritos de Barcelona más rentables </w:t>
      </w:r>
    </w:p>
    <w:p w:rsidR="0014415E" w:rsidRDefault="0014415E" w:rsidP="0014415E">
      <w:pPr>
        <w:jc w:val="both"/>
        <w:rPr>
          <w:rFonts w:ascii="Open Sans Light" w:hAnsi="Open Sans Light"/>
          <w:color w:val="404040" w:themeColor="text1" w:themeTint="BF"/>
          <w:lang w:val="es-ES"/>
        </w:rPr>
      </w:pPr>
    </w:p>
    <w:p w:rsidR="0014415E" w:rsidRDefault="0014415E" w:rsidP="0014415E">
      <w:pPr>
        <w:jc w:val="both"/>
        <w:rPr>
          <w:rFonts w:ascii="Open Sans Light" w:hAnsi="Open Sans Light"/>
          <w:color w:val="404040" w:themeColor="text1" w:themeTint="BF"/>
          <w:lang w:val="es-ES"/>
        </w:rPr>
      </w:pPr>
    </w:p>
    <w:p w:rsidR="004F4D46" w:rsidRDefault="004F4D46" w:rsidP="00E84EE3">
      <w:pPr>
        <w:pStyle w:val="NormalWeb"/>
        <w:shd w:val="clear" w:color="auto" w:fill="FFFFFF"/>
        <w:spacing w:after="225" w:line="276" w:lineRule="auto"/>
        <w:ind w:right="-574"/>
        <w:jc w:val="both"/>
        <w:rPr>
          <w:rFonts w:ascii="Open Sans" w:hAnsi="Open Sans" w:cs="Open Sans"/>
          <w:color w:val="000000"/>
          <w:sz w:val="22"/>
          <w:szCs w:val="22"/>
        </w:rPr>
      </w:pPr>
    </w:p>
    <w:p w:rsidR="004F4D46" w:rsidRDefault="004F4D46" w:rsidP="00E84EE3">
      <w:pPr>
        <w:pStyle w:val="NormalWeb"/>
        <w:shd w:val="clear" w:color="auto" w:fill="FFFFFF"/>
        <w:spacing w:after="225" w:line="276" w:lineRule="auto"/>
        <w:ind w:right="-574"/>
        <w:jc w:val="both"/>
        <w:rPr>
          <w:rFonts w:ascii="Open Sans" w:hAnsi="Open Sans" w:cs="Open Sans"/>
          <w:color w:val="000000"/>
          <w:sz w:val="22"/>
          <w:szCs w:val="22"/>
        </w:rPr>
      </w:pPr>
    </w:p>
    <w:p w:rsidR="004F4D46" w:rsidRDefault="004F4D46" w:rsidP="00E84EE3">
      <w:pPr>
        <w:pStyle w:val="NormalWeb"/>
        <w:shd w:val="clear" w:color="auto" w:fill="FFFFFF"/>
        <w:spacing w:after="225" w:line="276" w:lineRule="auto"/>
        <w:ind w:right="-574"/>
        <w:jc w:val="both"/>
        <w:rPr>
          <w:rFonts w:ascii="Open Sans" w:hAnsi="Open Sans" w:cs="Open Sans"/>
          <w:color w:val="000000"/>
          <w:sz w:val="22"/>
          <w:szCs w:val="22"/>
        </w:rPr>
      </w:pPr>
    </w:p>
    <w:p w:rsidR="00B668EA" w:rsidRDefault="00B668EA" w:rsidP="00753088">
      <w:pPr>
        <w:spacing w:line="276" w:lineRule="auto"/>
        <w:ind w:right="-574"/>
        <w:jc w:val="right"/>
        <w:rPr>
          <w:rFonts w:ascii="Open Sans Light" w:hAnsi="Open Sans Light" w:cs="Open Sans Light"/>
          <w:b/>
          <w:iCs/>
          <w:color w:val="303AB2"/>
          <w:szCs w:val="20"/>
          <w:lang w:val="es-ES"/>
        </w:rPr>
      </w:pPr>
    </w:p>
    <w:p w:rsidR="00B41A97" w:rsidRPr="00B41A97" w:rsidRDefault="00B41A97" w:rsidP="00753088">
      <w:pPr>
        <w:spacing w:line="276" w:lineRule="auto"/>
        <w:ind w:right="-574"/>
        <w:jc w:val="right"/>
        <w:rPr>
          <w:rFonts w:ascii="Open Sans Light" w:hAnsi="Open Sans Light" w:cs="Open Sans Light"/>
          <w:b/>
          <w:iCs/>
          <w:color w:val="303AB2"/>
          <w:szCs w:val="20"/>
          <w:lang w:val="es-ES"/>
        </w:rPr>
      </w:pPr>
      <w:r w:rsidRPr="00B41A97">
        <w:rPr>
          <w:rFonts w:ascii="Open Sans Light" w:hAnsi="Open Sans Light" w:cs="Open Sans Light"/>
          <w:b/>
          <w:iCs/>
          <w:color w:val="303AB2"/>
          <w:szCs w:val="20"/>
          <w:lang w:val="es-ES"/>
        </w:rPr>
        <w:lastRenderedPageBreak/>
        <w:t xml:space="preserve">Sobre </w:t>
      </w:r>
      <w:r w:rsidR="00152FC9">
        <w:rPr>
          <w:rFonts w:ascii="Open Sans Light" w:hAnsi="Open Sans Light" w:cs="Open Sans Light"/>
          <w:b/>
          <w:iCs/>
          <w:color w:val="303AB2"/>
          <w:szCs w:val="20"/>
          <w:lang w:val="es-ES"/>
        </w:rPr>
        <w:t>F</w:t>
      </w:r>
      <w:r w:rsidRPr="00B41A97">
        <w:rPr>
          <w:rFonts w:ascii="Open Sans Light" w:hAnsi="Open Sans Light" w:cs="Open Sans Light"/>
          <w:b/>
          <w:iCs/>
          <w:color w:val="303AB2"/>
          <w:szCs w:val="20"/>
          <w:lang w:val="es-ES"/>
        </w:rPr>
        <w:t>otocasa</w:t>
      </w:r>
    </w:p>
    <w:p w:rsidR="00D31A57" w:rsidRDefault="00D31A57"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1"/>
          <w:szCs w:val="21"/>
        </w:rPr>
      </w:pPr>
    </w:p>
    <w:p w:rsidR="00B41A97" w:rsidRPr="00B97DF8" w:rsidRDefault="00B41A97"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r w:rsidRPr="00B97DF8">
        <w:rPr>
          <w:rFonts w:ascii="Open Sans" w:hAnsi="Open Sans" w:cs="Open Sans"/>
          <w:color w:val="000000"/>
          <w:sz w:val="22"/>
          <w:szCs w:val="22"/>
        </w:rPr>
        <w:t xml:space="preserve">Portal inmobiliario que </w:t>
      </w:r>
      <w:r w:rsidR="00B82525">
        <w:rPr>
          <w:rFonts w:ascii="Open Sans" w:hAnsi="Open Sans" w:cs="Open Sans"/>
          <w:color w:val="000000"/>
          <w:sz w:val="22"/>
          <w:szCs w:val="22"/>
        </w:rPr>
        <w:t xml:space="preserve">cuenta con inmuebles de segunda mano, </w:t>
      </w:r>
      <w:r w:rsidRPr="00B97DF8">
        <w:rPr>
          <w:rFonts w:ascii="Open Sans" w:hAnsi="Open Sans" w:cs="Open Sans"/>
          <w:color w:val="000000"/>
          <w:sz w:val="22"/>
          <w:szCs w:val="22"/>
        </w:rPr>
        <w:t xml:space="preserve">promociones de obra nueva y </w:t>
      </w:r>
      <w:r w:rsidR="00B82525">
        <w:rPr>
          <w:rFonts w:ascii="Open Sans" w:hAnsi="Open Sans" w:cs="Open Sans"/>
          <w:color w:val="000000"/>
          <w:sz w:val="22"/>
          <w:szCs w:val="22"/>
        </w:rPr>
        <w:t xml:space="preserve">viviendas de </w:t>
      </w:r>
      <w:r w:rsidRPr="00B97DF8">
        <w:rPr>
          <w:rFonts w:ascii="Open Sans" w:hAnsi="Open Sans" w:cs="Open Sans"/>
          <w:color w:val="000000"/>
          <w:sz w:val="22"/>
          <w:szCs w:val="22"/>
        </w:rPr>
        <w:t>alquiler. Cada mes genera un tráfico de 22 millones de visitas al mes (70% a través de dispositivos móviles) y 650 millones de páginas vistas y cada día la visitan un promedio de 493.000 usuarios únicos.</w:t>
      </w:r>
    </w:p>
    <w:p w:rsidR="00B41A97" w:rsidRPr="00B97DF8" w:rsidRDefault="00B41A97"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r w:rsidRPr="00B97DF8">
        <w:rPr>
          <w:rFonts w:ascii="Open Sans" w:hAnsi="Open Sans" w:cs="Open Sans"/>
          <w:color w:val="000000"/>
          <w:sz w:val="22"/>
          <w:szCs w:val="22"/>
        </w:rPr>
        <w:t xml:space="preserve">Mensualmente elabora el </w:t>
      </w:r>
      <w:hyperlink r:id="rId17" w:history="1">
        <w:r w:rsidRPr="00B97DF8">
          <w:rPr>
            <w:rStyle w:val="Hipervnculo"/>
            <w:rFonts w:ascii="Open Sans" w:hAnsi="Open Sans" w:cs="Open Sans"/>
            <w:sz w:val="22"/>
            <w:szCs w:val="22"/>
          </w:rPr>
          <w:t>índice inmobiliario Fotocasa</w:t>
        </w:r>
      </w:hyperlink>
      <w:r w:rsidRPr="00B97DF8">
        <w:rPr>
          <w:rFonts w:ascii="Open Sans" w:hAnsi="Open Sans" w:cs="Open Sans"/>
          <w:color w:val="000000"/>
          <w:sz w:val="22"/>
          <w:szCs w:val="22"/>
        </w:rPr>
        <w:t>, un informe de referencia sobre la evolución del precio medio de la vivienda en España, tanto en venta como en alquiler.</w:t>
      </w:r>
    </w:p>
    <w:p w:rsidR="00B41A97" w:rsidRPr="00B97DF8" w:rsidRDefault="00B41A97"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p>
    <w:p w:rsidR="00B41A97" w:rsidRDefault="00D77A13"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hyperlink r:id="rId18" w:history="1">
        <w:r w:rsidR="00B41A97" w:rsidRPr="00B97DF8">
          <w:rPr>
            <w:rStyle w:val="Hipervnculo"/>
            <w:rFonts w:ascii="Open Sans" w:hAnsi="Open Sans" w:cs="Open Sans"/>
            <w:b/>
            <w:bCs/>
            <w:sz w:val="22"/>
            <w:szCs w:val="22"/>
          </w:rPr>
          <w:t>Fotocasa</w:t>
        </w:r>
      </w:hyperlink>
      <w:r w:rsidR="00B41A97" w:rsidRPr="00B97DF8">
        <w:rPr>
          <w:rFonts w:ascii="Open Sans" w:hAnsi="Open Sans" w:cs="Open Sans"/>
          <w:color w:val="000000"/>
          <w:sz w:val="22"/>
          <w:szCs w:val="22"/>
        </w:rPr>
        <w:t xml:space="preserve"> pertenece a </w:t>
      </w:r>
      <w:hyperlink r:id="rId19" w:history="1">
        <w:r w:rsidR="00B41A97" w:rsidRPr="00B97DF8">
          <w:rPr>
            <w:rStyle w:val="Hipervnculo"/>
            <w:rFonts w:ascii="Open Sans" w:hAnsi="Open Sans" w:cs="Open Sans"/>
            <w:sz w:val="22"/>
            <w:szCs w:val="22"/>
          </w:rPr>
          <w:t xml:space="preserve">Schibsted </w:t>
        </w:r>
        <w:proofErr w:type="spellStart"/>
        <w:r w:rsidR="00B41A97" w:rsidRPr="00B97DF8">
          <w:rPr>
            <w:rStyle w:val="Hipervnculo"/>
            <w:rFonts w:ascii="Open Sans" w:hAnsi="Open Sans" w:cs="Open Sans"/>
            <w:sz w:val="22"/>
            <w:szCs w:val="22"/>
          </w:rPr>
          <w:t>Spain</w:t>
        </w:r>
        <w:proofErr w:type="spellEnd"/>
      </w:hyperlink>
      <w:r w:rsidR="00B41A97" w:rsidRPr="00B97DF8">
        <w:rPr>
          <w:rFonts w:ascii="Open Sans" w:hAnsi="Open Sans" w:cs="Open Sans"/>
          <w:color w:val="000000"/>
          <w:sz w:val="22"/>
          <w:szCs w:val="22"/>
        </w:rPr>
        <w:t xml:space="preserve">, la compañía de anuncios clasificados y de ofertas de empleo más grande y diversificada del país. Además de gestionar el portal </w:t>
      </w:r>
      <w:r w:rsidR="00D31A57" w:rsidRPr="00B97DF8">
        <w:rPr>
          <w:rFonts w:ascii="Open Sans" w:hAnsi="Open Sans" w:cs="Open Sans"/>
          <w:color w:val="000000"/>
          <w:sz w:val="22"/>
          <w:szCs w:val="22"/>
        </w:rPr>
        <w:t>inmobiliario F</w:t>
      </w:r>
      <w:r w:rsidR="00B41A97" w:rsidRPr="00B97DF8">
        <w:rPr>
          <w:rFonts w:ascii="Open Sans" w:hAnsi="Open Sans" w:cs="Open Sans"/>
          <w:color w:val="000000"/>
          <w:sz w:val="22"/>
          <w:szCs w:val="22"/>
        </w:rPr>
        <w:t xml:space="preserve">otocasa, cuenta con los siguientes portales de referencia: </w:t>
      </w:r>
      <w:hyperlink r:id="rId20" w:history="1">
        <w:proofErr w:type="spellStart"/>
        <w:r w:rsidR="00B41A97" w:rsidRPr="00B97DF8">
          <w:rPr>
            <w:rStyle w:val="Hipervnculo"/>
            <w:rFonts w:ascii="Open Sans" w:hAnsi="Open Sans" w:cs="Open Sans"/>
            <w:sz w:val="22"/>
            <w:szCs w:val="22"/>
          </w:rPr>
          <w:t>vibbo</w:t>
        </w:r>
        <w:proofErr w:type="spellEnd"/>
      </w:hyperlink>
      <w:r w:rsidR="00B41A97" w:rsidRPr="00B97DF8">
        <w:rPr>
          <w:rFonts w:ascii="Open Sans" w:hAnsi="Open Sans" w:cs="Open Sans"/>
          <w:color w:val="000000"/>
          <w:sz w:val="22"/>
          <w:szCs w:val="22"/>
        </w:rPr>
        <w:t xml:space="preserve">, </w:t>
      </w:r>
      <w:hyperlink r:id="rId21" w:history="1">
        <w:r w:rsidR="00D31A57" w:rsidRPr="00B97DF8">
          <w:rPr>
            <w:rStyle w:val="Hipervnculo"/>
            <w:rFonts w:ascii="Open Sans" w:hAnsi="Open Sans" w:cs="Open Sans"/>
            <w:sz w:val="22"/>
            <w:szCs w:val="22"/>
          </w:rPr>
          <w:t>I</w:t>
        </w:r>
        <w:r w:rsidR="00B41A97" w:rsidRPr="00B97DF8">
          <w:rPr>
            <w:rStyle w:val="Hipervnculo"/>
            <w:rFonts w:ascii="Open Sans" w:hAnsi="Open Sans" w:cs="Open Sans"/>
            <w:sz w:val="22"/>
            <w:szCs w:val="22"/>
          </w:rPr>
          <w:t>nfojobs.net</w:t>
        </w:r>
      </w:hyperlink>
      <w:r w:rsidR="00B41A97" w:rsidRPr="00B97DF8">
        <w:rPr>
          <w:rFonts w:ascii="Open Sans" w:hAnsi="Open Sans" w:cs="Open Sans"/>
          <w:color w:val="000000"/>
          <w:sz w:val="22"/>
          <w:szCs w:val="22"/>
        </w:rPr>
        <w:t xml:space="preserve">, </w:t>
      </w:r>
      <w:hyperlink r:id="rId22" w:history="1">
        <w:proofErr w:type="spellStart"/>
        <w:r w:rsidR="00B41A97" w:rsidRPr="00B97DF8">
          <w:rPr>
            <w:rStyle w:val="Hipervnculo"/>
            <w:rFonts w:ascii="Open Sans" w:hAnsi="Open Sans" w:cs="Open Sans"/>
            <w:sz w:val="22"/>
            <w:szCs w:val="22"/>
          </w:rPr>
          <w:t>habitaclia</w:t>
        </w:r>
        <w:proofErr w:type="spellEnd"/>
      </w:hyperlink>
      <w:r w:rsidR="00B41A97" w:rsidRPr="00B97DF8">
        <w:rPr>
          <w:rFonts w:ascii="Open Sans" w:hAnsi="Open Sans" w:cs="Open Sans"/>
          <w:color w:val="000000"/>
          <w:sz w:val="22"/>
          <w:szCs w:val="22"/>
        </w:rPr>
        <w:t xml:space="preserve">, </w:t>
      </w:r>
      <w:hyperlink r:id="rId23" w:history="1">
        <w:r w:rsidR="00B41A97" w:rsidRPr="00B97DF8">
          <w:rPr>
            <w:rStyle w:val="Hipervnculo"/>
            <w:rFonts w:ascii="Open Sans" w:hAnsi="Open Sans" w:cs="Open Sans"/>
            <w:sz w:val="22"/>
            <w:szCs w:val="22"/>
          </w:rPr>
          <w:t>coches.net</w:t>
        </w:r>
      </w:hyperlink>
      <w:r w:rsidR="00B41A97" w:rsidRPr="00B97DF8">
        <w:rPr>
          <w:rFonts w:ascii="Open Sans" w:hAnsi="Open Sans" w:cs="Open Sans"/>
          <w:color w:val="000000"/>
          <w:sz w:val="22"/>
          <w:szCs w:val="22"/>
        </w:rPr>
        <w:t xml:space="preserve">, </w:t>
      </w:r>
      <w:hyperlink r:id="rId24" w:history="1">
        <w:r w:rsidR="00B41A97" w:rsidRPr="00B97DF8">
          <w:rPr>
            <w:rStyle w:val="Hipervnculo"/>
            <w:rFonts w:ascii="Open Sans" w:hAnsi="Open Sans" w:cs="Open Sans"/>
            <w:sz w:val="22"/>
            <w:szCs w:val="22"/>
          </w:rPr>
          <w:t>motos.ne</w:t>
        </w:r>
      </w:hyperlink>
      <w:r w:rsidR="00B41A97" w:rsidRPr="00B97DF8">
        <w:rPr>
          <w:rFonts w:ascii="Open Sans" w:hAnsi="Open Sans" w:cs="Open Sans"/>
          <w:color w:val="000000"/>
          <w:sz w:val="22"/>
          <w:szCs w:val="22"/>
        </w:rPr>
        <w:t xml:space="preserve">t y </w:t>
      </w:r>
      <w:hyperlink r:id="rId25" w:history="1">
        <w:proofErr w:type="spellStart"/>
        <w:r w:rsidR="00B41A97" w:rsidRPr="00B97DF8">
          <w:rPr>
            <w:rStyle w:val="Hipervnculo"/>
            <w:rFonts w:ascii="Open Sans" w:hAnsi="Open Sans" w:cs="Open Sans"/>
            <w:sz w:val="22"/>
            <w:szCs w:val="22"/>
          </w:rPr>
          <w:t>milanuncios</w:t>
        </w:r>
        <w:proofErr w:type="spellEnd"/>
      </w:hyperlink>
      <w:r w:rsidR="00B41A97" w:rsidRPr="00B97DF8">
        <w:rPr>
          <w:rFonts w:ascii="Open Sans" w:hAnsi="Open Sans" w:cs="Open Sans"/>
          <w:color w:val="000000"/>
          <w:sz w:val="22"/>
          <w:szCs w:val="22"/>
        </w:rPr>
        <w:t xml:space="preserve">. Schibsted </w:t>
      </w:r>
      <w:proofErr w:type="spellStart"/>
      <w:r w:rsidR="00B41A97" w:rsidRPr="00B97DF8">
        <w:rPr>
          <w:rFonts w:ascii="Open Sans" w:hAnsi="Open Sans" w:cs="Open Sans"/>
          <w:color w:val="000000"/>
          <w:sz w:val="22"/>
          <w:szCs w:val="22"/>
        </w:rPr>
        <w:t>Spain</w:t>
      </w:r>
      <w:proofErr w:type="spellEnd"/>
      <w:r w:rsidR="00B41A97" w:rsidRPr="00B97DF8">
        <w:rPr>
          <w:rFonts w:ascii="Open Sans" w:hAnsi="Open Sans" w:cs="Open Sans"/>
          <w:color w:val="000000"/>
          <w:sz w:val="22"/>
          <w:szCs w:val="22"/>
        </w:rPr>
        <w:t xml:space="preserve"> forma parte del grupo internacional de origen noruego Schibsted Media </w:t>
      </w:r>
      <w:proofErr w:type="spellStart"/>
      <w:r w:rsidR="00B41A97" w:rsidRPr="00B97DF8">
        <w:rPr>
          <w:rFonts w:ascii="Open Sans" w:hAnsi="Open Sans" w:cs="Open Sans"/>
          <w:color w:val="000000"/>
          <w:sz w:val="22"/>
          <w:szCs w:val="22"/>
        </w:rPr>
        <w:t>Group</w:t>
      </w:r>
      <w:proofErr w:type="spellEnd"/>
      <w:r w:rsidR="00B41A97" w:rsidRPr="00B97DF8">
        <w:rPr>
          <w:rFonts w:ascii="Open Sans" w:hAnsi="Open Sans" w:cs="Open Sans"/>
          <w:color w:val="000000"/>
          <w:sz w:val="22"/>
          <w:szCs w:val="22"/>
        </w:rPr>
        <w:t xml:space="preserve">, que está presente en más de 30 países y cuenta con 6.800 empleados. Más información en la web de Schibsted Media </w:t>
      </w:r>
      <w:proofErr w:type="spellStart"/>
      <w:r w:rsidR="00B41A97" w:rsidRPr="00B97DF8">
        <w:rPr>
          <w:rFonts w:ascii="Open Sans" w:hAnsi="Open Sans" w:cs="Open Sans"/>
          <w:color w:val="000000"/>
          <w:sz w:val="22"/>
          <w:szCs w:val="22"/>
        </w:rPr>
        <w:t>Group</w:t>
      </w:r>
      <w:proofErr w:type="spellEnd"/>
      <w:r w:rsidR="00B41A97" w:rsidRPr="00B97DF8">
        <w:rPr>
          <w:rFonts w:ascii="Open Sans" w:hAnsi="Open Sans" w:cs="Open Sans"/>
          <w:color w:val="000000"/>
          <w:sz w:val="22"/>
          <w:szCs w:val="22"/>
        </w:rPr>
        <w:t>.</w:t>
      </w:r>
    </w:p>
    <w:p w:rsidR="00400CD5" w:rsidRDefault="00400CD5"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p>
    <w:p w:rsidR="00400CD5" w:rsidRDefault="00400CD5" w:rsidP="00753088">
      <w:pPr>
        <w:pStyle w:val="NormalWeb"/>
        <w:shd w:val="clear" w:color="auto" w:fill="FFFFFF"/>
        <w:spacing w:before="0" w:beforeAutospacing="0" w:after="0" w:afterAutospacing="0" w:line="276" w:lineRule="auto"/>
        <w:ind w:right="-574"/>
        <w:jc w:val="both"/>
        <w:rPr>
          <w:rFonts w:ascii="Open Sans" w:hAnsi="Open Sans" w:cs="Open Sans"/>
          <w:color w:val="000000"/>
          <w:sz w:val="22"/>
          <w:szCs w:val="22"/>
        </w:rPr>
      </w:pPr>
    </w:p>
    <w:p w:rsidR="00B41A97" w:rsidRPr="00B41A97" w:rsidRDefault="00B41A97" w:rsidP="00753088">
      <w:pPr>
        <w:spacing w:line="276" w:lineRule="auto"/>
        <w:ind w:right="-574"/>
        <w:jc w:val="right"/>
        <w:rPr>
          <w:rFonts w:ascii="Open Sans Light" w:hAnsi="Open Sans Light" w:cs="Open Sans Light"/>
          <w:b/>
          <w:iCs/>
          <w:color w:val="303AB2"/>
          <w:szCs w:val="20"/>
          <w:lang w:val="es-ES"/>
        </w:rPr>
      </w:pPr>
      <w:r w:rsidRPr="00B41A97">
        <w:rPr>
          <w:rFonts w:ascii="Open Sans Light" w:hAnsi="Open Sans Light" w:cs="Open Sans Light"/>
          <w:b/>
          <w:iCs/>
          <w:color w:val="303AB2"/>
          <w:szCs w:val="20"/>
          <w:lang w:val="es-ES"/>
        </w:rPr>
        <w:t>D</w:t>
      </w:r>
      <w:r>
        <w:rPr>
          <w:rFonts w:ascii="Open Sans Light" w:hAnsi="Open Sans Light" w:cs="Open Sans Light"/>
          <w:b/>
          <w:iCs/>
          <w:color w:val="303AB2"/>
          <w:szCs w:val="20"/>
          <w:lang w:val="es-ES"/>
        </w:rPr>
        <w:t>epartamento de Comunicación de F</w:t>
      </w:r>
      <w:r w:rsidRPr="00B41A97">
        <w:rPr>
          <w:rFonts w:ascii="Open Sans Light" w:hAnsi="Open Sans Light" w:cs="Open Sans Light"/>
          <w:b/>
          <w:iCs/>
          <w:color w:val="303AB2"/>
          <w:szCs w:val="20"/>
          <w:lang w:val="es-ES"/>
        </w:rPr>
        <w:t>otocasa</w:t>
      </w:r>
    </w:p>
    <w:p w:rsidR="00B41A97" w:rsidRPr="00B41A97" w:rsidRDefault="00B41A97" w:rsidP="00753088">
      <w:pPr>
        <w:pStyle w:val="NormalWeb"/>
        <w:shd w:val="clear" w:color="auto" w:fill="FFFFFF"/>
        <w:spacing w:before="0" w:beforeAutospacing="0" w:after="0" w:afterAutospacing="0" w:line="276" w:lineRule="auto"/>
        <w:ind w:right="-574"/>
        <w:jc w:val="right"/>
        <w:rPr>
          <w:rFonts w:ascii="Open Sans" w:hAnsi="Open Sans" w:cs="Open Sans"/>
          <w:b/>
          <w:bCs/>
          <w:color w:val="000000"/>
          <w:sz w:val="21"/>
          <w:szCs w:val="21"/>
        </w:rPr>
      </w:pPr>
      <w:r w:rsidRPr="00B41A97">
        <w:rPr>
          <w:rFonts w:ascii="Open Sans" w:hAnsi="Open Sans" w:cs="Open Sans"/>
          <w:b/>
          <w:bCs/>
          <w:color w:val="000000"/>
          <w:sz w:val="21"/>
          <w:szCs w:val="21"/>
        </w:rPr>
        <w:t>Anaïs López</w:t>
      </w:r>
    </w:p>
    <w:p w:rsidR="00B41A97" w:rsidRPr="00B41A97" w:rsidRDefault="00B41A97" w:rsidP="00753088">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B41A97">
        <w:rPr>
          <w:rFonts w:ascii="Open Sans" w:hAnsi="Open Sans" w:cs="Open Sans"/>
          <w:color w:val="000000"/>
          <w:sz w:val="21"/>
          <w:szCs w:val="21"/>
        </w:rPr>
        <w:t>Tlf.: 93 576 56 79</w:t>
      </w:r>
    </w:p>
    <w:p w:rsidR="00B41A97" w:rsidRPr="00B41A97" w:rsidRDefault="00B41A97" w:rsidP="00753088">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B41A97">
        <w:rPr>
          <w:rFonts w:ascii="Open Sans" w:hAnsi="Open Sans" w:cs="Open Sans"/>
          <w:color w:val="000000"/>
          <w:sz w:val="21"/>
          <w:szCs w:val="21"/>
        </w:rPr>
        <w:t>Móvil: 620 66 29 26</w:t>
      </w:r>
    </w:p>
    <w:p w:rsidR="00B41A97" w:rsidRPr="00B41A97" w:rsidRDefault="00D77A13" w:rsidP="00753088">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26" w:history="1">
        <w:r w:rsidR="00B41A97" w:rsidRPr="00B41A97">
          <w:rPr>
            <w:rStyle w:val="Hipervnculo"/>
            <w:rFonts w:ascii="Open Sans" w:hAnsi="Open Sans" w:cs="Open Sans"/>
            <w:sz w:val="21"/>
            <w:szCs w:val="21"/>
          </w:rPr>
          <w:t>comunicacion@fotocasa.es</w:t>
        </w:r>
      </w:hyperlink>
    </w:p>
    <w:p w:rsidR="00B41A97" w:rsidRPr="00B41A97" w:rsidRDefault="00D77A13" w:rsidP="00753088">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27" w:history="1">
        <w:r w:rsidR="00B41A97" w:rsidRPr="00B41A97">
          <w:rPr>
            <w:rStyle w:val="Hipervnculo"/>
            <w:rFonts w:ascii="Open Sans" w:hAnsi="Open Sans" w:cs="Open Sans"/>
            <w:sz w:val="21"/>
            <w:szCs w:val="21"/>
          </w:rPr>
          <w:t>http://prensa.fotocasa.es</w:t>
        </w:r>
      </w:hyperlink>
    </w:p>
    <w:p w:rsidR="00B41A97" w:rsidRPr="00010ECE" w:rsidRDefault="00B41A97" w:rsidP="00753088">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proofErr w:type="spellStart"/>
      <w:r w:rsidRPr="00B41A97">
        <w:rPr>
          <w:rFonts w:ascii="Open Sans" w:hAnsi="Open Sans" w:cs="Open Sans"/>
          <w:color w:val="000000"/>
          <w:sz w:val="21"/>
          <w:szCs w:val="21"/>
        </w:rPr>
        <w:t>twitter</w:t>
      </w:r>
      <w:proofErr w:type="spellEnd"/>
      <w:r w:rsidRPr="00B41A97">
        <w:rPr>
          <w:rFonts w:ascii="Open Sans" w:hAnsi="Open Sans" w:cs="Open Sans"/>
          <w:color w:val="000000"/>
          <w:sz w:val="21"/>
          <w:szCs w:val="21"/>
        </w:rPr>
        <w:t>: @</w:t>
      </w:r>
      <w:proofErr w:type="spellStart"/>
      <w:r w:rsidRPr="00B41A97">
        <w:rPr>
          <w:rFonts w:ascii="Open Sans" w:hAnsi="Open Sans" w:cs="Open Sans"/>
          <w:color w:val="000000"/>
          <w:sz w:val="21"/>
          <w:szCs w:val="21"/>
        </w:rPr>
        <w:t>fotocasa</w:t>
      </w:r>
      <w:proofErr w:type="spellEnd"/>
    </w:p>
    <w:sectPr w:rsidR="00B41A97" w:rsidRPr="00010ECE" w:rsidSect="007A55E0">
      <w:footerReference w:type="default" r:id="rId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03" w:rsidRDefault="00D52203" w:rsidP="00DD4CA4">
      <w:r>
        <w:separator/>
      </w:r>
    </w:p>
  </w:endnote>
  <w:endnote w:type="continuationSeparator" w:id="0">
    <w:p w:rsidR="00D52203" w:rsidRDefault="00D52203"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ational">
    <w:altName w:val="Corbel"/>
    <w:panose1 w:val="00000000000000000000"/>
    <w:charset w:val="4D"/>
    <w:family w:val="auto"/>
    <w:notTrueType/>
    <w:pitch w:val="variable"/>
    <w:sig w:usb0="00000001" w:usb1="5000207B" w:usb2="00000010" w:usb3="00000000" w:csb0="0000009B" w:csb1="00000000"/>
  </w:font>
  <w:font w:name="Open Sans">
    <w:altName w:val="Tahoma"/>
    <w:charset w:val="00"/>
    <w:family w:val="swiss"/>
    <w:pitch w:val="variable"/>
    <w:sig w:usb0="E00002EF" w:usb1="4000205B" w:usb2="00000028" w:usb3="00000000" w:csb0="0000019F" w:csb1="00000000"/>
  </w:font>
  <w:font w:name="Open Sans Light">
    <w:altName w:val="Corbel"/>
    <w:charset w:val="00"/>
    <w:family w:val="swiss"/>
    <w:pitch w:val="variable"/>
    <w:sig w:usb0="E00002EF" w:usb1="4000205B" w:usb2="00000028"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A4" w:rsidRDefault="00DD4CA4">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66229950" wp14:editId="58606F1F">
          <wp:simplePos x="0" y="0"/>
          <wp:positionH relativeFrom="column">
            <wp:posOffset>-1068070</wp:posOffset>
          </wp:positionH>
          <wp:positionV relativeFrom="paragraph">
            <wp:posOffset>174608</wp:posOffset>
          </wp:positionV>
          <wp:extent cx="7670550" cy="451315"/>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03" w:rsidRDefault="00D52203" w:rsidP="00DD4CA4">
      <w:r>
        <w:separator/>
      </w:r>
    </w:p>
  </w:footnote>
  <w:footnote w:type="continuationSeparator" w:id="0">
    <w:p w:rsidR="00D52203" w:rsidRDefault="00D52203"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5A0A67"/>
    <w:multiLevelType w:val="hybridMultilevel"/>
    <w:tmpl w:val="6EB47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C4E6B"/>
    <w:multiLevelType w:val="hybridMultilevel"/>
    <w:tmpl w:val="47F60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A7"/>
    <w:rsid w:val="00010ECE"/>
    <w:rsid w:val="00014EC0"/>
    <w:rsid w:val="00063144"/>
    <w:rsid w:val="00075085"/>
    <w:rsid w:val="00084308"/>
    <w:rsid w:val="000A3C1F"/>
    <w:rsid w:val="000A4242"/>
    <w:rsid w:val="000C428A"/>
    <w:rsid w:val="000C57FF"/>
    <w:rsid w:val="000D75C0"/>
    <w:rsid w:val="0014415E"/>
    <w:rsid w:val="001517D2"/>
    <w:rsid w:val="00152FC9"/>
    <w:rsid w:val="001761D6"/>
    <w:rsid w:val="00196144"/>
    <w:rsid w:val="001E69C0"/>
    <w:rsid w:val="0021639C"/>
    <w:rsid w:val="0024318A"/>
    <w:rsid w:val="00247090"/>
    <w:rsid w:val="00267D6C"/>
    <w:rsid w:val="002710D2"/>
    <w:rsid w:val="00285782"/>
    <w:rsid w:val="00292293"/>
    <w:rsid w:val="002A35C0"/>
    <w:rsid w:val="002B6E3D"/>
    <w:rsid w:val="002B76EA"/>
    <w:rsid w:val="002C4A56"/>
    <w:rsid w:val="002F1AD6"/>
    <w:rsid w:val="002F2D4F"/>
    <w:rsid w:val="0030786F"/>
    <w:rsid w:val="00307DF9"/>
    <w:rsid w:val="003242DF"/>
    <w:rsid w:val="003429B3"/>
    <w:rsid w:val="00351CB1"/>
    <w:rsid w:val="0035736D"/>
    <w:rsid w:val="0039057C"/>
    <w:rsid w:val="00393365"/>
    <w:rsid w:val="003D2610"/>
    <w:rsid w:val="003F4390"/>
    <w:rsid w:val="00400CD5"/>
    <w:rsid w:val="004029F8"/>
    <w:rsid w:val="00406C13"/>
    <w:rsid w:val="00410D15"/>
    <w:rsid w:val="00453FB5"/>
    <w:rsid w:val="00454F4C"/>
    <w:rsid w:val="004577E7"/>
    <w:rsid w:val="00470ED1"/>
    <w:rsid w:val="004B0DEC"/>
    <w:rsid w:val="004D2D9F"/>
    <w:rsid w:val="004D48B4"/>
    <w:rsid w:val="004F4D46"/>
    <w:rsid w:val="005029E9"/>
    <w:rsid w:val="00503F5B"/>
    <w:rsid w:val="00516F9C"/>
    <w:rsid w:val="00581903"/>
    <w:rsid w:val="00582136"/>
    <w:rsid w:val="00585032"/>
    <w:rsid w:val="00587182"/>
    <w:rsid w:val="00593D08"/>
    <w:rsid w:val="005A1AD1"/>
    <w:rsid w:val="005A4CB5"/>
    <w:rsid w:val="005B37BD"/>
    <w:rsid w:val="005D12D9"/>
    <w:rsid w:val="005E0920"/>
    <w:rsid w:val="005E71CA"/>
    <w:rsid w:val="005F6CA3"/>
    <w:rsid w:val="00606A1A"/>
    <w:rsid w:val="00611616"/>
    <w:rsid w:val="006245F1"/>
    <w:rsid w:val="006251BA"/>
    <w:rsid w:val="00637401"/>
    <w:rsid w:val="00650951"/>
    <w:rsid w:val="006618CC"/>
    <w:rsid w:val="006D1E41"/>
    <w:rsid w:val="006F2116"/>
    <w:rsid w:val="006F6575"/>
    <w:rsid w:val="007027AA"/>
    <w:rsid w:val="0071058F"/>
    <w:rsid w:val="00736F3A"/>
    <w:rsid w:val="00753088"/>
    <w:rsid w:val="0076156F"/>
    <w:rsid w:val="00793775"/>
    <w:rsid w:val="007A2DB6"/>
    <w:rsid w:val="007A55E0"/>
    <w:rsid w:val="007E7286"/>
    <w:rsid w:val="00821FF7"/>
    <w:rsid w:val="0083043A"/>
    <w:rsid w:val="00835805"/>
    <w:rsid w:val="00847032"/>
    <w:rsid w:val="00861183"/>
    <w:rsid w:val="00863400"/>
    <w:rsid w:val="008871B3"/>
    <w:rsid w:val="008B478E"/>
    <w:rsid w:val="008C2B02"/>
    <w:rsid w:val="008D2DD9"/>
    <w:rsid w:val="008E1900"/>
    <w:rsid w:val="0093735E"/>
    <w:rsid w:val="009409BA"/>
    <w:rsid w:val="00964BED"/>
    <w:rsid w:val="00972E67"/>
    <w:rsid w:val="009A5E1C"/>
    <w:rsid w:val="009C0542"/>
    <w:rsid w:val="009D2F77"/>
    <w:rsid w:val="009D718A"/>
    <w:rsid w:val="00A2313F"/>
    <w:rsid w:val="00A338CE"/>
    <w:rsid w:val="00A56319"/>
    <w:rsid w:val="00A76E50"/>
    <w:rsid w:val="00A84CA7"/>
    <w:rsid w:val="00A95883"/>
    <w:rsid w:val="00AD0C78"/>
    <w:rsid w:val="00AD0F7C"/>
    <w:rsid w:val="00AD62DD"/>
    <w:rsid w:val="00AE1825"/>
    <w:rsid w:val="00AF163D"/>
    <w:rsid w:val="00B04900"/>
    <w:rsid w:val="00B10769"/>
    <w:rsid w:val="00B41A97"/>
    <w:rsid w:val="00B6101B"/>
    <w:rsid w:val="00B668EA"/>
    <w:rsid w:val="00B82525"/>
    <w:rsid w:val="00B85F69"/>
    <w:rsid w:val="00B97DF8"/>
    <w:rsid w:val="00BC0BE4"/>
    <w:rsid w:val="00BC1D19"/>
    <w:rsid w:val="00BC2CF1"/>
    <w:rsid w:val="00BF10C3"/>
    <w:rsid w:val="00C460B2"/>
    <w:rsid w:val="00C93EF4"/>
    <w:rsid w:val="00CC2113"/>
    <w:rsid w:val="00CD129D"/>
    <w:rsid w:val="00CE6775"/>
    <w:rsid w:val="00D31A57"/>
    <w:rsid w:val="00D3495E"/>
    <w:rsid w:val="00D52203"/>
    <w:rsid w:val="00D77A13"/>
    <w:rsid w:val="00D8519D"/>
    <w:rsid w:val="00D860D3"/>
    <w:rsid w:val="00D917EB"/>
    <w:rsid w:val="00D91C64"/>
    <w:rsid w:val="00DC68F0"/>
    <w:rsid w:val="00DC6B59"/>
    <w:rsid w:val="00DC7AC3"/>
    <w:rsid w:val="00DD4CA4"/>
    <w:rsid w:val="00DD4CE7"/>
    <w:rsid w:val="00E054C5"/>
    <w:rsid w:val="00E17B06"/>
    <w:rsid w:val="00E44CE3"/>
    <w:rsid w:val="00E84EE3"/>
    <w:rsid w:val="00EA721E"/>
    <w:rsid w:val="00EB7EA5"/>
    <w:rsid w:val="00ED6CFA"/>
    <w:rsid w:val="00EE12AE"/>
    <w:rsid w:val="00F00B64"/>
    <w:rsid w:val="00F208DC"/>
    <w:rsid w:val="00F65870"/>
    <w:rsid w:val="00F9754E"/>
    <w:rsid w:val="00FA4744"/>
    <w:rsid w:val="00FB324D"/>
    <w:rsid w:val="00FD6A4B"/>
    <w:rsid w:val="00FE4C89"/>
    <w:rsid w:val="00FE6386"/>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2FB020"/>
  <w15:docId w15:val="{9FB972BF-DF11-49B5-8942-60CC4275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basedOn w:val="Fuentedeprrafopredeter"/>
    <w:link w:val="Textocomentario"/>
    <w:uiPriority w:val="99"/>
    <w:semiHidden/>
    <w:rsid w:val="00964BED"/>
    <w:rPr>
      <w:sz w:val="20"/>
      <w:szCs w:val="20"/>
    </w:rPr>
  </w:style>
  <w:style w:type="character" w:styleId="Mencinsinresolver">
    <w:name w:val="Unresolved Mention"/>
    <w:basedOn w:val="Fuentedeprrafopredeter"/>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tocasa.es" TargetMode="External"/><Relationship Id="rId18" Type="http://schemas.openxmlformats.org/officeDocument/2006/relationships/hyperlink" Target="http://www.fotocasa.es" TargetMode="External"/><Relationship Id="rId26" Type="http://schemas.openxmlformats.org/officeDocument/2006/relationships/hyperlink" Target="file:///\\servidor\Users\Techsales%20Comunicaci&#243;n\CLIENTES\Fotocasa\fotocasa%202018\NP%20&#205;NDICES\Ndp%20&#237;ndices%20SEPTIEMBRE\Nueva%20Imagen%20Venta%20apoyo\comunicacion@fotocasa.es" TargetMode="External"/><Relationship Id="rId3" Type="http://schemas.openxmlformats.org/officeDocument/2006/relationships/styles" Target="styles.xml"/><Relationship Id="rId21" Type="http://schemas.openxmlformats.org/officeDocument/2006/relationships/hyperlink" Target="https://www.infojobs.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indice/" TargetMode="External"/><Relationship Id="rId25" Type="http://schemas.openxmlformats.org/officeDocument/2006/relationships/hyperlink" Target="https://www.milanuncios.es/"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vibb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casa.es" TargetMode="External"/><Relationship Id="rId24" Type="http://schemas.openxmlformats.org/officeDocument/2006/relationships/hyperlink" Target="https://motos.coches.net/"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coches.net/"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schibsted.es/" TargetMode="External"/><Relationship Id="rId4" Type="http://schemas.openxmlformats.org/officeDocument/2006/relationships/settings" Target="settings.xml"/><Relationship Id="rId9" Type="http://schemas.openxmlformats.org/officeDocument/2006/relationships/hyperlink" Target="http://www.fotocasa.es" TargetMode="External"/><Relationship Id="rId14" Type="http://schemas.openxmlformats.org/officeDocument/2006/relationships/hyperlink" Target="http://www.fotocasa.es" TargetMode="External"/><Relationship Id="rId22" Type="http://schemas.openxmlformats.org/officeDocument/2006/relationships/hyperlink" Target="https://www.habitaclia.com/" TargetMode="External"/><Relationship Id="rId27" Type="http://schemas.openxmlformats.org/officeDocument/2006/relationships/hyperlink" Target="http://prensa.fotocasa.e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ani_000.PATRICIA\Google%20Drive\PATRI%20Y%20ELENA\001%20CLIENTES\01-SCHIBSTED\ESTUDIO%20NdP\RENTABILIDAD\Historico-Rentabilida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rani_000.PATRICIA\Google%20Drive\PATRI%20Y%20ELENA\001%20CLIENTES\01-SCHIBSTED\ESTUDIO%20NdP\RENTABILIDAD\Historico-Rentabilida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rani_000.PATRICIA\Google%20Drive\PATRI%20Y%20ELENA\001%20CLIENTES\01-SCHIBSTED\ESTUDIO%20NdP\RENTABILIDAD\Historico-Rentabil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2128768355451495E-3"/>
          <c:y val="5.299984560753436E-2"/>
          <c:w val="0.98888410990783904"/>
          <c:h val="0.75869692758993357"/>
        </c:manualLayout>
      </c:layout>
      <c:barChart>
        <c:barDir val="col"/>
        <c:grouping val="clustered"/>
        <c:varyColors val="0"/>
        <c:ser>
          <c:idx val="0"/>
          <c:order val="0"/>
          <c:tx>
            <c:strRef>
              <c:f>'TABLA CCAA'!$AE$29</c:f>
              <c:strCache>
                <c:ptCount val="1"/>
                <c:pt idx="0">
                  <c:v>España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'TABLA CCAA'!$AD$30:$AD$40</c:f>
              <c:strCache>
                <c:ptCount val="11"/>
                <c:pt idx="0">
                  <c:v> enero 2009</c:v>
                </c:pt>
                <c:pt idx="1">
                  <c:v> enero 2010</c:v>
                </c:pt>
                <c:pt idx="2">
                  <c:v> enero 2011</c:v>
                </c:pt>
                <c:pt idx="3">
                  <c:v> enero 2012</c:v>
                </c:pt>
                <c:pt idx="4">
                  <c:v> enero 2013</c:v>
                </c:pt>
                <c:pt idx="5">
                  <c:v> enero 2014</c:v>
                </c:pt>
                <c:pt idx="6">
                  <c:v> enero 2015</c:v>
                </c:pt>
                <c:pt idx="7">
                  <c:v> enero 2016</c:v>
                </c:pt>
                <c:pt idx="8">
                  <c:v> enero 2017</c:v>
                </c:pt>
                <c:pt idx="9">
                  <c:v> enero 2018</c:v>
                </c:pt>
                <c:pt idx="10">
                  <c:v> enero 2019</c:v>
                </c:pt>
              </c:strCache>
            </c:strRef>
          </c:cat>
          <c:val>
            <c:numRef>
              <c:f>'TABLA CCAA'!$AE$30:$AE$40</c:f>
              <c:numCache>
                <c:formatCode>0.0%</c:formatCode>
                <c:ptCount val="11"/>
                <c:pt idx="0">
                  <c:v>4.2268407581441486E-2</c:v>
                </c:pt>
                <c:pt idx="1">
                  <c:v>4.3222024341997393E-2</c:v>
                </c:pt>
                <c:pt idx="2">
                  <c:v>4.2630707585201322E-2</c:v>
                </c:pt>
                <c:pt idx="3">
                  <c:v>4.3384881321601863E-2</c:v>
                </c:pt>
                <c:pt idx="4">
                  <c:v>4.6002744769657468E-2</c:v>
                </c:pt>
                <c:pt idx="5">
                  <c:v>4.7522537236762009E-2</c:v>
                </c:pt>
                <c:pt idx="6">
                  <c:v>4.9857974798862621E-2</c:v>
                </c:pt>
                <c:pt idx="7">
                  <c:v>5.2132289815351708E-2</c:v>
                </c:pt>
                <c:pt idx="8">
                  <c:v>5.5361950621030963E-2</c:v>
                </c:pt>
                <c:pt idx="9">
                  <c:v>5.8120288907942859E-2</c:v>
                </c:pt>
                <c:pt idx="10">
                  <c:v>5.3611459416131609E-2</c:v>
                </c:pt>
              </c:numCache>
            </c:numRef>
          </c:val>
          <c:extLst>
            <c:ext xmlns:c16="http://schemas.microsoft.com/office/drawing/2014/chart" uri="{C3380CC4-5D6E-409C-BE32-E72D297353CC}">
              <c16:uniqueId val="{00000000-F2F9-4FFE-82DC-81853DDCE751}"/>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dLbl>
          <c:idx val="0"/>
          <c:showLegendKey val="0"/>
          <c:showVal val="1"/>
          <c:showCatName val="0"/>
          <c:showSerName val="0"/>
          <c:showPercent val="0"/>
          <c:showBubbleSize val="0"/>
          <c:extLst>
            <c:ext xmlns:c15="http://schemas.microsoft.com/office/drawing/2012/chart" uri="{CE6537A1-D6FC-4f65-9D91-7224C49458BB}"/>
          </c:extLst>
        </c:dLbl>
      </c:pivotFmt>
      <c:pivotFmt>
        <c:idx val="14"/>
        <c:dLbl>
          <c:idx val="0"/>
          <c:showLegendKey val="0"/>
          <c:showVal val="1"/>
          <c:showCatName val="0"/>
          <c:showSerName val="0"/>
          <c:showPercent val="0"/>
          <c:showBubbleSize val="0"/>
          <c:extLst>
            <c:ext xmlns:c15="http://schemas.microsoft.com/office/drawing/2012/chart" uri="{CE6537A1-D6FC-4f65-9D91-7224C49458BB}"/>
          </c:extLst>
        </c:dLbl>
      </c:pivotFmt>
      <c:pivotFmt>
        <c:idx val="15"/>
        <c:dLbl>
          <c:idx val="0"/>
          <c:showLegendKey val="0"/>
          <c:showVal val="1"/>
          <c:showCatName val="0"/>
          <c:showSerName val="0"/>
          <c:showPercent val="0"/>
          <c:showBubbleSize val="0"/>
          <c:extLst>
            <c:ext xmlns:c15="http://schemas.microsoft.com/office/drawing/2012/chart" uri="{CE6537A1-D6FC-4f65-9D91-7224C49458BB}"/>
          </c:extLst>
        </c:dLbl>
      </c:pivotFmt>
      <c:pivotFmt>
        <c:idx val="16"/>
        <c:dLbl>
          <c:idx val="0"/>
          <c:showLegendKey val="0"/>
          <c:showVal val="1"/>
          <c:showCatName val="0"/>
          <c:showSerName val="0"/>
          <c:showPercent val="0"/>
          <c:showBubbleSize val="0"/>
          <c:extLst>
            <c:ext xmlns:c15="http://schemas.microsoft.com/office/drawing/2012/chart" uri="{CE6537A1-D6FC-4f65-9D91-7224C49458BB}"/>
          </c:extLst>
        </c:dLbl>
      </c:pivotFmt>
      <c:pivotFmt>
        <c:idx val="17"/>
        <c:dLbl>
          <c:idx val="0"/>
          <c:showLegendKey val="0"/>
          <c:showVal val="1"/>
          <c:showCatName val="0"/>
          <c:showSerName val="0"/>
          <c:showPercent val="0"/>
          <c:showBubbleSize val="0"/>
          <c:extLst>
            <c:ext xmlns:c15="http://schemas.microsoft.com/office/drawing/2012/chart" uri="{CE6537A1-D6FC-4f65-9D91-7224C49458BB}"/>
          </c:extLst>
        </c:dLbl>
      </c:pivotFmt>
      <c:pivotFmt>
        <c:idx val="18"/>
        <c:dLbl>
          <c:idx val="0"/>
          <c:showLegendKey val="0"/>
          <c:showVal val="1"/>
          <c:showCatName val="0"/>
          <c:showSerName val="0"/>
          <c:showPercent val="0"/>
          <c:showBubbleSize val="0"/>
          <c:extLst>
            <c:ext xmlns:c15="http://schemas.microsoft.com/office/drawing/2012/chart" uri="{CE6537A1-D6FC-4f65-9D91-7224C49458BB}"/>
          </c:extLst>
        </c:dLbl>
      </c:pivotFmt>
      <c:pivotFmt>
        <c:idx val="19"/>
        <c:dLbl>
          <c:idx val="0"/>
          <c:showLegendKey val="0"/>
          <c:showVal val="1"/>
          <c:showCatName val="0"/>
          <c:showSerName val="0"/>
          <c:showPercent val="0"/>
          <c:showBubbleSize val="0"/>
          <c:extLst>
            <c:ext xmlns:c15="http://schemas.microsoft.com/office/drawing/2012/chart" uri="{CE6537A1-D6FC-4f65-9D91-7224C49458BB}"/>
          </c:extLst>
        </c:dLbl>
      </c:pivotFmt>
      <c:pivotFmt>
        <c:idx val="20"/>
        <c:dLbl>
          <c:idx val="0"/>
          <c:showLegendKey val="0"/>
          <c:showVal val="1"/>
          <c:showCatName val="0"/>
          <c:showSerName val="0"/>
          <c:showPercent val="0"/>
          <c:showBubbleSize val="0"/>
          <c:extLst>
            <c:ext xmlns:c15="http://schemas.microsoft.com/office/drawing/2012/chart" uri="{CE6537A1-D6FC-4f65-9D91-7224C49458BB}"/>
          </c:extLst>
        </c:dLbl>
      </c:pivotFmt>
      <c:pivotFmt>
        <c:idx val="21"/>
        <c:dLbl>
          <c:idx val="0"/>
          <c:showLegendKey val="0"/>
          <c:showVal val="1"/>
          <c:showCatName val="0"/>
          <c:showSerName val="0"/>
          <c:showPercent val="0"/>
          <c:showBubbleSize val="0"/>
          <c:extLst>
            <c:ext xmlns:c15="http://schemas.microsoft.com/office/drawing/2012/chart" uri="{CE6537A1-D6FC-4f65-9D91-7224C49458BB}"/>
          </c:extLst>
        </c:dLbl>
      </c:pivotFmt>
      <c:pivotFmt>
        <c:idx val="22"/>
        <c:dLbl>
          <c:idx val="0"/>
          <c:showLegendKey val="0"/>
          <c:showVal val="1"/>
          <c:showCatName val="0"/>
          <c:showSerName val="0"/>
          <c:showPercent val="0"/>
          <c:showBubbleSize val="0"/>
          <c:extLst>
            <c:ext xmlns:c15="http://schemas.microsoft.com/office/drawing/2012/chart" uri="{CE6537A1-D6FC-4f65-9D91-7224C49458BB}"/>
          </c:extLst>
        </c:dLbl>
      </c:pivotFmt>
      <c:pivotFmt>
        <c:idx val="23"/>
        <c:dLbl>
          <c:idx val="0"/>
          <c:showLegendKey val="0"/>
          <c:showVal val="1"/>
          <c:showCatName val="0"/>
          <c:showSerName val="0"/>
          <c:showPercent val="0"/>
          <c:showBubbleSize val="0"/>
          <c:extLst>
            <c:ext xmlns:c15="http://schemas.microsoft.com/office/drawing/2012/chart" uri="{CE6537A1-D6FC-4f65-9D91-7224C49458BB}"/>
          </c:extLst>
        </c:dLbl>
      </c:pivotFmt>
      <c:pivotFmt>
        <c:idx val="24"/>
        <c:dLbl>
          <c:idx val="0"/>
          <c:showLegendKey val="0"/>
          <c:showVal val="1"/>
          <c:showCatName val="0"/>
          <c:showSerName val="0"/>
          <c:showPercent val="0"/>
          <c:showBubbleSize val="0"/>
          <c:extLst>
            <c:ext xmlns:c15="http://schemas.microsoft.com/office/drawing/2012/chart" uri="{CE6537A1-D6FC-4f65-9D91-7224C49458BB}"/>
          </c:extLst>
        </c:dLbl>
      </c:pivotFmt>
      <c:pivotFmt>
        <c:idx val="25"/>
        <c:dLbl>
          <c:idx val="0"/>
          <c:showLegendKey val="0"/>
          <c:showVal val="1"/>
          <c:showCatName val="0"/>
          <c:showSerName val="0"/>
          <c:showPercent val="0"/>
          <c:showBubbleSize val="0"/>
          <c:extLst>
            <c:ext xmlns:c15="http://schemas.microsoft.com/office/drawing/2012/chart" uri="{CE6537A1-D6FC-4f65-9D91-7224C49458BB}"/>
          </c:extLst>
        </c:dLbl>
      </c:pivotFmt>
      <c:pivotFmt>
        <c:idx val="26"/>
        <c:dLbl>
          <c:idx val="0"/>
          <c:showLegendKey val="0"/>
          <c:showVal val="1"/>
          <c:showCatName val="0"/>
          <c:showSerName val="0"/>
          <c:showPercent val="0"/>
          <c:showBubbleSize val="0"/>
          <c:extLst>
            <c:ext xmlns:c15="http://schemas.microsoft.com/office/drawing/2012/chart" uri="{CE6537A1-D6FC-4f65-9D91-7224C49458BB}"/>
          </c:extLst>
        </c:dLbl>
      </c:pivotFmt>
      <c:pivotFmt>
        <c:idx val="27"/>
        <c:dLbl>
          <c:idx val="0"/>
          <c:showLegendKey val="0"/>
          <c:showVal val="1"/>
          <c:showCatName val="0"/>
          <c:showSerName val="0"/>
          <c:showPercent val="0"/>
          <c:showBubbleSize val="0"/>
          <c:extLst>
            <c:ext xmlns:c15="http://schemas.microsoft.com/office/drawing/2012/chart" uri="{CE6537A1-D6FC-4f65-9D91-7224C49458BB}"/>
          </c:extLst>
        </c:dLbl>
      </c:pivotFmt>
      <c:pivotFmt>
        <c:idx val="28"/>
        <c:dLbl>
          <c:idx val="0"/>
          <c:showLegendKey val="0"/>
          <c:showVal val="1"/>
          <c:showCatName val="0"/>
          <c:showSerName val="0"/>
          <c:showPercent val="0"/>
          <c:showBubbleSize val="0"/>
          <c:extLst>
            <c:ext xmlns:c15="http://schemas.microsoft.com/office/drawing/2012/chart" uri="{CE6537A1-D6FC-4f65-9D91-7224C49458BB}"/>
          </c:extLst>
        </c:dLbl>
      </c:pivotFmt>
      <c:pivotFmt>
        <c:idx val="29"/>
        <c:dLbl>
          <c:idx val="0"/>
          <c:showLegendKey val="0"/>
          <c:showVal val="1"/>
          <c:showCatName val="0"/>
          <c:showSerName val="0"/>
          <c:showPercent val="0"/>
          <c:showBubbleSize val="0"/>
          <c:extLst>
            <c:ext xmlns:c15="http://schemas.microsoft.com/office/drawing/2012/chart" uri="{CE6537A1-D6FC-4f65-9D91-7224C49458BB}"/>
          </c:extLst>
        </c:dLbl>
      </c:pivotFmt>
      <c:pivotFmt>
        <c:idx val="30"/>
        <c:dLbl>
          <c:idx val="0"/>
          <c:showLegendKey val="0"/>
          <c:showVal val="1"/>
          <c:showCatName val="0"/>
          <c:showSerName val="0"/>
          <c:showPercent val="0"/>
          <c:showBubbleSize val="0"/>
          <c:extLst>
            <c:ext xmlns:c15="http://schemas.microsoft.com/office/drawing/2012/chart" uri="{CE6537A1-D6FC-4f65-9D91-7224C49458BB}"/>
          </c:extLst>
        </c:dLbl>
      </c:pivotFmt>
      <c:pivotFmt>
        <c:idx val="31"/>
        <c:dLbl>
          <c:idx val="0"/>
          <c:showLegendKey val="0"/>
          <c:showVal val="1"/>
          <c:showCatName val="0"/>
          <c:showSerName val="0"/>
          <c:showPercent val="0"/>
          <c:showBubbleSize val="0"/>
          <c:extLst>
            <c:ext xmlns:c15="http://schemas.microsoft.com/office/drawing/2012/chart" uri="{CE6537A1-D6FC-4f65-9D91-7224C49458BB}"/>
          </c:extLst>
        </c:dLbl>
      </c:pivotFmt>
      <c:pivotFmt>
        <c:idx val="32"/>
        <c:dLbl>
          <c:idx val="0"/>
          <c:showLegendKey val="0"/>
          <c:showVal val="1"/>
          <c:showCatName val="0"/>
          <c:showSerName val="0"/>
          <c:showPercent val="0"/>
          <c:showBubbleSize val="0"/>
          <c:extLst>
            <c:ext xmlns:c15="http://schemas.microsoft.com/office/drawing/2012/chart" uri="{CE6537A1-D6FC-4f65-9D91-7224C49458BB}"/>
          </c:extLst>
        </c:dLbl>
      </c:pivotFmt>
      <c:pivotFmt>
        <c:idx val="33"/>
        <c:dLbl>
          <c:idx val="0"/>
          <c:showLegendKey val="0"/>
          <c:showVal val="1"/>
          <c:showCatName val="0"/>
          <c:showSerName val="0"/>
          <c:showPercent val="0"/>
          <c:showBubbleSize val="0"/>
          <c:extLst>
            <c:ext xmlns:c15="http://schemas.microsoft.com/office/drawing/2012/chart" uri="{CE6537A1-D6FC-4f65-9D91-7224C49458BB}"/>
          </c:extLst>
        </c:dLbl>
      </c:pivotFmt>
      <c:pivotFmt>
        <c:idx val="34"/>
        <c:dLbl>
          <c:idx val="0"/>
          <c:showLegendKey val="0"/>
          <c:showVal val="1"/>
          <c:showCatName val="0"/>
          <c:showSerName val="0"/>
          <c:showPercent val="0"/>
          <c:showBubbleSize val="0"/>
          <c:extLst>
            <c:ext xmlns:c15="http://schemas.microsoft.com/office/drawing/2012/chart" uri="{CE6537A1-D6FC-4f65-9D91-7224C49458BB}"/>
          </c:extLst>
        </c:dLbl>
      </c:pivotFmt>
      <c:pivotFmt>
        <c:idx val="35"/>
        <c:dLbl>
          <c:idx val="0"/>
          <c:showLegendKey val="0"/>
          <c:showVal val="1"/>
          <c:showCatName val="0"/>
          <c:showSerName val="0"/>
          <c:showPercent val="0"/>
          <c:showBubbleSize val="0"/>
          <c:extLst>
            <c:ext xmlns:c15="http://schemas.microsoft.com/office/drawing/2012/chart" uri="{CE6537A1-D6FC-4f65-9D91-7224C49458BB}"/>
          </c:extLst>
        </c:dLbl>
      </c:pivotFmt>
      <c:pivotFmt>
        <c:idx val="36"/>
        <c:dLbl>
          <c:idx val="0"/>
          <c:showLegendKey val="0"/>
          <c:showVal val="1"/>
          <c:showCatName val="0"/>
          <c:showSerName val="0"/>
          <c:showPercent val="0"/>
          <c:showBubbleSize val="0"/>
          <c:extLst>
            <c:ext xmlns:c15="http://schemas.microsoft.com/office/drawing/2012/chart" uri="{CE6537A1-D6FC-4f65-9D91-7224C49458BB}"/>
          </c:extLst>
        </c:dLbl>
      </c:pivotFmt>
      <c:pivotFmt>
        <c:idx val="37"/>
        <c:dLbl>
          <c:idx val="0"/>
          <c:showLegendKey val="0"/>
          <c:showVal val="1"/>
          <c:showCatName val="0"/>
          <c:showSerName val="0"/>
          <c:showPercent val="0"/>
          <c:showBubbleSize val="0"/>
          <c:extLst>
            <c:ext xmlns:c15="http://schemas.microsoft.com/office/drawing/2012/chart" uri="{CE6537A1-D6FC-4f65-9D91-7224C49458BB}"/>
          </c:extLst>
        </c:dLbl>
      </c:pivotFmt>
      <c:pivotFmt>
        <c:idx val="38"/>
        <c:dLbl>
          <c:idx val="0"/>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3">
              <a:lumMod val="60000"/>
              <a:lumOff val="40000"/>
            </a:schemeClr>
          </a:solidFill>
          <a:ln>
            <a:noFill/>
          </a:ln>
          <a:effectLst/>
        </c:spPr>
        <c:marker>
          <c:symbol val="circle"/>
          <c:size val="5"/>
          <c:spPr>
            <a:solidFill>
              <a:schemeClr val="accent2"/>
            </a:solidFill>
            <a:ln w="9525">
              <a:solidFill>
                <a:schemeClr val="accent2"/>
              </a:solidFill>
            </a:ln>
            <a:effectLst/>
          </c:spPr>
        </c:marker>
      </c:pivotFmt>
      <c:pivotFmt>
        <c:idx val="40"/>
        <c:spPr>
          <a:solidFill>
            <a:schemeClr val="accent1"/>
          </a:solidFill>
          <a:ln>
            <a:noFill/>
          </a:ln>
          <a:effectLst/>
        </c:spPr>
        <c:marker>
          <c:symbol val="circle"/>
          <c:size val="5"/>
          <c:spPr>
            <a:solidFill>
              <a:schemeClr val="accent1"/>
            </a:solidFill>
            <a:ln w="9525">
              <a:solidFill>
                <a:schemeClr val="accent1"/>
              </a:solidFill>
            </a:ln>
            <a:effectLst/>
          </c:spPr>
        </c:marker>
      </c:pivotFmt>
    </c:pivotFmts>
    <c:plotArea>
      <c:layout>
        <c:manualLayout>
          <c:layoutTarget val="inner"/>
          <c:xMode val="edge"/>
          <c:yMode val="edge"/>
          <c:x val="2.1425770054605244E-2"/>
          <c:y val="0.15962671332750072"/>
          <c:w val="0.95306985177577441"/>
          <c:h val="0.68344841510195853"/>
        </c:manualLayout>
      </c:layout>
      <c:barChart>
        <c:barDir val="col"/>
        <c:grouping val="clustered"/>
        <c:varyColors val="0"/>
        <c:ser>
          <c:idx val="0"/>
          <c:order val="0"/>
          <c:tx>
            <c:strRef>
              <c:f>'TABLA DISTRITO'!$AB$8</c:f>
              <c:strCache>
                <c:ptCount val="1"/>
                <c:pt idx="0">
                  <c:v>Puente de Vallecas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DISTRITO'!$AC$7:$AI$7</c:f>
              <c:strCache>
                <c:ptCount val="7"/>
                <c:pt idx="0">
                  <c:v>2013</c:v>
                </c:pt>
                <c:pt idx="1">
                  <c:v>2014</c:v>
                </c:pt>
                <c:pt idx="2">
                  <c:v>2015</c:v>
                </c:pt>
                <c:pt idx="3">
                  <c:v>2016</c:v>
                </c:pt>
                <c:pt idx="4">
                  <c:v>2017</c:v>
                </c:pt>
                <c:pt idx="5">
                  <c:v>2018</c:v>
                </c:pt>
                <c:pt idx="6">
                  <c:v>2019</c:v>
                </c:pt>
              </c:strCache>
            </c:strRef>
          </c:cat>
          <c:val>
            <c:numRef>
              <c:f>'TABLA DISTRITO'!$AC$8:$AI$8</c:f>
              <c:numCache>
                <c:formatCode>0.0%</c:formatCode>
                <c:ptCount val="7"/>
                <c:pt idx="0">
                  <c:v>6.1951548634323859E-2</c:v>
                </c:pt>
                <c:pt idx="1">
                  <c:v>6.2364311397537738E-2</c:v>
                </c:pt>
                <c:pt idx="2">
                  <c:v>6.5639573838131585E-2</c:v>
                </c:pt>
                <c:pt idx="3">
                  <c:v>7.3676374581559734E-2</c:v>
                </c:pt>
                <c:pt idx="4">
                  <c:v>7.3589806606919314E-2</c:v>
                </c:pt>
                <c:pt idx="5">
                  <c:v>7.7826339843717063E-2</c:v>
                </c:pt>
                <c:pt idx="6">
                  <c:v>6.8231329791052758E-2</c:v>
                </c:pt>
              </c:numCache>
            </c:numRef>
          </c:val>
          <c:extLst>
            <c:ext xmlns:c16="http://schemas.microsoft.com/office/drawing/2014/chart" uri="{C3380CC4-5D6E-409C-BE32-E72D297353CC}">
              <c16:uniqueId val="{00000000-57E9-4B47-BA1B-3E99954C8DC9}"/>
            </c:ext>
          </c:extLst>
        </c:ser>
        <c:ser>
          <c:idx val="1"/>
          <c:order val="1"/>
          <c:tx>
            <c:strRef>
              <c:f>'TABLA DISTRITO'!$AB$28</c:f>
              <c:strCache>
                <c:ptCount val="1"/>
                <c:pt idx="0">
                  <c:v>Chamartín</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DISTRITO'!$AC$7:$AI$7</c:f>
              <c:strCache>
                <c:ptCount val="7"/>
                <c:pt idx="0">
                  <c:v>2013</c:v>
                </c:pt>
                <c:pt idx="1">
                  <c:v>2014</c:v>
                </c:pt>
                <c:pt idx="2">
                  <c:v>2015</c:v>
                </c:pt>
                <c:pt idx="3">
                  <c:v>2016</c:v>
                </c:pt>
                <c:pt idx="4">
                  <c:v>2017</c:v>
                </c:pt>
                <c:pt idx="5">
                  <c:v>2018</c:v>
                </c:pt>
                <c:pt idx="6">
                  <c:v>2019</c:v>
                </c:pt>
              </c:strCache>
            </c:strRef>
          </c:cat>
          <c:val>
            <c:numRef>
              <c:f>'TABLA DISTRITO'!$AC$28:$AI$28</c:f>
              <c:numCache>
                <c:formatCode>0.0%</c:formatCode>
                <c:ptCount val="7"/>
                <c:pt idx="0">
                  <c:v>3.5422339237518655E-2</c:v>
                </c:pt>
                <c:pt idx="1">
                  <c:v>3.6813102248376244E-2</c:v>
                </c:pt>
                <c:pt idx="2">
                  <c:v>3.8274017806745247E-2</c:v>
                </c:pt>
                <c:pt idx="3">
                  <c:v>4.0211300725508062E-2</c:v>
                </c:pt>
                <c:pt idx="4">
                  <c:v>3.9175274433195517E-2</c:v>
                </c:pt>
                <c:pt idx="5">
                  <c:v>3.6811739185138803E-2</c:v>
                </c:pt>
                <c:pt idx="6">
                  <c:v>3.5127389296158447E-2</c:v>
                </c:pt>
              </c:numCache>
            </c:numRef>
          </c:val>
          <c:extLst>
            <c:ext xmlns:c16="http://schemas.microsoft.com/office/drawing/2014/chart" uri="{C3380CC4-5D6E-409C-BE32-E72D297353CC}">
              <c16:uniqueId val="{00000001-57E9-4B47-BA1B-3E99954C8DC9}"/>
            </c:ext>
          </c:extLst>
        </c:ser>
        <c:dLbls>
          <c:showLegendKey val="0"/>
          <c:showVal val="0"/>
          <c:showCatName val="0"/>
          <c:showSerName val="0"/>
          <c:showPercent val="0"/>
          <c:showBubbleSize val="0"/>
        </c:dLbls>
        <c:gapWidth val="80"/>
        <c:axId val="425153663"/>
        <c:axId val="424963199"/>
      </c:barChart>
      <c:catAx>
        <c:axId val="425153663"/>
        <c:scaling>
          <c:orientation val="minMax"/>
        </c:scaling>
        <c:delete val="0"/>
        <c:axPos val="b"/>
        <c:numFmt formatCode="[$-C0A]mmmm\-yy;@" sourceLinked="0"/>
        <c:majorTickMark val="none"/>
        <c:minorTickMark val="none"/>
        <c:tickLblPos val="nextTo"/>
        <c:spPr>
          <a:noFill/>
          <a:ln w="222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none"/>
        <c:minorTickMark val="none"/>
        <c:tickLblPos val="nextTo"/>
        <c:crossAx val="425153663"/>
        <c:crosses val="autoZero"/>
        <c:crossBetween val="between"/>
        <c:majorUnit val="2.0000000000000004E-2"/>
      </c:valAx>
      <c:spPr>
        <a:noFill/>
        <a:ln>
          <a:noFill/>
        </a:ln>
        <a:effectLst/>
      </c:spPr>
    </c:plotArea>
    <c:legend>
      <c:legendPos val="r"/>
      <c:layout>
        <c:manualLayout>
          <c:xMode val="edge"/>
          <c:yMode val="edge"/>
          <c:x val="0.25635416262622346"/>
          <c:y val="4.3980617807389454E-2"/>
          <c:w val="0.4461956048597373"/>
          <c:h val="0.1445140318998586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dLbl>
          <c:idx val="0"/>
          <c:showLegendKey val="0"/>
          <c:showVal val="1"/>
          <c:showCatName val="0"/>
          <c:showSerName val="0"/>
          <c:showPercent val="0"/>
          <c:showBubbleSize val="0"/>
          <c:extLst>
            <c:ext xmlns:c15="http://schemas.microsoft.com/office/drawing/2012/chart" uri="{CE6537A1-D6FC-4f65-9D91-7224C49458BB}"/>
          </c:extLst>
        </c:dLbl>
      </c:pivotFmt>
      <c:pivotFmt>
        <c:idx val="14"/>
        <c:dLbl>
          <c:idx val="0"/>
          <c:showLegendKey val="0"/>
          <c:showVal val="1"/>
          <c:showCatName val="0"/>
          <c:showSerName val="0"/>
          <c:showPercent val="0"/>
          <c:showBubbleSize val="0"/>
          <c:extLst>
            <c:ext xmlns:c15="http://schemas.microsoft.com/office/drawing/2012/chart" uri="{CE6537A1-D6FC-4f65-9D91-7224C49458BB}"/>
          </c:extLst>
        </c:dLbl>
      </c:pivotFmt>
      <c:pivotFmt>
        <c:idx val="15"/>
        <c:dLbl>
          <c:idx val="0"/>
          <c:showLegendKey val="0"/>
          <c:showVal val="1"/>
          <c:showCatName val="0"/>
          <c:showSerName val="0"/>
          <c:showPercent val="0"/>
          <c:showBubbleSize val="0"/>
          <c:extLst>
            <c:ext xmlns:c15="http://schemas.microsoft.com/office/drawing/2012/chart" uri="{CE6537A1-D6FC-4f65-9D91-7224C49458BB}"/>
          </c:extLst>
        </c:dLbl>
      </c:pivotFmt>
      <c:pivotFmt>
        <c:idx val="16"/>
        <c:dLbl>
          <c:idx val="0"/>
          <c:showLegendKey val="0"/>
          <c:showVal val="1"/>
          <c:showCatName val="0"/>
          <c:showSerName val="0"/>
          <c:showPercent val="0"/>
          <c:showBubbleSize val="0"/>
          <c:extLst>
            <c:ext xmlns:c15="http://schemas.microsoft.com/office/drawing/2012/chart" uri="{CE6537A1-D6FC-4f65-9D91-7224C49458BB}"/>
          </c:extLst>
        </c:dLbl>
      </c:pivotFmt>
      <c:pivotFmt>
        <c:idx val="17"/>
        <c:dLbl>
          <c:idx val="0"/>
          <c:showLegendKey val="0"/>
          <c:showVal val="1"/>
          <c:showCatName val="0"/>
          <c:showSerName val="0"/>
          <c:showPercent val="0"/>
          <c:showBubbleSize val="0"/>
          <c:extLst>
            <c:ext xmlns:c15="http://schemas.microsoft.com/office/drawing/2012/chart" uri="{CE6537A1-D6FC-4f65-9D91-7224C49458BB}"/>
          </c:extLst>
        </c:dLbl>
      </c:pivotFmt>
      <c:pivotFmt>
        <c:idx val="18"/>
        <c:dLbl>
          <c:idx val="0"/>
          <c:showLegendKey val="0"/>
          <c:showVal val="1"/>
          <c:showCatName val="0"/>
          <c:showSerName val="0"/>
          <c:showPercent val="0"/>
          <c:showBubbleSize val="0"/>
          <c:extLst>
            <c:ext xmlns:c15="http://schemas.microsoft.com/office/drawing/2012/chart" uri="{CE6537A1-D6FC-4f65-9D91-7224C49458BB}"/>
          </c:extLst>
        </c:dLbl>
      </c:pivotFmt>
      <c:pivotFmt>
        <c:idx val="19"/>
        <c:dLbl>
          <c:idx val="0"/>
          <c:showLegendKey val="0"/>
          <c:showVal val="1"/>
          <c:showCatName val="0"/>
          <c:showSerName val="0"/>
          <c:showPercent val="0"/>
          <c:showBubbleSize val="0"/>
          <c:extLst>
            <c:ext xmlns:c15="http://schemas.microsoft.com/office/drawing/2012/chart" uri="{CE6537A1-D6FC-4f65-9D91-7224C49458BB}"/>
          </c:extLst>
        </c:dLbl>
      </c:pivotFmt>
      <c:pivotFmt>
        <c:idx val="20"/>
        <c:dLbl>
          <c:idx val="0"/>
          <c:showLegendKey val="0"/>
          <c:showVal val="1"/>
          <c:showCatName val="0"/>
          <c:showSerName val="0"/>
          <c:showPercent val="0"/>
          <c:showBubbleSize val="0"/>
          <c:extLst>
            <c:ext xmlns:c15="http://schemas.microsoft.com/office/drawing/2012/chart" uri="{CE6537A1-D6FC-4f65-9D91-7224C49458BB}"/>
          </c:extLst>
        </c:dLbl>
      </c:pivotFmt>
      <c:pivotFmt>
        <c:idx val="21"/>
        <c:dLbl>
          <c:idx val="0"/>
          <c:showLegendKey val="0"/>
          <c:showVal val="1"/>
          <c:showCatName val="0"/>
          <c:showSerName val="0"/>
          <c:showPercent val="0"/>
          <c:showBubbleSize val="0"/>
          <c:extLst>
            <c:ext xmlns:c15="http://schemas.microsoft.com/office/drawing/2012/chart" uri="{CE6537A1-D6FC-4f65-9D91-7224C49458BB}"/>
          </c:extLst>
        </c:dLbl>
      </c:pivotFmt>
      <c:pivotFmt>
        <c:idx val="22"/>
        <c:dLbl>
          <c:idx val="0"/>
          <c:showLegendKey val="0"/>
          <c:showVal val="1"/>
          <c:showCatName val="0"/>
          <c:showSerName val="0"/>
          <c:showPercent val="0"/>
          <c:showBubbleSize val="0"/>
          <c:extLst>
            <c:ext xmlns:c15="http://schemas.microsoft.com/office/drawing/2012/chart" uri="{CE6537A1-D6FC-4f65-9D91-7224C49458BB}"/>
          </c:extLst>
        </c:dLbl>
      </c:pivotFmt>
      <c:pivotFmt>
        <c:idx val="23"/>
        <c:dLbl>
          <c:idx val="0"/>
          <c:showLegendKey val="0"/>
          <c:showVal val="1"/>
          <c:showCatName val="0"/>
          <c:showSerName val="0"/>
          <c:showPercent val="0"/>
          <c:showBubbleSize val="0"/>
          <c:extLst>
            <c:ext xmlns:c15="http://schemas.microsoft.com/office/drawing/2012/chart" uri="{CE6537A1-D6FC-4f65-9D91-7224C49458BB}"/>
          </c:extLst>
        </c:dLbl>
      </c:pivotFmt>
      <c:pivotFmt>
        <c:idx val="24"/>
        <c:dLbl>
          <c:idx val="0"/>
          <c:showLegendKey val="0"/>
          <c:showVal val="1"/>
          <c:showCatName val="0"/>
          <c:showSerName val="0"/>
          <c:showPercent val="0"/>
          <c:showBubbleSize val="0"/>
          <c:extLst>
            <c:ext xmlns:c15="http://schemas.microsoft.com/office/drawing/2012/chart" uri="{CE6537A1-D6FC-4f65-9D91-7224C49458BB}"/>
          </c:extLst>
        </c:dLbl>
      </c:pivotFmt>
      <c:pivotFmt>
        <c:idx val="25"/>
        <c:dLbl>
          <c:idx val="0"/>
          <c:showLegendKey val="0"/>
          <c:showVal val="1"/>
          <c:showCatName val="0"/>
          <c:showSerName val="0"/>
          <c:showPercent val="0"/>
          <c:showBubbleSize val="0"/>
          <c:extLst>
            <c:ext xmlns:c15="http://schemas.microsoft.com/office/drawing/2012/chart" uri="{CE6537A1-D6FC-4f65-9D91-7224C49458BB}"/>
          </c:extLst>
        </c:dLbl>
      </c:pivotFmt>
      <c:pivotFmt>
        <c:idx val="26"/>
        <c:dLbl>
          <c:idx val="0"/>
          <c:showLegendKey val="0"/>
          <c:showVal val="1"/>
          <c:showCatName val="0"/>
          <c:showSerName val="0"/>
          <c:showPercent val="0"/>
          <c:showBubbleSize val="0"/>
          <c:extLst>
            <c:ext xmlns:c15="http://schemas.microsoft.com/office/drawing/2012/chart" uri="{CE6537A1-D6FC-4f65-9D91-7224C49458BB}"/>
          </c:extLst>
        </c:dLbl>
      </c:pivotFmt>
      <c:pivotFmt>
        <c:idx val="27"/>
        <c:dLbl>
          <c:idx val="0"/>
          <c:showLegendKey val="0"/>
          <c:showVal val="1"/>
          <c:showCatName val="0"/>
          <c:showSerName val="0"/>
          <c:showPercent val="0"/>
          <c:showBubbleSize val="0"/>
          <c:extLst>
            <c:ext xmlns:c15="http://schemas.microsoft.com/office/drawing/2012/chart" uri="{CE6537A1-D6FC-4f65-9D91-7224C49458BB}"/>
          </c:extLst>
        </c:dLbl>
      </c:pivotFmt>
      <c:pivotFmt>
        <c:idx val="28"/>
        <c:dLbl>
          <c:idx val="0"/>
          <c:showLegendKey val="0"/>
          <c:showVal val="1"/>
          <c:showCatName val="0"/>
          <c:showSerName val="0"/>
          <c:showPercent val="0"/>
          <c:showBubbleSize val="0"/>
          <c:extLst>
            <c:ext xmlns:c15="http://schemas.microsoft.com/office/drawing/2012/chart" uri="{CE6537A1-D6FC-4f65-9D91-7224C49458BB}"/>
          </c:extLst>
        </c:dLbl>
      </c:pivotFmt>
      <c:pivotFmt>
        <c:idx val="29"/>
        <c:dLbl>
          <c:idx val="0"/>
          <c:showLegendKey val="0"/>
          <c:showVal val="1"/>
          <c:showCatName val="0"/>
          <c:showSerName val="0"/>
          <c:showPercent val="0"/>
          <c:showBubbleSize val="0"/>
          <c:extLst>
            <c:ext xmlns:c15="http://schemas.microsoft.com/office/drawing/2012/chart" uri="{CE6537A1-D6FC-4f65-9D91-7224C49458BB}"/>
          </c:extLst>
        </c:dLbl>
      </c:pivotFmt>
      <c:pivotFmt>
        <c:idx val="30"/>
        <c:dLbl>
          <c:idx val="0"/>
          <c:showLegendKey val="0"/>
          <c:showVal val="1"/>
          <c:showCatName val="0"/>
          <c:showSerName val="0"/>
          <c:showPercent val="0"/>
          <c:showBubbleSize val="0"/>
          <c:extLst>
            <c:ext xmlns:c15="http://schemas.microsoft.com/office/drawing/2012/chart" uri="{CE6537A1-D6FC-4f65-9D91-7224C49458BB}"/>
          </c:extLst>
        </c:dLbl>
      </c:pivotFmt>
      <c:pivotFmt>
        <c:idx val="31"/>
        <c:dLbl>
          <c:idx val="0"/>
          <c:showLegendKey val="0"/>
          <c:showVal val="1"/>
          <c:showCatName val="0"/>
          <c:showSerName val="0"/>
          <c:showPercent val="0"/>
          <c:showBubbleSize val="0"/>
          <c:extLst>
            <c:ext xmlns:c15="http://schemas.microsoft.com/office/drawing/2012/chart" uri="{CE6537A1-D6FC-4f65-9D91-7224C49458BB}"/>
          </c:extLst>
        </c:dLbl>
      </c:pivotFmt>
      <c:pivotFmt>
        <c:idx val="32"/>
        <c:dLbl>
          <c:idx val="0"/>
          <c:showLegendKey val="0"/>
          <c:showVal val="1"/>
          <c:showCatName val="0"/>
          <c:showSerName val="0"/>
          <c:showPercent val="0"/>
          <c:showBubbleSize val="0"/>
          <c:extLst>
            <c:ext xmlns:c15="http://schemas.microsoft.com/office/drawing/2012/chart" uri="{CE6537A1-D6FC-4f65-9D91-7224C49458BB}"/>
          </c:extLst>
        </c:dLbl>
      </c:pivotFmt>
      <c:pivotFmt>
        <c:idx val="33"/>
        <c:dLbl>
          <c:idx val="0"/>
          <c:showLegendKey val="0"/>
          <c:showVal val="1"/>
          <c:showCatName val="0"/>
          <c:showSerName val="0"/>
          <c:showPercent val="0"/>
          <c:showBubbleSize val="0"/>
          <c:extLst>
            <c:ext xmlns:c15="http://schemas.microsoft.com/office/drawing/2012/chart" uri="{CE6537A1-D6FC-4f65-9D91-7224C49458BB}"/>
          </c:extLst>
        </c:dLbl>
      </c:pivotFmt>
      <c:pivotFmt>
        <c:idx val="34"/>
        <c:dLbl>
          <c:idx val="0"/>
          <c:showLegendKey val="0"/>
          <c:showVal val="1"/>
          <c:showCatName val="0"/>
          <c:showSerName val="0"/>
          <c:showPercent val="0"/>
          <c:showBubbleSize val="0"/>
          <c:extLst>
            <c:ext xmlns:c15="http://schemas.microsoft.com/office/drawing/2012/chart" uri="{CE6537A1-D6FC-4f65-9D91-7224C49458BB}"/>
          </c:extLst>
        </c:dLbl>
      </c:pivotFmt>
      <c:pivotFmt>
        <c:idx val="35"/>
        <c:dLbl>
          <c:idx val="0"/>
          <c:showLegendKey val="0"/>
          <c:showVal val="1"/>
          <c:showCatName val="0"/>
          <c:showSerName val="0"/>
          <c:showPercent val="0"/>
          <c:showBubbleSize val="0"/>
          <c:extLst>
            <c:ext xmlns:c15="http://schemas.microsoft.com/office/drawing/2012/chart" uri="{CE6537A1-D6FC-4f65-9D91-7224C49458BB}"/>
          </c:extLst>
        </c:dLbl>
      </c:pivotFmt>
      <c:pivotFmt>
        <c:idx val="36"/>
        <c:dLbl>
          <c:idx val="0"/>
          <c:showLegendKey val="0"/>
          <c:showVal val="1"/>
          <c:showCatName val="0"/>
          <c:showSerName val="0"/>
          <c:showPercent val="0"/>
          <c:showBubbleSize val="0"/>
          <c:extLst>
            <c:ext xmlns:c15="http://schemas.microsoft.com/office/drawing/2012/chart" uri="{CE6537A1-D6FC-4f65-9D91-7224C49458BB}"/>
          </c:extLst>
        </c:dLbl>
      </c:pivotFmt>
      <c:pivotFmt>
        <c:idx val="37"/>
        <c:dLbl>
          <c:idx val="0"/>
          <c:showLegendKey val="0"/>
          <c:showVal val="1"/>
          <c:showCatName val="0"/>
          <c:showSerName val="0"/>
          <c:showPercent val="0"/>
          <c:showBubbleSize val="0"/>
          <c:extLst>
            <c:ext xmlns:c15="http://schemas.microsoft.com/office/drawing/2012/chart" uri="{CE6537A1-D6FC-4f65-9D91-7224C49458BB}"/>
          </c:extLst>
        </c:dLbl>
      </c:pivotFmt>
      <c:pivotFmt>
        <c:idx val="38"/>
        <c:dLbl>
          <c:idx val="0"/>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3">
              <a:lumMod val="60000"/>
              <a:lumOff val="40000"/>
            </a:schemeClr>
          </a:solidFill>
          <a:ln>
            <a:noFill/>
          </a:ln>
          <a:effectLst/>
        </c:spPr>
        <c:marker>
          <c:symbol val="circle"/>
          <c:size val="5"/>
          <c:spPr>
            <a:solidFill>
              <a:schemeClr val="accent2"/>
            </a:solidFill>
            <a:ln w="9525">
              <a:solidFill>
                <a:schemeClr val="accent2"/>
              </a:solidFill>
            </a:ln>
            <a:effectLst/>
          </c:spPr>
        </c:marker>
      </c:pivotFmt>
      <c:pivotFmt>
        <c:idx val="40"/>
        <c:spPr>
          <a:solidFill>
            <a:schemeClr val="accent1"/>
          </a:solidFill>
          <a:ln>
            <a:noFill/>
          </a:ln>
          <a:effectLst/>
        </c:spPr>
        <c:marker>
          <c:symbol val="circle"/>
          <c:size val="5"/>
          <c:spPr>
            <a:solidFill>
              <a:schemeClr val="accent1"/>
            </a:solidFill>
            <a:ln w="9525">
              <a:solidFill>
                <a:schemeClr val="accent1"/>
              </a:solidFill>
            </a:ln>
            <a:effectLst/>
          </c:spPr>
        </c:marker>
      </c:pivotFmt>
    </c:pivotFmts>
    <c:plotArea>
      <c:layout>
        <c:manualLayout>
          <c:layoutTarget val="inner"/>
          <c:xMode val="edge"/>
          <c:yMode val="edge"/>
          <c:x val="1.780006384337093E-2"/>
          <c:y val="0.19471061466153941"/>
          <c:w val="0.98205167766191392"/>
          <c:h val="0.66459720441921499"/>
        </c:manualLayout>
      </c:layout>
      <c:barChart>
        <c:barDir val="col"/>
        <c:grouping val="clustered"/>
        <c:varyColors val="0"/>
        <c:ser>
          <c:idx val="0"/>
          <c:order val="0"/>
          <c:tx>
            <c:strRef>
              <c:f>'TABLA DISTRITO'!$R$48</c:f>
              <c:strCache>
                <c:ptCount val="1"/>
                <c:pt idx="0">
                  <c:v>Nou Barris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DISTRITO'!$S$47:$Y$47</c:f>
              <c:strCache>
                <c:ptCount val="7"/>
                <c:pt idx="0">
                  <c:v>2013</c:v>
                </c:pt>
                <c:pt idx="1">
                  <c:v>2014</c:v>
                </c:pt>
                <c:pt idx="2">
                  <c:v>2015</c:v>
                </c:pt>
                <c:pt idx="3">
                  <c:v>2016</c:v>
                </c:pt>
                <c:pt idx="4">
                  <c:v>2017</c:v>
                </c:pt>
                <c:pt idx="5">
                  <c:v>2018</c:v>
                </c:pt>
                <c:pt idx="6">
                  <c:v>2019</c:v>
                </c:pt>
              </c:strCache>
            </c:strRef>
          </c:cat>
          <c:val>
            <c:numRef>
              <c:f>'TABLA DISTRITO'!$S$48:$Y$48</c:f>
              <c:numCache>
                <c:formatCode>0.0%</c:formatCode>
                <c:ptCount val="7"/>
                <c:pt idx="0">
                  <c:v>5.0399297220081477E-2</c:v>
                </c:pt>
                <c:pt idx="1">
                  <c:v>5.1580437293590867E-2</c:v>
                </c:pt>
                <c:pt idx="2">
                  <c:v>5.6572624941310511E-2</c:v>
                </c:pt>
                <c:pt idx="3">
                  <c:v>6.0419186994801942E-2</c:v>
                </c:pt>
                <c:pt idx="4">
                  <c:v>6.3921310852044569E-2</c:v>
                </c:pt>
                <c:pt idx="5">
                  <c:v>5.981304789330176E-2</c:v>
                </c:pt>
                <c:pt idx="6">
                  <c:v>5.8644674127442543E-2</c:v>
                </c:pt>
              </c:numCache>
            </c:numRef>
          </c:val>
          <c:extLst>
            <c:ext xmlns:c16="http://schemas.microsoft.com/office/drawing/2014/chart" uri="{C3380CC4-5D6E-409C-BE32-E72D297353CC}">
              <c16:uniqueId val="{00000000-61F3-4ACE-8908-F73F12395F0D}"/>
            </c:ext>
          </c:extLst>
        </c:ser>
        <c:ser>
          <c:idx val="1"/>
          <c:order val="1"/>
          <c:tx>
            <c:strRef>
              <c:f>'TABLA DISTRITO'!$R$57</c:f>
              <c:strCache>
                <c:ptCount val="1"/>
                <c:pt idx="0">
                  <c:v>Les Corts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 DISTRITO'!$S$47:$Y$47</c:f>
              <c:strCache>
                <c:ptCount val="7"/>
                <c:pt idx="0">
                  <c:v>2013</c:v>
                </c:pt>
                <c:pt idx="1">
                  <c:v>2014</c:v>
                </c:pt>
                <c:pt idx="2">
                  <c:v>2015</c:v>
                </c:pt>
                <c:pt idx="3">
                  <c:v>2016</c:v>
                </c:pt>
                <c:pt idx="4">
                  <c:v>2017</c:v>
                </c:pt>
                <c:pt idx="5">
                  <c:v>2018</c:v>
                </c:pt>
                <c:pt idx="6">
                  <c:v>2019</c:v>
                </c:pt>
              </c:strCache>
            </c:strRef>
          </c:cat>
          <c:val>
            <c:numRef>
              <c:f>'TABLA DISTRITO'!$S$57:$Y$57</c:f>
              <c:numCache>
                <c:formatCode>0.0%</c:formatCode>
                <c:ptCount val="7"/>
                <c:pt idx="0">
                  <c:v>3.3742813866138748E-2</c:v>
                </c:pt>
                <c:pt idx="1">
                  <c:v>3.2691915586007932E-2</c:v>
                </c:pt>
                <c:pt idx="2">
                  <c:v>3.3980999964037743E-2</c:v>
                </c:pt>
                <c:pt idx="3">
                  <c:v>3.9407545363489484E-2</c:v>
                </c:pt>
                <c:pt idx="4">
                  <c:v>3.7287547028031373E-2</c:v>
                </c:pt>
                <c:pt idx="5">
                  <c:v>3.6264367351888711E-2</c:v>
                </c:pt>
                <c:pt idx="6">
                  <c:v>3.8617149493820814E-2</c:v>
                </c:pt>
              </c:numCache>
            </c:numRef>
          </c:val>
          <c:extLst>
            <c:ext xmlns:c16="http://schemas.microsoft.com/office/drawing/2014/chart" uri="{C3380CC4-5D6E-409C-BE32-E72D297353CC}">
              <c16:uniqueId val="{00000001-61F3-4ACE-8908-F73F12395F0D}"/>
            </c:ext>
          </c:extLst>
        </c:ser>
        <c:dLbls>
          <c:showLegendKey val="0"/>
          <c:showVal val="0"/>
          <c:showCatName val="0"/>
          <c:showSerName val="0"/>
          <c:showPercent val="0"/>
          <c:showBubbleSize val="0"/>
        </c:dLbls>
        <c:gapWidth val="80"/>
        <c:axId val="425153663"/>
        <c:axId val="424963199"/>
      </c:barChart>
      <c:catAx>
        <c:axId val="425153663"/>
        <c:scaling>
          <c:orientation val="minMax"/>
        </c:scaling>
        <c:delete val="0"/>
        <c:axPos val="b"/>
        <c:numFmt formatCode="[$-C0A]mmmm\-yy;@" sourceLinked="0"/>
        <c:majorTickMark val="none"/>
        <c:minorTickMark val="none"/>
        <c:tickLblPos val="nextTo"/>
        <c:spPr>
          <a:noFill/>
          <a:ln w="22225" cap="flat" cmpd="sng" algn="ctr">
            <a:solidFill>
              <a:sysClr val="windowText" lastClr="00000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none"/>
        <c:minorTickMark val="none"/>
        <c:tickLblPos val="nextTo"/>
        <c:crossAx val="425153663"/>
        <c:crosses val="autoZero"/>
        <c:crossBetween val="between"/>
        <c:majorUnit val="2.0000000000000004E-2"/>
      </c:valAx>
      <c:spPr>
        <a:noFill/>
        <a:ln>
          <a:noFill/>
        </a:ln>
        <a:effectLst/>
      </c:spPr>
    </c:plotArea>
    <c:legend>
      <c:legendPos val="r"/>
      <c:layout>
        <c:manualLayout>
          <c:xMode val="edge"/>
          <c:yMode val="edge"/>
          <c:x val="0.30080104089552906"/>
          <c:y val="6.0031772344246441E-2"/>
          <c:w val="0.38118979518320595"/>
          <c:h val="6.316440038769073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6810-5904-4B18-A910-276A07CA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7</Pages>
  <Words>1546</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Urrea Rodriguez</dc:creator>
  <cp:lastModifiedBy>Anaïs López García</cp:lastModifiedBy>
  <cp:revision>98</cp:revision>
  <dcterms:created xsi:type="dcterms:W3CDTF">2018-09-28T10:44:00Z</dcterms:created>
  <dcterms:modified xsi:type="dcterms:W3CDTF">2019-02-20T08:36:00Z</dcterms:modified>
</cp:coreProperties>
</file>