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4905" w14:textId="77777777" w:rsidR="00A84CA7" w:rsidRDefault="00A84CA7" w:rsidP="00753088">
      <w:pPr>
        <w:ind w:right="-574"/>
      </w:pPr>
      <w:bookmarkStart w:id="0" w:name="_Hlk1467840"/>
      <w:bookmarkEnd w:id="0"/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6192" behindDoc="0" locked="0" layoutInCell="1" allowOverlap="1" wp14:anchorId="3AA579EB" wp14:editId="794302F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1EB8E" w14:textId="77777777" w:rsidR="002302A7" w:rsidRDefault="002302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33667CE8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7DD28D58" w14:textId="77777777"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14:paraId="11856A99" w14:textId="6166A97F" w:rsidR="00753088" w:rsidRPr="000A4242" w:rsidRDefault="003335DC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</w:pPr>
      <w:r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 xml:space="preserve">ANÁLISIS </w:t>
      </w:r>
      <w:r w:rsidR="002E4F9D"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>RENTABILIDAD ZONAS COSTERAS</w:t>
      </w:r>
    </w:p>
    <w:p w14:paraId="46572C59" w14:textId="00374A9D" w:rsidR="00516F9C" w:rsidRPr="00A52175" w:rsidRDefault="002E4F9D" w:rsidP="00A52175">
      <w:pPr>
        <w:ind w:right="-574"/>
        <w:jc w:val="center"/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</w:pPr>
      <w:r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>Algeciras, Tortosa, San Fernando y Cartagena son los municipios costeros con mayor rentabilidad</w:t>
      </w:r>
    </w:p>
    <w:p w14:paraId="194D3816" w14:textId="77777777" w:rsidR="00B85F69" w:rsidRPr="005029E9" w:rsidRDefault="00B85F69" w:rsidP="008D2DD9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14:paraId="326E64DF" w14:textId="34E6CAC9" w:rsidR="00740E53" w:rsidRPr="00740E53" w:rsidRDefault="00740E53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Algeciras</w:t>
      </w:r>
      <w:r w:rsidR="0062018B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</w:t>
      </w:r>
      <w:r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es el municipio</w:t>
      </w:r>
      <w:r w:rsidR="003320EE"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</w:t>
      </w:r>
      <w:r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español que mayor rentabilidad </w:t>
      </w:r>
      <w:r w:rsidR="0062018B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ofrece</w:t>
      </w:r>
      <w:r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, con un 6,6%</w:t>
      </w:r>
    </w:p>
    <w:p w14:paraId="3E5C62D2" w14:textId="26C4B1C0" w:rsidR="00740E53" w:rsidRDefault="00740E53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740E5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La rentabilidad media en España se sitúa actualmente en un 5,4%</w:t>
      </w:r>
    </w:p>
    <w:p w14:paraId="62E3E3E5" w14:textId="1B83E757" w:rsidR="006A44F8" w:rsidRDefault="00E93B9B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Zarautz, Nerja y Roses son los municipios costeros que ofrecen menor rentabilidad </w:t>
      </w:r>
    </w:p>
    <w:p w14:paraId="3B45DAFE" w14:textId="77777777" w:rsidR="000A4242" w:rsidRDefault="000A4242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01EF17FF" w14:textId="5CD640E8" w:rsidR="002A35C0" w:rsidRPr="002A35C0" w:rsidRDefault="00753088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5B314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16 de mayo</w:t>
      </w:r>
      <w:r w:rsidR="00FD6A4B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2019</w:t>
      </w:r>
    </w:p>
    <w:p w14:paraId="5EFC54EA" w14:textId="273EFDD4" w:rsidR="005B3144" w:rsidRDefault="005B3144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La rentabilidad de la vivienda de costa ha ido aumentando año tras año</w:t>
      </w:r>
      <w:r w:rsidR="004F06A4"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="00A227BB">
        <w:rPr>
          <w:rFonts w:ascii="Open Sans" w:hAnsi="Open Sans" w:cs="Open Sans"/>
          <w:color w:val="000000"/>
          <w:sz w:val="22"/>
          <w:szCs w:val="22"/>
        </w:rPr>
        <w:t xml:space="preserve">Adquirir una vivienda en propiedad en una zona costera para ponerla en alquiler cada vez resulta más rentable. </w:t>
      </w:r>
      <w:r w:rsidR="004F06A4">
        <w:rPr>
          <w:rFonts w:ascii="Open Sans" w:hAnsi="Open Sans" w:cs="Open Sans"/>
          <w:color w:val="000000"/>
          <w:sz w:val="22"/>
          <w:szCs w:val="22"/>
        </w:rPr>
        <w:t>Si la rentabilidad media en España se sitúa actualmente en un 5,4%, en muchos municipios costeros esta rentabilidad se supera y de largo. Es el caso de Algeciras, en Cádiz, que se sitúa como el municipio costero con mayor rentabilidad, con una media de 6,6%, seguido de Tortosa (Tarragona) que cuenta con una rentabilidad media de 6,4%</w:t>
      </w:r>
      <w:r w:rsidR="00A227BB">
        <w:rPr>
          <w:rFonts w:ascii="Open Sans" w:hAnsi="Open Sans" w:cs="Open Sans"/>
          <w:color w:val="000000"/>
          <w:sz w:val="22"/>
          <w:szCs w:val="22"/>
        </w:rPr>
        <w:t xml:space="preserve">. Así se desprende del último análisis realizado por el portal inmobiliario Fotocasa, a partir de los datos de oferta del precio de la vivienda en venta y en alquiler del portal. </w:t>
      </w:r>
    </w:p>
    <w:p w14:paraId="695CA72B" w14:textId="77777777" w:rsidR="0062018B" w:rsidRDefault="00A227BB" w:rsidP="0062018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Así, después de Algeciras y Tortosa, los municipios de San Fernando, también en Cádiz, Cartagena (Murcia) o Sagunto son los que presentan rentabilidades más altas, en este caso los tres cuentan con una rentabilidad del 6,2%. </w:t>
      </w:r>
    </w:p>
    <w:p w14:paraId="4B594F20" w14:textId="7D9C1EF5" w:rsidR="00B82416" w:rsidRPr="0045662A" w:rsidRDefault="00B82416" w:rsidP="0062018B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45662A"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 de costa con mayor rentabilidad</w:t>
      </w:r>
    </w:p>
    <w:tbl>
      <w:tblPr>
        <w:tblStyle w:val="Tabladecuadrcula5oscura-nfasis11"/>
        <w:tblpPr w:leftFromText="141" w:rightFromText="141" w:vertAnchor="text" w:horzAnchor="margin" w:tblpX="108" w:tblpY="137"/>
        <w:tblW w:w="9039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1560"/>
      </w:tblGrid>
      <w:tr w:rsidR="00AD1DFB" w:rsidRPr="006D4516" w14:paraId="231A86BB" w14:textId="77777777" w:rsidTr="00AD1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8D656DF" w14:textId="64BBF9E1" w:rsidR="00AD1DFB" w:rsidRPr="00CB52C2" w:rsidRDefault="00AD1DFB" w:rsidP="00111408">
            <w:pPr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CC.AA.</w:t>
            </w:r>
          </w:p>
        </w:tc>
        <w:tc>
          <w:tcPr>
            <w:tcW w:w="2552" w:type="dxa"/>
            <w:vAlign w:val="center"/>
          </w:tcPr>
          <w:p w14:paraId="31CF9044" w14:textId="6843A354" w:rsidR="00AD1DFB" w:rsidRPr="006D4516" w:rsidRDefault="00AD1DFB" w:rsidP="0011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551" w:type="dxa"/>
            <w:vAlign w:val="center"/>
          </w:tcPr>
          <w:p w14:paraId="233F4678" w14:textId="77A28968" w:rsidR="00AD1DFB" w:rsidRPr="006D4516" w:rsidRDefault="00AD1DFB" w:rsidP="00AD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560" w:type="dxa"/>
            <w:vAlign w:val="center"/>
          </w:tcPr>
          <w:p w14:paraId="4D7F2E28" w14:textId="27F1E9C2" w:rsidR="00AD1DFB" w:rsidRPr="006D4516" w:rsidRDefault="00AD1DFB" w:rsidP="001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Rentabilidad media</w:t>
            </w:r>
          </w:p>
        </w:tc>
      </w:tr>
      <w:tr w:rsidR="00AD1DFB" w14:paraId="6852DE7F" w14:textId="77777777" w:rsidTr="00AD1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BAF7160" w14:textId="09F57807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249D479E" w14:textId="0D1BE6C7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2551" w:type="dxa"/>
            <w:vAlign w:val="bottom"/>
          </w:tcPr>
          <w:p w14:paraId="40D146C6" w14:textId="45866FF5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Algeciras</w:t>
            </w:r>
          </w:p>
        </w:tc>
        <w:tc>
          <w:tcPr>
            <w:tcW w:w="1560" w:type="dxa"/>
            <w:vAlign w:val="bottom"/>
          </w:tcPr>
          <w:p w14:paraId="3794F39F" w14:textId="7D5CB1AB" w:rsidR="00AD1DFB" w:rsidRPr="00AD1DFB" w:rsidRDefault="00AD1DFB" w:rsidP="00AD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6,6%</w:t>
            </w:r>
          </w:p>
        </w:tc>
      </w:tr>
      <w:tr w:rsidR="00AD1DFB" w14:paraId="4AA1460C" w14:textId="77777777" w:rsidTr="00AD1DF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E2E8FC5" w14:textId="1F2D1CB6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6B4E460A" w14:textId="1795BD47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2551" w:type="dxa"/>
            <w:vAlign w:val="bottom"/>
          </w:tcPr>
          <w:p w14:paraId="34E1E6CB" w14:textId="7D2BCD85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Tortosa</w:t>
            </w:r>
          </w:p>
        </w:tc>
        <w:tc>
          <w:tcPr>
            <w:tcW w:w="1560" w:type="dxa"/>
            <w:vAlign w:val="bottom"/>
          </w:tcPr>
          <w:p w14:paraId="595FC8A5" w14:textId="69F18D71" w:rsidR="00AD1DFB" w:rsidRPr="00AD1DFB" w:rsidRDefault="00AD1DFB" w:rsidP="00AD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6,4%</w:t>
            </w:r>
          </w:p>
        </w:tc>
      </w:tr>
      <w:tr w:rsidR="00AD1DFB" w14:paraId="0533DB38" w14:textId="77777777" w:rsidTr="00AD1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809079D" w14:textId="1D5C3559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7D75CFEC" w14:textId="7EAB5FC7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2551" w:type="dxa"/>
            <w:vAlign w:val="bottom"/>
          </w:tcPr>
          <w:p w14:paraId="2BB69249" w14:textId="3065310E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San Fernando</w:t>
            </w:r>
          </w:p>
        </w:tc>
        <w:tc>
          <w:tcPr>
            <w:tcW w:w="1560" w:type="dxa"/>
            <w:vAlign w:val="bottom"/>
          </w:tcPr>
          <w:p w14:paraId="1616D69C" w14:textId="6B335861" w:rsidR="00AD1DFB" w:rsidRPr="00AD1DFB" w:rsidRDefault="00AD1DFB" w:rsidP="00AD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6,2%</w:t>
            </w:r>
          </w:p>
        </w:tc>
      </w:tr>
      <w:tr w:rsidR="00AD1DFB" w14:paraId="70D309DC" w14:textId="77777777" w:rsidTr="00AD1DF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316D9DD4" w14:textId="43D113D6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Región de Murcia</w:t>
            </w:r>
          </w:p>
        </w:tc>
        <w:tc>
          <w:tcPr>
            <w:tcW w:w="2552" w:type="dxa"/>
            <w:vAlign w:val="bottom"/>
          </w:tcPr>
          <w:p w14:paraId="554CA77B" w14:textId="6E937822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Murcia</w:t>
            </w:r>
          </w:p>
        </w:tc>
        <w:tc>
          <w:tcPr>
            <w:tcW w:w="2551" w:type="dxa"/>
            <w:vAlign w:val="bottom"/>
          </w:tcPr>
          <w:p w14:paraId="78C1EEE0" w14:textId="55CC159E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Cartagena</w:t>
            </w:r>
          </w:p>
        </w:tc>
        <w:tc>
          <w:tcPr>
            <w:tcW w:w="1560" w:type="dxa"/>
            <w:vAlign w:val="bottom"/>
          </w:tcPr>
          <w:p w14:paraId="42F5F55F" w14:textId="162E28D4" w:rsidR="00AD1DFB" w:rsidRPr="00AD1DFB" w:rsidRDefault="00AD1DFB" w:rsidP="00AD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6,2%</w:t>
            </w:r>
          </w:p>
        </w:tc>
      </w:tr>
      <w:tr w:rsidR="00AD1DFB" w14:paraId="1C12AA77" w14:textId="77777777" w:rsidTr="00AD1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B2E40A5" w14:textId="6A8C0B8E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6872E05E" w14:textId="4AFDCA6E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551" w:type="dxa"/>
            <w:vAlign w:val="bottom"/>
          </w:tcPr>
          <w:p w14:paraId="1A165BAE" w14:textId="5AAA7B2C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Sagunto</w:t>
            </w:r>
          </w:p>
        </w:tc>
        <w:tc>
          <w:tcPr>
            <w:tcW w:w="1560" w:type="dxa"/>
            <w:vAlign w:val="bottom"/>
          </w:tcPr>
          <w:p w14:paraId="66C7DA68" w14:textId="6A484E0C" w:rsidR="00AD1DFB" w:rsidRPr="00AD1DFB" w:rsidRDefault="00AD1DFB" w:rsidP="00AD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6,2%</w:t>
            </w:r>
          </w:p>
        </w:tc>
      </w:tr>
      <w:tr w:rsidR="00AD1DFB" w14:paraId="2181302B" w14:textId="77777777" w:rsidTr="00AD1DF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1322532D" w14:textId="28901B33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Canarias</w:t>
            </w:r>
          </w:p>
        </w:tc>
        <w:tc>
          <w:tcPr>
            <w:tcW w:w="2552" w:type="dxa"/>
            <w:vAlign w:val="bottom"/>
          </w:tcPr>
          <w:p w14:paraId="26DDA4D0" w14:textId="5E6BDFC9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2551" w:type="dxa"/>
            <w:vAlign w:val="bottom"/>
          </w:tcPr>
          <w:p w14:paraId="200893A2" w14:textId="02ACB010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Arona</w:t>
            </w:r>
          </w:p>
        </w:tc>
        <w:tc>
          <w:tcPr>
            <w:tcW w:w="1560" w:type="dxa"/>
            <w:vAlign w:val="bottom"/>
          </w:tcPr>
          <w:p w14:paraId="0414800D" w14:textId="143AB449" w:rsidR="00AD1DFB" w:rsidRPr="00AD1DFB" w:rsidRDefault="00AD1DFB" w:rsidP="00AD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5,9%</w:t>
            </w:r>
          </w:p>
        </w:tc>
      </w:tr>
      <w:tr w:rsidR="00AD1DFB" w14:paraId="1D515CB6" w14:textId="77777777" w:rsidTr="00AD1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742192FF" w14:textId="7AF667CC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lastRenderedPageBreak/>
              <w:t>Andalucía</w:t>
            </w:r>
          </w:p>
        </w:tc>
        <w:tc>
          <w:tcPr>
            <w:tcW w:w="2552" w:type="dxa"/>
            <w:vAlign w:val="bottom"/>
          </w:tcPr>
          <w:p w14:paraId="47113560" w14:textId="3CD07DC7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Almería</w:t>
            </w:r>
          </w:p>
        </w:tc>
        <w:tc>
          <w:tcPr>
            <w:tcW w:w="2551" w:type="dxa"/>
            <w:vAlign w:val="bottom"/>
          </w:tcPr>
          <w:p w14:paraId="7A397DB6" w14:textId="3D15B689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Vera</w:t>
            </w:r>
          </w:p>
        </w:tc>
        <w:tc>
          <w:tcPr>
            <w:tcW w:w="1560" w:type="dxa"/>
            <w:vAlign w:val="bottom"/>
          </w:tcPr>
          <w:p w14:paraId="0A98A728" w14:textId="2F7C5338" w:rsidR="00AD1DFB" w:rsidRPr="00AD1DFB" w:rsidRDefault="00AD1DFB" w:rsidP="00AD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5,8%</w:t>
            </w:r>
          </w:p>
        </w:tc>
      </w:tr>
      <w:tr w:rsidR="00AD1DFB" w14:paraId="59BF7C3B" w14:textId="77777777" w:rsidTr="00AD1DF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555E67EA" w14:textId="16C13AD0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21C565E2" w14:textId="47B2490A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2551" w:type="dxa"/>
            <w:vAlign w:val="bottom"/>
          </w:tcPr>
          <w:p w14:paraId="2CE25BD4" w14:textId="71DEBFF7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Chiclana de la Frontera</w:t>
            </w:r>
          </w:p>
        </w:tc>
        <w:tc>
          <w:tcPr>
            <w:tcW w:w="1560" w:type="dxa"/>
            <w:vAlign w:val="bottom"/>
          </w:tcPr>
          <w:p w14:paraId="02E9ADDC" w14:textId="4067C207" w:rsidR="00AD1DFB" w:rsidRPr="00AD1DFB" w:rsidRDefault="00AD1DFB" w:rsidP="00AD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5,7%</w:t>
            </w:r>
          </w:p>
        </w:tc>
      </w:tr>
      <w:tr w:rsidR="00AD1DFB" w14:paraId="1D3220E2" w14:textId="77777777" w:rsidTr="00AD1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20DBCD4" w14:textId="69BDF89B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Cantabria</w:t>
            </w:r>
          </w:p>
        </w:tc>
        <w:tc>
          <w:tcPr>
            <w:tcW w:w="2552" w:type="dxa"/>
            <w:vAlign w:val="bottom"/>
          </w:tcPr>
          <w:p w14:paraId="0411CFE2" w14:textId="24F1AB1A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551" w:type="dxa"/>
            <w:vAlign w:val="bottom"/>
          </w:tcPr>
          <w:p w14:paraId="3A60D3CA" w14:textId="6B8BAA76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Laredo</w:t>
            </w:r>
          </w:p>
        </w:tc>
        <w:tc>
          <w:tcPr>
            <w:tcW w:w="1560" w:type="dxa"/>
            <w:vAlign w:val="bottom"/>
          </w:tcPr>
          <w:p w14:paraId="2FA9B930" w14:textId="6337954A" w:rsidR="00AD1DFB" w:rsidRPr="00AD1DFB" w:rsidRDefault="00AD1DFB" w:rsidP="00AD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5,7%</w:t>
            </w:r>
          </w:p>
        </w:tc>
      </w:tr>
      <w:tr w:rsidR="00AD1DFB" w14:paraId="03F818F1" w14:textId="77777777" w:rsidTr="00AD1DF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7244BA7" w14:textId="20A31862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36771F6F" w14:textId="76E1EFC5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551" w:type="dxa"/>
            <w:vAlign w:val="bottom"/>
          </w:tcPr>
          <w:p w14:paraId="12FDB008" w14:textId="3CAB8C7D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Torrevieja</w:t>
            </w:r>
          </w:p>
        </w:tc>
        <w:tc>
          <w:tcPr>
            <w:tcW w:w="1560" w:type="dxa"/>
            <w:vAlign w:val="bottom"/>
          </w:tcPr>
          <w:p w14:paraId="2956DA0E" w14:textId="5FFA359B" w:rsidR="00AD1DFB" w:rsidRPr="00AD1DFB" w:rsidRDefault="00AD1DFB" w:rsidP="00AD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5,7%</w:t>
            </w:r>
          </w:p>
        </w:tc>
      </w:tr>
      <w:tr w:rsidR="00AD1DFB" w14:paraId="4B605F62" w14:textId="77777777" w:rsidTr="00AD1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5FE17E76" w14:textId="737DB02B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68BD5573" w14:textId="1D56C554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551" w:type="dxa"/>
            <w:vAlign w:val="bottom"/>
          </w:tcPr>
          <w:p w14:paraId="4283FBC9" w14:textId="4B258D47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Santa Pola</w:t>
            </w:r>
          </w:p>
        </w:tc>
        <w:tc>
          <w:tcPr>
            <w:tcW w:w="1560" w:type="dxa"/>
            <w:vAlign w:val="bottom"/>
          </w:tcPr>
          <w:p w14:paraId="5C5F3425" w14:textId="5B0F9F30" w:rsidR="00AD1DFB" w:rsidRPr="00AD1DFB" w:rsidRDefault="00AD1DFB" w:rsidP="00AD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5,6%</w:t>
            </w:r>
          </w:p>
        </w:tc>
      </w:tr>
      <w:tr w:rsidR="00AD1DFB" w14:paraId="6017C60F" w14:textId="77777777" w:rsidTr="00AD1DF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B381AAD" w14:textId="14BC3F0D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42644427" w14:textId="633DD9F4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Almería</w:t>
            </w:r>
          </w:p>
        </w:tc>
        <w:tc>
          <w:tcPr>
            <w:tcW w:w="2551" w:type="dxa"/>
            <w:vAlign w:val="bottom"/>
          </w:tcPr>
          <w:p w14:paraId="1B9755D3" w14:textId="4EBCA602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Almería Capital</w:t>
            </w:r>
          </w:p>
        </w:tc>
        <w:tc>
          <w:tcPr>
            <w:tcW w:w="1560" w:type="dxa"/>
            <w:vAlign w:val="bottom"/>
          </w:tcPr>
          <w:p w14:paraId="17C44856" w14:textId="550032EF" w:rsidR="00AD1DFB" w:rsidRPr="00AD1DFB" w:rsidRDefault="00AD1DFB" w:rsidP="00AD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5,6%</w:t>
            </w:r>
          </w:p>
        </w:tc>
      </w:tr>
      <w:tr w:rsidR="00AD1DFB" w14:paraId="539C422E" w14:textId="77777777" w:rsidTr="00AD1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B161DD8" w14:textId="65EA8660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6A83ACA0" w14:textId="25B8211E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551" w:type="dxa"/>
            <w:vAlign w:val="bottom"/>
          </w:tcPr>
          <w:p w14:paraId="58826910" w14:textId="2BEBB995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Gandia</w:t>
            </w:r>
            <w:proofErr w:type="spellEnd"/>
          </w:p>
        </w:tc>
        <w:tc>
          <w:tcPr>
            <w:tcW w:w="1560" w:type="dxa"/>
            <w:vAlign w:val="bottom"/>
          </w:tcPr>
          <w:p w14:paraId="1E057D15" w14:textId="36C9FE60" w:rsidR="00AD1DFB" w:rsidRPr="00AD1DFB" w:rsidRDefault="00AD1DFB" w:rsidP="00AD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5,5%</w:t>
            </w:r>
          </w:p>
        </w:tc>
      </w:tr>
      <w:tr w:rsidR="00AD1DFB" w14:paraId="17513EE9" w14:textId="77777777" w:rsidTr="00AD1DF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CA3B75A" w14:textId="24758AC7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1FBDCCF7" w14:textId="292C63B8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2551" w:type="dxa"/>
            <w:vAlign w:val="bottom"/>
          </w:tcPr>
          <w:p w14:paraId="4F6CEE54" w14:textId="6CB85A4C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Calafell</w:t>
            </w:r>
          </w:p>
        </w:tc>
        <w:tc>
          <w:tcPr>
            <w:tcW w:w="1560" w:type="dxa"/>
            <w:vAlign w:val="bottom"/>
          </w:tcPr>
          <w:p w14:paraId="20FFFB1D" w14:textId="2EBCA061" w:rsidR="00AD1DFB" w:rsidRPr="00AD1DFB" w:rsidRDefault="00AD1DFB" w:rsidP="00AD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5,5%</w:t>
            </w:r>
          </w:p>
        </w:tc>
      </w:tr>
      <w:tr w:rsidR="00AD1DFB" w14:paraId="2EB561EB" w14:textId="77777777" w:rsidTr="00AD1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2E72D0A" w14:textId="584D6F2E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19B79B8C" w14:textId="3046DFA3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2551" w:type="dxa"/>
            <w:vAlign w:val="bottom"/>
          </w:tcPr>
          <w:p w14:paraId="33D70534" w14:textId="1A1E5BC3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El Vendrell</w:t>
            </w:r>
          </w:p>
        </w:tc>
        <w:tc>
          <w:tcPr>
            <w:tcW w:w="1560" w:type="dxa"/>
            <w:vAlign w:val="bottom"/>
          </w:tcPr>
          <w:p w14:paraId="5AEF7055" w14:textId="04F5465B" w:rsidR="00AD1DFB" w:rsidRPr="00AD1DFB" w:rsidRDefault="00AD1DFB" w:rsidP="00AD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5,5%</w:t>
            </w:r>
          </w:p>
        </w:tc>
      </w:tr>
      <w:tr w:rsidR="00AD1DFB" w14:paraId="2D2E6C8A" w14:textId="77777777" w:rsidTr="00AD1DF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7F7A4391" w14:textId="11567AD2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107F11A8" w14:textId="068C377A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551" w:type="dxa"/>
            <w:vAlign w:val="bottom"/>
          </w:tcPr>
          <w:p w14:paraId="75D516CC" w14:textId="42C2265D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Torremolinos</w:t>
            </w:r>
          </w:p>
        </w:tc>
        <w:tc>
          <w:tcPr>
            <w:tcW w:w="1560" w:type="dxa"/>
            <w:vAlign w:val="bottom"/>
          </w:tcPr>
          <w:p w14:paraId="0AD875DE" w14:textId="096FD893" w:rsidR="00AD1DFB" w:rsidRPr="00AD1DFB" w:rsidRDefault="00AD1DFB" w:rsidP="00AD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5,4%</w:t>
            </w:r>
          </w:p>
        </w:tc>
      </w:tr>
      <w:tr w:rsidR="00AD1DFB" w14:paraId="42F9AF59" w14:textId="77777777" w:rsidTr="00AD1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906A805" w14:textId="42ADA808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3F68C95E" w14:textId="69C093D6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551" w:type="dxa"/>
            <w:vAlign w:val="bottom"/>
          </w:tcPr>
          <w:p w14:paraId="3201F729" w14:textId="0A414B13" w:rsidR="00AD1DFB" w:rsidRPr="00AD1DFB" w:rsidRDefault="00AD1DFB" w:rsidP="00AD1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Gavà</w:t>
            </w:r>
          </w:p>
        </w:tc>
        <w:tc>
          <w:tcPr>
            <w:tcW w:w="1560" w:type="dxa"/>
            <w:vAlign w:val="bottom"/>
          </w:tcPr>
          <w:p w14:paraId="1073BBD6" w14:textId="77EF3A18" w:rsidR="00AD1DFB" w:rsidRPr="00AD1DFB" w:rsidRDefault="00AD1DFB" w:rsidP="00AD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5,4%</w:t>
            </w:r>
          </w:p>
        </w:tc>
      </w:tr>
      <w:tr w:rsidR="00AD1DFB" w14:paraId="12F9EFEF" w14:textId="77777777" w:rsidTr="00AD1DF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7FC8C26B" w14:textId="72EA0E73" w:rsidR="00AD1DFB" w:rsidRPr="00AD1DFB" w:rsidRDefault="00AD1DFB" w:rsidP="00AD1DFB">
            <w:pPr>
              <w:rPr>
                <w:rFonts w:ascii="Open Sans" w:hAnsi="Open Sans" w:cs="Open Sans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sz w:val="22"/>
                <w:szCs w:val="22"/>
              </w:rPr>
              <w:t>Baleares</w:t>
            </w:r>
          </w:p>
        </w:tc>
        <w:tc>
          <w:tcPr>
            <w:tcW w:w="2552" w:type="dxa"/>
            <w:vAlign w:val="bottom"/>
          </w:tcPr>
          <w:p w14:paraId="53D781F3" w14:textId="65A12ED4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0DA12384" w14:textId="399EA199" w:rsidR="00AD1DFB" w:rsidRPr="00AD1DFB" w:rsidRDefault="00AD1DFB" w:rsidP="00AD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D1DFB">
              <w:rPr>
                <w:rFonts w:ascii="Open Sans" w:hAnsi="Open Sans" w:cs="Open Sans"/>
                <w:color w:val="000000"/>
                <w:sz w:val="22"/>
                <w:szCs w:val="22"/>
              </w:rPr>
              <w:t>Llucmajor</w:t>
            </w:r>
          </w:p>
        </w:tc>
        <w:tc>
          <w:tcPr>
            <w:tcW w:w="1560" w:type="dxa"/>
            <w:vAlign w:val="bottom"/>
          </w:tcPr>
          <w:p w14:paraId="79DC496E" w14:textId="3E8306C1" w:rsidR="00AD1DFB" w:rsidRPr="00AD1DFB" w:rsidRDefault="00AD1DFB" w:rsidP="00AD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AD1D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5,4%</w:t>
            </w:r>
          </w:p>
        </w:tc>
      </w:tr>
    </w:tbl>
    <w:p w14:paraId="66BE64F4" w14:textId="044A6D68" w:rsidR="00A227BB" w:rsidRDefault="00A227BB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653E614" w14:textId="25E7EDA6" w:rsidR="00D70AD1" w:rsidRPr="00D70AD1" w:rsidRDefault="00D70AD1" w:rsidP="00D70AD1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D70AD1">
        <w:rPr>
          <w:rFonts w:ascii="Open Sans Light" w:hAnsi="Open Sans Light" w:cs="Open Sans Light"/>
          <w:b/>
          <w:iCs/>
          <w:color w:val="303AB2"/>
          <w:sz w:val="28"/>
          <w:szCs w:val="22"/>
        </w:rPr>
        <w:t>Gráfica comparativa municipios mayor rentabilidad</w:t>
      </w:r>
    </w:p>
    <w:p w14:paraId="28CAE4FF" w14:textId="08E93265" w:rsidR="00633ECE" w:rsidRDefault="00D70AD1" w:rsidP="00AD1DFB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noProof/>
        </w:rPr>
        <w:drawing>
          <wp:inline distT="0" distB="0" distL="0" distR="0" wp14:anchorId="753F0DA7" wp14:editId="5F74E9AD">
            <wp:extent cx="5321300" cy="2832100"/>
            <wp:effectExtent l="0" t="0" r="0" b="635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CC4A2F2-A3E2-4933-853F-83DA9E451B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037CA8" w14:textId="77777777" w:rsidR="002D06D5" w:rsidRDefault="002D06D5" w:rsidP="002D06D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el otro extremo, municipios como Zarautz (1,2%), Nerja (2,1%), Roses (2,4%), Jávea (2,5%) o San Sebastián (3,0%) son los municipios que menos rentabilidad ofrecen, muy por debajo de la rentabilidad media de España, que es del 5,4%. </w:t>
      </w:r>
    </w:p>
    <w:p w14:paraId="2020642B" w14:textId="7DD1F0ED" w:rsidR="00AD1DFB" w:rsidRPr="0045662A" w:rsidRDefault="00AD1DFB" w:rsidP="00AD1DFB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45662A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Municipios de costa con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menor</w:t>
      </w:r>
      <w:r w:rsidRPr="0045662A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rentabilidad</w:t>
      </w:r>
    </w:p>
    <w:tbl>
      <w:tblPr>
        <w:tblStyle w:val="Tabladecuadrcula5oscura-nfasis11"/>
        <w:tblpPr w:leftFromText="141" w:rightFromText="141" w:vertAnchor="text" w:horzAnchor="margin" w:tblpX="108" w:tblpY="137"/>
        <w:tblW w:w="9039" w:type="dxa"/>
        <w:tblLook w:val="04A0" w:firstRow="1" w:lastRow="0" w:firstColumn="1" w:lastColumn="0" w:noHBand="0" w:noVBand="1"/>
      </w:tblPr>
      <w:tblGrid>
        <w:gridCol w:w="2376"/>
        <w:gridCol w:w="2268"/>
        <w:gridCol w:w="2835"/>
        <w:gridCol w:w="1560"/>
      </w:tblGrid>
      <w:tr w:rsidR="006130B6" w:rsidRPr="006D4516" w14:paraId="68F47F30" w14:textId="77777777" w:rsidTr="003C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99EE459" w14:textId="77777777" w:rsidR="006130B6" w:rsidRPr="00CB52C2" w:rsidRDefault="006130B6" w:rsidP="00111408">
            <w:pPr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CC.AA.</w:t>
            </w:r>
          </w:p>
        </w:tc>
        <w:tc>
          <w:tcPr>
            <w:tcW w:w="2268" w:type="dxa"/>
            <w:vAlign w:val="center"/>
          </w:tcPr>
          <w:p w14:paraId="4FAB03A5" w14:textId="77777777" w:rsidR="006130B6" w:rsidRPr="006D4516" w:rsidRDefault="006130B6" w:rsidP="0011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835" w:type="dxa"/>
            <w:vAlign w:val="center"/>
          </w:tcPr>
          <w:p w14:paraId="6EB7BE8F" w14:textId="77777777" w:rsidR="006130B6" w:rsidRPr="006D4516" w:rsidRDefault="006130B6" w:rsidP="0011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560" w:type="dxa"/>
            <w:vAlign w:val="center"/>
          </w:tcPr>
          <w:p w14:paraId="1A166A30" w14:textId="77777777" w:rsidR="006130B6" w:rsidRPr="006D4516" w:rsidRDefault="006130B6" w:rsidP="001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Rentabilidad media</w:t>
            </w:r>
          </w:p>
        </w:tc>
      </w:tr>
      <w:tr w:rsidR="00111408" w14:paraId="01ABC154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6C046C8" w14:textId="7654D8D5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1968212E" w14:textId="5738B639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835" w:type="dxa"/>
            <w:vAlign w:val="bottom"/>
          </w:tcPr>
          <w:p w14:paraId="4ACD8FDE" w14:textId="43EE97A9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Camargo</w:t>
            </w:r>
          </w:p>
        </w:tc>
        <w:tc>
          <w:tcPr>
            <w:tcW w:w="1560" w:type="dxa"/>
            <w:vAlign w:val="bottom"/>
          </w:tcPr>
          <w:p w14:paraId="4B150D4B" w14:textId="45582FA7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5,3%</w:t>
            </w:r>
          </w:p>
        </w:tc>
      </w:tr>
      <w:tr w:rsidR="00111408" w14:paraId="22EF413D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35246724" w14:textId="3582AEDB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5095AFB0" w14:textId="10FDC50D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Almería</w:t>
            </w:r>
          </w:p>
        </w:tc>
        <w:tc>
          <w:tcPr>
            <w:tcW w:w="2835" w:type="dxa"/>
            <w:vAlign w:val="bottom"/>
          </w:tcPr>
          <w:p w14:paraId="1981DB17" w14:textId="490BED94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Roquetas de Mar</w:t>
            </w:r>
          </w:p>
        </w:tc>
        <w:tc>
          <w:tcPr>
            <w:tcW w:w="1560" w:type="dxa"/>
            <w:vAlign w:val="bottom"/>
          </w:tcPr>
          <w:p w14:paraId="25BEC744" w14:textId="2526AD04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5,3%</w:t>
            </w:r>
          </w:p>
        </w:tc>
      </w:tr>
      <w:tr w:rsidR="00111408" w14:paraId="42F9670B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FA68A37" w14:textId="39437502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43113DA4" w14:textId="6D41E13F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Huelva</w:t>
            </w:r>
          </w:p>
        </w:tc>
        <w:tc>
          <w:tcPr>
            <w:tcW w:w="2835" w:type="dxa"/>
            <w:vAlign w:val="bottom"/>
          </w:tcPr>
          <w:p w14:paraId="0776985E" w14:textId="10A9078E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Punta Umbría</w:t>
            </w:r>
          </w:p>
        </w:tc>
        <w:tc>
          <w:tcPr>
            <w:tcW w:w="1560" w:type="dxa"/>
            <w:vAlign w:val="bottom"/>
          </w:tcPr>
          <w:p w14:paraId="6BC0152E" w14:textId="1B81EEDB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5,3%</w:t>
            </w:r>
          </w:p>
        </w:tc>
      </w:tr>
      <w:tr w:rsidR="00111408" w14:paraId="6A5AC455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74F2E909" w14:textId="55262D65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lastRenderedPageBreak/>
              <w:t>Comunitat Valenciana</w:t>
            </w:r>
          </w:p>
        </w:tc>
        <w:tc>
          <w:tcPr>
            <w:tcW w:w="2268" w:type="dxa"/>
            <w:vAlign w:val="bottom"/>
          </w:tcPr>
          <w:p w14:paraId="25E2E885" w14:textId="3C2A8E72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835" w:type="dxa"/>
            <w:vAlign w:val="bottom"/>
          </w:tcPr>
          <w:p w14:paraId="0CFEFFAD" w14:textId="7F205242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Valencia Capital</w:t>
            </w:r>
          </w:p>
        </w:tc>
        <w:tc>
          <w:tcPr>
            <w:tcW w:w="1560" w:type="dxa"/>
            <w:vAlign w:val="bottom"/>
          </w:tcPr>
          <w:p w14:paraId="2DA33CA8" w14:textId="32B111D6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5,3%</w:t>
            </w:r>
          </w:p>
        </w:tc>
      </w:tr>
      <w:tr w:rsidR="00111408" w14:paraId="1B60549C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372ADFC6" w14:textId="59828DF7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Región de Murcia</w:t>
            </w:r>
          </w:p>
        </w:tc>
        <w:tc>
          <w:tcPr>
            <w:tcW w:w="2268" w:type="dxa"/>
            <w:vAlign w:val="bottom"/>
          </w:tcPr>
          <w:p w14:paraId="02D7822E" w14:textId="420BF52A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Murcia</w:t>
            </w:r>
          </w:p>
        </w:tc>
        <w:tc>
          <w:tcPr>
            <w:tcW w:w="2835" w:type="dxa"/>
            <w:vAlign w:val="bottom"/>
          </w:tcPr>
          <w:p w14:paraId="20A9CA9F" w14:textId="4365831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Los Alcázares</w:t>
            </w:r>
          </w:p>
        </w:tc>
        <w:tc>
          <w:tcPr>
            <w:tcW w:w="1560" w:type="dxa"/>
            <w:vAlign w:val="bottom"/>
          </w:tcPr>
          <w:p w14:paraId="2CCEFA2D" w14:textId="0AF40684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5,3%</w:t>
            </w:r>
          </w:p>
        </w:tc>
      </w:tr>
      <w:tr w:rsidR="00111408" w14:paraId="6D2E3E63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599AAA5B" w14:textId="04A5AD77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1D863C0E" w14:textId="057702DD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835" w:type="dxa"/>
            <w:vAlign w:val="bottom"/>
          </w:tcPr>
          <w:p w14:paraId="41BA9424" w14:textId="6C860C19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Vélez-Málaga</w:t>
            </w:r>
          </w:p>
        </w:tc>
        <w:tc>
          <w:tcPr>
            <w:tcW w:w="1560" w:type="dxa"/>
            <w:vAlign w:val="bottom"/>
          </w:tcPr>
          <w:p w14:paraId="2DD2059E" w14:textId="07AC0A6F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5,3%</w:t>
            </w:r>
          </w:p>
        </w:tc>
      </w:tr>
      <w:tr w:rsidR="00111408" w14:paraId="620296F5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21C3A74" w14:textId="4CE79C2A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2FFB2991" w14:textId="0D297684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Girona</w:t>
            </w:r>
          </w:p>
        </w:tc>
        <w:tc>
          <w:tcPr>
            <w:tcW w:w="2835" w:type="dxa"/>
            <w:vAlign w:val="bottom"/>
          </w:tcPr>
          <w:p w14:paraId="517666B5" w14:textId="43B5242F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Blanes</w:t>
            </w:r>
          </w:p>
        </w:tc>
        <w:tc>
          <w:tcPr>
            <w:tcW w:w="1560" w:type="dxa"/>
            <w:vAlign w:val="bottom"/>
          </w:tcPr>
          <w:p w14:paraId="464F0F16" w14:textId="27A72851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5,3%</w:t>
            </w:r>
          </w:p>
        </w:tc>
      </w:tr>
      <w:tr w:rsidR="00111408" w14:paraId="65C95588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18661849" w14:textId="09F864F8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1FBE75D9" w14:textId="32985A5A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2835" w:type="dxa"/>
            <w:vAlign w:val="bottom"/>
          </w:tcPr>
          <w:p w14:paraId="68BBCAB0" w14:textId="3733B9AF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Gijón</w:t>
            </w:r>
          </w:p>
        </w:tc>
        <w:tc>
          <w:tcPr>
            <w:tcW w:w="1560" w:type="dxa"/>
            <w:vAlign w:val="bottom"/>
          </w:tcPr>
          <w:p w14:paraId="075BBF5F" w14:textId="50B13A71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5,3%</w:t>
            </w:r>
          </w:p>
        </w:tc>
      </w:tr>
      <w:tr w:rsidR="00111408" w14:paraId="2280E1F0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77E3412F" w14:textId="5A612639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64488ECD" w14:textId="28BAAF08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4E9B2983" w14:textId="626DC418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 Masnou</w:t>
            </w:r>
          </w:p>
        </w:tc>
        <w:tc>
          <w:tcPr>
            <w:tcW w:w="1560" w:type="dxa"/>
            <w:vAlign w:val="bottom"/>
          </w:tcPr>
          <w:p w14:paraId="319454AB" w14:textId="70B0B92F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5,2%</w:t>
            </w:r>
          </w:p>
        </w:tc>
      </w:tr>
      <w:tr w:rsidR="00111408" w14:paraId="5715FABD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5688868" w14:textId="656EB481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5645DDEA" w14:textId="6944E07F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515F3592" w14:textId="56D9895B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Vilanova I la Geltrú</w:t>
            </w:r>
          </w:p>
        </w:tc>
        <w:tc>
          <w:tcPr>
            <w:tcW w:w="1560" w:type="dxa"/>
            <w:vAlign w:val="bottom"/>
          </w:tcPr>
          <w:p w14:paraId="4C96FA87" w14:textId="645E83C4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5,2%</w:t>
            </w:r>
          </w:p>
        </w:tc>
      </w:tr>
      <w:tr w:rsidR="00111408" w14:paraId="55612A9F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140FB82" w14:textId="153C08D2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vAlign w:val="bottom"/>
          </w:tcPr>
          <w:p w14:paraId="34FD4B59" w14:textId="7D60265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835" w:type="dxa"/>
            <w:vAlign w:val="bottom"/>
          </w:tcPr>
          <w:p w14:paraId="744053BF" w14:textId="2E9EA7C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 Campello</w:t>
            </w:r>
          </w:p>
        </w:tc>
        <w:tc>
          <w:tcPr>
            <w:tcW w:w="1560" w:type="dxa"/>
            <w:vAlign w:val="bottom"/>
          </w:tcPr>
          <w:p w14:paraId="62D9B77D" w14:textId="3B8535B3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5,2%</w:t>
            </w:r>
          </w:p>
        </w:tc>
      </w:tr>
      <w:tr w:rsidR="00111408" w14:paraId="0842FF53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BAD0B67" w14:textId="78A3C8AA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vAlign w:val="bottom"/>
          </w:tcPr>
          <w:p w14:paraId="089B28A4" w14:textId="09A0F7A9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835" w:type="dxa"/>
            <w:vAlign w:val="bottom"/>
          </w:tcPr>
          <w:p w14:paraId="4372D439" w14:textId="263108A7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1560" w:type="dxa"/>
            <w:vAlign w:val="bottom"/>
          </w:tcPr>
          <w:p w14:paraId="274474D6" w14:textId="174D0BC7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5,2%</w:t>
            </w:r>
          </w:p>
        </w:tc>
      </w:tr>
      <w:tr w:rsidR="00111408" w14:paraId="507A1766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D49D4DE" w14:textId="2DC5EAE9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64780796" w14:textId="31BC2525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2835" w:type="dxa"/>
            <w:vAlign w:val="bottom"/>
          </w:tcPr>
          <w:p w14:paraId="6BC7F582" w14:textId="37A0DE6E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 Puerto de Santa María</w:t>
            </w:r>
          </w:p>
        </w:tc>
        <w:tc>
          <w:tcPr>
            <w:tcW w:w="1560" w:type="dxa"/>
            <w:vAlign w:val="bottom"/>
          </w:tcPr>
          <w:p w14:paraId="71226B45" w14:textId="5F22019F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5,1%</w:t>
            </w:r>
          </w:p>
        </w:tc>
      </w:tr>
      <w:tr w:rsidR="00111408" w14:paraId="64DADCBA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76E07C18" w14:textId="78183F23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vAlign w:val="bottom"/>
          </w:tcPr>
          <w:p w14:paraId="1D058EF8" w14:textId="54EAD039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835" w:type="dxa"/>
            <w:vAlign w:val="bottom"/>
          </w:tcPr>
          <w:p w14:paraId="794A8972" w14:textId="2C267832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Elche</w:t>
            </w:r>
          </w:p>
        </w:tc>
        <w:tc>
          <w:tcPr>
            <w:tcW w:w="1560" w:type="dxa"/>
            <w:vAlign w:val="bottom"/>
          </w:tcPr>
          <w:p w14:paraId="3B87D3F3" w14:textId="0E2BADB6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5,1%</w:t>
            </w:r>
          </w:p>
        </w:tc>
      </w:tr>
      <w:tr w:rsidR="00111408" w14:paraId="206379BE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3B52C867" w14:textId="5B0472FB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Región de Murcia</w:t>
            </w:r>
          </w:p>
        </w:tc>
        <w:tc>
          <w:tcPr>
            <w:tcW w:w="2268" w:type="dxa"/>
            <w:vAlign w:val="bottom"/>
          </w:tcPr>
          <w:p w14:paraId="71DEE26B" w14:textId="4B29A182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Murcia</w:t>
            </w:r>
          </w:p>
        </w:tc>
        <w:tc>
          <w:tcPr>
            <w:tcW w:w="2835" w:type="dxa"/>
            <w:vAlign w:val="bottom"/>
          </w:tcPr>
          <w:p w14:paraId="0EA11C42" w14:textId="22EFB138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Águilas</w:t>
            </w:r>
          </w:p>
        </w:tc>
        <w:tc>
          <w:tcPr>
            <w:tcW w:w="1560" w:type="dxa"/>
            <w:vAlign w:val="bottom"/>
          </w:tcPr>
          <w:p w14:paraId="55C5CD58" w14:textId="0735716C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5,1%</w:t>
            </w:r>
          </w:p>
        </w:tc>
      </w:tr>
      <w:tr w:rsidR="00111408" w14:paraId="2CE872F7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3424086" w14:textId="2819A75F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Canarias</w:t>
            </w:r>
          </w:p>
        </w:tc>
        <w:tc>
          <w:tcPr>
            <w:tcW w:w="2268" w:type="dxa"/>
            <w:vAlign w:val="bottom"/>
          </w:tcPr>
          <w:p w14:paraId="3FB207A2" w14:textId="7D14DD57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2835" w:type="dxa"/>
            <w:vAlign w:val="bottom"/>
          </w:tcPr>
          <w:p w14:paraId="2BDB991C" w14:textId="500EA61E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Puerto de la Cruz</w:t>
            </w:r>
          </w:p>
        </w:tc>
        <w:tc>
          <w:tcPr>
            <w:tcW w:w="1560" w:type="dxa"/>
            <w:vAlign w:val="bottom"/>
          </w:tcPr>
          <w:p w14:paraId="228D970C" w14:textId="0C43736D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5,1%</w:t>
            </w:r>
          </w:p>
        </w:tc>
      </w:tr>
      <w:tr w:rsidR="00111408" w14:paraId="2587C6E3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C8F2BC5" w14:textId="7F9D05C0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vAlign w:val="bottom"/>
          </w:tcPr>
          <w:p w14:paraId="4B8F0DB1" w14:textId="04D294C5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835" w:type="dxa"/>
            <w:vAlign w:val="bottom"/>
          </w:tcPr>
          <w:p w14:paraId="4A0D1325" w14:textId="6BB4724F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Benidorm</w:t>
            </w:r>
          </w:p>
        </w:tc>
        <w:tc>
          <w:tcPr>
            <w:tcW w:w="1560" w:type="dxa"/>
            <w:vAlign w:val="bottom"/>
          </w:tcPr>
          <w:p w14:paraId="72A45618" w14:textId="7A2F8B52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5,0%</w:t>
            </w:r>
          </w:p>
        </w:tc>
      </w:tr>
      <w:tr w:rsidR="00111408" w14:paraId="5F8026E1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4E5C928" w14:textId="6EF84EF3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5E62E370" w14:textId="762922B3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835" w:type="dxa"/>
            <w:vAlign w:val="bottom"/>
          </w:tcPr>
          <w:p w14:paraId="12BC2CB6" w14:textId="654A967C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Benalmádena</w:t>
            </w:r>
          </w:p>
        </w:tc>
        <w:tc>
          <w:tcPr>
            <w:tcW w:w="1560" w:type="dxa"/>
            <w:vAlign w:val="bottom"/>
          </w:tcPr>
          <w:p w14:paraId="580C009B" w14:textId="258B8BFD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5,0%</w:t>
            </w:r>
          </w:p>
        </w:tc>
      </w:tr>
      <w:tr w:rsidR="00111408" w:rsidRPr="00AD1DFB" w14:paraId="0D03054D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D6B201F" w14:textId="36B67FB9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01BBFE49" w14:textId="6D7A60C2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2416F2C4" w14:textId="232B3053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Castelldefels</w:t>
            </w:r>
          </w:p>
        </w:tc>
        <w:tc>
          <w:tcPr>
            <w:tcW w:w="1560" w:type="dxa"/>
            <w:vAlign w:val="bottom"/>
          </w:tcPr>
          <w:p w14:paraId="1F6BFE2F" w14:textId="02E77E94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5,0%</w:t>
            </w:r>
          </w:p>
        </w:tc>
      </w:tr>
      <w:tr w:rsidR="00111408" w:rsidRPr="00AD1DFB" w14:paraId="595354AE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7EF259A" w14:textId="57CFD199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3C825B7D" w14:textId="18D85DF6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2835" w:type="dxa"/>
            <w:vAlign w:val="bottom"/>
          </w:tcPr>
          <w:p w14:paraId="6FFC9C61" w14:textId="7AA5334A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Salou</w:t>
            </w:r>
          </w:p>
        </w:tc>
        <w:tc>
          <w:tcPr>
            <w:tcW w:w="1560" w:type="dxa"/>
            <w:vAlign w:val="bottom"/>
          </w:tcPr>
          <w:p w14:paraId="49082A80" w14:textId="5687F8E0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5,0%</w:t>
            </w:r>
          </w:p>
        </w:tc>
      </w:tr>
      <w:tr w:rsidR="00111408" w:rsidRPr="00AD1DFB" w14:paraId="4D982687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CE46B6E" w14:textId="3A853CF4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11FA3B19" w14:textId="655242E1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835" w:type="dxa"/>
            <w:vAlign w:val="bottom"/>
          </w:tcPr>
          <w:p w14:paraId="47B9E35B" w14:textId="6F306CE7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Mijas</w:t>
            </w:r>
          </w:p>
        </w:tc>
        <w:tc>
          <w:tcPr>
            <w:tcW w:w="1560" w:type="dxa"/>
            <w:vAlign w:val="bottom"/>
          </w:tcPr>
          <w:p w14:paraId="4153F984" w14:textId="2CAF9327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4,9%</w:t>
            </w:r>
          </w:p>
        </w:tc>
      </w:tr>
      <w:tr w:rsidR="00111408" w:rsidRPr="00AD1DFB" w14:paraId="50C8C508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10AE042" w14:textId="169FF631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794A2E4C" w14:textId="508E0218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835" w:type="dxa"/>
            <w:vAlign w:val="bottom"/>
          </w:tcPr>
          <w:p w14:paraId="2DDF1026" w14:textId="77E14605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Manilva</w:t>
            </w:r>
          </w:p>
        </w:tc>
        <w:tc>
          <w:tcPr>
            <w:tcW w:w="1560" w:type="dxa"/>
            <w:vAlign w:val="bottom"/>
          </w:tcPr>
          <w:p w14:paraId="617B4311" w14:textId="24650434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4,9%</w:t>
            </w:r>
          </w:p>
        </w:tc>
      </w:tr>
      <w:tr w:rsidR="00111408" w:rsidRPr="00AD1DFB" w14:paraId="5177D8B2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13BA64A" w14:textId="21AF98DD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28672B51" w14:textId="4763DE92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18F59261" w14:textId="083BCEFA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Mataró</w:t>
            </w:r>
          </w:p>
        </w:tc>
        <w:tc>
          <w:tcPr>
            <w:tcW w:w="1560" w:type="dxa"/>
            <w:vAlign w:val="bottom"/>
          </w:tcPr>
          <w:p w14:paraId="1FFD3F73" w14:textId="3C566F47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4,9%</w:t>
            </w:r>
          </w:p>
        </w:tc>
      </w:tr>
      <w:tr w:rsidR="00111408" w:rsidRPr="00AD1DFB" w14:paraId="71831AF8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7DC10E29" w14:textId="6DA48432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72493181" w14:textId="03BDD373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2835" w:type="dxa"/>
            <w:vAlign w:val="bottom"/>
          </w:tcPr>
          <w:p w14:paraId="7CFD1061" w14:textId="6AE58EE4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Sant Carles de 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Ràpita</w:t>
            </w:r>
            <w:proofErr w:type="spellEnd"/>
          </w:p>
        </w:tc>
        <w:tc>
          <w:tcPr>
            <w:tcW w:w="1560" w:type="dxa"/>
            <w:vAlign w:val="bottom"/>
          </w:tcPr>
          <w:p w14:paraId="136A5672" w14:textId="542C9285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4,8%</w:t>
            </w:r>
          </w:p>
        </w:tc>
      </w:tr>
      <w:tr w:rsidR="00111408" w:rsidRPr="00AD1DFB" w14:paraId="1157716B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DAE87D7" w14:textId="40CD3632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3B9E24BD" w14:textId="20874CA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2835" w:type="dxa"/>
            <w:vAlign w:val="bottom"/>
          </w:tcPr>
          <w:p w14:paraId="3CF43423" w14:textId="4E3EFE23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Sanlúcar de Barrameda</w:t>
            </w:r>
          </w:p>
        </w:tc>
        <w:tc>
          <w:tcPr>
            <w:tcW w:w="1560" w:type="dxa"/>
            <w:vAlign w:val="bottom"/>
          </w:tcPr>
          <w:p w14:paraId="7F80F582" w14:textId="1182BEC5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4,8%</w:t>
            </w:r>
          </w:p>
        </w:tc>
      </w:tr>
      <w:tr w:rsidR="00111408" w:rsidRPr="00AD1DFB" w14:paraId="18C68399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2A6CCA4" w14:textId="4840BE37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3405A751" w14:textId="5E65FB6C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835" w:type="dxa"/>
            <w:vAlign w:val="bottom"/>
          </w:tcPr>
          <w:p w14:paraId="57F08BF1" w14:textId="73D6E59A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1560" w:type="dxa"/>
            <w:vAlign w:val="bottom"/>
          </w:tcPr>
          <w:p w14:paraId="42357B43" w14:textId="47835977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4,7%</w:t>
            </w:r>
          </w:p>
        </w:tc>
      </w:tr>
      <w:tr w:rsidR="00111408" w:rsidRPr="00AD1DFB" w14:paraId="0575AD85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12B33849" w14:textId="0A77C788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vAlign w:val="bottom"/>
          </w:tcPr>
          <w:p w14:paraId="008308BD" w14:textId="7EE1CA1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Castellón</w:t>
            </w:r>
          </w:p>
        </w:tc>
        <w:tc>
          <w:tcPr>
            <w:tcW w:w="2835" w:type="dxa"/>
            <w:vAlign w:val="bottom"/>
          </w:tcPr>
          <w:p w14:paraId="3DF2E153" w14:textId="7E3CA899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Benicarló</w:t>
            </w:r>
          </w:p>
        </w:tc>
        <w:tc>
          <w:tcPr>
            <w:tcW w:w="1560" w:type="dxa"/>
            <w:vAlign w:val="bottom"/>
          </w:tcPr>
          <w:p w14:paraId="29BAFC81" w14:textId="0714341E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4,7%</w:t>
            </w:r>
          </w:p>
        </w:tc>
      </w:tr>
      <w:tr w:rsidR="00111408" w:rsidRPr="00AD1DFB" w14:paraId="347FFE30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E8E73D4" w14:textId="41FEBE72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09FE3B73" w14:textId="0AFBD8D3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835" w:type="dxa"/>
            <w:vAlign w:val="bottom"/>
          </w:tcPr>
          <w:p w14:paraId="793B5D6D" w14:textId="44FF207D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Rincón de la Victoria</w:t>
            </w:r>
          </w:p>
        </w:tc>
        <w:tc>
          <w:tcPr>
            <w:tcW w:w="1560" w:type="dxa"/>
            <w:vAlign w:val="bottom"/>
          </w:tcPr>
          <w:p w14:paraId="757C16B4" w14:textId="0ADD3E1A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4,7%</w:t>
            </w:r>
          </w:p>
        </w:tc>
      </w:tr>
      <w:tr w:rsidR="00111408" w:rsidRPr="00AD1DFB" w14:paraId="3CBFA3DC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D474896" w14:textId="05CD6639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Baleares</w:t>
            </w:r>
          </w:p>
        </w:tc>
        <w:tc>
          <w:tcPr>
            <w:tcW w:w="2268" w:type="dxa"/>
            <w:vAlign w:val="bottom"/>
          </w:tcPr>
          <w:p w14:paraId="22B87178" w14:textId="654D7BD9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Illes Balears</w:t>
            </w:r>
          </w:p>
        </w:tc>
        <w:tc>
          <w:tcPr>
            <w:tcW w:w="2835" w:type="dxa"/>
            <w:vAlign w:val="bottom"/>
          </w:tcPr>
          <w:p w14:paraId="18E5CD4E" w14:textId="3D3529F1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Palma de Mallorca</w:t>
            </w:r>
          </w:p>
        </w:tc>
        <w:tc>
          <w:tcPr>
            <w:tcW w:w="1560" w:type="dxa"/>
            <w:vAlign w:val="bottom"/>
          </w:tcPr>
          <w:p w14:paraId="4301F277" w14:textId="64FBBAC3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4,7%</w:t>
            </w:r>
          </w:p>
        </w:tc>
      </w:tr>
      <w:tr w:rsidR="00111408" w:rsidRPr="00AD1DFB" w14:paraId="24E78533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1EFE0697" w14:textId="202977DA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País Vasco</w:t>
            </w:r>
          </w:p>
        </w:tc>
        <w:tc>
          <w:tcPr>
            <w:tcW w:w="2268" w:type="dxa"/>
            <w:vAlign w:val="bottom"/>
          </w:tcPr>
          <w:p w14:paraId="124F9644" w14:textId="5DBCE49F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Bizkaia</w:t>
            </w:r>
          </w:p>
        </w:tc>
        <w:tc>
          <w:tcPr>
            <w:tcW w:w="2835" w:type="dxa"/>
            <w:vAlign w:val="bottom"/>
          </w:tcPr>
          <w:p w14:paraId="12446627" w14:textId="12324958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Portugalete</w:t>
            </w:r>
          </w:p>
        </w:tc>
        <w:tc>
          <w:tcPr>
            <w:tcW w:w="1560" w:type="dxa"/>
            <w:vAlign w:val="bottom"/>
          </w:tcPr>
          <w:p w14:paraId="650FA987" w14:textId="2EE4C911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4,6%</w:t>
            </w:r>
          </w:p>
        </w:tc>
      </w:tr>
      <w:tr w:rsidR="00111408" w:rsidRPr="00AD1DFB" w14:paraId="73173A1A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0EDB13E" w14:textId="66667170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vAlign w:val="bottom"/>
          </w:tcPr>
          <w:p w14:paraId="19B58ED0" w14:textId="3581350A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835" w:type="dxa"/>
            <w:vAlign w:val="bottom"/>
          </w:tcPr>
          <w:p w14:paraId="65347BA1" w14:textId="7F789B26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Altea</w:t>
            </w:r>
          </w:p>
        </w:tc>
        <w:tc>
          <w:tcPr>
            <w:tcW w:w="1560" w:type="dxa"/>
            <w:vAlign w:val="bottom"/>
          </w:tcPr>
          <w:p w14:paraId="2977C6ED" w14:textId="7CFCD48A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4,6%</w:t>
            </w:r>
          </w:p>
        </w:tc>
      </w:tr>
      <w:tr w:rsidR="00111408" w:rsidRPr="00AD1DFB" w14:paraId="43BF4E76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5D1CE6A3" w14:textId="6EE26B88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38C8EA56" w14:textId="793009D3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2835" w:type="dxa"/>
            <w:vAlign w:val="bottom"/>
          </w:tcPr>
          <w:p w14:paraId="0ED2A708" w14:textId="6F190FF5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Cambrils</w:t>
            </w:r>
          </w:p>
        </w:tc>
        <w:tc>
          <w:tcPr>
            <w:tcW w:w="1560" w:type="dxa"/>
            <w:vAlign w:val="bottom"/>
          </w:tcPr>
          <w:p w14:paraId="425EA3D1" w14:textId="469E4124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4,6%</w:t>
            </w:r>
          </w:p>
        </w:tc>
      </w:tr>
      <w:tr w:rsidR="00111408" w:rsidRPr="00AD1DFB" w14:paraId="630980CF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1D31CDED" w14:textId="6B514E6A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1AB5B466" w14:textId="3728EC1D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835" w:type="dxa"/>
            <w:vAlign w:val="bottom"/>
          </w:tcPr>
          <w:p w14:paraId="47D6627A" w14:textId="1457EAC1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Castro-Urdiales</w:t>
            </w:r>
          </w:p>
        </w:tc>
        <w:tc>
          <w:tcPr>
            <w:tcW w:w="1560" w:type="dxa"/>
            <w:vAlign w:val="bottom"/>
          </w:tcPr>
          <w:p w14:paraId="068CCFB8" w14:textId="1C20E0FD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4,5%</w:t>
            </w:r>
          </w:p>
        </w:tc>
      </w:tr>
      <w:tr w:rsidR="00111408" w:rsidRPr="00AD1DFB" w14:paraId="002E0A75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7E9F8386" w14:textId="7DCE102C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vAlign w:val="bottom"/>
          </w:tcPr>
          <w:p w14:paraId="4885B553" w14:textId="3282296E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835" w:type="dxa"/>
            <w:vAlign w:val="bottom"/>
          </w:tcPr>
          <w:p w14:paraId="4C89FE8E" w14:textId="248FD72D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Orihuela</w:t>
            </w:r>
          </w:p>
        </w:tc>
        <w:tc>
          <w:tcPr>
            <w:tcW w:w="1560" w:type="dxa"/>
            <w:vAlign w:val="bottom"/>
          </w:tcPr>
          <w:p w14:paraId="64F75969" w14:textId="26340F3A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4,5%</w:t>
            </w:r>
          </w:p>
        </w:tc>
      </w:tr>
      <w:tr w:rsidR="00111408" w:rsidRPr="00AD1DFB" w14:paraId="5D589A51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153E0E8" w14:textId="42665158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09E7D2D1" w14:textId="6BFA164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835" w:type="dxa"/>
            <w:vAlign w:val="bottom"/>
          </w:tcPr>
          <w:p w14:paraId="1D8F560F" w14:textId="5ACDD390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Estepona</w:t>
            </w:r>
          </w:p>
        </w:tc>
        <w:tc>
          <w:tcPr>
            <w:tcW w:w="1560" w:type="dxa"/>
            <w:vAlign w:val="bottom"/>
          </w:tcPr>
          <w:p w14:paraId="1EE54A1A" w14:textId="4055CA53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4,5%</w:t>
            </w:r>
          </w:p>
        </w:tc>
      </w:tr>
      <w:tr w:rsidR="00111408" w:rsidRPr="00AD1DFB" w14:paraId="3A52934A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B24EB38" w14:textId="412C5E2C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42609C5C" w14:textId="64C539BC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835" w:type="dxa"/>
            <w:vAlign w:val="bottom"/>
          </w:tcPr>
          <w:p w14:paraId="0F5B472C" w14:textId="52F9A64C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Fuengirola</w:t>
            </w:r>
          </w:p>
        </w:tc>
        <w:tc>
          <w:tcPr>
            <w:tcW w:w="1560" w:type="dxa"/>
            <w:vAlign w:val="bottom"/>
          </w:tcPr>
          <w:p w14:paraId="3BC61CFB" w14:textId="5C66029E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4,4%</w:t>
            </w:r>
          </w:p>
        </w:tc>
      </w:tr>
      <w:tr w:rsidR="00111408" w:rsidRPr="00AD1DFB" w14:paraId="7BCC2705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CE94A03" w14:textId="41B39C42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6CC91D8B" w14:textId="64B45F5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7A7F5022" w14:textId="3B96E216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1560" w:type="dxa"/>
            <w:vAlign w:val="bottom"/>
          </w:tcPr>
          <w:p w14:paraId="01322543" w14:textId="58D967F5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4,3%</w:t>
            </w:r>
          </w:p>
        </w:tc>
      </w:tr>
      <w:tr w:rsidR="00111408" w:rsidRPr="00AD1DFB" w14:paraId="61359930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201E70C" w14:textId="77AF7815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7E09A2E1" w14:textId="5F4A8421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52BA84AD" w14:textId="6642139B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Premià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Mar</w:t>
            </w:r>
          </w:p>
        </w:tc>
        <w:tc>
          <w:tcPr>
            <w:tcW w:w="1560" w:type="dxa"/>
            <w:vAlign w:val="bottom"/>
          </w:tcPr>
          <w:p w14:paraId="5880D343" w14:textId="16745446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4,3%</w:t>
            </w:r>
          </w:p>
        </w:tc>
      </w:tr>
      <w:tr w:rsidR="00111408" w:rsidRPr="00AD1DFB" w14:paraId="581D55F7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042BD32" w14:textId="14EA84E0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7B61238B" w14:textId="676A152E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2835" w:type="dxa"/>
            <w:vAlign w:val="bottom"/>
          </w:tcPr>
          <w:p w14:paraId="589D796A" w14:textId="1227698A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Avilés</w:t>
            </w:r>
          </w:p>
        </w:tc>
        <w:tc>
          <w:tcPr>
            <w:tcW w:w="1560" w:type="dxa"/>
            <w:vAlign w:val="bottom"/>
          </w:tcPr>
          <w:p w14:paraId="2C47C355" w14:textId="1BF596C7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4,3%</w:t>
            </w:r>
          </w:p>
        </w:tc>
      </w:tr>
      <w:tr w:rsidR="00111408" w:rsidRPr="00AD1DFB" w14:paraId="319CCF02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7877C682" w14:textId="7724EBA6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26076B01" w14:textId="38B27A94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Almería</w:t>
            </w:r>
          </w:p>
        </w:tc>
        <w:tc>
          <w:tcPr>
            <w:tcW w:w="2835" w:type="dxa"/>
            <w:vAlign w:val="bottom"/>
          </w:tcPr>
          <w:p w14:paraId="05A0CFEC" w14:textId="77FBC266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Adra</w:t>
            </w:r>
          </w:p>
        </w:tc>
        <w:tc>
          <w:tcPr>
            <w:tcW w:w="1560" w:type="dxa"/>
            <w:vAlign w:val="bottom"/>
          </w:tcPr>
          <w:p w14:paraId="055539F3" w14:textId="7912A18B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4,2%</w:t>
            </w:r>
          </w:p>
        </w:tc>
      </w:tr>
      <w:tr w:rsidR="00111408" w:rsidRPr="00AD1DFB" w14:paraId="1285BC70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7BE4E40" w14:textId="6B6FB175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Galicia</w:t>
            </w:r>
          </w:p>
        </w:tc>
        <w:tc>
          <w:tcPr>
            <w:tcW w:w="2268" w:type="dxa"/>
            <w:vAlign w:val="bottom"/>
          </w:tcPr>
          <w:p w14:paraId="0ACCD4E1" w14:textId="5CF970A2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 Coruña</w:t>
            </w:r>
          </w:p>
        </w:tc>
        <w:tc>
          <w:tcPr>
            <w:tcW w:w="2835" w:type="dxa"/>
            <w:vAlign w:val="bottom"/>
          </w:tcPr>
          <w:p w14:paraId="6F0F773B" w14:textId="362E56F6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Arteixo</w:t>
            </w:r>
          </w:p>
        </w:tc>
        <w:tc>
          <w:tcPr>
            <w:tcW w:w="1560" w:type="dxa"/>
            <w:vAlign w:val="bottom"/>
          </w:tcPr>
          <w:p w14:paraId="3F5DF4D1" w14:textId="430353E8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4,2%</w:t>
            </w:r>
          </w:p>
        </w:tc>
      </w:tr>
      <w:tr w:rsidR="00111408" w:rsidRPr="00AD1DFB" w14:paraId="4BF9CF98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F9AC53E" w14:textId="0ACC326A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5F8DA9F9" w14:textId="3A29CCA7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Granada</w:t>
            </w:r>
          </w:p>
        </w:tc>
        <w:tc>
          <w:tcPr>
            <w:tcW w:w="2835" w:type="dxa"/>
            <w:vAlign w:val="bottom"/>
          </w:tcPr>
          <w:p w14:paraId="58BE961D" w14:textId="51565B7C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Motril</w:t>
            </w:r>
          </w:p>
        </w:tc>
        <w:tc>
          <w:tcPr>
            <w:tcW w:w="1560" w:type="dxa"/>
            <w:vAlign w:val="bottom"/>
          </w:tcPr>
          <w:p w14:paraId="2291BC84" w14:textId="23B935D4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4,1%</w:t>
            </w:r>
          </w:p>
        </w:tc>
      </w:tr>
      <w:tr w:rsidR="00111408" w:rsidRPr="00AD1DFB" w14:paraId="705CDAA4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99DEA89" w14:textId="691E575F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4A3B6E53" w14:textId="55E8A5D3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650436D9" w14:textId="6788B64D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Sitges</w:t>
            </w:r>
          </w:p>
        </w:tc>
        <w:tc>
          <w:tcPr>
            <w:tcW w:w="1560" w:type="dxa"/>
            <w:vAlign w:val="bottom"/>
          </w:tcPr>
          <w:p w14:paraId="6DB914B8" w14:textId="180C7098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4,1%</w:t>
            </w:r>
          </w:p>
        </w:tc>
      </w:tr>
      <w:tr w:rsidR="00111408" w:rsidRPr="00AD1DFB" w14:paraId="64834E02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353CB2E6" w14:textId="5DE53CF4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País Vasco</w:t>
            </w:r>
          </w:p>
        </w:tc>
        <w:tc>
          <w:tcPr>
            <w:tcW w:w="2268" w:type="dxa"/>
            <w:vAlign w:val="bottom"/>
          </w:tcPr>
          <w:p w14:paraId="74A7FBFE" w14:textId="10E806E1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Bizkaia</w:t>
            </w:r>
          </w:p>
        </w:tc>
        <w:tc>
          <w:tcPr>
            <w:tcW w:w="2835" w:type="dxa"/>
            <w:vAlign w:val="bottom"/>
          </w:tcPr>
          <w:p w14:paraId="6B7B2254" w14:textId="6AE1CAFD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Sopelana</w:t>
            </w:r>
          </w:p>
        </w:tc>
        <w:tc>
          <w:tcPr>
            <w:tcW w:w="1560" w:type="dxa"/>
            <w:vAlign w:val="bottom"/>
          </w:tcPr>
          <w:p w14:paraId="6DE0CF73" w14:textId="5A68D7BD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4,0%</w:t>
            </w:r>
          </w:p>
        </w:tc>
      </w:tr>
      <w:tr w:rsidR="00111408" w:rsidRPr="00AD1DFB" w14:paraId="3104BFDC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1C549DD6" w14:textId="626C4260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lastRenderedPageBreak/>
              <w:t>Comunitat Valenciana</w:t>
            </w:r>
          </w:p>
        </w:tc>
        <w:tc>
          <w:tcPr>
            <w:tcW w:w="2268" w:type="dxa"/>
            <w:vAlign w:val="bottom"/>
          </w:tcPr>
          <w:p w14:paraId="7537DEED" w14:textId="749D05E3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Castellón</w:t>
            </w:r>
          </w:p>
        </w:tc>
        <w:tc>
          <w:tcPr>
            <w:tcW w:w="2835" w:type="dxa"/>
            <w:vAlign w:val="bottom"/>
          </w:tcPr>
          <w:p w14:paraId="7B700F2C" w14:textId="38DAE903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Peñíscola</w:t>
            </w:r>
          </w:p>
        </w:tc>
        <w:tc>
          <w:tcPr>
            <w:tcW w:w="1560" w:type="dxa"/>
            <w:vAlign w:val="bottom"/>
          </w:tcPr>
          <w:p w14:paraId="15030C8A" w14:textId="6E027A0D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3,9%</w:t>
            </w:r>
          </w:p>
        </w:tc>
      </w:tr>
      <w:tr w:rsidR="00111408" w:rsidRPr="00AD1DFB" w14:paraId="3201E5B2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1E411777" w14:textId="5D861832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vAlign w:val="bottom"/>
          </w:tcPr>
          <w:p w14:paraId="422E0114" w14:textId="4FB2234E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835" w:type="dxa"/>
            <w:vAlign w:val="bottom"/>
          </w:tcPr>
          <w:p w14:paraId="79EC35BA" w14:textId="3E74A4F2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Calpe</w:t>
            </w:r>
          </w:p>
        </w:tc>
        <w:tc>
          <w:tcPr>
            <w:tcW w:w="1560" w:type="dxa"/>
            <w:vAlign w:val="bottom"/>
          </w:tcPr>
          <w:p w14:paraId="75D61C20" w14:textId="572369A0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3,8%</w:t>
            </w:r>
          </w:p>
        </w:tc>
      </w:tr>
      <w:tr w:rsidR="00111408" w:rsidRPr="00AD1DFB" w14:paraId="773BAC47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DD5B110" w14:textId="57EBAE3C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59F66CA8" w14:textId="0A12914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Girona</w:t>
            </w:r>
          </w:p>
        </w:tc>
        <w:tc>
          <w:tcPr>
            <w:tcW w:w="2835" w:type="dxa"/>
            <w:vAlign w:val="bottom"/>
          </w:tcPr>
          <w:p w14:paraId="5DB34B8F" w14:textId="5009D220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Lloret de Mar</w:t>
            </w:r>
          </w:p>
        </w:tc>
        <w:tc>
          <w:tcPr>
            <w:tcW w:w="1560" w:type="dxa"/>
            <w:vAlign w:val="bottom"/>
          </w:tcPr>
          <w:p w14:paraId="4266A7AF" w14:textId="547D9D22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3,8%</w:t>
            </w:r>
          </w:p>
        </w:tc>
      </w:tr>
      <w:tr w:rsidR="00111408" w:rsidRPr="00AD1DFB" w14:paraId="04E79586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74D197A" w14:textId="54EE0BDB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73D7368F" w14:textId="63B36161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835" w:type="dxa"/>
            <w:vAlign w:val="bottom"/>
          </w:tcPr>
          <w:p w14:paraId="2254F29A" w14:textId="1F13F84C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Suances</w:t>
            </w:r>
          </w:p>
        </w:tc>
        <w:tc>
          <w:tcPr>
            <w:tcW w:w="1560" w:type="dxa"/>
            <w:vAlign w:val="bottom"/>
          </w:tcPr>
          <w:p w14:paraId="2FEBD217" w14:textId="32A434CE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3,6%</w:t>
            </w:r>
          </w:p>
        </w:tc>
      </w:tr>
      <w:tr w:rsidR="00111408" w:rsidRPr="00AD1DFB" w14:paraId="36725F23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35FEF00" w14:textId="3D5C508B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5260AB1D" w14:textId="783C575D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835" w:type="dxa"/>
            <w:vAlign w:val="bottom"/>
          </w:tcPr>
          <w:p w14:paraId="619168C0" w14:textId="4DE336BF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Marbella</w:t>
            </w:r>
          </w:p>
        </w:tc>
        <w:tc>
          <w:tcPr>
            <w:tcW w:w="1560" w:type="dxa"/>
            <w:vAlign w:val="bottom"/>
          </w:tcPr>
          <w:p w14:paraId="226C7933" w14:textId="516E3D18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3,6%</w:t>
            </w:r>
          </w:p>
        </w:tc>
      </w:tr>
      <w:tr w:rsidR="00111408" w:rsidRPr="00AD1DFB" w14:paraId="3E133A4A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5CB891BD" w14:textId="393690BF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2FBBD933" w14:textId="46435C3B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2835" w:type="dxa"/>
            <w:vAlign w:val="bottom"/>
          </w:tcPr>
          <w:p w14:paraId="548855B0" w14:textId="266C302C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Cádiz Capital</w:t>
            </w:r>
          </w:p>
        </w:tc>
        <w:tc>
          <w:tcPr>
            <w:tcW w:w="1560" w:type="dxa"/>
            <w:vAlign w:val="bottom"/>
          </w:tcPr>
          <w:p w14:paraId="0D4C2AD1" w14:textId="01616A95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3,4%</w:t>
            </w:r>
          </w:p>
        </w:tc>
      </w:tr>
      <w:tr w:rsidR="00111408" w:rsidRPr="00AD1DFB" w14:paraId="32316F08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02B002BA" w14:textId="3D69F63A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País Vasco</w:t>
            </w:r>
          </w:p>
        </w:tc>
        <w:tc>
          <w:tcPr>
            <w:tcW w:w="2268" w:type="dxa"/>
            <w:vAlign w:val="bottom"/>
          </w:tcPr>
          <w:p w14:paraId="356544E1" w14:textId="229B056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Gipuzkoa</w:t>
            </w:r>
          </w:p>
        </w:tc>
        <w:tc>
          <w:tcPr>
            <w:tcW w:w="2835" w:type="dxa"/>
            <w:vAlign w:val="bottom"/>
          </w:tcPr>
          <w:p w14:paraId="09104522" w14:textId="15B73485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Donostia - San Sebastián</w:t>
            </w:r>
          </w:p>
        </w:tc>
        <w:tc>
          <w:tcPr>
            <w:tcW w:w="1560" w:type="dxa"/>
            <w:vAlign w:val="bottom"/>
          </w:tcPr>
          <w:p w14:paraId="5038E837" w14:textId="685B4C17" w:rsidR="00111408" w:rsidRPr="00D662C3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3,0%</w:t>
            </w:r>
          </w:p>
        </w:tc>
      </w:tr>
      <w:tr w:rsidR="00111408" w:rsidRPr="00AD1DFB" w14:paraId="7342F06C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2D7D52B6" w14:textId="66631436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vAlign w:val="bottom"/>
          </w:tcPr>
          <w:p w14:paraId="3BDACA90" w14:textId="08B19A42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835" w:type="dxa"/>
            <w:vAlign w:val="bottom"/>
          </w:tcPr>
          <w:p w14:paraId="5399C3DD" w14:textId="02721AC8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Jávea</w:t>
            </w:r>
          </w:p>
        </w:tc>
        <w:tc>
          <w:tcPr>
            <w:tcW w:w="1560" w:type="dxa"/>
            <w:vAlign w:val="bottom"/>
          </w:tcPr>
          <w:p w14:paraId="4CFBCF0C" w14:textId="30B41C89" w:rsidR="00111408" w:rsidRPr="00D662C3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D66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2,5%</w:t>
            </w:r>
          </w:p>
        </w:tc>
      </w:tr>
      <w:tr w:rsidR="00111408" w:rsidRPr="00AD1DFB" w14:paraId="693F8237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6A0E631B" w14:textId="050F77CB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vAlign w:val="bottom"/>
          </w:tcPr>
          <w:p w14:paraId="44FCF706" w14:textId="0AAB7D3A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Girona</w:t>
            </w:r>
          </w:p>
        </w:tc>
        <w:tc>
          <w:tcPr>
            <w:tcW w:w="2835" w:type="dxa"/>
            <w:vAlign w:val="bottom"/>
          </w:tcPr>
          <w:p w14:paraId="379D7074" w14:textId="5E4B5E6B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Roses</w:t>
            </w:r>
          </w:p>
        </w:tc>
        <w:tc>
          <w:tcPr>
            <w:tcW w:w="1560" w:type="dxa"/>
            <w:vAlign w:val="bottom"/>
          </w:tcPr>
          <w:p w14:paraId="2DEFF2BA" w14:textId="0E3DBA5C" w:rsidR="00111408" w:rsidRPr="00AD1DFB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2,4%</w:t>
            </w:r>
          </w:p>
        </w:tc>
      </w:tr>
      <w:tr w:rsidR="00111408" w:rsidRPr="00AD1DFB" w14:paraId="7AAF91A8" w14:textId="77777777" w:rsidTr="003C75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44735E1C" w14:textId="6BBCBFAB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vAlign w:val="bottom"/>
          </w:tcPr>
          <w:p w14:paraId="18EE21C1" w14:textId="23D46763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835" w:type="dxa"/>
            <w:vAlign w:val="bottom"/>
          </w:tcPr>
          <w:p w14:paraId="0291AAD4" w14:textId="566C7767" w:rsidR="00111408" w:rsidRPr="00AD1DFB" w:rsidRDefault="00111408" w:rsidP="0011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Nerja</w:t>
            </w:r>
          </w:p>
        </w:tc>
        <w:tc>
          <w:tcPr>
            <w:tcW w:w="1560" w:type="dxa"/>
            <w:vAlign w:val="bottom"/>
          </w:tcPr>
          <w:p w14:paraId="295345F5" w14:textId="5EC78EB1" w:rsidR="00111408" w:rsidRPr="00AD1DFB" w:rsidRDefault="00111408" w:rsidP="0011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2,1%</w:t>
            </w:r>
          </w:p>
        </w:tc>
      </w:tr>
      <w:tr w:rsidR="00111408" w:rsidRPr="00AD1DFB" w14:paraId="25858CBE" w14:textId="77777777" w:rsidTr="003C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bottom"/>
          </w:tcPr>
          <w:p w14:paraId="3C73E014" w14:textId="022A28FC" w:rsidR="00111408" w:rsidRPr="00AD1DFB" w:rsidRDefault="00111408" w:rsidP="00111408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sz w:val="22"/>
                <w:szCs w:val="22"/>
              </w:rPr>
              <w:t>País Vasco</w:t>
            </w:r>
          </w:p>
        </w:tc>
        <w:tc>
          <w:tcPr>
            <w:tcW w:w="2268" w:type="dxa"/>
            <w:vAlign w:val="bottom"/>
          </w:tcPr>
          <w:p w14:paraId="44683775" w14:textId="25E7ACC2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3">
              <w:rPr>
                <w:rFonts w:ascii="Open Sans" w:hAnsi="Open Sans" w:cs="Open Sans"/>
                <w:color w:val="000000"/>
                <w:sz w:val="22"/>
                <w:szCs w:val="22"/>
              </w:rPr>
              <w:t>Gipuzkoa</w:t>
            </w:r>
          </w:p>
        </w:tc>
        <w:tc>
          <w:tcPr>
            <w:tcW w:w="2835" w:type="dxa"/>
            <w:vAlign w:val="bottom"/>
          </w:tcPr>
          <w:p w14:paraId="6D245553" w14:textId="528B851D" w:rsidR="00111408" w:rsidRPr="00AD1DFB" w:rsidRDefault="00111408" w:rsidP="0011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Zarautz</w:t>
            </w:r>
          </w:p>
        </w:tc>
        <w:tc>
          <w:tcPr>
            <w:tcW w:w="1560" w:type="dxa"/>
            <w:vAlign w:val="bottom"/>
          </w:tcPr>
          <w:p w14:paraId="25EA387B" w14:textId="0D3D209D" w:rsidR="00111408" w:rsidRPr="00AD1DFB" w:rsidRDefault="00111408" w:rsidP="0011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1,2%</w:t>
            </w:r>
          </w:p>
        </w:tc>
      </w:tr>
    </w:tbl>
    <w:p w14:paraId="17867222" w14:textId="77777777" w:rsidR="002D06D5" w:rsidRDefault="002D06D5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2C4F95A6" w14:textId="047BAC1C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042CD6F4" w14:textId="77777777"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473EF35B" w14:textId="77777777"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Portal inmobiliario que </w:t>
      </w:r>
      <w:r w:rsidR="00B82525">
        <w:rPr>
          <w:rFonts w:ascii="Open Sans" w:hAnsi="Open Sans" w:cs="Open Sans"/>
          <w:color w:val="000000"/>
          <w:sz w:val="22"/>
          <w:szCs w:val="22"/>
        </w:rPr>
        <w:t xml:space="preserve">cuenta con inmuebles de segunda mano, </w:t>
      </w:r>
      <w:r w:rsidRPr="00B97DF8">
        <w:rPr>
          <w:rFonts w:ascii="Open Sans" w:hAnsi="Open Sans" w:cs="Open Sans"/>
          <w:color w:val="000000"/>
          <w:sz w:val="22"/>
          <w:szCs w:val="22"/>
        </w:rPr>
        <w:t xml:space="preserve">promociones de obra nueva y </w:t>
      </w:r>
      <w:r w:rsidR="00B82525">
        <w:rPr>
          <w:rFonts w:ascii="Open Sans" w:hAnsi="Open Sans" w:cs="Open Sans"/>
          <w:color w:val="000000"/>
          <w:sz w:val="22"/>
          <w:szCs w:val="22"/>
        </w:rPr>
        <w:t xml:space="preserve">viviendas de </w:t>
      </w:r>
      <w:r w:rsidRPr="00B97DF8">
        <w:rPr>
          <w:rFonts w:ascii="Open Sans" w:hAnsi="Open Sans" w:cs="Open Sans"/>
          <w:color w:val="000000"/>
          <w:sz w:val="22"/>
          <w:szCs w:val="22"/>
        </w:rPr>
        <w:t>alquiler. Cada mes genera un tráfico de 22 millones de visitas al mes (70% a través de dispositivos móviles) y 650 millones de páginas vistas y cada día la visitan un promedio de 493.000 usuarios únicos.</w:t>
      </w:r>
    </w:p>
    <w:p w14:paraId="550AC40C" w14:textId="77777777"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Mensualmente elabora el </w:t>
      </w:r>
      <w:hyperlink r:id="rId10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B97DF8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190FDFF8" w14:textId="77777777"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10FFE3F" w14:textId="77777777" w:rsidR="005C38F1" w:rsidRDefault="00B13CC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1" w:history="1">
        <w:r w:rsidR="00B41A97" w:rsidRPr="00B97DF8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 pertenece a</w:t>
      </w:r>
      <w:r w:rsidR="005C38F1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12" w:history="1">
        <w:r w:rsidR="005C38F1" w:rsidRPr="003E1489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</w:hyperlink>
      <w:r w:rsidR="005C38F1">
        <w:rPr>
          <w:rFonts w:ascii="Open Sans" w:hAnsi="Open Sans" w:cs="Open Sans"/>
          <w:color w:val="000000"/>
          <w:sz w:val="22"/>
          <w:szCs w:val="22"/>
        </w:rPr>
        <w:t>, una empresa 100% especializada en marketplaces digitales y el único “</w:t>
      </w:r>
      <w:proofErr w:type="spellStart"/>
      <w:r w:rsidR="005C38F1">
        <w:rPr>
          <w:rFonts w:ascii="Open Sans" w:hAnsi="Open Sans" w:cs="Open Sans"/>
          <w:color w:val="000000"/>
          <w:sz w:val="22"/>
          <w:szCs w:val="22"/>
        </w:rPr>
        <w:t>pure</w:t>
      </w:r>
      <w:proofErr w:type="spellEnd"/>
      <w:r w:rsidR="005C38F1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5C38F1">
        <w:rPr>
          <w:rFonts w:ascii="Open Sans" w:hAnsi="Open Sans" w:cs="Open Sans"/>
          <w:color w:val="000000"/>
          <w:sz w:val="22"/>
          <w:szCs w:val="22"/>
        </w:rPr>
        <w:t>player</w:t>
      </w:r>
      <w:proofErr w:type="spellEnd"/>
      <w:r w:rsidR="005C38F1">
        <w:rPr>
          <w:rFonts w:ascii="Open Sans" w:hAnsi="Open Sans" w:cs="Open Sans"/>
          <w:color w:val="000000"/>
          <w:sz w:val="22"/>
          <w:szCs w:val="22"/>
        </w:rPr>
        <w:t xml:space="preserve">” del sector a nivel mundial. Con presencia en 16 países de Europa, américa Latina y África del Norte, el conjunto de sus plataformas locales reciben un promedio de 1.500 millones de visitas cada mes. </w:t>
      </w:r>
    </w:p>
    <w:p w14:paraId="2D995F80" w14:textId="77777777" w:rsidR="005C38F1" w:rsidRDefault="005C38F1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F17635" w14:textId="77777777" w:rsidR="005C38F1" w:rsidRPr="005C38F1" w:rsidRDefault="005C38F1" w:rsidP="005C38F1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C38F1">
        <w:rPr>
          <w:rFonts w:ascii="Open Sans" w:hAnsi="Open Sans" w:cs="Open Sans"/>
          <w:color w:val="000000"/>
          <w:sz w:val="22"/>
          <w:szCs w:val="22"/>
        </w:rPr>
        <w:t xml:space="preserve">En España, </w:t>
      </w:r>
      <w:hyperlink r:id="rId13" w:history="1">
        <w:proofErr w:type="spellStart"/>
        <w:r w:rsidRPr="003E1489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4" w:history="1">
        <w:r w:rsidR="003E1489" w:rsidRPr="003E1489">
          <w:rPr>
            <w:rStyle w:val="Hipervnculo"/>
            <w:rFonts w:ascii="Open Sans" w:hAnsi="Open Sans" w:cs="Open Sans"/>
            <w:bCs/>
            <w:sz w:val="22"/>
            <w:szCs w:val="22"/>
          </w:rPr>
          <w:t>Fotocasa</w:t>
        </w:r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 y </w:t>
      </w:r>
      <w:hyperlink r:id="rId15" w:history="1">
        <w:proofErr w:type="spellStart"/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habitaclia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16" w:history="1"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Infojobs.net</w:t>
        </w:r>
      </w:hyperlink>
      <w:r w:rsidRPr="005C38F1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17" w:history="1"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 w:rsidR="003E1489">
        <w:rPr>
          <w:rFonts w:ascii="Open Sans" w:hAnsi="Open Sans" w:cs="Open Sans"/>
          <w:color w:val="000000"/>
          <w:sz w:val="22"/>
          <w:szCs w:val="22"/>
        </w:rPr>
        <w:t xml:space="preserve"> y</w:t>
      </w:r>
      <w:r w:rsidRPr="005C38F1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18" w:history="1"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="003E1489" w:rsidRPr="00B97DF8">
        <w:rPr>
          <w:rFonts w:ascii="Open Sans" w:hAnsi="Open Sans" w:cs="Open Sans"/>
          <w:color w:val="000000"/>
          <w:sz w:val="22"/>
          <w:szCs w:val="22"/>
        </w:rPr>
        <w:t>t</w:t>
      </w:r>
      <w:r w:rsidRPr="005C38F1">
        <w:rPr>
          <w:rFonts w:ascii="Open Sans" w:hAnsi="Open Sans" w:cs="Open Sans"/>
          <w:color w:val="000000"/>
          <w:sz w:val="22"/>
          <w:szCs w:val="22"/>
        </w:rPr>
        <w:t>) y segunda mano (</w:t>
      </w:r>
      <w:proofErr w:type="spellStart"/>
      <w:r w:rsidR="003E1489">
        <w:rPr>
          <w:rStyle w:val="Hipervnculo"/>
          <w:rFonts w:ascii="Open Sans" w:hAnsi="Open Sans" w:cs="Open Sans"/>
          <w:sz w:val="22"/>
          <w:szCs w:val="22"/>
        </w:rPr>
        <w:fldChar w:fldCharType="begin"/>
      </w:r>
      <w:r w:rsidR="003E1489">
        <w:rPr>
          <w:rStyle w:val="Hipervnculo"/>
          <w:rFonts w:ascii="Open Sans" w:hAnsi="Open Sans" w:cs="Open Sans"/>
          <w:sz w:val="22"/>
          <w:szCs w:val="22"/>
        </w:rPr>
        <w:instrText xml:space="preserve"> HYPERLINK "https://www.milanuncios.es/" </w:instrText>
      </w:r>
      <w:r w:rsidR="003E1489">
        <w:rPr>
          <w:rStyle w:val="Hipervnculo"/>
          <w:rFonts w:ascii="Open Sans" w:hAnsi="Open Sans" w:cs="Open Sans"/>
          <w:sz w:val="22"/>
          <w:szCs w:val="22"/>
        </w:rPr>
        <w:fldChar w:fldCharType="separate"/>
      </w:r>
      <w:r w:rsidR="003E1489">
        <w:rPr>
          <w:rStyle w:val="Hipervnculo"/>
          <w:rFonts w:ascii="Open Sans" w:hAnsi="Open Sans" w:cs="Open Sans"/>
          <w:sz w:val="22"/>
          <w:szCs w:val="22"/>
        </w:rPr>
        <w:t>M</w:t>
      </w:r>
      <w:r w:rsidR="003E1489" w:rsidRPr="00B97DF8">
        <w:rPr>
          <w:rStyle w:val="Hipervnculo"/>
          <w:rFonts w:ascii="Open Sans" w:hAnsi="Open Sans" w:cs="Open Sans"/>
          <w:sz w:val="22"/>
          <w:szCs w:val="22"/>
        </w:rPr>
        <w:t>ilanuncios</w:t>
      </w:r>
      <w:proofErr w:type="spellEnd"/>
      <w:r w:rsidR="003E1489"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Pr="005C38F1">
        <w:rPr>
          <w:rFonts w:ascii="Open Sans" w:hAnsi="Open Sans" w:cs="Open Sans"/>
          <w:color w:val="000000"/>
          <w:sz w:val="22"/>
          <w:szCs w:val="22"/>
        </w:rPr>
        <w:t xml:space="preserve"> y </w:t>
      </w:r>
      <w:hyperlink r:id="rId19" w:history="1">
        <w:proofErr w:type="spellStart"/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vibbo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 </w:t>
      </w:r>
    </w:p>
    <w:p w14:paraId="3DB28A04" w14:textId="77777777" w:rsidR="00400CD5" w:rsidRDefault="00400CD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" w:name="_GoBack"/>
      <w:bookmarkEnd w:id="1"/>
    </w:p>
    <w:p w14:paraId="05659320" w14:textId="77777777" w:rsidR="00400CD5" w:rsidRDefault="00400CD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4C9D3AC" w14:textId="77777777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6DCA24EE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7EF7A82E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Tlf.: 93 576 56 79</w:t>
      </w:r>
    </w:p>
    <w:p w14:paraId="7DFBF84D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46718B19" w14:textId="77777777" w:rsidR="00B41A97" w:rsidRPr="00B41A97" w:rsidRDefault="00B13CC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0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0CF211EE" w14:textId="77777777" w:rsidR="00B41A97" w:rsidRPr="00B41A97" w:rsidRDefault="00B13CC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1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3DA694C1" w14:textId="77777777"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1440" w14:textId="77777777" w:rsidR="00111408" w:rsidRDefault="00111408" w:rsidP="00DD4CA4">
      <w:r>
        <w:separator/>
      </w:r>
    </w:p>
  </w:endnote>
  <w:endnote w:type="continuationSeparator" w:id="0">
    <w:p w14:paraId="54AF633B" w14:textId="77777777" w:rsidR="00111408" w:rsidRDefault="00111408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0B86" w14:textId="77777777" w:rsidR="00111408" w:rsidRDefault="00111408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09EB5D34" wp14:editId="2563394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820D" w14:textId="77777777" w:rsidR="00111408" w:rsidRDefault="00111408" w:rsidP="00DD4CA4">
      <w:r>
        <w:separator/>
      </w:r>
    </w:p>
  </w:footnote>
  <w:footnote w:type="continuationSeparator" w:id="0">
    <w:p w14:paraId="5A8E57CE" w14:textId="77777777" w:rsidR="00111408" w:rsidRDefault="00111408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A7"/>
    <w:rsid w:val="00010ECE"/>
    <w:rsid w:val="00014EC0"/>
    <w:rsid w:val="00021D89"/>
    <w:rsid w:val="00063144"/>
    <w:rsid w:val="00075085"/>
    <w:rsid w:val="00084308"/>
    <w:rsid w:val="000A3C1F"/>
    <w:rsid w:val="000A4242"/>
    <w:rsid w:val="000B20E9"/>
    <w:rsid w:val="000C428A"/>
    <w:rsid w:val="000C57FF"/>
    <w:rsid w:val="000D75C0"/>
    <w:rsid w:val="00111408"/>
    <w:rsid w:val="0014415E"/>
    <w:rsid w:val="001517D2"/>
    <w:rsid w:val="00152FC9"/>
    <w:rsid w:val="00165694"/>
    <w:rsid w:val="001761D6"/>
    <w:rsid w:val="00180D95"/>
    <w:rsid w:val="0019106E"/>
    <w:rsid w:val="00196144"/>
    <w:rsid w:val="001E69C0"/>
    <w:rsid w:val="0021639C"/>
    <w:rsid w:val="0022500B"/>
    <w:rsid w:val="002302A7"/>
    <w:rsid w:val="0024318A"/>
    <w:rsid w:val="00243E91"/>
    <w:rsid w:val="00247090"/>
    <w:rsid w:val="00267D6C"/>
    <w:rsid w:val="002710D2"/>
    <w:rsid w:val="00285782"/>
    <w:rsid w:val="00292293"/>
    <w:rsid w:val="002A35C0"/>
    <w:rsid w:val="002B0FAA"/>
    <w:rsid w:val="002B6E3D"/>
    <w:rsid w:val="002B75FA"/>
    <w:rsid w:val="002B76EA"/>
    <w:rsid w:val="002B7A5F"/>
    <w:rsid w:val="002C1AB0"/>
    <w:rsid w:val="002C4A56"/>
    <w:rsid w:val="002D06D5"/>
    <w:rsid w:val="002E4F9D"/>
    <w:rsid w:val="002F1AD6"/>
    <w:rsid w:val="002F2D4F"/>
    <w:rsid w:val="002F40F3"/>
    <w:rsid w:val="003024E4"/>
    <w:rsid w:val="003027F6"/>
    <w:rsid w:val="00303104"/>
    <w:rsid w:val="0030786F"/>
    <w:rsid w:val="00307DF9"/>
    <w:rsid w:val="00310D8A"/>
    <w:rsid w:val="003242DF"/>
    <w:rsid w:val="003320EE"/>
    <w:rsid w:val="003335DC"/>
    <w:rsid w:val="003429B3"/>
    <w:rsid w:val="00351CB1"/>
    <w:rsid w:val="003539D7"/>
    <w:rsid w:val="0035736D"/>
    <w:rsid w:val="00374B40"/>
    <w:rsid w:val="0039057C"/>
    <w:rsid w:val="00393365"/>
    <w:rsid w:val="003C758F"/>
    <w:rsid w:val="003D2610"/>
    <w:rsid w:val="003D5368"/>
    <w:rsid w:val="003E1489"/>
    <w:rsid w:val="003E5343"/>
    <w:rsid w:val="003E79BB"/>
    <w:rsid w:val="003F4390"/>
    <w:rsid w:val="00400CD5"/>
    <w:rsid w:val="004029F8"/>
    <w:rsid w:val="00406C13"/>
    <w:rsid w:val="00410D15"/>
    <w:rsid w:val="00445F0C"/>
    <w:rsid w:val="00453FB5"/>
    <w:rsid w:val="00454F4C"/>
    <w:rsid w:val="0045662A"/>
    <w:rsid w:val="004577E7"/>
    <w:rsid w:val="00463560"/>
    <w:rsid w:val="00470ED1"/>
    <w:rsid w:val="004B0DEC"/>
    <w:rsid w:val="004D2D9F"/>
    <w:rsid w:val="004D48B4"/>
    <w:rsid w:val="004F06A4"/>
    <w:rsid w:val="004F4D46"/>
    <w:rsid w:val="005029E9"/>
    <w:rsid w:val="00503F5B"/>
    <w:rsid w:val="00505ED5"/>
    <w:rsid w:val="00516F9C"/>
    <w:rsid w:val="00581903"/>
    <w:rsid w:val="00582136"/>
    <w:rsid w:val="00585032"/>
    <w:rsid w:val="00587182"/>
    <w:rsid w:val="00593D08"/>
    <w:rsid w:val="005A1AD1"/>
    <w:rsid w:val="005A4CB5"/>
    <w:rsid w:val="005B3144"/>
    <w:rsid w:val="005B37BD"/>
    <w:rsid w:val="005C38F1"/>
    <w:rsid w:val="005D12D9"/>
    <w:rsid w:val="005E0920"/>
    <w:rsid w:val="005E71CA"/>
    <w:rsid w:val="005F4F9E"/>
    <w:rsid w:val="005F6CA3"/>
    <w:rsid w:val="00606A1A"/>
    <w:rsid w:val="00611616"/>
    <w:rsid w:val="006130B6"/>
    <w:rsid w:val="0062018B"/>
    <w:rsid w:val="006245F1"/>
    <w:rsid w:val="006251BA"/>
    <w:rsid w:val="00633ECE"/>
    <w:rsid w:val="00637401"/>
    <w:rsid w:val="0064657F"/>
    <w:rsid w:val="00650951"/>
    <w:rsid w:val="006618CC"/>
    <w:rsid w:val="006665AA"/>
    <w:rsid w:val="006963BB"/>
    <w:rsid w:val="006A44F8"/>
    <w:rsid w:val="006C4C5E"/>
    <w:rsid w:val="006D009E"/>
    <w:rsid w:val="006D1E41"/>
    <w:rsid w:val="006F2116"/>
    <w:rsid w:val="006F6575"/>
    <w:rsid w:val="007027AA"/>
    <w:rsid w:val="0070382F"/>
    <w:rsid w:val="00704984"/>
    <w:rsid w:val="0071058F"/>
    <w:rsid w:val="00730BA2"/>
    <w:rsid w:val="007321BA"/>
    <w:rsid w:val="00736F3A"/>
    <w:rsid w:val="00740E53"/>
    <w:rsid w:val="00752803"/>
    <w:rsid w:val="00753088"/>
    <w:rsid w:val="00756253"/>
    <w:rsid w:val="0076156F"/>
    <w:rsid w:val="00761709"/>
    <w:rsid w:val="00791127"/>
    <w:rsid w:val="00793775"/>
    <w:rsid w:val="007A2DB6"/>
    <w:rsid w:val="007A55E0"/>
    <w:rsid w:val="007A5E03"/>
    <w:rsid w:val="007B0929"/>
    <w:rsid w:val="007B5175"/>
    <w:rsid w:val="007B7B16"/>
    <w:rsid w:val="007D2726"/>
    <w:rsid w:val="007E07A8"/>
    <w:rsid w:val="007E7286"/>
    <w:rsid w:val="00821FF7"/>
    <w:rsid w:val="0083043A"/>
    <w:rsid w:val="00834ED1"/>
    <w:rsid w:val="00835805"/>
    <w:rsid w:val="00846D4A"/>
    <w:rsid w:val="00847032"/>
    <w:rsid w:val="00861183"/>
    <w:rsid w:val="0086121D"/>
    <w:rsid w:val="00863400"/>
    <w:rsid w:val="008871B3"/>
    <w:rsid w:val="008B478E"/>
    <w:rsid w:val="008C2B02"/>
    <w:rsid w:val="008D283E"/>
    <w:rsid w:val="008D2DD9"/>
    <w:rsid w:val="008E1900"/>
    <w:rsid w:val="008F28F4"/>
    <w:rsid w:val="008F3535"/>
    <w:rsid w:val="00912525"/>
    <w:rsid w:val="0093735E"/>
    <w:rsid w:val="009409BA"/>
    <w:rsid w:val="00962386"/>
    <w:rsid w:val="00964BED"/>
    <w:rsid w:val="00972E67"/>
    <w:rsid w:val="00973E4E"/>
    <w:rsid w:val="00976889"/>
    <w:rsid w:val="009815B4"/>
    <w:rsid w:val="00993081"/>
    <w:rsid w:val="00996C63"/>
    <w:rsid w:val="009A5E1C"/>
    <w:rsid w:val="009B0F2A"/>
    <w:rsid w:val="009C0542"/>
    <w:rsid w:val="009C5BB0"/>
    <w:rsid w:val="009D2F77"/>
    <w:rsid w:val="009D5236"/>
    <w:rsid w:val="009D718A"/>
    <w:rsid w:val="00A1320F"/>
    <w:rsid w:val="00A227BB"/>
    <w:rsid w:val="00A2313F"/>
    <w:rsid w:val="00A31A74"/>
    <w:rsid w:val="00A338CE"/>
    <w:rsid w:val="00A358F7"/>
    <w:rsid w:val="00A52175"/>
    <w:rsid w:val="00A527A4"/>
    <w:rsid w:val="00A56319"/>
    <w:rsid w:val="00A674E7"/>
    <w:rsid w:val="00A70CC8"/>
    <w:rsid w:val="00A76E50"/>
    <w:rsid w:val="00A84CA7"/>
    <w:rsid w:val="00A952B4"/>
    <w:rsid w:val="00A95883"/>
    <w:rsid w:val="00AA7C43"/>
    <w:rsid w:val="00AB6F53"/>
    <w:rsid w:val="00AD0C78"/>
    <w:rsid w:val="00AD0F7C"/>
    <w:rsid w:val="00AD1DFB"/>
    <w:rsid w:val="00AD28E6"/>
    <w:rsid w:val="00AD4486"/>
    <w:rsid w:val="00AD62DD"/>
    <w:rsid w:val="00AE1825"/>
    <w:rsid w:val="00AE553B"/>
    <w:rsid w:val="00AF163D"/>
    <w:rsid w:val="00B04900"/>
    <w:rsid w:val="00B10769"/>
    <w:rsid w:val="00B249B1"/>
    <w:rsid w:val="00B30707"/>
    <w:rsid w:val="00B41A97"/>
    <w:rsid w:val="00B575DB"/>
    <w:rsid w:val="00B57D54"/>
    <w:rsid w:val="00B6101B"/>
    <w:rsid w:val="00B668EA"/>
    <w:rsid w:val="00B82416"/>
    <w:rsid w:val="00B82525"/>
    <w:rsid w:val="00B85F69"/>
    <w:rsid w:val="00B97DF8"/>
    <w:rsid w:val="00BC0BE4"/>
    <w:rsid w:val="00BC1D19"/>
    <w:rsid w:val="00BC2CF1"/>
    <w:rsid w:val="00BF10C3"/>
    <w:rsid w:val="00C460B2"/>
    <w:rsid w:val="00C93EF4"/>
    <w:rsid w:val="00CC2113"/>
    <w:rsid w:val="00CD129D"/>
    <w:rsid w:val="00CE6775"/>
    <w:rsid w:val="00D17C1E"/>
    <w:rsid w:val="00D31332"/>
    <w:rsid w:val="00D31A57"/>
    <w:rsid w:val="00D32F55"/>
    <w:rsid w:val="00D3495E"/>
    <w:rsid w:val="00D52203"/>
    <w:rsid w:val="00D662C3"/>
    <w:rsid w:val="00D70AD1"/>
    <w:rsid w:val="00D77A13"/>
    <w:rsid w:val="00D8519D"/>
    <w:rsid w:val="00D860D3"/>
    <w:rsid w:val="00D917EB"/>
    <w:rsid w:val="00D91C64"/>
    <w:rsid w:val="00DB02A7"/>
    <w:rsid w:val="00DC68F0"/>
    <w:rsid w:val="00DC6B59"/>
    <w:rsid w:val="00DC7AC3"/>
    <w:rsid w:val="00DD4CA4"/>
    <w:rsid w:val="00DD4CE7"/>
    <w:rsid w:val="00DF4A26"/>
    <w:rsid w:val="00E054C5"/>
    <w:rsid w:val="00E17B06"/>
    <w:rsid w:val="00E44CE3"/>
    <w:rsid w:val="00E459C8"/>
    <w:rsid w:val="00E574A0"/>
    <w:rsid w:val="00E84EE3"/>
    <w:rsid w:val="00E93B9B"/>
    <w:rsid w:val="00EA2EBC"/>
    <w:rsid w:val="00EA721E"/>
    <w:rsid w:val="00EB55FB"/>
    <w:rsid w:val="00EB7EA5"/>
    <w:rsid w:val="00EC0C47"/>
    <w:rsid w:val="00ED6CFA"/>
    <w:rsid w:val="00EE12AE"/>
    <w:rsid w:val="00EE786E"/>
    <w:rsid w:val="00F00B64"/>
    <w:rsid w:val="00F208DC"/>
    <w:rsid w:val="00F6050C"/>
    <w:rsid w:val="00F65870"/>
    <w:rsid w:val="00F87921"/>
    <w:rsid w:val="00F9754E"/>
    <w:rsid w:val="00FA4744"/>
    <w:rsid w:val="00FB324D"/>
    <w:rsid w:val="00FD6A4B"/>
    <w:rsid w:val="00FE4C89"/>
    <w:rsid w:val="00FE638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5E4383D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84EE3"/>
    <w:rPr>
      <w:color w:val="605E5C"/>
      <w:shd w:val="clear" w:color="auto" w:fill="E1DFDD"/>
    </w:rPr>
  </w:style>
  <w:style w:type="paragraph" w:customStyle="1" w:styleId="Cuerpo">
    <w:name w:val="Cuerpo"/>
    <w:rsid w:val="0014415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4415E"/>
    <w:rPr>
      <w:lang w:val="es-ES_tradnl"/>
    </w:rPr>
  </w:style>
  <w:style w:type="table" w:styleId="Tablaconcuadrcula5oscura-nfasis1">
    <w:name w:val="Grid Table 5 Dark Accent 1"/>
    <w:basedOn w:val="Tablanormal"/>
    <w:uiPriority w:val="50"/>
    <w:rsid w:val="00144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exto">
    <w:name w:val="Texto"/>
    <w:basedOn w:val="Normal"/>
    <w:uiPriority w:val="99"/>
    <w:rsid w:val="0014415E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14415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144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devinta.com/" TargetMode="External"/><Relationship Id="rId18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nsa.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devinta.com/" TargetMode="External"/><Relationship Id="rId17" Type="http://schemas.openxmlformats.org/officeDocument/2006/relationships/hyperlink" Target="https://www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file:///\\servidor\Users\Techsales%20Comunicaci&#243;n\CLIENTES\Fotocasa\fotocasa%202018\NP%20&#205;NDICES\Ndp%20&#237;ndices%20SEPTIEMBRE\Nueva%20Imagen%20Venta%20apoyo\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abitaclia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otocasa.es/indice/" TargetMode="External"/><Relationship Id="rId19" Type="http://schemas.openxmlformats.org/officeDocument/2006/relationships/hyperlink" Target="https://www.vibbo.com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fotocasa.e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NOTAS%20DE%20PRENSA\2019_NOTAS%20DE%20PRENSA\32.%20NdP%20precios%20en%20la%20costa\Historico-Rentabilidad%20Costa%20Espa&#241;ol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[Historico-Rentabilidad Costa Española.xlsx]gráficas Rentabilidad!TablaDinámica6</c:name>
    <c:fmtId val="-1"/>
  </c:pivotSource>
  <c:chart>
    <c:autoTitleDeleted val="1"/>
    <c:pivotFmts>
      <c:pivotFmt>
        <c:idx val="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7.9830868396820326E-2"/>
          <c:y val="5.2757793764988008E-2"/>
          <c:w val="0.91300922706857346"/>
          <c:h val="0.574235540701297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'[Historico-Rentabilidad Costa Española.xlsx]gráficas Rentabilidad'!$B$4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'[Historico-Rentabilidad Costa Española.xlsx]gráficas Rentabilidad'!$B$4</c:f>
              <c:strCache>
                <c:ptCount val="15"/>
                <c:pt idx="0">
                  <c:v>Algeciras</c:v>
                </c:pt>
                <c:pt idx="1">
                  <c:v>Tortosa</c:v>
                </c:pt>
                <c:pt idx="2">
                  <c:v>San Fernando</c:v>
                </c:pt>
                <c:pt idx="3">
                  <c:v>Cartagena</c:v>
                </c:pt>
                <c:pt idx="4">
                  <c:v>Sagunto / Sagunt</c:v>
                </c:pt>
                <c:pt idx="5">
                  <c:v>Arona</c:v>
                </c:pt>
                <c:pt idx="6">
                  <c:v>Vera</c:v>
                </c:pt>
                <c:pt idx="7">
                  <c:v>Chiclana de la Frontera</c:v>
                </c:pt>
                <c:pt idx="8">
                  <c:v>Laredo</c:v>
                </c:pt>
                <c:pt idx="9">
                  <c:v>Torrevieja</c:v>
                </c:pt>
                <c:pt idx="10">
                  <c:v>Santa Pola</c:v>
                </c:pt>
                <c:pt idx="11">
                  <c:v> Almería Capital</c:v>
                </c:pt>
                <c:pt idx="12">
                  <c:v>Gandia</c:v>
                </c:pt>
                <c:pt idx="13">
                  <c:v>Calafell</c:v>
                </c:pt>
                <c:pt idx="14">
                  <c:v>El Vendrell</c:v>
                </c:pt>
              </c:strCache>
            </c:strRef>
          </c:cat>
          <c:val>
            <c:numRef>
              <c:f>'[Historico-Rentabilidad Costa Española.xlsx]gráficas Rentabilidad'!$B$4</c:f>
              <c:numCache>
                <c:formatCode>0.0%</c:formatCode>
                <c:ptCount val="15"/>
                <c:pt idx="0">
                  <c:v>6.562761045525542E-2</c:v>
                </c:pt>
                <c:pt idx="1">
                  <c:v>6.3899300442461976E-2</c:v>
                </c:pt>
                <c:pt idx="2">
                  <c:v>6.218522705575795E-2</c:v>
                </c:pt>
                <c:pt idx="3">
                  <c:v>6.1774014388539557E-2</c:v>
                </c:pt>
                <c:pt idx="4">
                  <c:v>6.1708658232877599E-2</c:v>
                </c:pt>
                <c:pt idx="5">
                  <c:v>5.8861167013286433E-2</c:v>
                </c:pt>
                <c:pt idx="6">
                  <c:v>5.7549668356518528E-2</c:v>
                </c:pt>
                <c:pt idx="7">
                  <c:v>5.7482134934457543E-2</c:v>
                </c:pt>
                <c:pt idx="8">
                  <c:v>5.7241532492067919E-2</c:v>
                </c:pt>
                <c:pt idx="9">
                  <c:v>5.7148221859002424E-2</c:v>
                </c:pt>
                <c:pt idx="10">
                  <c:v>5.5830894338536656E-2</c:v>
                </c:pt>
                <c:pt idx="11">
                  <c:v>5.5637556544063514E-2</c:v>
                </c:pt>
                <c:pt idx="12">
                  <c:v>5.5339056812786828E-2</c:v>
                </c:pt>
                <c:pt idx="13">
                  <c:v>5.4940646257084218E-2</c:v>
                </c:pt>
                <c:pt idx="14">
                  <c:v>5.4920498658910702E-2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DA-43F8-9D63-5689640AF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41112368"/>
        <c:axId val="1961255552"/>
      </c:barChart>
      <c:catAx>
        <c:axId val="24111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61255552"/>
        <c:crosses val="autoZero"/>
        <c:auto val="1"/>
        <c:lblAlgn val="ctr"/>
        <c:lblOffset val="100"/>
        <c:noMultiLvlLbl val="0"/>
      </c:catAx>
      <c:valAx>
        <c:axId val="1961255552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11123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2C47-7C1C-48FC-A772-3B3BCF1C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4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179</cp:revision>
  <cp:lastPrinted>2019-04-25T06:52:00Z</cp:lastPrinted>
  <dcterms:created xsi:type="dcterms:W3CDTF">2018-09-28T10:44:00Z</dcterms:created>
  <dcterms:modified xsi:type="dcterms:W3CDTF">2019-05-15T07:16:00Z</dcterms:modified>
</cp:coreProperties>
</file>