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922362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1E4BA9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ANÁLISIS PRECIOS VIVIENDAS COMPRARTIDAS</w:t>
      </w:r>
    </w:p>
    <w:p w:rsidR="00F536F6" w:rsidRDefault="00761293" w:rsidP="00753088">
      <w:pPr>
        <w:ind w:right="-574"/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</w:pPr>
      <w:r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 xml:space="preserve">Baja un -5% el precio de los pisos compartidos en España </w:t>
      </w:r>
      <w:r w:rsidR="00977F17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respecto al año pasado</w:t>
      </w:r>
    </w:p>
    <w:p w:rsidR="001E4BA9" w:rsidRPr="00E554AB" w:rsidRDefault="001E4BA9" w:rsidP="00E554AB">
      <w:p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</w:p>
    <w:p w:rsidR="001E4BA9" w:rsidRDefault="00E554AB" w:rsidP="001E4BA9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>Alquilar una habitac</w:t>
      </w:r>
      <w:r w:rsidR="00977F17">
        <w:rPr>
          <w:rFonts w:ascii="Open Sans" w:eastAsia="Times New Roman" w:hAnsi="Open Sans" w:cs="Open Sans"/>
          <w:color w:val="000000"/>
          <w:lang w:val="es-ES" w:eastAsia="es-ES_tradnl"/>
        </w:rPr>
        <w:t>ión cuesta de media en España 309 €</w:t>
      </w:r>
    </w:p>
    <w:p w:rsidR="00977F17" w:rsidRPr="001E4BA9" w:rsidRDefault="00977F17" w:rsidP="001E4BA9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>Navarra, Cantabria y Murcia son las comunidades en las que más se incrementa el precio en un año: un 21,7%, un 10,2% y un 9,8%, respectivamente</w:t>
      </w:r>
    </w:p>
    <w:p w:rsidR="001E4BA9" w:rsidRPr="00F447C0" w:rsidRDefault="001E4BA9" w:rsidP="001E4BA9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F447C0">
        <w:rPr>
          <w:rFonts w:ascii="Open Sans" w:eastAsia="Times New Roman" w:hAnsi="Open Sans" w:cs="Open Sans"/>
          <w:color w:val="000000"/>
          <w:lang w:val="es-ES" w:eastAsia="es-ES_tradnl"/>
        </w:rPr>
        <w:t>Barcelona y Madrid son las ciudades más caras para compartir habitación</w:t>
      </w:r>
    </w:p>
    <w:p w:rsidR="001E4BA9" w:rsidRPr="006E244C" w:rsidRDefault="001E4BA9" w:rsidP="001E4BA9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6E244C">
        <w:rPr>
          <w:rFonts w:ascii="Open Sans" w:eastAsia="Times New Roman" w:hAnsi="Open Sans" w:cs="Open Sans"/>
          <w:color w:val="000000"/>
          <w:lang w:val="es-ES" w:eastAsia="es-ES_tradnl"/>
        </w:rPr>
        <w:t xml:space="preserve">Gràcia, </w:t>
      </w:r>
      <w:proofErr w:type="spellStart"/>
      <w:r w:rsidR="006E244C">
        <w:rPr>
          <w:rFonts w:ascii="Open Sans" w:eastAsia="Times New Roman" w:hAnsi="Open Sans" w:cs="Open Sans"/>
          <w:color w:val="000000"/>
          <w:lang w:val="es-ES" w:eastAsia="es-ES_tradnl"/>
        </w:rPr>
        <w:t>Ciutat</w:t>
      </w:r>
      <w:proofErr w:type="spellEnd"/>
      <w:r w:rsidR="006E244C">
        <w:rPr>
          <w:rFonts w:ascii="Open Sans" w:eastAsia="Times New Roman" w:hAnsi="Open Sans" w:cs="Open Sans"/>
          <w:color w:val="000000"/>
          <w:lang w:val="es-ES" w:eastAsia="es-ES_tradnl"/>
        </w:rPr>
        <w:t xml:space="preserve"> Vella y Eixample, en Barcelona, son los distritos más caros para compartir piso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1E4BA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3 de septiembre</w:t>
      </w:r>
      <w:r w:rsidR="001E58B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2019</w:t>
      </w:r>
    </w:p>
    <w:p w:rsidR="001E4BA9" w:rsidRPr="00260692" w:rsidRDefault="001E4BA9" w:rsidP="001E4BA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1E4BA9">
        <w:rPr>
          <w:rFonts w:ascii="Open Sans" w:hAnsi="Open Sans" w:cs="Open Sans"/>
          <w:color w:val="000000"/>
        </w:rPr>
        <w:t xml:space="preserve">Alquilar una habitación en un piso compartido es un </w:t>
      </w:r>
      <w:r w:rsidR="00977F17">
        <w:rPr>
          <w:rFonts w:ascii="Open Sans" w:hAnsi="Open Sans" w:cs="Open Sans"/>
          <w:color w:val="000000"/>
        </w:rPr>
        <w:t xml:space="preserve">-5% más barato que hace un año. Ahora, alquilar una habitación en España cuesta, de media, 309 € al mes, mientras hace un año el precio medio se situaba en 325 € al mes, según el análisis que realiza cada año el portal inmobiliario </w:t>
      </w:r>
      <w:bookmarkStart w:id="0" w:name="_Hlk17986720"/>
      <w:r w:rsidR="00E249DA">
        <w:fldChar w:fldCharType="begin"/>
      </w:r>
      <w:r w:rsidR="00E249DA">
        <w:instrText xml:space="preserve"> HYPERLINK "https://www.fotocasa.es" </w:instrText>
      </w:r>
      <w:r w:rsidR="00E249DA">
        <w:fldChar w:fldCharType="separate"/>
      </w:r>
      <w:r w:rsidR="00E249DA" w:rsidRPr="00725E32">
        <w:rPr>
          <w:rStyle w:val="Hipervnculo"/>
          <w:rFonts w:ascii="Open Sans" w:hAnsi="Open Sans" w:cs="Open Sans"/>
          <w:b/>
          <w:bCs/>
        </w:rPr>
        <w:t>Fotocasa</w:t>
      </w:r>
      <w:r w:rsidR="00E249DA">
        <w:rPr>
          <w:rStyle w:val="Hipervnculo"/>
          <w:rFonts w:ascii="Open Sans" w:hAnsi="Open Sans" w:cs="Open Sans"/>
          <w:b/>
          <w:bCs/>
        </w:rPr>
        <w:fldChar w:fldCharType="end"/>
      </w:r>
      <w:bookmarkEnd w:id="0"/>
      <w:r w:rsidRPr="001E4BA9">
        <w:rPr>
          <w:rFonts w:ascii="Open Sans" w:hAnsi="Open Sans" w:cs="Open Sans"/>
          <w:color w:val="000000"/>
        </w:rPr>
        <w:t xml:space="preserve">, entre su oferta de pisos para compartir en las principales ciudades españolas.  </w:t>
      </w:r>
    </w:p>
    <w:p w:rsidR="00977F17" w:rsidRDefault="001E4BA9" w:rsidP="001E4BA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1E4BA9">
        <w:rPr>
          <w:rFonts w:ascii="Open Sans" w:hAnsi="Open Sans" w:cs="Open Sans"/>
          <w:color w:val="000000"/>
        </w:rPr>
        <w:t>Según el informe, el precio interanual se incrementa en 1</w:t>
      </w:r>
      <w:r w:rsidR="00977F17">
        <w:rPr>
          <w:rFonts w:ascii="Open Sans" w:hAnsi="Open Sans" w:cs="Open Sans"/>
          <w:color w:val="000000"/>
        </w:rPr>
        <w:t>2</w:t>
      </w:r>
      <w:r w:rsidRPr="001E4BA9">
        <w:rPr>
          <w:rFonts w:ascii="Open Sans" w:hAnsi="Open Sans" w:cs="Open Sans"/>
          <w:color w:val="000000"/>
        </w:rPr>
        <w:t xml:space="preserve"> comunidades autónomas</w:t>
      </w:r>
      <w:r w:rsidR="00977F17">
        <w:rPr>
          <w:rFonts w:ascii="Open Sans" w:hAnsi="Open Sans" w:cs="Open Sans"/>
          <w:color w:val="000000"/>
        </w:rPr>
        <w:t xml:space="preserve"> y baja en cinco de ellas</w:t>
      </w:r>
      <w:r w:rsidRPr="001E4BA9">
        <w:rPr>
          <w:rFonts w:ascii="Open Sans" w:hAnsi="Open Sans" w:cs="Open Sans"/>
          <w:color w:val="000000"/>
        </w:rPr>
        <w:t xml:space="preserve">. </w:t>
      </w:r>
      <w:r w:rsidR="00977F17">
        <w:rPr>
          <w:rFonts w:ascii="Open Sans" w:hAnsi="Open Sans" w:cs="Open Sans"/>
          <w:color w:val="000000"/>
        </w:rPr>
        <w:t>La comunidad de Navarra, Cantabria y Murcia son las que más incrementan los precios respecto al año pasado y lo hacen un 21,7%, un 10,2% y un 9,8%, respectivamente. Le siguen Galicia (7,5%)</w:t>
      </w:r>
      <w:r w:rsidR="00F93209">
        <w:rPr>
          <w:rFonts w:ascii="Open Sans" w:hAnsi="Open Sans" w:cs="Open Sans"/>
          <w:color w:val="000000"/>
        </w:rPr>
        <w:t xml:space="preserve">, la </w:t>
      </w:r>
      <w:proofErr w:type="spellStart"/>
      <w:r w:rsidR="00F93209">
        <w:rPr>
          <w:rFonts w:ascii="Open Sans" w:hAnsi="Open Sans" w:cs="Open Sans"/>
          <w:color w:val="000000"/>
        </w:rPr>
        <w:t>Comunitat</w:t>
      </w:r>
      <w:proofErr w:type="spellEnd"/>
      <w:r w:rsidR="00F93209">
        <w:rPr>
          <w:rFonts w:ascii="Open Sans" w:hAnsi="Open Sans" w:cs="Open Sans"/>
          <w:color w:val="000000"/>
        </w:rPr>
        <w:t xml:space="preserve"> Valenciana (5,7%) y Andalucía (4,3%).</w:t>
      </w:r>
    </w:p>
    <w:p w:rsidR="00F93209" w:rsidRDefault="00F93209" w:rsidP="001E4BA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93209" w:rsidRDefault="00104600" w:rsidP="001E4BA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En el otro extremo, cinco comunidades descienden el precio respecto al año pasado. Cataluña es la comunidad en la que más se ha abaratado el alquiler de pisos compartidos, en concreto un -5,7%, seguido de Extremadura (-4,6%), Madrid (-4,5%), La Rioja (-4%) y Baleares (-1,5%).</w:t>
      </w:r>
    </w:p>
    <w:p w:rsidR="00104600" w:rsidRDefault="00567111" w:rsidP="001E4BA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 los precios, Cataluña es la comunidad más cara para compartir piso, a pesar de que es la comunidad que más ha descendido el precio en un año, y cuesta de media 444 €/al mes una habitación, seguido de Madrid (386 €/mes)</w:t>
      </w:r>
      <w:r w:rsidR="007E1F86">
        <w:rPr>
          <w:rFonts w:ascii="Open Sans" w:hAnsi="Open Sans" w:cs="Open Sans"/>
          <w:color w:val="000000"/>
        </w:rPr>
        <w:t>, Baleares (384 €/mes) y País Vasco (338 €/mes).</w:t>
      </w:r>
    </w:p>
    <w:p w:rsidR="007E1F86" w:rsidRDefault="005841B3" w:rsidP="001E4BA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el otro extremo, Extremadura (171 €/mes), Castilla-La Mancha (197 €/mes)</w:t>
      </w:r>
      <w:r w:rsidR="008B5D54">
        <w:rPr>
          <w:rFonts w:ascii="Open Sans" w:hAnsi="Open Sans" w:cs="Open Sans"/>
          <w:color w:val="000000"/>
        </w:rPr>
        <w:t>, Galicia (212 €/mes) y Castilla y León (219 €/mes) son las comunidades más baratas para alquilar una habitación.</w:t>
      </w:r>
    </w:p>
    <w:p w:rsidR="00E249DA" w:rsidRPr="00E249DA" w:rsidRDefault="00E249DA" w:rsidP="00E249DA">
      <w:pPr>
        <w:spacing w:line="276" w:lineRule="auto"/>
        <w:ind w:right="-574"/>
        <w:jc w:val="center"/>
        <w:rPr>
          <w:rFonts w:cs="Open Sans Light"/>
          <w:iCs/>
          <w:color w:val="303AB2"/>
          <w:sz w:val="30"/>
          <w:szCs w:val="22"/>
          <w:lang w:val="es-ES"/>
        </w:rPr>
      </w:pPr>
      <w:r w:rsidRPr="00E249DA">
        <w:rPr>
          <w:rFonts w:cs="Open Sans Light"/>
          <w:iCs/>
          <w:color w:val="303AB2"/>
          <w:sz w:val="30"/>
          <w:szCs w:val="22"/>
          <w:lang w:val="es-ES"/>
        </w:rPr>
        <w:t>Variación interanual y precio por Comunidades Autónomas</w:t>
      </w:r>
    </w:p>
    <w:p w:rsidR="00E249DA" w:rsidRPr="0014779E" w:rsidRDefault="00E249DA" w:rsidP="00E249DA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tbl>
      <w:tblPr>
        <w:tblStyle w:val="Tabladecuadrcula5oscura-nfasis11"/>
        <w:tblW w:w="0" w:type="auto"/>
        <w:tblInd w:w="277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E249DA" w:rsidRPr="00242E00" w:rsidTr="00E2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249DA" w:rsidRPr="00CB7E7E" w:rsidRDefault="00E249DA" w:rsidP="004576DF">
            <w:pPr>
              <w:jc w:val="center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Comunidades autónomas</w:t>
            </w:r>
          </w:p>
        </w:tc>
        <w:tc>
          <w:tcPr>
            <w:tcW w:w="2977" w:type="dxa"/>
          </w:tcPr>
          <w:p w:rsidR="00E249DA" w:rsidRPr="00CB7E7E" w:rsidRDefault="00E249DA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Precio medio (</w:t>
            </w: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€/m²) por habitación agosto 201</w:t>
            </w:r>
            <w:r w:rsidR="008B5D5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9</w:t>
            </w:r>
          </w:p>
        </w:tc>
        <w:tc>
          <w:tcPr>
            <w:tcW w:w="2126" w:type="dxa"/>
          </w:tcPr>
          <w:p w:rsidR="00E249DA" w:rsidRPr="00CB7E7E" w:rsidRDefault="00E249DA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8B5D54" w:rsidRPr="0014779E" w:rsidRDefault="008B5D54" w:rsidP="008B5D54">
            <w:pPr>
              <w:rPr>
                <w:rFonts w:ascii="Calibri" w:hAnsi="Calibri"/>
                <w:b w:val="0"/>
                <w:bCs w:val="0"/>
              </w:rPr>
            </w:pPr>
            <w:r w:rsidRPr="008B5D54">
              <w:t>Cataluña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444 €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D54">
              <w:rPr>
                <w:color w:val="FF0000"/>
              </w:rPr>
              <w:t>-5,7 %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Madrid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386 €</w:t>
            </w:r>
          </w:p>
        </w:tc>
        <w:tc>
          <w:tcPr>
            <w:tcW w:w="2126" w:type="dxa"/>
          </w:tcPr>
          <w:p w:rsidR="008B5D54" w:rsidRPr="008B5D5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5D54">
              <w:rPr>
                <w:color w:val="FF0000"/>
              </w:rPr>
              <w:t>-4,5 %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Baleares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384 €</w:t>
            </w:r>
          </w:p>
        </w:tc>
        <w:tc>
          <w:tcPr>
            <w:tcW w:w="2126" w:type="dxa"/>
          </w:tcPr>
          <w:p w:rsidR="008B5D54" w:rsidRPr="008B5D5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B5D54">
              <w:rPr>
                <w:color w:val="FF0000"/>
              </w:rPr>
              <w:t>-1,5 %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País Vasco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338 €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A58">
              <w:t>2,8 %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Navarra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300 €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A58">
              <w:t>21,7 %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Canarias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270 €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A58">
              <w:t>2,8 %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Comunitat Valenciana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268 €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A58">
              <w:t>5,7 %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Cantabria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264 €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A58">
              <w:t>10,2 %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Aragón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252 €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A58">
              <w:t>2,8 %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Andalucía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245 €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A58">
              <w:t>4,3 %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La Rioja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245 €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D54">
              <w:rPr>
                <w:color w:val="FF0000"/>
              </w:rPr>
              <w:t>-4,0 %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Asturias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241 €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A58">
              <w:t>2,6 %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Región de Murcia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230 €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A58">
              <w:t>9,8 %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Castilla y León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219 €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A58">
              <w:t>3,0 %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Galicia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212 €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A58">
              <w:t>7,5 %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Castilla-La Mancha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197 €</w:t>
            </w:r>
          </w:p>
        </w:tc>
        <w:tc>
          <w:tcPr>
            <w:tcW w:w="2126" w:type="dxa"/>
          </w:tcPr>
          <w:p w:rsidR="008B5D54" w:rsidRPr="00E52A58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A58">
              <w:t>1,7 %</w:t>
            </w:r>
          </w:p>
        </w:tc>
      </w:tr>
      <w:tr w:rsidR="008B5D54" w:rsidRPr="00242E00" w:rsidTr="0092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Pr="006D74CE" w:rsidRDefault="008B5D54" w:rsidP="008B5D54">
            <w:r w:rsidRPr="006D74CE">
              <w:t>Extremadura</w:t>
            </w:r>
          </w:p>
        </w:tc>
        <w:tc>
          <w:tcPr>
            <w:tcW w:w="2977" w:type="dxa"/>
          </w:tcPr>
          <w:p w:rsidR="008B5D54" w:rsidRPr="00737B9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4">
              <w:t>171 €</w:t>
            </w:r>
          </w:p>
        </w:tc>
        <w:tc>
          <w:tcPr>
            <w:tcW w:w="2126" w:type="dxa"/>
          </w:tcPr>
          <w:p w:rsidR="008B5D54" w:rsidRPr="008B5D54" w:rsidRDefault="008B5D54" w:rsidP="008B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B5D54">
              <w:rPr>
                <w:color w:val="FF0000"/>
              </w:rPr>
              <w:t>-4,6 %</w:t>
            </w:r>
          </w:p>
        </w:tc>
      </w:tr>
      <w:tr w:rsidR="008B5D54" w:rsidRPr="00242E00" w:rsidTr="0092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5D54" w:rsidRDefault="008B5D54" w:rsidP="008B5D54">
            <w:r w:rsidRPr="006D74CE">
              <w:t>España</w:t>
            </w:r>
          </w:p>
        </w:tc>
        <w:tc>
          <w:tcPr>
            <w:tcW w:w="2977" w:type="dxa"/>
          </w:tcPr>
          <w:p w:rsidR="008B5D5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B94">
              <w:t>309 €</w:t>
            </w:r>
          </w:p>
        </w:tc>
        <w:tc>
          <w:tcPr>
            <w:tcW w:w="2126" w:type="dxa"/>
          </w:tcPr>
          <w:p w:rsidR="008B5D54" w:rsidRPr="008B5D54" w:rsidRDefault="008B5D54" w:rsidP="008B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5D54">
              <w:rPr>
                <w:color w:val="FF0000"/>
              </w:rPr>
              <w:t>-5,0 %</w:t>
            </w:r>
          </w:p>
        </w:tc>
      </w:tr>
    </w:tbl>
    <w:p w:rsidR="00E249DA" w:rsidRDefault="00E249DA" w:rsidP="00E249DA">
      <w:pPr>
        <w:spacing w:line="276" w:lineRule="auto"/>
        <w:ind w:right="-574"/>
        <w:rPr>
          <w:rFonts w:cs="Open Sans Light"/>
          <w:b/>
          <w:iCs/>
          <w:color w:val="303AB2"/>
          <w:sz w:val="30"/>
          <w:szCs w:val="22"/>
          <w:lang w:val="es-ES"/>
        </w:rPr>
      </w:pPr>
    </w:p>
    <w:p w:rsidR="00E249DA" w:rsidRPr="00E249DA" w:rsidRDefault="00E249DA" w:rsidP="00E249DA">
      <w:pPr>
        <w:spacing w:line="276" w:lineRule="auto"/>
        <w:ind w:right="-574"/>
        <w:rPr>
          <w:rFonts w:cs="Open Sans Light"/>
          <w:b/>
          <w:iCs/>
          <w:color w:val="303AB2"/>
          <w:sz w:val="30"/>
          <w:szCs w:val="22"/>
          <w:lang w:val="es-ES"/>
        </w:rPr>
      </w:pPr>
      <w:r w:rsidRPr="00E249DA">
        <w:rPr>
          <w:rFonts w:cs="Open Sans Light"/>
          <w:b/>
          <w:iCs/>
          <w:color w:val="303AB2"/>
          <w:sz w:val="30"/>
          <w:szCs w:val="22"/>
          <w:lang w:val="es-ES"/>
        </w:rPr>
        <w:t>Barcelona y Madrid, las ciudades más caras para compartir piso</w:t>
      </w:r>
    </w:p>
    <w:p w:rsidR="00F447C0" w:rsidRDefault="006C06A2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análisis de </w:t>
      </w:r>
      <w:hyperlink r:id="rId9" w:history="1">
        <w:r w:rsidR="00F700A7" w:rsidRPr="00725E32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</w:t>
      </w:r>
      <w:r w:rsidR="00F8409F">
        <w:rPr>
          <w:rFonts w:ascii="Open Sans" w:hAnsi="Open Sans" w:cs="Open Sans"/>
          <w:color w:val="000000"/>
        </w:rPr>
        <w:t xml:space="preserve">analiza también el precio de los principales municipios españoles. Así, se ve que Barcelona, Madrid y Palma de Mallorca son las </w:t>
      </w:r>
      <w:r w:rsidR="000459C1">
        <w:rPr>
          <w:rFonts w:ascii="Open Sans" w:hAnsi="Open Sans" w:cs="Open Sans"/>
          <w:color w:val="000000"/>
        </w:rPr>
        <w:t xml:space="preserve">ciudades más caras para alquilar una habitación con un precio de 491 €/mes, 410 €/mes y 378 </w:t>
      </w:r>
      <w:r w:rsidR="000459C1">
        <w:rPr>
          <w:rFonts w:ascii="Open Sans" w:hAnsi="Open Sans" w:cs="Open Sans"/>
          <w:color w:val="000000"/>
        </w:rPr>
        <w:lastRenderedPageBreak/>
        <w:t xml:space="preserve">€/mes, respectivamente. No obstante, respecto al pasado año, en Barcelona y en Madrid el precio de las habitaciones ha caído y lo ha hecho un -3,4% en la ciudad condal y un -4,2% en la capital. </w:t>
      </w:r>
    </w:p>
    <w:p w:rsidR="00260692" w:rsidRDefault="00260692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“</w:t>
      </w:r>
      <w:r w:rsidRPr="00260692">
        <w:rPr>
          <w:rFonts w:ascii="Open Sans" w:hAnsi="Open Sans" w:cs="Open Sans"/>
          <w:color w:val="000000"/>
        </w:rPr>
        <w:t>Tras las fuertes subidas que hemos registrado en los últimos años, el mercado del alquiler tiende a estabilizarse y con él, el de los pisos compartidos, sobre todo en aquellas zonas y grandes ciudades donde los precios han estado más tensionados, como es el caso de Madrid capital y Barcelona</w:t>
      </w:r>
      <w:r>
        <w:rPr>
          <w:rFonts w:ascii="Open Sans" w:hAnsi="Open Sans" w:cs="Open Sans"/>
          <w:color w:val="000000"/>
        </w:rPr>
        <w:t xml:space="preserve">”, explica Beatriz Toribio, directora de Estudios de </w:t>
      </w:r>
      <w:hyperlink r:id="rId10" w:history="1">
        <w:r w:rsidRPr="00725E32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. </w:t>
      </w:r>
    </w:p>
    <w:p w:rsidR="00E249DA" w:rsidRPr="00E249DA" w:rsidRDefault="00E249DA" w:rsidP="00E249DA">
      <w:pPr>
        <w:spacing w:line="276" w:lineRule="auto"/>
        <w:ind w:right="-574"/>
        <w:jc w:val="center"/>
        <w:rPr>
          <w:rFonts w:cs="Open Sans Light"/>
          <w:iCs/>
          <w:color w:val="303AB2"/>
          <w:sz w:val="30"/>
          <w:szCs w:val="22"/>
          <w:lang w:val="es-ES"/>
        </w:rPr>
      </w:pPr>
      <w:r w:rsidRPr="00E249DA">
        <w:rPr>
          <w:rFonts w:cs="Open Sans Light"/>
          <w:iCs/>
          <w:color w:val="303AB2"/>
          <w:sz w:val="30"/>
          <w:szCs w:val="22"/>
          <w:lang w:val="es-ES"/>
        </w:rPr>
        <w:t>Municipios con precios más elevados de habitaciones en 201</w:t>
      </w:r>
      <w:r w:rsidR="000459C1">
        <w:rPr>
          <w:rFonts w:cs="Open Sans Light"/>
          <w:iCs/>
          <w:color w:val="303AB2"/>
          <w:sz w:val="30"/>
          <w:szCs w:val="22"/>
          <w:lang w:val="es-ES"/>
        </w:rPr>
        <w:t>9</w:t>
      </w:r>
    </w:p>
    <w:p w:rsidR="00E249DA" w:rsidRDefault="00E249DA" w:rsidP="00E249D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277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E249DA" w:rsidRPr="00242E00" w:rsidTr="00E2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249DA" w:rsidRPr="00CB7E7E" w:rsidRDefault="00E249DA" w:rsidP="004576DF">
            <w:pPr>
              <w:jc w:val="center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977" w:type="dxa"/>
          </w:tcPr>
          <w:p w:rsidR="00E249DA" w:rsidRPr="00CB7E7E" w:rsidRDefault="00E249DA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Precio medio (€/m²) por habitación agosto 201</w:t>
            </w:r>
            <w:r w:rsidR="000459C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9</w:t>
            </w:r>
          </w:p>
        </w:tc>
        <w:tc>
          <w:tcPr>
            <w:tcW w:w="2126" w:type="dxa"/>
          </w:tcPr>
          <w:p w:rsidR="00E249DA" w:rsidRPr="00CB7E7E" w:rsidRDefault="00E249DA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Barcelona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491 €</w:t>
            </w:r>
          </w:p>
        </w:tc>
        <w:tc>
          <w:tcPr>
            <w:tcW w:w="2126" w:type="dxa"/>
          </w:tcPr>
          <w:p w:rsidR="000459C1" w:rsidRPr="000459C1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459C1">
              <w:rPr>
                <w:color w:val="FF0000"/>
              </w:rPr>
              <w:t>-3,4 %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Madrid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410 €</w:t>
            </w:r>
          </w:p>
        </w:tc>
        <w:tc>
          <w:tcPr>
            <w:tcW w:w="2126" w:type="dxa"/>
          </w:tcPr>
          <w:p w:rsidR="000459C1" w:rsidRPr="000459C1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59C1">
              <w:rPr>
                <w:color w:val="FF0000"/>
              </w:rPr>
              <w:t>-4,2 %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Palma de Mallorca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378 €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0,4 %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 xml:space="preserve">Bilbao 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351 €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9C1">
              <w:rPr>
                <w:color w:val="FF0000"/>
              </w:rPr>
              <w:t>-1,8 %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Málaga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302 €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8,6 %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Alcalá de Henares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297 €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9B5">
              <w:t>4,3 %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Valencia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292 €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6,7 %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Las Palmas de Gran Canaria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279 €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9C1">
              <w:rPr>
                <w:color w:val="FF0000"/>
              </w:rPr>
              <w:t>-0,4 %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Sevilla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270 €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6,0 %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Zaragoza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251 €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9B5">
              <w:t>2,6 %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Alicante / Alacant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251 €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7,5 %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 xml:space="preserve">Oviedo 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233 €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9B5">
              <w:t>0,1 %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Granada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231 €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4,6 %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Murcia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231 €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9B5">
              <w:t>7,3 %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 xml:space="preserve">Vigo 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227 €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9,6 %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Salamanca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227 €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9B5">
              <w:t>0,9 %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Valladolid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225 €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7,0 %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Burgos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224 €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9B5">
              <w:t>0,6 %</w:t>
            </w:r>
          </w:p>
        </w:tc>
      </w:tr>
      <w:tr w:rsidR="000459C1" w:rsidRPr="00242E00" w:rsidTr="00A8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Pr="00562978" w:rsidRDefault="000459C1" w:rsidP="000459C1">
            <w:r w:rsidRPr="00562978">
              <w:t>Huelva Capital</w:t>
            </w:r>
          </w:p>
        </w:tc>
        <w:tc>
          <w:tcPr>
            <w:tcW w:w="2977" w:type="dxa"/>
          </w:tcPr>
          <w:p w:rsidR="000459C1" w:rsidRPr="002C6BF9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F9">
              <w:t>221 €</w:t>
            </w:r>
          </w:p>
        </w:tc>
        <w:tc>
          <w:tcPr>
            <w:tcW w:w="2126" w:type="dxa"/>
          </w:tcPr>
          <w:p w:rsidR="000459C1" w:rsidRPr="002E39B5" w:rsidRDefault="000459C1" w:rsidP="0004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9B5">
              <w:t>4,4 %</w:t>
            </w:r>
          </w:p>
        </w:tc>
      </w:tr>
      <w:tr w:rsidR="000459C1" w:rsidRPr="00242E00" w:rsidTr="00A8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59C1" w:rsidRDefault="000459C1" w:rsidP="000459C1">
            <w:r w:rsidRPr="00562978">
              <w:t xml:space="preserve">A Coruña Capital </w:t>
            </w:r>
          </w:p>
        </w:tc>
        <w:tc>
          <w:tcPr>
            <w:tcW w:w="2977" w:type="dxa"/>
          </w:tcPr>
          <w:p w:rsidR="000459C1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BF9">
              <w:t>212 €</w:t>
            </w:r>
          </w:p>
        </w:tc>
        <w:tc>
          <w:tcPr>
            <w:tcW w:w="2126" w:type="dxa"/>
          </w:tcPr>
          <w:p w:rsidR="000459C1" w:rsidRDefault="000459C1" w:rsidP="0004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9C1">
              <w:rPr>
                <w:color w:val="FF0000"/>
              </w:rPr>
              <w:t>-1,9 %</w:t>
            </w:r>
          </w:p>
        </w:tc>
      </w:tr>
    </w:tbl>
    <w:p w:rsidR="00E249DA" w:rsidRDefault="00E249DA" w:rsidP="00E249D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70DC1" w:rsidRDefault="00470DC1" w:rsidP="00E249DA">
      <w:pPr>
        <w:rPr>
          <w:rFonts w:ascii="Open Sans" w:eastAsia="Times New Roman" w:hAnsi="Open Sans" w:cs="Open Sans"/>
          <w:color w:val="000000"/>
          <w:lang w:val="es-ES" w:eastAsia="es-ES_tradnl"/>
        </w:rPr>
      </w:pPr>
    </w:p>
    <w:p w:rsidR="000459C1" w:rsidRDefault="00E249DA" w:rsidP="00E249DA">
      <w:pPr>
        <w:rPr>
          <w:rFonts w:ascii="Open Sans" w:eastAsia="Times New Roman" w:hAnsi="Open Sans" w:cs="Open Sans"/>
          <w:color w:val="000000"/>
          <w:lang w:val="es-ES" w:eastAsia="es-ES_tradnl"/>
        </w:rPr>
      </w:pPr>
      <w:r w:rsidRPr="00E249DA">
        <w:rPr>
          <w:rFonts w:ascii="Open Sans" w:eastAsia="Times New Roman" w:hAnsi="Open Sans" w:cs="Open Sans"/>
          <w:color w:val="000000"/>
          <w:lang w:val="es-ES" w:eastAsia="es-ES_tradnl"/>
        </w:rPr>
        <w:t xml:space="preserve">En el otro extremo, </w:t>
      </w:r>
      <w:r w:rsidR="000459C1">
        <w:rPr>
          <w:rFonts w:ascii="Open Sans" w:eastAsia="Times New Roman" w:hAnsi="Open Sans" w:cs="Open Sans"/>
          <w:color w:val="000000"/>
          <w:lang w:val="es-ES" w:eastAsia="es-ES_tradnl"/>
        </w:rPr>
        <w:t>Cáceres es el municipio más barato para alquilar una habitación y, de media, cuesta 159 €/mes, después de bajar el precio un -9,5% respecto a 2018. Le siguen Jaén (174 €/mes), Badajoz (181 €/mes), León (197 €/mes)</w:t>
      </w:r>
      <w:r w:rsidR="00470DC1">
        <w:rPr>
          <w:rFonts w:ascii="Open Sans" w:eastAsia="Times New Roman" w:hAnsi="Open Sans" w:cs="Open Sans"/>
          <w:color w:val="000000"/>
          <w:lang w:val="es-ES" w:eastAsia="es-ES_tradnl"/>
        </w:rPr>
        <w:t xml:space="preserve"> y Albacete (205 €/mes)</w:t>
      </w:r>
    </w:p>
    <w:p w:rsidR="000459C1" w:rsidRDefault="000459C1" w:rsidP="00E249DA">
      <w:pPr>
        <w:rPr>
          <w:rFonts w:ascii="Open Sans" w:eastAsia="Times New Roman" w:hAnsi="Open Sans" w:cs="Open Sans"/>
          <w:color w:val="000000"/>
          <w:lang w:val="es-ES" w:eastAsia="es-ES_tradnl"/>
        </w:rPr>
      </w:pPr>
    </w:p>
    <w:p w:rsidR="00E249DA" w:rsidRDefault="00E249DA" w:rsidP="00E249DA">
      <w:pPr>
        <w:rPr>
          <w:rFonts w:ascii="Open Sans" w:eastAsia="Times New Roman" w:hAnsi="Open Sans" w:cs="Open Sans"/>
          <w:color w:val="000000"/>
          <w:lang w:val="es-ES" w:eastAsia="es-ES_tradnl"/>
        </w:rPr>
      </w:pPr>
    </w:p>
    <w:p w:rsidR="00470DC1" w:rsidRDefault="00470DC1" w:rsidP="00E249DA">
      <w:pPr>
        <w:rPr>
          <w:rFonts w:ascii="Open Sans" w:eastAsia="Times New Roman" w:hAnsi="Open Sans" w:cs="Open Sans"/>
          <w:color w:val="000000"/>
          <w:lang w:val="es-ES" w:eastAsia="es-ES_tradnl"/>
        </w:rPr>
      </w:pPr>
    </w:p>
    <w:p w:rsidR="00E249DA" w:rsidRPr="00E249DA" w:rsidRDefault="00E249DA" w:rsidP="00E249DA">
      <w:pPr>
        <w:spacing w:line="276" w:lineRule="auto"/>
        <w:ind w:right="-574"/>
        <w:jc w:val="center"/>
        <w:rPr>
          <w:rFonts w:cs="Open Sans Light"/>
          <w:iCs/>
          <w:color w:val="303AB2"/>
          <w:sz w:val="30"/>
          <w:szCs w:val="22"/>
          <w:lang w:val="es-ES"/>
        </w:rPr>
      </w:pPr>
      <w:bookmarkStart w:id="1" w:name="_GoBack"/>
      <w:bookmarkEnd w:id="1"/>
      <w:r w:rsidRPr="00E249DA">
        <w:rPr>
          <w:rFonts w:cs="Open Sans Light"/>
          <w:iCs/>
          <w:color w:val="303AB2"/>
          <w:sz w:val="30"/>
          <w:szCs w:val="22"/>
          <w:lang w:val="es-ES"/>
        </w:rPr>
        <w:lastRenderedPageBreak/>
        <w:t>Municipios con precios más económicos en 201</w:t>
      </w:r>
      <w:r w:rsidR="00470DC1">
        <w:rPr>
          <w:rFonts w:cs="Open Sans Light"/>
          <w:iCs/>
          <w:color w:val="303AB2"/>
          <w:sz w:val="30"/>
          <w:szCs w:val="22"/>
          <w:lang w:val="es-ES"/>
        </w:rPr>
        <w:t>9</w:t>
      </w:r>
    </w:p>
    <w:p w:rsidR="00E249DA" w:rsidRDefault="00E249DA" w:rsidP="00E249D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139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E249DA" w:rsidRPr="00242E00" w:rsidTr="00E2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249DA" w:rsidRDefault="00E249DA" w:rsidP="004576DF">
            <w:pPr>
              <w:jc w:val="center"/>
              <w:rPr>
                <w:rFonts w:ascii="Open Sans Light" w:hAnsi="Open Sans Light"/>
                <w:bCs w:val="0"/>
                <w:lang w:val="es-ES"/>
              </w:rPr>
            </w:pPr>
          </w:p>
          <w:p w:rsidR="00E249DA" w:rsidRPr="00242E00" w:rsidRDefault="00E249DA" w:rsidP="004576DF">
            <w:pPr>
              <w:jc w:val="center"/>
              <w:rPr>
                <w:rFonts w:ascii="Open Sans Light" w:hAnsi="Open Sans Light"/>
                <w:bCs w:val="0"/>
                <w:lang w:val="es-ES"/>
              </w:rPr>
            </w:pPr>
            <w:r>
              <w:rPr>
                <w:rFonts w:ascii="Open Sans Light" w:hAnsi="Open Sans Light"/>
                <w:bCs w:val="0"/>
                <w:lang w:val="es-ES"/>
              </w:rPr>
              <w:t>Municipio</w:t>
            </w:r>
          </w:p>
        </w:tc>
        <w:tc>
          <w:tcPr>
            <w:tcW w:w="2977" w:type="dxa"/>
          </w:tcPr>
          <w:p w:rsidR="00E249DA" w:rsidRPr="00242E00" w:rsidRDefault="00E249DA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lang w:val="es-ES"/>
              </w:rPr>
            </w:pPr>
            <w:r>
              <w:rPr>
                <w:rFonts w:ascii="Open Sans Light" w:hAnsi="Open Sans Light"/>
                <w:bCs w:val="0"/>
                <w:lang w:val="es-ES"/>
              </w:rPr>
              <w:t xml:space="preserve">Precio medio </w:t>
            </w:r>
            <w:r w:rsidRPr="00242E00">
              <w:rPr>
                <w:rFonts w:ascii="Open Sans Light" w:hAnsi="Open Sans Light"/>
                <w:bCs w:val="0"/>
                <w:lang w:val="es-ES"/>
              </w:rPr>
              <w:t>(€/m²)</w:t>
            </w:r>
            <w:r>
              <w:rPr>
                <w:rFonts w:ascii="Open Sans Light" w:hAnsi="Open Sans Light"/>
                <w:bCs w:val="0"/>
                <w:lang w:val="es-ES"/>
              </w:rPr>
              <w:t xml:space="preserve"> por habitación agosto 201</w:t>
            </w:r>
            <w:r w:rsidR="00470DC1">
              <w:rPr>
                <w:rFonts w:ascii="Open Sans Light" w:hAnsi="Open Sans Light"/>
                <w:bCs w:val="0"/>
                <w:lang w:val="es-ES"/>
              </w:rPr>
              <w:t>9</w:t>
            </w:r>
          </w:p>
        </w:tc>
        <w:tc>
          <w:tcPr>
            <w:tcW w:w="2126" w:type="dxa"/>
          </w:tcPr>
          <w:p w:rsidR="00E249DA" w:rsidRPr="00242E00" w:rsidRDefault="00E249DA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lang w:val="es-ES"/>
              </w:rPr>
            </w:pPr>
            <w:r w:rsidRPr="00242E00">
              <w:rPr>
                <w:rFonts w:ascii="Open Sans Light" w:hAnsi="Open Sans Light"/>
                <w:bCs w:val="0"/>
                <w:lang w:val="es-ES"/>
              </w:rPr>
              <w:t xml:space="preserve">Variación </w:t>
            </w:r>
            <w:r>
              <w:rPr>
                <w:rFonts w:ascii="Open Sans Light" w:hAnsi="Open Sans Light"/>
                <w:bCs w:val="0"/>
                <w:lang w:val="es-ES"/>
              </w:rPr>
              <w:t>interanual</w:t>
            </w:r>
            <w:r w:rsidRPr="00242E00">
              <w:rPr>
                <w:rFonts w:ascii="Open Sans Light" w:hAnsi="Open Sans Light"/>
                <w:bCs w:val="0"/>
                <w:lang w:val="es-ES"/>
              </w:rPr>
              <w:t xml:space="preserve"> (%)</w:t>
            </w:r>
          </w:p>
        </w:tc>
      </w:tr>
      <w:tr w:rsidR="00470DC1" w:rsidRPr="00242E00" w:rsidTr="0056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Pr="009D709E" w:rsidRDefault="00470DC1" w:rsidP="00470DC1">
            <w:r w:rsidRPr="009D709E">
              <w:t>Cáceres Capital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4D">
              <w:t>159 €</w:t>
            </w:r>
          </w:p>
        </w:tc>
        <w:tc>
          <w:tcPr>
            <w:tcW w:w="2126" w:type="dxa"/>
          </w:tcPr>
          <w:p w:rsidR="00470DC1" w:rsidRPr="00470DC1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70DC1">
              <w:rPr>
                <w:color w:val="FF0000"/>
              </w:rPr>
              <w:t>-9,5 %</w:t>
            </w:r>
          </w:p>
        </w:tc>
      </w:tr>
      <w:tr w:rsidR="00470DC1" w:rsidRPr="00242E00" w:rsidTr="00567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Pr="009D709E" w:rsidRDefault="00470DC1" w:rsidP="00470DC1">
            <w:r w:rsidRPr="009D709E">
              <w:t>Jaén Capital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44D">
              <w:t>174 €</w:t>
            </w:r>
          </w:p>
        </w:tc>
        <w:tc>
          <w:tcPr>
            <w:tcW w:w="2126" w:type="dxa"/>
          </w:tcPr>
          <w:p w:rsidR="00470DC1" w:rsidRPr="00470DC1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70DC1">
              <w:rPr>
                <w:color w:val="FF0000"/>
              </w:rPr>
              <w:t>-5,9 %</w:t>
            </w:r>
          </w:p>
        </w:tc>
      </w:tr>
      <w:tr w:rsidR="00470DC1" w:rsidRPr="00242E00" w:rsidTr="0056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Pr="009D709E" w:rsidRDefault="00470DC1" w:rsidP="00470DC1">
            <w:r w:rsidRPr="009D709E">
              <w:t>Badajoz Capital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4D">
              <w:t>181 €</w:t>
            </w:r>
          </w:p>
        </w:tc>
        <w:tc>
          <w:tcPr>
            <w:tcW w:w="2126" w:type="dxa"/>
          </w:tcPr>
          <w:p w:rsidR="00470DC1" w:rsidRPr="0011244D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4D">
              <w:t>1,2 %</w:t>
            </w:r>
          </w:p>
        </w:tc>
      </w:tr>
      <w:tr w:rsidR="00470DC1" w:rsidRPr="00242E00" w:rsidTr="00567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Pr="009D709E" w:rsidRDefault="00470DC1" w:rsidP="00470DC1">
            <w:r w:rsidRPr="009D709E">
              <w:t xml:space="preserve">León Capital 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44D">
              <w:t>197 €</w:t>
            </w:r>
          </w:p>
        </w:tc>
        <w:tc>
          <w:tcPr>
            <w:tcW w:w="2126" w:type="dxa"/>
          </w:tcPr>
          <w:p w:rsidR="00470DC1" w:rsidRPr="00470DC1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70DC1">
              <w:rPr>
                <w:color w:val="FF0000"/>
              </w:rPr>
              <w:t>-9,0 %</w:t>
            </w:r>
          </w:p>
        </w:tc>
      </w:tr>
      <w:tr w:rsidR="00470DC1" w:rsidRPr="00242E00" w:rsidTr="0056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Pr="009D709E" w:rsidRDefault="00470DC1" w:rsidP="00470DC1">
            <w:r w:rsidRPr="009D709E">
              <w:t>Albacete Capital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4D">
              <w:t>205 €</w:t>
            </w:r>
          </w:p>
        </w:tc>
        <w:tc>
          <w:tcPr>
            <w:tcW w:w="2126" w:type="dxa"/>
          </w:tcPr>
          <w:p w:rsidR="00470DC1" w:rsidRPr="00470DC1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70DC1">
              <w:rPr>
                <w:color w:val="FF0000"/>
              </w:rPr>
              <w:t>-3,5 %</w:t>
            </w:r>
          </w:p>
        </w:tc>
      </w:tr>
      <w:tr w:rsidR="00470DC1" w:rsidRPr="00242E00" w:rsidTr="00567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Pr="009D709E" w:rsidRDefault="00470DC1" w:rsidP="00470DC1">
            <w:r w:rsidRPr="009D709E">
              <w:t>Almería Capital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44D">
              <w:t>208 €</w:t>
            </w:r>
          </w:p>
        </w:tc>
        <w:tc>
          <w:tcPr>
            <w:tcW w:w="2126" w:type="dxa"/>
          </w:tcPr>
          <w:p w:rsidR="00470DC1" w:rsidRPr="00470DC1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70DC1">
              <w:rPr>
                <w:color w:val="FF0000"/>
              </w:rPr>
              <w:t>-0,1 %</w:t>
            </w:r>
          </w:p>
        </w:tc>
      </w:tr>
      <w:tr w:rsidR="00470DC1" w:rsidRPr="00242E00" w:rsidTr="0056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Pr="009D709E" w:rsidRDefault="00470DC1" w:rsidP="00470DC1">
            <w:r w:rsidRPr="009D709E">
              <w:t>Córdoba Capital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4D">
              <w:t>210 €</w:t>
            </w:r>
          </w:p>
        </w:tc>
        <w:tc>
          <w:tcPr>
            <w:tcW w:w="2126" w:type="dxa"/>
          </w:tcPr>
          <w:p w:rsidR="00470DC1" w:rsidRPr="00470DC1" w:rsidRDefault="00470DC1" w:rsidP="00470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70DC1">
              <w:rPr>
                <w:color w:val="FF0000"/>
              </w:rPr>
              <w:t>-8,7 %</w:t>
            </w:r>
          </w:p>
        </w:tc>
      </w:tr>
      <w:tr w:rsidR="00470DC1" w:rsidRPr="00242E00" w:rsidTr="00567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0DC1" w:rsidRDefault="00470DC1" w:rsidP="00470DC1">
            <w:r w:rsidRPr="009D709E">
              <w:t xml:space="preserve">Santiago de Compostela </w:t>
            </w:r>
          </w:p>
        </w:tc>
        <w:tc>
          <w:tcPr>
            <w:tcW w:w="2977" w:type="dxa"/>
          </w:tcPr>
          <w:p w:rsidR="00470DC1" w:rsidRPr="0011244D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44D">
              <w:t>210 €</w:t>
            </w:r>
          </w:p>
        </w:tc>
        <w:tc>
          <w:tcPr>
            <w:tcW w:w="2126" w:type="dxa"/>
          </w:tcPr>
          <w:p w:rsidR="00470DC1" w:rsidRDefault="00470DC1" w:rsidP="00470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44D">
              <w:t>10,0 %</w:t>
            </w:r>
          </w:p>
        </w:tc>
      </w:tr>
    </w:tbl>
    <w:p w:rsidR="00470DC1" w:rsidRDefault="00470DC1" w:rsidP="00E249DA">
      <w:pPr>
        <w:spacing w:line="276" w:lineRule="auto"/>
        <w:ind w:right="-574"/>
        <w:rPr>
          <w:rFonts w:cs="Open Sans Light"/>
          <w:b/>
          <w:iCs/>
          <w:color w:val="303AB2"/>
          <w:sz w:val="30"/>
          <w:szCs w:val="22"/>
          <w:lang w:val="es-ES"/>
        </w:rPr>
      </w:pPr>
    </w:p>
    <w:p w:rsidR="00470DC1" w:rsidRDefault="00470DC1" w:rsidP="00E249DA">
      <w:pPr>
        <w:spacing w:line="276" w:lineRule="auto"/>
        <w:ind w:right="-574"/>
        <w:rPr>
          <w:rFonts w:cs="Open Sans Light"/>
          <w:b/>
          <w:iCs/>
          <w:color w:val="303AB2"/>
          <w:sz w:val="30"/>
          <w:szCs w:val="22"/>
          <w:lang w:val="es-ES"/>
        </w:rPr>
      </w:pPr>
    </w:p>
    <w:p w:rsidR="00E249DA" w:rsidRPr="00E249DA" w:rsidRDefault="00F700A7" w:rsidP="00E249DA">
      <w:pPr>
        <w:spacing w:line="276" w:lineRule="auto"/>
        <w:ind w:right="-574"/>
        <w:rPr>
          <w:rFonts w:cs="Open Sans Light"/>
          <w:b/>
          <w:iCs/>
          <w:color w:val="303AB2"/>
          <w:sz w:val="30"/>
          <w:szCs w:val="22"/>
          <w:lang w:val="es-ES"/>
        </w:rPr>
      </w:pPr>
      <w:r>
        <w:rPr>
          <w:rFonts w:cs="Open Sans Light"/>
          <w:b/>
          <w:iCs/>
          <w:color w:val="303AB2"/>
          <w:sz w:val="30"/>
          <w:szCs w:val="22"/>
          <w:lang w:val="es-ES"/>
        </w:rPr>
        <w:t xml:space="preserve">Los distritos más caros para alquilar están en Barcelona </w:t>
      </w:r>
    </w:p>
    <w:p w:rsidR="00F700A7" w:rsidRDefault="00922362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hyperlink r:id="rId11" w:history="1">
        <w:r w:rsidR="00F700A7" w:rsidRPr="00725E32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="00E249DA" w:rsidRPr="00E249DA">
        <w:rPr>
          <w:rFonts w:ascii="Open Sans" w:hAnsi="Open Sans" w:cs="Open Sans"/>
          <w:color w:val="000000"/>
        </w:rPr>
        <w:t xml:space="preserve"> también analiza el precio de las habitaciones en los distritos de las ciudades de Madrid</w:t>
      </w:r>
      <w:r w:rsidR="00F700A7">
        <w:rPr>
          <w:rFonts w:ascii="Open Sans" w:hAnsi="Open Sans" w:cs="Open Sans"/>
          <w:color w:val="000000"/>
        </w:rPr>
        <w:t xml:space="preserve">, </w:t>
      </w:r>
      <w:r w:rsidR="00E249DA" w:rsidRPr="00E249DA">
        <w:rPr>
          <w:rFonts w:ascii="Open Sans" w:hAnsi="Open Sans" w:cs="Open Sans"/>
          <w:color w:val="000000"/>
        </w:rPr>
        <w:t>Barcelona</w:t>
      </w:r>
      <w:r w:rsidR="00F700A7">
        <w:rPr>
          <w:rFonts w:ascii="Open Sans" w:hAnsi="Open Sans" w:cs="Open Sans"/>
          <w:color w:val="000000"/>
        </w:rPr>
        <w:t>, Sevilla, Málaga y Valencia</w:t>
      </w:r>
      <w:r w:rsidR="00E249DA" w:rsidRPr="00E249DA">
        <w:rPr>
          <w:rFonts w:ascii="Open Sans" w:hAnsi="Open Sans" w:cs="Open Sans"/>
          <w:color w:val="000000"/>
        </w:rPr>
        <w:t>. Así, el distrito más caro para alquilar una habitación se encuentra en Barcelona y se trata del distrito de Gràcia (57</w:t>
      </w:r>
      <w:r w:rsidR="00F700A7">
        <w:rPr>
          <w:rFonts w:ascii="Open Sans" w:hAnsi="Open Sans" w:cs="Open Sans"/>
          <w:color w:val="000000"/>
        </w:rPr>
        <w:t>2</w:t>
      </w:r>
      <w:r w:rsidR="00E249DA" w:rsidRPr="00E249DA">
        <w:rPr>
          <w:rFonts w:ascii="Open Sans" w:hAnsi="Open Sans" w:cs="Open Sans"/>
          <w:color w:val="000000"/>
        </w:rPr>
        <w:t xml:space="preserve"> €/mes), seguido de </w:t>
      </w:r>
      <w:proofErr w:type="spellStart"/>
      <w:r w:rsidR="00F700A7">
        <w:rPr>
          <w:rFonts w:ascii="Open Sans" w:hAnsi="Open Sans" w:cs="Open Sans"/>
          <w:color w:val="000000"/>
        </w:rPr>
        <w:t>Ciutat</w:t>
      </w:r>
      <w:proofErr w:type="spellEnd"/>
      <w:r w:rsidR="00F700A7">
        <w:rPr>
          <w:rFonts w:ascii="Open Sans" w:hAnsi="Open Sans" w:cs="Open Sans"/>
          <w:color w:val="000000"/>
        </w:rPr>
        <w:t xml:space="preserve"> Vella (540 €/mes) y Eixample (506 €/al mes). En cuarto lugar, el distrito de Chamberí, en Madrid, con un precio de 490 €/mes.</w:t>
      </w:r>
    </w:p>
    <w:p w:rsidR="00F700A7" w:rsidRDefault="00F700A7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Valencia, el distrito más caro es el de L’Eixample, con un precio de 333 €/al mes. En la ciudad de Sevilla se trata del distrito Sur, con un precio mensual de 268 € por habitación. </w:t>
      </w:r>
      <w:r w:rsidR="00E316A4">
        <w:rPr>
          <w:rFonts w:ascii="Open Sans" w:hAnsi="Open Sans" w:cs="Open Sans"/>
          <w:color w:val="000000"/>
        </w:rPr>
        <w:t>En la ciudad de Málaga el distrito con el precio más elevado es Centro (330 €/mes)</w:t>
      </w:r>
      <w:r w:rsidR="00FD6297">
        <w:rPr>
          <w:rFonts w:ascii="Open Sans" w:hAnsi="Open Sans" w:cs="Open Sans"/>
          <w:color w:val="000000"/>
        </w:rPr>
        <w:t xml:space="preserve">. Por su parte, en la ciudad de Granada el distrito Centro es el más caro (258 €/mes). </w:t>
      </w:r>
    </w:p>
    <w:p w:rsidR="00E249DA" w:rsidRPr="00E249DA" w:rsidRDefault="00FD6297" w:rsidP="00E249DA">
      <w:pPr>
        <w:spacing w:line="276" w:lineRule="auto"/>
        <w:ind w:right="-574"/>
        <w:jc w:val="center"/>
        <w:rPr>
          <w:rFonts w:cs="Open Sans Light"/>
          <w:iCs/>
          <w:color w:val="303AB2"/>
          <w:sz w:val="30"/>
          <w:szCs w:val="22"/>
          <w:lang w:val="es-ES"/>
        </w:rPr>
      </w:pPr>
      <w:r>
        <w:rPr>
          <w:rFonts w:cs="Open Sans Light"/>
          <w:iCs/>
          <w:color w:val="303AB2"/>
          <w:sz w:val="30"/>
          <w:szCs w:val="22"/>
          <w:lang w:val="es-ES"/>
        </w:rPr>
        <w:t>Análisis distritos principales ciudades españolas</w:t>
      </w:r>
    </w:p>
    <w:p w:rsidR="00E249DA" w:rsidRDefault="00E249DA" w:rsidP="00E249D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8336" w:type="dxa"/>
        <w:tblInd w:w="277" w:type="dxa"/>
        <w:tblLook w:val="04A0" w:firstRow="1" w:lastRow="0" w:firstColumn="1" w:lastColumn="0" w:noHBand="0" w:noVBand="1"/>
      </w:tblPr>
      <w:tblGrid>
        <w:gridCol w:w="1532"/>
        <w:gridCol w:w="1985"/>
        <w:gridCol w:w="2693"/>
        <w:gridCol w:w="2126"/>
      </w:tblGrid>
      <w:tr w:rsidR="00FD6297" w:rsidRPr="00242E00" w:rsidTr="00FD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Default="00FD6297" w:rsidP="004576DF">
            <w:pPr>
              <w:jc w:val="center"/>
              <w:rPr>
                <w:rFonts w:ascii="Open Sans Light" w:hAnsi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1985" w:type="dxa"/>
          </w:tcPr>
          <w:p w:rsidR="00FD6297" w:rsidRPr="00CB7E7E" w:rsidRDefault="00FD6297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Distrito </w:t>
            </w:r>
          </w:p>
        </w:tc>
        <w:tc>
          <w:tcPr>
            <w:tcW w:w="2693" w:type="dxa"/>
          </w:tcPr>
          <w:p w:rsidR="00FD6297" w:rsidRPr="00CB7E7E" w:rsidRDefault="00FD6297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Precio medio (€/m</w:t>
            </w: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es</w:t>
            </w: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) por habitación </w:t>
            </w:r>
          </w:p>
        </w:tc>
        <w:tc>
          <w:tcPr>
            <w:tcW w:w="2126" w:type="dxa"/>
          </w:tcPr>
          <w:p w:rsidR="00FD6297" w:rsidRPr="00CB7E7E" w:rsidRDefault="00FD6297" w:rsidP="0045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Barcelona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Gràcia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572 €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44C">
              <w:rPr>
                <w:color w:val="FF0000"/>
              </w:rPr>
              <w:t>-0,8 %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Barcelona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35AA">
              <w:t>Ciutat</w:t>
            </w:r>
            <w:proofErr w:type="spellEnd"/>
            <w:r w:rsidRPr="00BE35AA">
              <w:t xml:space="preserve"> Vella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540 €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1,1 %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Barcelona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Eixample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506 €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-2,7 %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Chamberí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490 €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-5,5 %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Barcelona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Sant Martí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479 €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-7,1 %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Centro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471 €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-0,6 %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Salamanca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464 €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-4,8 %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Tetuán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459 €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8,8 %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Chamartín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445 €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1,0 %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>Barcelona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Les Corts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434 €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1,6 %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lastRenderedPageBreak/>
              <w:t xml:space="preserve">Barcelona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Sants - Montjuïc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428 €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-1,7 %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Moncloa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420 €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-9,8 %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Arganzuela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420 €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-2,3 %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Barcelona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Horta - Guinardó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395 €</w:t>
            </w:r>
          </w:p>
        </w:tc>
        <w:tc>
          <w:tcPr>
            <w:tcW w:w="2126" w:type="dxa"/>
          </w:tcPr>
          <w:p w:rsidR="00FD6297" w:rsidRPr="006E244C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E244C">
              <w:rPr>
                <w:color w:val="FF0000"/>
              </w:rPr>
              <w:t>-6,1 %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Ciudad Lineal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383 €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8,2 %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Latina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348 €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0,6 %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Carabanchel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343 €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7,8 %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Madrid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Puente de Vallecas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338 €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6,3 %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Valencia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L'Eixample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333 €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4,3 %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Málaga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Centro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330 €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15,2 %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Valencia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35AA">
              <w:t>Ciutat</w:t>
            </w:r>
            <w:proofErr w:type="spellEnd"/>
            <w:r w:rsidRPr="00BE35AA">
              <w:t xml:space="preserve"> Vella 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307 €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44C">
              <w:rPr>
                <w:color w:val="FF0000"/>
              </w:rPr>
              <w:t>-6,4 %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Valencia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35AA">
              <w:t>Camins</w:t>
            </w:r>
            <w:proofErr w:type="spellEnd"/>
            <w:r w:rsidRPr="00BE35AA">
              <w:t xml:space="preserve"> al Grau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299 €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13,6 %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Valencia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35AA">
              <w:t>Poblats</w:t>
            </w:r>
            <w:proofErr w:type="spellEnd"/>
            <w:r w:rsidRPr="00BE35AA">
              <w:t xml:space="preserve"> </w:t>
            </w:r>
            <w:proofErr w:type="spellStart"/>
            <w:r w:rsidRPr="00BE35AA">
              <w:t>Marítims</w:t>
            </w:r>
            <w:proofErr w:type="spellEnd"/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293 €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8,0 %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Málaga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Teatinos - Universidad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291 €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0,0 %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Valencia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35AA">
              <w:t>Extramurs</w:t>
            </w:r>
            <w:proofErr w:type="spellEnd"/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291 €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44C">
              <w:rPr>
                <w:color w:val="FF0000"/>
              </w:rPr>
              <w:t>-1,7 %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Málaga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Cruz de Humilladero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291 €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0,0 %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Valencia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35AA">
              <w:t>Algirós</w:t>
            </w:r>
            <w:proofErr w:type="spellEnd"/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276 €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5,6 %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Sevilla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Sur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268 €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7,5 %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Valencia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Benimaclet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259 €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13,5 %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Granada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Centro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258 €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7,6 %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Sevilla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Macarena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249 €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44C">
              <w:rPr>
                <w:color w:val="FF0000"/>
              </w:rPr>
              <w:t>-3,0 %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Granada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Ronda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223 €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0,9 %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Granada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35AA">
              <w:t>Beiro</w:t>
            </w:r>
            <w:proofErr w:type="spellEnd"/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221 €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2,1 %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Salamanca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5AA">
              <w:t>Hospitales - Campus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220 €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0,0 %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Córdoba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Poniente-Sur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202 €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44C">
              <w:rPr>
                <w:color w:val="FF0000"/>
              </w:rPr>
              <w:t>-15,6 %</w:t>
            </w:r>
          </w:p>
        </w:tc>
      </w:tr>
      <w:tr w:rsidR="00FD6297" w:rsidRPr="00242E00" w:rsidTr="00D8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Badajoz </w:t>
            </w:r>
          </w:p>
        </w:tc>
        <w:tc>
          <w:tcPr>
            <w:tcW w:w="1985" w:type="dxa"/>
          </w:tcPr>
          <w:p w:rsidR="00FD6297" w:rsidRPr="00BE35AA" w:rsidRDefault="00FD6297" w:rsidP="00FD6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35AA">
              <w:t>Valdepasillas</w:t>
            </w:r>
            <w:proofErr w:type="spellEnd"/>
            <w:r w:rsidRPr="00BE35AA">
              <w:t xml:space="preserve"> - La Paz - Huerta Rosales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192 €</w:t>
            </w:r>
          </w:p>
        </w:tc>
        <w:tc>
          <w:tcPr>
            <w:tcW w:w="2126" w:type="dxa"/>
          </w:tcPr>
          <w:p w:rsidR="00FD6297" w:rsidRPr="006A2EBD" w:rsidRDefault="00FD6297" w:rsidP="00FD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EBD">
              <w:t>21,5 %</w:t>
            </w:r>
          </w:p>
        </w:tc>
      </w:tr>
      <w:tr w:rsidR="00FD6297" w:rsidRPr="00242E00" w:rsidTr="00D8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FD6297" w:rsidRPr="00BE35AA" w:rsidRDefault="00FD6297" w:rsidP="00FD6297">
            <w:r w:rsidRPr="00BE35AA">
              <w:t xml:space="preserve">Cáceres </w:t>
            </w:r>
          </w:p>
        </w:tc>
        <w:tc>
          <w:tcPr>
            <w:tcW w:w="1985" w:type="dxa"/>
          </w:tcPr>
          <w:p w:rsidR="00FD6297" w:rsidRDefault="00FD6297" w:rsidP="00FD6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5AA">
              <w:t>Centro</w:t>
            </w:r>
          </w:p>
        </w:tc>
        <w:tc>
          <w:tcPr>
            <w:tcW w:w="2693" w:type="dxa"/>
          </w:tcPr>
          <w:p w:rsidR="00FD6297" w:rsidRPr="006A2EBD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EBD">
              <w:t>161 €</w:t>
            </w:r>
          </w:p>
        </w:tc>
        <w:tc>
          <w:tcPr>
            <w:tcW w:w="2126" w:type="dxa"/>
          </w:tcPr>
          <w:p w:rsidR="00FD6297" w:rsidRDefault="00FD6297" w:rsidP="00FD6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44C">
              <w:rPr>
                <w:color w:val="FF0000"/>
              </w:rPr>
              <w:t>-8,2 %</w:t>
            </w:r>
          </w:p>
        </w:tc>
      </w:tr>
    </w:tbl>
    <w:p w:rsidR="00E249DA" w:rsidRDefault="00E249DA" w:rsidP="00E249D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B41A97" w:rsidRPr="00B41A97" w:rsidRDefault="003F20E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S</w:t>
      </w:r>
      <w:r w:rsidR="00B41A97"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="00B41A97"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07A68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dispone de oferta </w:t>
      </w:r>
      <w:r w:rsidR="00AC04DB">
        <w:rPr>
          <w:rFonts w:ascii="Open Sans" w:hAnsi="Open Sans" w:cs="Open Sans"/>
          <w:color w:val="000000"/>
          <w:sz w:val="21"/>
          <w:szCs w:val="21"/>
        </w:rPr>
        <w:t>de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AC04DB">
        <w:rPr>
          <w:rFonts w:ascii="Open Sans" w:hAnsi="Open Sans" w:cs="Open Sans"/>
          <w:color w:val="000000"/>
          <w:sz w:val="21"/>
          <w:szCs w:val="21"/>
        </w:rPr>
        <w:t>segunda mano,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2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3F20E3" w:rsidRPr="00B41A97" w:rsidRDefault="003F20E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46DC9" w:rsidRDefault="00922362" w:rsidP="00C46DC9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hyperlink r:id="rId13" w:tgtFrame="_blank" w:history="1">
        <w:r w:rsidR="00C46DC9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C46DC9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C46DC9">
        <w:fldChar w:fldCharType="begin"/>
      </w:r>
      <w:r w:rsidR="00C46DC9">
        <w:instrText xml:space="preserve"> HYPERLINK "https://www.adevinta.com/" \t "_blank" </w:instrText>
      </w:r>
      <w:r w:rsidR="00C46DC9">
        <w:fldChar w:fldCharType="separate"/>
      </w:r>
      <w:r w:rsidR="00C46DC9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C46DC9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C46DC9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proofErr w:type="spellStart"/>
      <w:r w:rsidR="00C46DC9">
        <w:rPr>
          <w:rFonts w:ascii="Open Sans" w:hAnsi="Open Sans" w:cs="Open Sans"/>
          <w:color w:val="000000"/>
          <w:sz w:val="21"/>
          <w:szCs w:val="21"/>
        </w:rPr>
        <w:t>marketplaces</w:t>
      </w:r>
      <w:proofErr w:type="spellEnd"/>
      <w:r w:rsidR="00C46DC9">
        <w:rPr>
          <w:rFonts w:ascii="Open Sans" w:hAnsi="Open Sans" w:cs="Open Sans"/>
          <w:color w:val="000000"/>
          <w:sz w:val="21"/>
          <w:szCs w:val="21"/>
        </w:rPr>
        <w:t xml:space="preserve"> digitales y el </w:t>
      </w:r>
      <w:bookmarkStart w:id="2" w:name="_Hlk9419764"/>
      <w:r w:rsidR="00C46DC9">
        <w:rPr>
          <w:rFonts w:ascii="Open Sans" w:hAnsi="Open Sans" w:cs="Open Sans"/>
          <w:color w:val="000000"/>
          <w:sz w:val="21"/>
          <w:szCs w:val="21"/>
        </w:rPr>
        <w:t xml:space="preserve">único “pure </w:t>
      </w:r>
      <w:proofErr w:type="spellStart"/>
      <w:r w:rsidR="00C46DC9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C46DC9">
        <w:rPr>
          <w:rFonts w:ascii="Open Sans" w:hAnsi="Open Sans" w:cs="Open Sans"/>
          <w:color w:val="000000"/>
          <w:sz w:val="21"/>
          <w:szCs w:val="21"/>
        </w:rPr>
        <w:t>” del sector a nivel mundial. Con presencia en 16 países de Europa, américa Latina y África del Norte, el conjunto de sus plataformas locales reciben un promedio de 1.500 millones de visitas cada mes.</w:t>
      </w:r>
    </w:p>
    <w:p w:rsidR="00C46DC9" w:rsidRDefault="00C46DC9" w:rsidP="00C46DC9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>
        <w:fldChar w:fldCharType="begin"/>
      </w:r>
      <w:r>
        <w:instrText xml:space="preserve"> HYPERLINK "https://www.adevinta.com/"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4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>
        <w:fldChar w:fldCharType="begin"/>
      </w:r>
      <w:r>
        <w:instrText xml:space="preserve"> HYPERLINK "https://www.habitaclia.com/"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5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6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hyperlink r:id="rId17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>
        <w:fldChar w:fldCharType="begin"/>
      </w:r>
      <w:r>
        <w:instrText xml:space="preserve"> HYPERLINK "https://www.milanuncios.es/"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>
        <w:fldChar w:fldCharType="begin"/>
      </w:r>
      <w:r>
        <w:instrText xml:space="preserve"> HYPERLINK "https://www.vibbo.com/"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bookmarkEnd w:id="2"/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087022" w:rsidRPr="00B41A97" w:rsidRDefault="00087022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922362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8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922362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9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5E" w:rsidRDefault="0093735E" w:rsidP="00DD4CA4">
      <w:r>
        <w:separator/>
      </w:r>
    </w:p>
  </w:endnote>
  <w:endnote w:type="continuationSeparator" w:id="0">
    <w:p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5E" w:rsidRDefault="0093735E" w:rsidP="00DD4CA4">
      <w:r>
        <w:separator/>
      </w:r>
    </w:p>
  </w:footnote>
  <w:footnote w:type="continuationSeparator" w:id="0">
    <w:p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CA0"/>
    <w:multiLevelType w:val="hybridMultilevel"/>
    <w:tmpl w:val="9F1C7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A7"/>
    <w:rsid w:val="00000AD3"/>
    <w:rsid w:val="000071B6"/>
    <w:rsid w:val="00010ECE"/>
    <w:rsid w:val="00027654"/>
    <w:rsid w:val="000358E5"/>
    <w:rsid w:val="000459C1"/>
    <w:rsid w:val="000855F9"/>
    <w:rsid w:val="00087022"/>
    <w:rsid w:val="000951D6"/>
    <w:rsid w:val="000A3901"/>
    <w:rsid w:val="000C76AC"/>
    <w:rsid w:val="00104600"/>
    <w:rsid w:val="00140EFC"/>
    <w:rsid w:val="00152FC9"/>
    <w:rsid w:val="00174032"/>
    <w:rsid w:val="00193523"/>
    <w:rsid w:val="001C44D9"/>
    <w:rsid w:val="001D1C88"/>
    <w:rsid w:val="001D54B4"/>
    <w:rsid w:val="001E4BA9"/>
    <w:rsid w:val="001E58BC"/>
    <w:rsid w:val="0020022E"/>
    <w:rsid w:val="002201C7"/>
    <w:rsid w:val="00244B19"/>
    <w:rsid w:val="00247090"/>
    <w:rsid w:val="00252655"/>
    <w:rsid w:val="00260692"/>
    <w:rsid w:val="002A35C0"/>
    <w:rsid w:val="002D6771"/>
    <w:rsid w:val="002E6048"/>
    <w:rsid w:val="003439AF"/>
    <w:rsid w:val="00364A74"/>
    <w:rsid w:val="003724D9"/>
    <w:rsid w:val="003C1493"/>
    <w:rsid w:val="003C6F1A"/>
    <w:rsid w:val="003D52E5"/>
    <w:rsid w:val="003F20E3"/>
    <w:rsid w:val="003F5B1E"/>
    <w:rsid w:val="00435CE7"/>
    <w:rsid w:val="00444E0A"/>
    <w:rsid w:val="00454E8A"/>
    <w:rsid w:val="004577E7"/>
    <w:rsid w:val="00470DC1"/>
    <w:rsid w:val="004840C7"/>
    <w:rsid w:val="00491A38"/>
    <w:rsid w:val="00497DBD"/>
    <w:rsid w:val="004B0DEC"/>
    <w:rsid w:val="004B357D"/>
    <w:rsid w:val="005029E9"/>
    <w:rsid w:val="00502EB4"/>
    <w:rsid w:val="00503F5B"/>
    <w:rsid w:val="005343CE"/>
    <w:rsid w:val="0056054A"/>
    <w:rsid w:val="00567111"/>
    <w:rsid w:val="005748D8"/>
    <w:rsid w:val="00575773"/>
    <w:rsid w:val="005841B3"/>
    <w:rsid w:val="005948A1"/>
    <w:rsid w:val="005A3046"/>
    <w:rsid w:val="005A4CB5"/>
    <w:rsid w:val="005C013C"/>
    <w:rsid w:val="005C7783"/>
    <w:rsid w:val="00600DEB"/>
    <w:rsid w:val="0064757F"/>
    <w:rsid w:val="00663EFF"/>
    <w:rsid w:val="006821ED"/>
    <w:rsid w:val="00685F4B"/>
    <w:rsid w:val="006860F7"/>
    <w:rsid w:val="006B3786"/>
    <w:rsid w:val="006C06A2"/>
    <w:rsid w:val="006C1637"/>
    <w:rsid w:val="006E244C"/>
    <w:rsid w:val="006F6E64"/>
    <w:rsid w:val="007027AA"/>
    <w:rsid w:val="00725E32"/>
    <w:rsid w:val="00753088"/>
    <w:rsid w:val="00761293"/>
    <w:rsid w:val="00786DBB"/>
    <w:rsid w:val="00793775"/>
    <w:rsid w:val="007A0E7A"/>
    <w:rsid w:val="007A2951"/>
    <w:rsid w:val="007A55E0"/>
    <w:rsid w:val="007A6F56"/>
    <w:rsid w:val="007C3867"/>
    <w:rsid w:val="007C3D5E"/>
    <w:rsid w:val="007D0107"/>
    <w:rsid w:val="007D58F8"/>
    <w:rsid w:val="007E1F86"/>
    <w:rsid w:val="007F5548"/>
    <w:rsid w:val="00825E76"/>
    <w:rsid w:val="0086622F"/>
    <w:rsid w:val="00892BB3"/>
    <w:rsid w:val="008A0846"/>
    <w:rsid w:val="008B5D54"/>
    <w:rsid w:val="008E4580"/>
    <w:rsid w:val="009065C8"/>
    <w:rsid w:val="00911C0D"/>
    <w:rsid w:val="00922362"/>
    <w:rsid w:val="00933AB4"/>
    <w:rsid w:val="0093735E"/>
    <w:rsid w:val="00966436"/>
    <w:rsid w:val="00977F17"/>
    <w:rsid w:val="009A61B9"/>
    <w:rsid w:val="009D0B9E"/>
    <w:rsid w:val="009D5FF5"/>
    <w:rsid w:val="00A06998"/>
    <w:rsid w:val="00A14435"/>
    <w:rsid w:val="00A50841"/>
    <w:rsid w:val="00A519B8"/>
    <w:rsid w:val="00A60779"/>
    <w:rsid w:val="00A714BF"/>
    <w:rsid w:val="00A8076A"/>
    <w:rsid w:val="00A84CA7"/>
    <w:rsid w:val="00AB00CE"/>
    <w:rsid w:val="00AC04DB"/>
    <w:rsid w:val="00AD0C78"/>
    <w:rsid w:val="00AD62DD"/>
    <w:rsid w:val="00AE47F7"/>
    <w:rsid w:val="00AF108F"/>
    <w:rsid w:val="00AF1B78"/>
    <w:rsid w:val="00B002C9"/>
    <w:rsid w:val="00B10769"/>
    <w:rsid w:val="00B21479"/>
    <w:rsid w:val="00B25D20"/>
    <w:rsid w:val="00B36CFF"/>
    <w:rsid w:val="00B37EC1"/>
    <w:rsid w:val="00B41A97"/>
    <w:rsid w:val="00B64162"/>
    <w:rsid w:val="00B771DA"/>
    <w:rsid w:val="00BC1D19"/>
    <w:rsid w:val="00BE20AC"/>
    <w:rsid w:val="00BF069B"/>
    <w:rsid w:val="00BF5C49"/>
    <w:rsid w:val="00BF61D6"/>
    <w:rsid w:val="00C07A68"/>
    <w:rsid w:val="00C1201F"/>
    <w:rsid w:val="00C41B58"/>
    <w:rsid w:val="00C46DC9"/>
    <w:rsid w:val="00C61E61"/>
    <w:rsid w:val="00C74997"/>
    <w:rsid w:val="00C90CEF"/>
    <w:rsid w:val="00C9103D"/>
    <w:rsid w:val="00CA1ED2"/>
    <w:rsid w:val="00CD098F"/>
    <w:rsid w:val="00CE6AD3"/>
    <w:rsid w:val="00D001C4"/>
    <w:rsid w:val="00D06432"/>
    <w:rsid w:val="00D22581"/>
    <w:rsid w:val="00D23CAB"/>
    <w:rsid w:val="00D31A57"/>
    <w:rsid w:val="00D33644"/>
    <w:rsid w:val="00D3495E"/>
    <w:rsid w:val="00D50FE4"/>
    <w:rsid w:val="00D77736"/>
    <w:rsid w:val="00D81E3D"/>
    <w:rsid w:val="00D91C64"/>
    <w:rsid w:val="00DB1473"/>
    <w:rsid w:val="00DB7D37"/>
    <w:rsid w:val="00DC7AC3"/>
    <w:rsid w:val="00DD4CA4"/>
    <w:rsid w:val="00DF5B09"/>
    <w:rsid w:val="00E249DA"/>
    <w:rsid w:val="00E2619F"/>
    <w:rsid w:val="00E316A4"/>
    <w:rsid w:val="00E54364"/>
    <w:rsid w:val="00E554AB"/>
    <w:rsid w:val="00E64FAC"/>
    <w:rsid w:val="00EA361D"/>
    <w:rsid w:val="00ED144A"/>
    <w:rsid w:val="00ED2E3A"/>
    <w:rsid w:val="00ED6BA3"/>
    <w:rsid w:val="00ED6CFA"/>
    <w:rsid w:val="00EE1805"/>
    <w:rsid w:val="00F447C0"/>
    <w:rsid w:val="00F50838"/>
    <w:rsid w:val="00F50C77"/>
    <w:rsid w:val="00F535CC"/>
    <w:rsid w:val="00F536F6"/>
    <w:rsid w:val="00F637D5"/>
    <w:rsid w:val="00F700A7"/>
    <w:rsid w:val="00F8409F"/>
    <w:rsid w:val="00F90273"/>
    <w:rsid w:val="00F93209"/>
    <w:rsid w:val="00F956D6"/>
    <w:rsid w:val="00FB1FB5"/>
    <w:rsid w:val="00FD6297"/>
    <w:rsid w:val="00FE0614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276AC4"/>
  <w15:docId w15:val="{2E8A2305-47AF-47F0-8E90-C844A6A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inguno">
    <w:name w:val="Ninguno"/>
    <w:rsid w:val="00E249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file:///\\servidor\Users\Techsales%20Comunicaci&#243;n\CLIENTES\Fotocasa\fotocasa%202018\NP%20&#205;NDICES\Ndp%20&#237;ndices%20AGOSTO\&#205;ndices%20Alquiler\comunicacion@fotocasa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62BF-FE7D-4AF3-9FDD-EDEF87B8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1496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112</cp:revision>
  <dcterms:created xsi:type="dcterms:W3CDTF">2018-09-14T11:00:00Z</dcterms:created>
  <dcterms:modified xsi:type="dcterms:W3CDTF">2019-09-02T09:44:00Z</dcterms:modified>
</cp:coreProperties>
</file>