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FAE9" w14:textId="77777777" w:rsidR="00A84CA7" w:rsidRDefault="00A84CA7" w:rsidP="002C7B33">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044626BA" wp14:editId="124865C5">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8C2A000" w14:textId="77777777" w:rsidR="00276F57" w:rsidRDefault="00276F57" w:rsidP="002C7B33">
      <w:pPr>
        <w:jc w:val="right"/>
        <w:rPr>
          <w:rFonts w:ascii="National" w:hAnsi="National"/>
          <w:color w:val="303AB2"/>
          <w:sz w:val="36"/>
          <w:szCs w:val="36"/>
        </w:rPr>
      </w:pPr>
    </w:p>
    <w:p w14:paraId="4D80F44B" w14:textId="77777777" w:rsidR="00A84CA7" w:rsidRDefault="00A84CA7" w:rsidP="002C7B33">
      <w:pPr>
        <w:jc w:val="right"/>
        <w:rPr>
          <w:rFonts w:ascii="National" w:hAnsi="National"/>
          <w:color w:val="303AB2"/>
          <w:sz w:val="36"/>
          <w:szCs w:val="36"/>
        </w:rPr>
      </w:pPr>
    </w:p>
    <w:p w14:paraId="6728C858" w14:textId="77777777" w:rsidR="00A84CA7" w:rsidRPr="007D4055" w:rsidRDefault="00A84CA7" w:rsidP="002C7B33">
      <w:pPr>
        <w:rPr>
          <w:rFonts w:ascii="National" w:hAnsi="National"/>
          <w:color w:val="303AB2"/>
          <w:sz w:val="18"/>
          <w:szCs w:val="12"/>
        </w:rPr>
      </w:pPr>
    </w:p>
    <w:p w14:paraId="2907E5CC" w14:textId="0A72EE0F" w:rsidR="00753088" w:rsidRPr="00753088" w:rsidRDefault="00BA4514" w:rsidP="002C7B33">
      <w:pPr>
        <w:spacing w:line="276" w:lineRule="auto"/>
        <w:jc w:val="center"/>
        <w:rPr>
          <w:rFonts w:ascii="National" w:hAnsi="National"/>
          <w:b/>
          <w:bCs/>
          <w:iCs/>
          <w:color w:val="1DBDC5"/>
          <w:sz w:val="42"/>
          <w:szCs w:val="52"/>
          <w:lang w:val="es-ES"/>
        </w:rPr>
      </w:pPr>
      <w:r>
        <w:rPr>
          <w:rFonts w:ascii="National" w:hAnsi="National"/>
          <w:b/>
          <w:bCs/>
          <w:iCs/>
          <w:color w:val="1DBDC5"/>
          <w:sz w:val="42"/>
          <w:szCs w:val="52"/>
          <w:lang w:val="es-ES"/>
        </w:rPr>
        <w:t>FEBRERO</w:t>
      </w:r>
      <w:r w:rsidR="00753088" w:rsidRPr="00753088">
        <w:rPr>
          <w:rFonts w:ascii="National" w:hAnsi="National"/>
          <w:b/>
          <w:bCs/>
          <w:iCs/>
          <w:color w:val="1DBDC5"/>
          <w:sz w:val="42"/>
          <w:szCs w:val="52"/>
          <w:lang w:val="es-ES"/>
        </w:rPr>
        <w:t>: PRECIO VIVIENDA EN VENTA</w:t>
      </w:r>
    </w:p>
    <w:p w14:paraId="4ECFCDF8" w14:textId="00C8CFC0" w:rsidR="00A84CA7" w:rsidRDefault="005B1610" w:rsidP="005B1610">
      <w:pPr>
        <w:jc w:val="center"/>
        <w:rPr>
          <w:rFonts w:ascii="National" w:hAnsi="National"/>
          <w:b/>
          <w:bCs/>
          <w:iCs/>
          <w:color w:val="303AB2"/>
          <w:sz w:val="50"/>
          <w:szCs w:val="144"/>
          <w:lang w:val="es-ES"/>
        </w:rPr>
      </w:pPr>
      <w:r w:rsidRPr="005B1610">
        <w:rPr>
          <w:rFonts w:ascii="National" w:hAnsi="National"/>
          <w:b/>
          <w:bCs/>
          <w:iCs/>
          <w:color w:val="303AB2"/>
          <w:sz w:val="50"/>
          <w:szCs w:val="144"/>
          <w:lang w:val="es-ES"/>
        </w:rPr>
        <w:t>El precio de la vivienda de segunda mano sube un 0,</w:t>
      </w:r>
      <w:r>
        <w:rPr>
          <w:rFonts w:ascii="National" w:hAnsi="National"/>
          <w:b/>
          <w:bCs/>
          <w:iCs/>
          <w:color w:val="303AB2"/>
          <w:sz w:val="50"/>
          <w:szCs w:val="144"/>
          <w:lang w:val="es-ES"/>
        </w:rPr>
        <w:t>1</w:t>
      </w:r>
      <w:r w:rsidRPr="005B1610">
        <w:rPr>
          <w:rFonts w:ascii="National" w:hAnsi="National"/>
          <w:b/>
          <w:bCs/>
          <w:iCs/>
          <w:color w:val="303AB2"/>
          <w:sz w:val="50"/>
          <w:szCs w:val="144"/>
          <w:lang w:val="es-ES"/>
        </w:rPr>
        <w:t xml:space="preserve">% en </w:t>
      </w:r>
      <w:r>
        <w:rPr>
          <w:rFonts w:ascii="National" w:hAnsi="National"/>
          <w:b/>
          <w:bCs/>
          <w:iCs/>
          <w:color w:val="303AB2"/>
          <w:sz w:val="50"/>
          <w:szCs w:val="144"/>
          <w:lang w:val="es-ES"/>
        </w:rPr>
        <w:t>España</w:t>
      </w:r>
      <w:r w:rsidRPr="005B1610">
        <w:rPr>
          <w:rFonts w:ascii="National" w:hAnsi="National"/>
          <w:b/>
          <w:bCs/>
          <w:iCs/>
          <w:color w:val="303AB2"/>
          <w:sz w:val="50"/>
          <w:szCs w:val="144"/>
          <w:lang w:val="es-ES"/>
        </w:rPr>
        <w:t xml:space="preserve"> en febrero</w:t>
      </w:r>
    </w:p>
    <w:p w14:paraId="2D78D71A" w14:textId="77777777" w:rsidR="005B1610" w:rsidRPr="00FB5607" w:rsidRDefault="005B1610" w:rsidP="002C7B33">
      <w:pPr>
        <w:rPr>
          <w:rFonts w:ascii="National" w:hAnsi="National"/>
          <w:b/>
          <w:bCs/>
          <w:iCs/>
          <w:color w:val="303AB2"/>
          <w:sz w:val="14"/>
          <w:szCs w:val="8"/>
          <w:lang w:val="es-ES"/>
        </w:rPr>
      </w:pPr>
    </w:p>
    <w:p w14:paraId="151D92D1" w14:textId="61EB1FBF" w:rsidR="00753088" w:rsidRDefault="00753088"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El precio medio de la vivienda de segunda mano se sitúa</w:t>
      </w:r>
      <w:r w:rsidR="00DF1C50" w:rsidRPr="00CF20AE">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 xml:space="preserve">en </w:t>
      </w:r>
      <w:r w:rsidR="00177F34" w:rsidRPr="00CF20AE">
        <w:rPr>
          <w:rFonts w:ascii="Open Sans" w:eastAsia="Times New Roman" w:hAnsi="Open Sans" w:cs="Open Sans"/>
          <w:color w:val="303AB2"/>
          <w:lang w:val="es-ES" w:eastAsia="es-ES_tradnl"/>
        </w:rPr>
        <w:t>1.</w:t>
      </w:r>
      <w:r w:rsidR="004775A7">
        <w:rPr>
          <w:rFonts w:ascii="Open Sans" w:eastAsia="Times New Roman" w:hAnsi="Open Sans" w:cs="Open Sans"/>
          <w:color w:val="303AB2"/>
          <w:lang w:val="es-ES" w:eastAsia="es-ES_tradnl"/>
        </w:rPr>
        <w:t>8</w:t>
      </w:r>
      <w:r w:rsidR="007D6B10">
        <w:rPr>
          <w:rFonts w:ascii="Open Sans" w:eastAsia="Times New Roman" w:hAnsi="Open Sans" w:cs="Open Sans"/>
          <w:color w:val="303AB2"/>
          <w:lang w:val="es-ES" w:eastAsia="es-ES_tradnl"/>
        </w:rPr>
        <w:t>4</w:t>
      </w:r>
      <w:r w:rsidR="00815219">
        <w:rPr>
          <w:rFonts w:ascii="Open Sans" w:eastAsia="Times New Roman" w:hAnsi="Open Sans" w:cs="Open Sans"/>
          <w:color w:val="303AB2"/>
          <w:lang w:val="es-ES" w:eastAsia="es-ES_tradnl"/>
        </w:rPr>
        <w:t>3</w:t>
      </w:r>
      <w:r w:rsidR="00BF58E4">
        <w:rPr>
          <w:rFonts w:ascii="Open Sans" w:eastAsia="Times New Roman" w:hAnsi="Open Sans" w:cs="Open Sans"/>
          <w:color w:val="303AB2"/>
          <w:lang w:val="es-ES" w:eastAsia="es-ES_tradnl"/>
        </w:rPr>
        <w:t xml:space="preserve"> </w:t>
      </w:r>
      <w:r w:rsidR="00F23A6E">
        <w:rPr>
          <w:rFonts w:ascii="Open Sans" w:eastAsia="Times New Roman" w:hAnsi="Open Sans" w:cs="Open Sans"/>
          <w:color w:val="303AB2"/>
          <w:lang w:val="es-ES" w:eastAsia="es-ES_tradnl"/>
        </w:rPr>
        <w:t>euros/m</w:t>
      </w:r>
      <w:r w:rsidRPr="00CF20AE">
        <w:rPr>
          <w:rFonts w:ascii="Open Sans" w:eastAsia="Times New Roman" w:hAnsi="Open Sans" w:cs="Open Sans"/>
          <w:color w:val="303AB2"/>
          <w:vertAlign w:val="superscript"/>
          <w:lang w:val="es-ES" w:eastAsia="es-ES_tradnl"/>
        </w:rPr>
        <w:t>2</w:t>
      </w:r>
      <w:r w:rsidRPr="00CF20AE">
        <w:rPr>
          <w:rFonts w:ascii="Open Sans" w:eastAsia="Times New Roman" w:hAnsi="Open Sans" w:cs="Open Sans"/>
          <w:color w:val="303AB2"/>
          <w:lang w:val="es-ES" w:eastAsia="es-ES_tradnl"/>
        </w:rPr>
        <w:t xml:space="preserve"> </w:t>
      </w:r>
    </w:p>
    <w:p w14:paraId="4C1DA0C8" w14:textId="51318495" w:rsidR="00161FF5" w:rsidRPr="00CF20AE" w:rsidRDefault="00156927"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La vivienda en venta incrementa su precio en </w:t>
      </w:r>
      <w:r w:rsidR="00BA4514">
        <w:rPr>
          <w:rFonts w:ascii="Open Sans" w:eastAsia="Times New Roman" w:hAnsi="Open Sans" w:cs="Open Sans"/>
          <w:color w:val="303AB2"/>
          <w:lang w:val="es-ES" w:eastAsia="es-ES_tradnl"/>
        </w:rPr>
        <w:t>31</w:t>
      </w:r>
      <w:r w:rsidR="00E27391">
        <w:rPr>
          <w:rFonts w:ascii="Open Sans" w:eastAsia="Times New Roman" w:hAnsi="Open Sans" w:cs="Open Sans"/>
          <w:color w:val="303AB2"/>
          <w:lang w:val="es-ES" w:eastAsia="es-ES_tradnl"/>
        </w:rPr>
        <w:t xml:space="preserve"> </w:t>
      </w:r>
      <w:r>
        <w:rPr>
          <w:rFonts w:ascii="Open Sans" w:eastAsia="Times New Roman" w:hAnsi="Open Sans" w:cs="Open Sans"/>
          <w:color w:val="303AB2"/>
          <w:lang w:val="es-ES" w:eastAsia="es-ES_tradnl"/>
        </w:rPr>
        <w:t xml:space="preserve">provincias </w:t>
      </w:r>
    </w:p>
    <w:p w14:paraId="2A9608BC" w14:textId="43803697" w:rsidR="005664F6" w:rsidRDefault="00066953"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Se detecta</w:t>
      </w:r>
      <w:r w:rsidR="00076CD0" w:rsidRPr="00CF20AE">
        <w:rPr>
          <w:rFonts w:ascii="Open Sans" w:eastAsia="Times New Roman" w:hAnsi="Open Sans" w:cs="Open Sans"/>
          <w:color w:val="303AB2"/>
          <w:lang w:val="es-ES" w:eastAsia="es-ES_tradnl"/>
        </w:rPr>
        <w:t xml:space="preserve"> </w:t>
      </w:r>
      <w:r w:rsidR="00263488">
        <w:rPr>
          <w:rFonts w:ascii="Open Sans" w:eastAsia="Times New Roman" w:hAnsi="Open Sans" w:cs="Open Sans"/>
          <w:color w:val="303AB2"/>
          <w:lang w:val="es-ES" w:eastAsia="es-ES_tradnl"/>
        </w:rPr>
        <w:t>en</w:t>
      </w:r>
      <w:r w:rsidR="00113DA0">
        <w:rPr>
          <w:rFonts w:ascii="Open Sans" w:eastAsia="Times New Roman" w:hAnsi="Open Sans" w:cs="Open Sans"/>
          <w:color w:val="303AB2"/>
          <w:lang w:val="es-ES" w:eastAsia="es-ES_tradnl"/>
        </w:rPr>
        <w:t xml:space="preserve"> </w:t>
      </w:r>
      <w:r w:rsidR="00E27391">
        <w:rPr>
          <w:rFonts w:ascii="Open Sans" w:eastAsia="Times New Roman" w:hAnsi="Open Sans" w:cs="Open Sans"/>
          <w:color w:val="303AB2"/>
          <w:lang w:val="es-ES" w:eastAsia="es-ES_tradnl"/>
        </w:rPr>
        <w:t xml:space="preserve">Valencia </w:t>
      </w:r>
      <w:r w:rsidR="00113DA0">
        <w:rPr>
          <w:rFonts w:ascii="Open Sans" w:eastAsia="Times New Roman" w:hAnsi="Open Sans" w:cs="Open Sans"/>
          <w:color w:val="303AB2"/>
          <w:lang w:val="es-ES" w:eastAsia="es-ES_tradnl"/>
        </w:rPr>
        <w:t xml:space="preserve">el mayor </w:t>
      </w:r>
      <w:r w:rsidR="00156927">
        <w:rPr>
          <w:rFonts w:ascii="Open Sans" w:eastAsia="Times New Roman" w:hAnsi="Open Sans" w:cs="Open Sans"/>
          <w:color w:val="303AB2"/>
          <w:lang w:val="es-ES" w:eastAsia="es-ES_tradnl"/>
        </w:rPr>
        <w:t xml:space="preserve">incremento y </w:t>
      </w:r>
      <w:r w:rsidR="00113DA0">
        <w:rPr>
          <w:rFonts w:ascii="Open Sans" w:eastAsia="Times New Roman" w:hAnsi="Open Sans" w:cs="Open Sans"/>
          <w:color w:val="303AB2"/>
          <w:lang w:val="es-ES" w:eastAsia="es-ES_tradnl"/>
        </w:rPr>
        <w:t>descenso mensual</w:t>
      </w:r>
      <w:r w:rsidR="00AE2D49">
        <w:rPr>
          <w:rFonts w:ascii="Open Sans" w:eastAsia="Times New Roman" w:hAnsi="Open Sans" w:cs="Open Sans"/>
          <w:color w:val="303AB2"/>
          <w:lang w:val="es-ES" w:eastAsia="es-ES_tradnl"/>
        </w:rPr>
        <w:t xml:space="preserve"> de la vivienda</w:t>
      </w:r>
      <w:r w:rsidR="00113DA0">
        <w:rPr>
          <w:rFonts w:ascii="Open Sans" w:eastAsia="Times New Roman" w:hAnsi="Open Sans" w:cs="Open Sans"/>
          <w:color w:val="303AB2"/>
          <w:lang w:val="es-ES" w:eastAsia="es-ES_tradnl"/>
        </w:rPr>
        <w:t xml:space="preserve">, en concreto en </w:t>
      </w:r>
      <w:r w:rsidR="00AE2D49">
        <w:rPr>
          <w:rFonts w:ascii="Open Sans" w:eastAsia="Times New Roman" w:hAnsi="Open Sans" w:cs="Open Sans"/>
          <w:color w:val="303AB2"/>
          <w:lang w:val="es-ES" w:eastAsia="es-ES_tradnl"/>
        </w:rPr>
        <w:t xml:space="preserve">las ciudades de </w:t>
      </w:r>
      <w:r w:rsidR="00E27391" w:rsidRPr="00E27391">
        <w:rPr>
          <w:rFonts w:ascii="Open Sans" w:eastAsia="Times New Roman" w:hAnsi="Open Sans" w:cs="Open Sans"/>
          <w:color w:val="303AB2"/>
          <w:lang w:val="es-ES" w:eastAsia="es-ES_tradnl"/>
        </w:rPr>
        <w:t>Alboraya</w:t>
      </w:r>
      <w:r w:rsidR="00156927">
        <w:rPr>
          <w:rFonts w:ascii="Open Sans" w:eastAsia="Times New Roman" w:hAnsi="Open Sans" w:cs="Open Sans"/>
          <w:color w:val="303AB2"/>
          <w:lang w:val="es-ES" w:eastAsia="es-ES_tradnl"/>
        </w:rPr>
        <w:t xml:space="preserve"> </w:t>
      </w:r>
      <w:r w:rsidR="00076CD0" w:rsidRPr="00CF20AE">
        <w:rPr>
          <w:rFonts w:ascii="Open Sans" w:eastAsia="Times New Roman" w:hAnsi="Open Sans" w:cs="Open Sans"/>
          <w:color w:val="303AB2"/>
          <w:lang w:val="es-ES" w:eastAsia="es-ES_tradnl"/>
        </w:rPr>
        <w:t>(</w:t>
      </w:r>
      <w:r w:rsidR="00E27391">
        <w:rPr>
          <w:rFonts w:ascii="Open Sans" w:eastAsia="Times New Roman" w:hAnsi="Open Sans" w:cs="Open Sans"/>
          <w:color w:val="303AB2"/>
          <w:lang w:val="es-ES" w:eastAsia="es-ES_tradnl"/>
        </w:rPr>
        <w:t>55,1</w:t>
      </w:r>
      <w:r w:rsidR="000B63D3" w:rsidRPr="00CF20AE">
        <w:rPr>
          <w:rFonts w:ascii="Open Sans" w:eastAsia="Times New Roman" w:hAnsi="Open Sans" w:cs="Open Sans"/>
          <w:color w:val="303AB2"/>
          <w:lang w:val="es-ES" w:eastAsia="es-ES_tradnl"/>
        </w:rPr>
        <w:t>%</w:t>
      </w:r>
      <w:r w:rsidR="00076CD0" w:rsidRPr="00CF20AE">
        <w:rPr>
          <w:rFonts w:ascii="Open Sans" w:eastAsia="Times New Roman" w:hAnsi="Open Sans" w:cs="Open Sans"/>
          <w:color w:val="303AB2"/>
          <w:lang w:val="es-ES" w:eastAsia="es-ES_tradnl"/>
        </w:rPr>
        <w:t xml:space="preserve">) </w:t>
      </w:r>
      <w:r w:rsidR="00113DA0">
        <w:rPr>
          <w:rFonts w:ascii="Open Sans" w:eastAsia="Times New Roman" w:hAnsi="Open Sans" w:cs="Open Sans"/>
          <w:color w:val="303AB2"/>
          <w:lang w:val="es-ES" w:eastAsia="es-ES_tradnl"/>
        </w:rPr>
        <w:t xml:space="preserve">y </w:t>
      </w:r>
      <w:r w:rsidR="00E27391" w:rsidRPr="00E27391">
        <w:rPr>
          <w:rFonts w:ascii="Open Sans" w:eastAsia="Times New Roman" w:hAnsi="Open Sans" w:cs="Open Sans"/>
          <w:color w:val="303AB2"/>
          <w:lang w:val="es-ES" w:eastAsia="es-ES_tradnl"/>
        </w:rPr>
        <w:t xml:space="preserve">Oliva </w:t>
      </w:r>
      <w:r w:rsidR="00113DA0">
        <w:rPr>
          <w:rFonts w:ascii="Open Sans" w:eastAsia="Times New Roman" w:hAnsi="Open Sans" w:cs="Open Sans"/>
          <w:color w:val="303AB2"/>
          <w:lang w:val="es-ES" w:eastAsia="es-ES_tradnl"/>
        </w:rPr>
        <w:t>(</w:t>
      </w:r>
      <w:r w:rsidR="00E27391">
        <w:rPr>
          <w:rFonts w:ascii="Open Sans" w:eastAsia="Times New Roman" w:hAnsi="Open Sans" w:cs="Open Sans"/>
          <w:color w:val="303AB2"/>
          <w:lang w:val="es-ES" w:eastAsia="es-ES_tradnl"/>
        </w:rPr>
        <w:t>22,7</w:t>
      </w:r>
      <w:r w:rsidR="00113DA0">
        <w:rPr>
          <w:rFonts w:ascii="Open Sans" w:eastAsia="Times New Roman" w:hAnsi="Open Sans" w:cs="Open Sans"/>
          <w:color w:val="303AB2"/>
          <w:lang w:val="es-ES" w:eastAsia="es-ES_tradnl"/>
        </w:rPr>
        <w:t xml:space="preserve">%) </w:t>
      </w:r>
    </w:p>
    <w:p w14:paraId="7A393036" w14:textId="6EF82D96" w:rsidR="00E27391" w:rsidRDefault="00156927" w:rsidP="00DE0DCE">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Los</w:t>
      </w:r>
      <w:r w:rsidR="00DE0DCE">
        <w:rPr>
          <w:rFonts w:ascii="Open Sans" w:eastAsia="Times New Roman" w:hAnsi="Open Sans" w:cs="Open Sans"/>
          <w:color w:val="303AB2"/>
          <w:lang w:val="es-ES" w:eastAsia="es-ES_tradnl"/>
        </w:rPr>
        <w:t xml:space="preserve"> distrito</w:t>
      </w:r>
      <w:r>
        <w:rPr>
          <w:rFonts w:ascii="Open Sans" w:eastAsia="Times New Roman" w:hAnsi="Open Sans" w:cs="Open Sans"/>
          <w:color w:val="303AB2"/>
          <w:lang w:val="es-ES" w:eastAsia="es-ES_tradnl"/>
        </w:rPr>
        <w:t>s</w:t>
      </w:r>
      <w:r w:rsidR="00DE0DCE">
        <w:rPr>
          <w:rFonts w:ascii="Open Sans" w:eastAsia="Times New Roman" w:hAnsi="Open Sans" w:cs="Open Sans"/>
          <w:color w:val="303AB2"/>
          <w:lang w:val="es-ES" w:eastAsia="es-ES_tradnl"/>
        </w:rPr>
        <w:t xml:space="preserve"> </w:t>
      </w:r>
      <w:r w:rsidR="00E27391">
        <w:rPr>
          <w:rFonts w:ascii="Open Sans" w:eastAsia="Times New Roman" w:hAnsi="Open Sans" w:cs="Open Sans"/>
          <w:color w:val="303AB2"/>
          <w:lang w:val="es-ES" w:eastAsia="es-ES_tradnl"/>
        </w:rPr>
        <w:t xml:space="preserve">de Chamberí (1,1%) y </w:t>
      </w:r>
      <w:r w:rsidR="00E27391" w:rsidRPr="00E27391">
        <w:rPr>
          <w:rFonts w:ascii="Open Sans" w:eastAsia="Times New Roman" w:hAnsi="Open Sans" w:cs="Open Sans"/>
          <w:color w:val="303AB2"/>
          <w:lang w:val="es-ES" w:eastAsia="es-ES_tradnl"/>
        </w:rPr>
        <w:t>Sarrià - Sant Gervasi</w:t>
      </w:r>
      <w:r w:rsidR="00E27391">
        <w:rPr>
          <w:rFonts w:ascii="Open Sans" w:eastAsia="Times New Roman" w:hAnsi="Open Sans" w:cs="Open Sans"/>
          <w:color w:val="303AB2"/>
          <w:lang w:val="es-ES" w:eastAsia="es-ES_tradnl"/>
        </w:rPr>
        <w:t xml:space="preserve"> (2,5%) con los mayores incrementos mensuales, tocan techo en febrero</w:t>
      </w:r>
    </w:p>
    <w:p w14:paraId="3963DF7A" w14:textId="23B2251E" w:rsidR="002A35C0" w:rsidRPr="00CF20AE" w:rsidRDefault="00010ECE" w:rsidP="00732D16">
      <w:pPr>
        <w:pStyle w:val="Prrafodelista"/>
        <w:spacing w:line="276" w:lineRule="auto"/>
        <w:ind w:left="0"/>
        <w:jc w:val="both"/>
        <w:rPr>
          <w:rFonts w:ascii="Open Sans Light" w:hAnsi="Open Sans Light" w:cs="Open Sans Light"/>
          <w:bCs/>
          <w:iCs/>
          <w:color w:val="303AB2"/>
          <w:szCs w:val="20"/>
          <w:lang w:val="es-ES"/>
        </w:rPr>
      </w:pPr>
      <w:r w:rsidRPr="00847524">
        <w:rPr>
          <w:rFonts w:ascii="Open Sans Light" w:hAnsi="Open Sans Light" w:cs="Open Sans Light"/>
          <w:b/>
          <w:iCs/>
          <w:color w:val="303AB2"/>
          <w:szCs w:val="20"/>
          <w:lang w:val="es-ES"/>
        </w:rPr>
        <w:br/>
      </w:r>
      <w:r w:rsidR="00753088" w:rsidRPr="00CF20AE">
        <w:rPr>
          <w:rFonts w:ascii="Open Sans Light" w:hAnsi="Open Sans Light" w:cs="Open Sans Light"/>
          <w:bCs/>
          <w:iCs/>
          <w:color w:val="303AB2"/>
          <w:szCs w:val="20"/>
          <w:lang w:val="es-ES"/>
        </w:rPr>
        <w:t>Madrid,</w:t>
      </w:r>
      <w:r w:rsidR="00DF1C50" w:rsidRPr="00CF20AE">
        <w:rPr>
          <w:rFonts w:ascii="Open Sans Light" w:hAnsi="Open Sans Light" w:cs="Open Sans Light"/>
          <w:bCs/>
          <w:iCs/>
          <w:color w:val="303AB2"/>
          <w:szCs w:val="20"/>
          <w:lang w:val="es-ES"/>
        </w:rPr>
        <w:t xml:space="preserve"> </w:t>
      </w:r>
      <w:r w:rsidR="00815219">
        <w:rPr>
          <w:rFonts w:ascii="Open Sans Light" w:hAnsi="Open Sans Light" w:cs="Open Sans Light"/>
          <w:bCs/>
          <w:iCs/>
          <w:color w:val="303AB2"/>
          <w:szCs w:val="20"/>
          <w:lang w:val="es-ES"/>
        </w:rPr>
        <w:t>2</w:t>
      </w:r>
      <w:r w:rsidR="00177F34" w:rsidRPr="00CF20AE">
        <w:rPr>
          <w:rFonts w:ascii="Open Sans Light" w:hAnsi="Open Sans Light" w:cs="Open Sans Light"/>
          <w:bCs/>
          <w:iCs/>
          <w:color w:val="303AB2"/>
          <w:szCs w:val="20"/>
          <w:lang w:val="es-ES"/>
        </w:rPr>
        <w:t xml:space="preserve"> </w:t>
      </w:r>
      <w:bookmarkStart w:id="0" w:name="_Hlk535926297"/>
      <w:r w:rsidR="00177F34" w:rsidRPr="00CF20AE">
        <w:rPr>
          <w:rFonts w:ascii="Open Sans Light" w:hAnsi="Open Sans Light" w:cs="Open Sans Light"/>
          <w:bCs/>
          <w:iCs/>
          <w:color w:val="303AB2"/>
          <w:szCs w:val="20"/>
          <w:lang w:val="es-ES"/>
        </w:rPr>
        <w:t xml:space="preserve">de </w:t>
      </w:r>
      <w:r w:rsidR="00815219">
        <w:rPr>
          <w:rFonts w:ascii="Open Sans Light" w:hAnsi="Open Sans Light" w:cs="Open Sans Light"/>
          <w:bCs/>
          <w:iCs/>
          <w:color w:val="303AB2"/>
          <w:szCs w:val="20"/>
          <w:lang w:val="es-ES"/>
        </w:rPr>
        <w:t>marzo</w:t>
      </w:r>
      <w:r w:rsidR="002A35C0" w:rsidRPr="00CF20AE">
        <w:rPr>
          <w:rFonts w:ascii="Open Sans Light" w:hAnsi="Open Sans Light" w:cs="Open Sans Light"/>
          <w:bCs/>
          <w:iCs/>
          <w:color w:val="303AB2"/>
          <w:szCs w:val="20"/>
          <w:lang w:val="es-ES"/>
        </w:rPr>
        <w:t xml:space="preserve"> de 20</w:t>
      </w:r>
      <w:bookmarkEnd w:id="0"/>
      <w:r w:rsidR="007D6B10">
        <w:rPr>
          <w:rFonts w:ascii="Open Sans Light" w:hAnsi="Open Sans Light" w:cs="Open Sans Light"/>
          <w:bCs/>
          <w:iCs/>
          <w:color w:val="303AB2"/>
          <w:szCs w:val="20"/>
          <w:lang w:val="es-ES"/>
        </w:rPr>
        <w:t>20</w:t>
      </w:r>
    </w:p>
    <w:p w14:paraId="1FF68B9F" w14:textId="1ADAF469" w:rsidR="00776F95" w:rsidRDefault="00136E6D" w:rsidP="002C7B33">
      <w:pPr>
        <w:pStyle w:val="NormalWeb"/>
        <w:shd w:val="clear" w:color="auto" w:fill="FFFFFF"/>
        <w:spacing w:after="225" w:line="276" w:lineRule="auto"/>
        <w:jc w:val="both"/>
        <w:rPr>
          <w:rFonts w:ascii="Open Sans" w:hAnsi="Open Sans" w:cs="Open Sans"/>
          <w:color w:val="000000"/>
        </w:rPr>
      </w:pPr>
      <w:r w:rsidRPr="00753088">
        <w:rPr>
          <w:rFonts w:ascii="Open Sans" w:hAnsi="Open Sans" w:cs="Open Sans"/>
          <w:color w:val="000000"/>
        </w:rPr>
        <w:t xml:space="preserve">En </w:t>
      </w:r>
      <w:r w:rsidR="004775A7">
        <w:rPr>
          <w:rFonts w:ascii="Open Sans" w:hAnsi="Open Sans" w:cs="Open Sans"/>
          <w:color w:val="000000"/>
        </w:rPr>
        <w:t>España</w:t>
      </w:r>
      <w:r w:rsidRPr="00753088">
        <w:rPr>
          <w:rFonts w:ascii="Open Sans" w:hAnsi="Open Sans" w:cs="Open Sans"/>
          <w:color w:val="000000"/>
        </w:rPr>
        <w:t xml:space="preserve"> </w:t>
      </w:r>
      <w:r w:rsidR="00815219">
        <w:rPr>
          <w:rFonts w:ascii="Open Sans" w:hAnsi="Open Sans" w:cs="Open Sans"/>
          <w:color w:val="000000"/>
        </w:rPr>
        <w:t>sube</w:t>
      </w:r>
      <w:r>
        <w:rPr>
          <w:rFonts w:ascii="Open Sans" w:hAnsi="Open Sans" w:cs="Open Sans"/>
          <w:color w:val="000000"/>
        </w:rPr>
        <w:t xml:space="preserve"> un </w:t>
      </w:r>
      <w:r w:rsidR="007D6B10">
        <w:rPr>
          <w:rFonts w:ascii="Open Sans" w:hAnsi="Open Sans" w:cs="Open Sans"/>
          <w:color w:val="000000"/>
        </w:rPr>
        <w:t>0,</w:t>
      </w:r>
      <w:r w:rsidR="00815219">
        <w:rPr>
          <w:rFonts w:ascii="Open Sans" w:hAnsi="Open Sans" w:cs="Open Sans"/>
          <w:color w:val="000000"/>
        </w:rPr>
        <w:t>1</w:t>
      </w:r>
      <w:r w:rsidRPr="00753088">
        <w:rPr>
          <w:rFonts w:ascii="Open Sans" w:hAnsi="Open Sans" w:cs="Open Sans"/>
          <w:color w:val="000000"/>
        </w:rPr>
        <w:t>%</w:t>
      </w:r>
      <w:r>
        <w:rPr>
          <w:rFonts w:ascii="Open Sans" w:hAnsi="Open Sans" w:cs="Open Sans"/>
          <w:color w:val="000000"/>
        </w:rPr>
        <w:t xml:space="preserve"> la variación mensual</w:t>
      </w:r>
      <w:r w:rsidRPr="00753088">
        <w:rPr>
          <w:rFonts w:ascii="Open Sans" w:hAnsi="Open Sans" w:cs="Open Sans"/>
          <w:color w:val="000000"/>
        </w:rPr>
        <w:t xml:space="preserve"> </w:t>
      </w:r>
      <w:r>
        <w:rPr>
          <w:rFonts w:ascii="Open Sans" w:hAnsi="Open Sans" w:cs="Open Sans"/>
          <w:color w:val="000000"/>
        </w:rPr>
        <w:t>d</w:t>
      </w:r>
      <w:r w:rsidRPr="00753088">
        <w:rPr>
          <w:rFonts w:ascii="Open Sans" w:hAnsi="Open Sans" w:cs="Open Sans"/>
          <w:color w:val="000000"/>
        </w:rPr>
        <w:t xml:space="preserve">el precio de la vivienda de segunda mano </w:t>
      </w:r>
      <w:r>
        <w:rPr>
          <w:rFonts w:ascii="Open Sans" w:hAnsi="Open Sans" w:cs="Open Sans"/>
          <w:color w:val="000000"/>
        </w:rPr>
        <w:t xml:space="preserve">y </w:t>
      </w:r>
      <w:r w:rsidR="005B1610">
        <w:rPr>
          <w:rFonts w:ascii="Open Sans" w:hAnsi="Open Sans" w:cs="Open Sans"/>
          <w:color w:val="000000"/>
        </w:rPr>
        <w:t xml:space="preserve">cae </w:t>
      </w:r>
      <w:r>
        <w:rPr>
          <w:rFonts w:ascii="Open Sans" w:hAnsi="Open Sans" w:cs="Open Sans"/>
          <w:color w:val="000000"/>
        </w:rPr>
        <w:t xml:space="preserve">un </w:t>
      </w:r>
      <w:r w:rsidR="007D6B10">
        <w:rPr>
          <w:rFonts w:ascii="Open Sans" w:hAnsi="Open Sans" w:cs="Open Sans"/>
          <w:color w:val="000000"/>
        </w:rPr>
        <w:t>-</w:t>
      </w:r>
      <w:r w:rsidR="00815219">
        <w:rPr>
          <w:rFonts w:ascii="Open Sans" w:hAnsi="Open Sans" w:cs="Open Sans"/>
          <w:color w:val="000000"/>
        </w:rPr>
        <w:t>2,3</w:t>
      </w:r>
      <w:r>
        <w:rPr>
          <w:rFonts w:ascii="Open Sans" w:hAnsi="Open Sans" w:cs="Open Sans"/>
          <w:color w:val="000000"/>
        </w:rPr>
        <w:t xml:space="preserve">% su variación interanual, situando su precio en </w:t>
      </w:r>
      <w:r w:rsidRPr="00753088">
        <w:rPr>
          <w:rFonts w:ascii="Open Sans" w:hAnsi="Open Sans" w:cs="Open Sans"/>
          <w:color w:val="000000"/>
        </w:rPr>
        <w:t>1.</w:t>
      </w:r>
      <w:r w:rsidR="00A15E65">
        <w:rPr>
          <w:rFonts w:ascii="Open Sans" w:hAnsi="Open Sans" w:cs="Open Sans"/>
          <w:color w:val="000000"/>
        </w:rPr>
        <w:t>8</w:t>
      </w:r>
      <w:r w:rsidR="007D6B10">
        <w:rPr>
          <w:rFonts w:ascii="Open Sans" w:hAnsi="Open Sans" w:cs="Open Sans"/>
          <w:color w:val="000000"/>
        </w:rPr>
        <w:t>4</w:t>
      </w:r>
      <w:r w:rsidR="00815219">
        <w:rPr>
          <w:rFonts w:ascii="Open Sans" w:hAnsi="Open Sans" w:cs="Open Sans"/>
          <w:color w:val="000000"/>
        </w:rPr>
        <w:t>3</w:t>
      </w:r>
      <w:r>
        <w:rPr>
          <w:rFonts w:ascii="Open Sans" w:hAnsi="Open Sans" w:cs="Open Sans"/>
          <w:color w:val="000000"/>
        </w:rPr>
        <w:t xml:space="preserve"> </w:t>
      </w:r>
      <w:r w:rsidR="00F23A6E">
        <w:rPr>
          <w:rFonts w:ascii="Open Sans" w:hAnsi="Open Sans" w:cs="Open Sans"/>
          <w:color w:val="000000"/>
        </w:rPr>
        <w:t>euros/m</w:t>
      </w:r>
      <w:r w:rsidRPr="00CC17ED">
        <w:rPr>
          <w:rFonts w:ascii="Open Sans" w:hAnsi="Open Sans" w:cs="Open Sans"/>
          <w:color w:val="000000"/>
          <w:vertAlign w:val="superscript"/>
        </w:rPr>
        <w:t>2</w:t>
      </w:r>
      <w:r w:rsidR="0028521F">
        <w:rPr>
          <w:rFonts w:ascii="Open Sans" w:hAnsi="Open Sans" w:cs="Open Sans"/>
          <w:color w:val="000000"/>
          <w:vertAlign w:val="superscript"/>
        </w:rPr>
        <w:t xml:space="preserve"> </w:t>
      </w:r>
      <w:r w:rsidR="0028521F">
        <w:rPr>
          <w:rFonts w:ascii="Open Sans" w:hAnsi="Open Sans" w:cs="Open Sans"/>
          <w:color w:val="000000"/>
        </w:rPr>
        <w:t xml:space="preserve">en </w:t>
      </w:r>
      <w:r w:rsidR="00815219">
        <w:rPr>
          <w:rFonts w:ascii="Open Sans" w:hAnsi="Open Sans" w:cs="Open Sans"/>
          <w:color w:val="000000"/>
        </w:rPr>
        <w:t>febrero</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9" w:history="1">
        <w:r w:rsidRPr="006443B7">
          <w:rPr>
            <w:rStyle w:val="Hipervnculo"/>
            <w:rFonts w:ascii="Open Sans" w:hAnsi="Open Sans" w:cs="Open Sans"/>
          </w:rPr>
          <w:t>Fotocasa</w:t>
        </w:r>
      </w:hyperlink>
      <w:r w:rsidRPr="00753088">
        <w:rPr>
          <w:rFonts w:ascii="Open Sans" w:hAnsi="Open Sans" w:cs="Open Sans"/>
          <w:color w:val="000000"/>
        </w:rPr>
        <w:t xml:space="preserve">. </w:t>
      </w:r>
      <w:r w:rsidR="00776F95">
        <w:rPr>
          <w:rFonts w:ascii="Open Sans" w:hAnsi="Open Sans" w:cs="Open Sans"/>
          <w:color w:val="000000"/>
        </w:rPr>
        <w:t>Este valor está un -</w:t>
      </w:r>
      <w:r w:rsidR="007D6B10">
        <w:rPr>
          <w:rFonts w:ascii="Open Sans" w:hAnsi="Open Sans" w:cs="Open Sans"/>
          <w:color w:val="000000"/>
        </w:rPr>
        <w:t>40</w:t>
      </w:r>
      <w:r w:rsidR="00776F95">
        <w:rPr>
          <w:rFonts w:ascii="Open Sans" w:hAnsi="Open Sans" w:cs="Open Sans"/>
          <w:color w:val="000000"/>
        </w:rPr>
        <w:t xml:space="preserve">% por debajo de la media </w:t>
      </w:r>
      <w:r w:rsidR="004775A7">
        <w:rPr>
          <w:rFonts w:ascii="Open Sans" w:hAnsi="Open Sans" w:cs="Open Sans"/>
          <w:color w:val="000000"/>
        </w:rPr>
        <w:t xml:space="preserve">de </w:t>
      </w:r>
      <w:r w:rsidR="007D6B10">
        <w:rPr>
          <w:rFonts w:ascii="Open Sans" w:hAnsi="Open Sans" w:cs="Open Sans"/>
          <w:color w:val="000000"/>
        </w:rPr>
        <w:t>la Comunidad de Madrid</w:t>
      </w:r>
      <w:r w:rsidR="00776F95">
        <w:rPr>
          <w:rFonts w:ascii="Open Sans" w:hAnsi="Open Sans" w:cs="Open Sans"/>
          <w:color w:val="000000"/>
        </w:rPr>
        <w:t xml:space="preserve">, que en </w:t>
      </w:r>
      <w:r w:rsidR="00815219">
        <w:rPr>
          <w:rFonts w:ascii="Open Sans" w:hAnsi="Open Sans" w:cs="Open Sans"/>
          <w:color w:val="000000"/>
        </w:rPr>
        <w:t>febrero</w:t>
      </w:r>
      <w:r w:rsidR="00776F95">
        <w:rPr>
          <w:rFonts w:ascii="Open Sans" w:hAnsi="Open Sans" w:cs="Open Sans"/>
          <w:color w:val="000000"/>
        </w:rPr>
        <w:t xml:space="preserve"> </w:t>
      </w:r>
      <w:r w:rsidR="00776F95" w:rsidRPr="00753088">
        <w:rPr>
          <w:rFonts w:ascii="Open Sans" w:hAnsi="Open Sans" w:cs="Open Sans"/>
          <w:color w:val="000000"/>
        </w:rPr>
        <w:t xml:space="preserve">es de </w:t>
      </w:r>
      <w:r w:rsidR="00815219">
        <w:rPr>
          <w:rFonts w:ascii="Open Sans" w:hAnsi="Open Sans" w:cs="Open Sans"/>
          <w:color w:val="000000"/>
        </w:rPr>
        <w:t>3.064</w:t>
      </w:r>
      <w:r w:rsidR="00776F95">
        <w:rPr>
          <w:rFonts w:ascii="Open Sans" w:hAnsi="Open Sans" w:cs="Open Sans"/>
          <w:color w:val="000000"/>
        </w:rPr>
        <w:t xml:space="preserve"> </w:t>
      </w:r>
      <w:r w:rsidR="00F23A6E">
        <w:rPr>
          <w:rFonts w:ascii="Open Sans" w:hAnsi="Open Sans" w:cs="Open Sans"/>
          <w:color w:val="000000"/>
        </w:rPr>
        <w:t>euros/m</w:t>
      </w:r>
      <w:r w:rsidR="00776F95" w:rsidRPr="00CC17ED">
        <w:rPr>
          <w:rFonts w:ascii="Open Sans" w:hAnsi="Open Sans" w:cs="Open Sans"/>
          <w:color w:val="000000"/>
          <w:vertAlign w:val="superscript"/>
        </w:rPr>
        <w:t>2</w:t>
      </w:r>
      <w:r w:rsidR="00776F95" w:rsidRPr="00753088">
        <w:rPr>
          <w:rFonts w:ascii="Open Sans" w:hAnsi="Open Sans" w:cs="Open Sans"/>
          <w:color w:val="000000"/>
        </w:rPr>
        <w:t>.</w:t>
      </w:r>
    </w:p>
    <w:p w14:paraId="422D99DD" w14:textId="77777777" w:rsidR="00815219" w:rsidRDefault="007D6B10" w:rsidP="002B6931">
      <w:pPr>
        <w:pStyle w:val="NormalWeb"/>
        <w:shd w:val="clear" w:color="auto" w:fill="FFFFFF"/>
        <w:spacing w:line="276" w:lineRule="auto"/>
        <w:jc w:val="both"/>
        <w:rPr>
          <w:rFonts w:ascii="Open Sans" w:hAnsi="Open Sans" w:cs="Open Sans"/>
          <w:color w:val="000000"/>
        </w:rPr>
      </w:pPr>
      <w:r w:rsidRPr="00F64561">
        <w:rPr>
          <w:rFonts w:ascii="Open Sans" w:hAnsi="Open Sans" w:cs="Open Sans"/>
          <w:color w:val="000000"/>
        </w:rPr>
        <w:t xml:space="preserve">En España </w:t>
      </w:r>
      <w:r w:rsidR="00815219">
        <w:rPr>
          <w:rFonts w:ascii="Open Sans" w:hAnsi="Open Sans" w:cs="Open Sans"/>
          <w:color w:val="000000"/>
        </w:rPr>
        <w:t>13</w:t>
      </w:r>
      <w:r w:rsidRPr="00F64561">
        <w:rPr>
          <w:rFonts w:ascii="Open Sans" w:hAnsi="Open Sans" w:cs="Open Sans"/>
          <w:color w:val="000000"/>
        </w:rPr>
        <w:t xml:space="preserve"> comunidades autónomas presentan datos </w:t>
      </w:r>
      <w:r>
        <w:rPr>
          <w:rFonts w:ascii="Open Sans" w:hAnsi="Open Sans" w:cs="Open Sans"/>
          <w:color w:val="000000"/>
        </w:rPr>
        <w:t xml:space="preserve">mensuales </w:t>
      </w:r>
      <w:r w:rsidR="00815219">
        <w:rPr>
          <w:rFonts w:ascii="Open Sans" w:hAnsi="Open Sans" w:cs="Open Sans"/>
          <w:color w:val="000000"/>
        </w:rPr>
        <w:t>positivos</w:t>
      </w:r>
      <w:r w:rsidRPr="00F64561">
        <w:rPr>
          <w:rFonts w:ascii="Open Sans" w:hAnsi="Open Sans" w:cs="Open Sans"/>
          <w:color w:val="000000"/>
        </w:rPr>
        <w:t xml:space="preserve"> en </w:t>
      </w:r>
      <w:r w:rsidR="00815219">
        <w:rPr>
          <w:rFonts w:ascii="Open Sans" w:hAnsi="Open Sans" w:cs="Open Sans"/>
          <w:color w:val="000000"/>
        </w:rPr>
        <w:t>febrero</w:t>
      </w:r>
      <w:r w:rsidRPr="00F64561">
        <w:rPr>
          <w:rFonts w:ascii="Open Sans" w:hAnsi="Open Sans" w:cs="Open Sans"/>
          <w:color w:val="000000"/>
        </w:rPr>
        <w:t xml:space="preserve"> de 20</w:t>
      </w:r>
      <w:r>
        <w:rPr>
          <w:rFonts w:ascii="Open Sans" w:hAnsi="Open Sans" w:cs="Open Sans"/>
          <w:color w:val="000000"/>
        </w:rPr>
        <w:t>20</w:t>
      </w:r>
      <w:r w:rsidRPr="00F64561">
        <w:rPr>
          <w:rFonts w:ascii="Open Sans" w:hAnsi="Open Sans" w:cs="Open Sans"/>
          <w:color w:val="000000"/>
        </w:rPr>
        <w:t xml:space="preserve">. </w:t>
      </w:r>
      <w:r>
        <w:rPr>
          <w:rFonts w:ascii="Open Sans" w:hAnsi="Open Sans" w:cs="Open Sans"/>
          <w:color w:val="000000"/>
        </w:rPr>
        <w:t xml:space="preserve">La comunidad con mayor </w:t>
      </w:r>
      <w:r w:rsidR="00815219">
        <w:rPr>
          <w:rFonts w:ascii="Open Sans" w:hAnsi="Open Sans" w:cs="Open Sans"/>
          <w:color w:val="000000"/>
        </w:rPr>
        <w:t>incremento</w:t>
      </w:r>
      <w:r>
        <w:rPr>
          <w:rFonts w:ascii="Open Sans" w:hAnsi="Open Sans" w:cs="Open Sans"/>
          <w:color w:val="000000"/>
        </w:rPr>
        <w:t xml:space="preserve"> es </w:t>
      </w:r>
      <w:r w:rsidR="00815219" w:rsidRPr="00815219">
        <w:rPr>
          <w:rFonts w:ascii="Open Sans" w:hAnsi="Open Sans" w:cs="Open Sans"/>
          <w:color w:val="000000"/>
        </w:rPr>
        <w:t>Extremadura</w:t>
      </w:r>
      <w:r w:rsidR="00815219">
        <w:rPr>
          <w:rFonts w:ascii="Open Sans" w:hAnsi="Open Sans" w:cs="Open Sans"/>
          <w:color w:val="000000"/>
        </w:rPr>
        <w:t xml:space="preserve"> </w:t>
      </w:r>
      <w:r w:rsidRPr="00F64561">
        <w:rPr>
          <w:rFonts w:ascii="Open Sans" w:hAnsi="Open Sans" w:cs="Open Sans"/>
          <w:color w:val="000000"/>
        </w:rPr>
        <w:t xml:space="preserve">con un </w:t>
      </w:r>
      <w:r>
        <w:rPr>
          <w:rFonts w:ascii="Open Sans" w:hAnsi="Open Sans" w:cs="Open Sans"/>
          <w:color w:val="000000"/>
        </w:rPr>
        <w:t>1,</w:t>
      </w:r>
      <w:r w:rsidR="00815219">
        <w:rPr>
          <w:rFonts w:ascii="Open Sans" w:hAnsi="Open Sans" w:cs="Open Sans"/>
          <w:color w:val="000000"/>
        </w:rPr>
        <w:t>4</w:t>
      </w:r>
      <w:r w:rsidRPr="00F64561">
        <w:rPr>
          <w:rFonts w:ascii="Open Sans" w:hAnsi="Open Sans" w:cs="Open Sans"/>
          <w:color w:val="000000"/>
        </w:rPr>
        <w:t>%</w:t>
      </w:r>
      <w:r>
        <w:rPr>
          <w:rFonts w:ascii="Open Sans" w:hAnsi="Open Sans" w:cs="Open Sans"/>
          <w:color w:val="000000"/>
        </w:rPr>
        <w:t>.</w:t>
      </w:r>
      <w:r w:rsidRPr="00F64561">
        <w:rPr>
          <w:rFonts w:ascii="Open Sans" w:hAnsi="Open Sans" w:cs="Open Sans"/>
          <w:color w:val="000000"/>
        </w:rPr>
        <w:t xml:space="preserve"> </w:t>
      </w:r>
      <w:r>
        <w:rPr>
          <w:rFonts w:ascii="Open Sans" w:hAnsi="Open Sans" w:cs="Open Sans"/>
          <w:color w:val="000000"/>
        </w:rPr>
        <w:t xml:space="preserve">Le siguen, </w:t>
      </w:r>
      <w:r w:rsidR="00815219" w:rsidRPr="00815219">
        <w:rPr>
          <w:rFonts w:ascii="Open Sans" w:hAnsi="Open Sans" w:cs="Open Sans"/>
          <w:color w:val="000000"/>
        </w:rPr>
        <w:t xml:space="preserve">Cataluña </w:t>
      </w:r>
      <w:r w:rsidR="00815219">
        <w:rPr>
          <w:rFonts w:ascii="Open Sans" w:hAnsi="Open Sans" w:cs="Open Sans"/>
          <w:color w:val="000000"/>
        </w:rPr>
        <w:t>(</w:t>
      </w:r>
      <w:r w:rsidR="00815219" w:rsidRPr="00815219">
        <w:rPr>
          <w:rFonts w:ascii="Open Sans" w:hAnsi="Open Sans" w:cs="Open Sans"/>
          <w:color w:val="000000"/>
        </w:rPr>
        <w:t>0,8%</w:t>
      </w:r>
      <w:r w:rsidR="00815219">
        <w:rPr>
          <w:rFonts w:ascii="Open Sans" w:hAnsi="Open Sans" w:cs="Open Sans"/>
          <w:color w:val="000000"/>
        </w:rPr>
        <w:t xml:space="preserve">), </w:t>
      </w:r>
      <w:r w:rsidR="00815219" w:rsidRPr="00815219">
        <w:rPr>
          <w:rFonts w:ascii="Open Sans" w:hAnsi="Open Sans" w:cs="Open Sans"/>
          <w:color w:val="000000"/>
        </w:rPr>
        <w:t xml:space="preserve"> Castilla-La Mancha</w:t>
      </w:r>
      <w:r w:rsidR="00815219">
        <w:rPr>
          <w:rFonts w:ascii="Open Sans" w:hAnsi="Open Sans" w:cs="Open Sans"/>
          <w:color w:val="000000"/>
        </w:rPr>
        <w:t xml:space="preserve"> (</w:t>
      </w:r>
      <w:r w:rsidR="00815219" w:rsidRPr="00815219">
        <w:rPr>
          <w:rFonts w:ascii="Open Sans" w:hAnsi="Open Sans" w:cs="Open Sans"/>
          <w:color w:val="000000"/>
        </w:rPr>
        <w:t>0,6%</w:t>
      </w:r>
      <w:r w:rsidR="00815219">
        <w:rPr>
          <w:rFonts w:ascii="Open Sans" w:hAnsi="Open Sans" w:cs="Open Sans"/>
          <w:color w:val="000000"/>
        </w:rPr>
        <w:t>),</w:t>
      </w:r>
      <w:r w:rsidR="00815219" w:rsidRPr="00815219">
        <w:rPr>
          <w:rFonts w:ascii="Open Sans" w:hAnsi="Open Sans" w:cs="Open Sans"/>
          <w:color w:val="000000"/>
        </w:rPr>
        <w:t xml:space="preserve"> Baleares </w:t>
      </w:r>
      <w:r w:rsidR="00815219">
        <w:rPr>
          <w:rFonts w:ascii="Open Sans" w:hAnsi="Open Sans" w:cs="Open Sans"/>
          <w:color w:val="000000"/>
        </w:rPr>
        <w:t>(</w:t>
      </w:r>
      <w:r w:rsidR="00815219" w:rsidRPr="00815219">
        <w:rPr>
          <w:rFonts w:ascii="Open Sans" w:hAnsi="Open Sans" w:cs="Open Sans"/>
          <w:color w:val="000000"/>
        </w:rPr>
        <w:t>0,5%</w:t>
      </w:r>
      <w:r w:rsidR="00815219">
        <w:rPr>
          <w:rFonts w:ascii="Open Sans" w:hAnsi="Open Sans" w:cs="Open Sans"/>
          <w:color w:val="000000"/>
        </w:rPr>
        <w:t>),</w:t>
      </w:r>
      <w:r w:rsidR="00815219" w:rsidRPr="00815219">
        <w:rPr>
          <w:rFonts w:ascii="Open Sans" w:hAnsi="Open Sans" w:cs="Open Sans"/>
          <w:color w:val="000000"/>
        </w:rPr>
        <w:t xml:space="preserve"> Andalucía </w:t>
      </w:r>
      <w:r w:rsidR="00815219">
        <w:rPr>
          <w:rFonts w:ascii="Open Sans" w:hAnsi="Open Sans" w:cs="Open Sans"/>
          <w:color w:val="000000"/>
        </w:rPr>
        <w:t>(</w:t>
      </w:r>
      <w:r w:rsidR="00815219" w:rsidRPr="00815219">
        <w:rPr>
          <w:rFonts w:ascii="Open Sans" w:hAnsi="Open Sans" w:cs="Open Sans"/>
          <w:color w:val="000000"/>
        </w:rPr>
        <w:t>0,5%</w:t>
      </w:r>
      <w:r w:rsidR="00815219">
        <w:rPr>
          <w:rFonts w:ascii="Open Sans" w:hAnsi="Open Sans" w:cs="Open Sans"/>
          <w:color w:val="000000"/>
        </w:rPr>
        <w:t>),</w:t>
      </w:r>
      <w:r w:rsidR="00815219" w:rsidRPr="00815219">
        <w:rPr>
          <w:rFonts w:ascii="Open Sans" w:hAnsi="Open Sans" w:cs="Open Sans"/>
          <w:color w:val="000000"/>
        </w:rPr>
        <w:t xml:space="preserve"> Navarra </w:t>
      </w:r>
      <w:r w:rsidR="00815219">
        <w:rPr>
          <w:rFonts w:ascii="Open Sans" w:hAnsi="Open Sans" w:cs="Open Sans"/>
          <w:color w:val="000000"/>
        </w:rPr>
        <w:t>(</w:t>
      </w:r>
      <w:r w:rsidR="00815219" w:rsidRPr="00815219">
        <w:rPr>
          <w:rFonts w:ascii="Open Sans" w:hAnsi="Open Sans" w:cs="Open Sans"/>
          <w:color w:val="000000"/>
        </w:rPr>
        <w:t>0,4%</w:t>
      </w:r>
      <w:r w:rsidR="00815219">
        <w:rPr>
          <w:rFonts w:ascii="Open Sans" w:hAnsi="Open Sans" w:cs="Open Sans"/>
          <w:color w:val="000000"/>
        </w:rPr>
        <w:t>),</w:t>
      </w:r>
      <w:r w:rsidR="00815219" w:rsidRPr="00815219">
        <w:rPr>
          <w:rFonts w:ascii="Open Sans" w:hAnsi="Open Sans" w:cs="Open Sans"/>
          <w:color w:val="000000"/>
        </w:rPr>
        <w:t xml:space="preserve"> Madrid </w:t>
      </w:r>
      <w:r w:rsidR="00815219">
        <w:rPr>
          <w:rFonts w:ascii="Open Sans" w:hAnsi="Open Sans" w:cs="Open Sans"/>
          <w:color w:val="000000"/>
        </w:rPr>
        <w:t>(</w:t>
      </w:r>
      <w:r w:rsidR="00815219" w:rsidRPr="00815219">
        <w:rPr>
          <w:rFonts w:ascii="Open Sans" w:hAnsi="Open Sans" w:cs="Open Sans"/>
          <w:color w:val="000000"/>
        </w:rPr>
        <w:t>0,4%</w:t>
      </w:r>
      <w:r w:rsidR="00815219">
        <w:rPr>
          <w:rFonts w:ascii="Open Sans" w:hAnsi="Open Sans" w:cs="Open Sans"/>
          <w:color w:val="000000"/>
        </w:rPr>
        <w:t>),</w:t>
      </w:r>
      <w:r w:rsidR="00815219" w:rsidRPr="00815219">
        <w:rPr>
          <w:rFonts w:ascii="Open Sans" w:hAnsi="Open Sans" w:cs="Open Sans"/>
          <w:color w:val="000000"/>
        </w:rPr>
        <w:t xml:space="preserve"> Comunitat Valenciana </w:t>
      </w:r>
      <w:r w:rsidR="00815219">
        <w:rPr>
          <w:rFonts w:ascii="Open Sans" w:hAnsi="Open Sans" w:cs="Open Sans"/>
          <w:color w:val="000000"/>
        </w:rPr>
        <w:t>(</w:t>
      </w:r>
      <w:r w:rsidR="00815219" w:rsidRPr="00815219">
        <w:rPr>
          <w:rFonts w:ascii="Open Sans" w:hAnsi="Open Sans" w:cs="Open Sans"/>
          <w:color w:val="000000"/>
        </w:rPr>
        <w:t>0,3%</w:t>
      </w:r>
      <w:r w:rsidR="00815219">
        <w:rPr>
          <w:rFonts w:ascii="Open Sans" w:hAnsi="Open Sans" w:cs="Open Sans"/>
          <w:color w:val="000000"/>
        </w:rPr>
        <w:t>),</w:t>
      </w:r>
      <w:r w:rsidR="00815219" w:rsidRPr="00815219">
        <w:rPr>
          <w:rFonts w:ascii="Open Sans" w:hAnsi="Open Sans" w:cs="Open Sans"/>
          <w:color w:val="000000"/>
        </w:rPr>
        <w:t xml:space="preserve"> Asturias </w:t>
      </w:r>
      <w:r w:rsidR="00815219">
        <w:rPr>
          <w:rFonts w:ascii="Open Sans" w:hAnsi="Open Sans" w:cs="Open Sans"/>
          <w:color w:val="000000"/>
        </w:rPr>
        <w:t>(</w:t>
      </w:r>
      <w:r w:rsidR="00815219" w:rsidRPr="00815219">
        <w:rPr>
          <w:rFonts w:ascii="Open Sans" w:hAnsi="Open Sans" w:cs="Open Sans"/>
          <w:color w:val="000000"/>
        </w:rPr>
        <w:t>0,3%</w:t>
      </w:r>
      <w:r w:rsidR="00815219">
        <w:rPr>
          <w:rFonts w:ascii="Open Sans" w:hAnsi="Open Sans" w:cs="Open Sans"/>
          <w:color w:val="000000"/>
        </w:rPr>
        <w:t>),</w:t>
      </w:r>
      <w:r w:rsidR="00815219" w:rsidRPr="00815219">
        <w:rPr>
          <w:rFonts w:ascii="Open Sans" w:hAnsi="Open Sans" w:cs="Open Sans"/>
          <w:color w:val="000000"/>
        </w:rPr>
        <w:t xml:space="preserve"> Canarias </w:t>
      </w:r>
      <w:r w:rsidR="00815219">
        <w:rPr>
          <w:rFonts w:ascii="Open Sans" w:hAnsi="Open Sans" w:cs="Open Sans"/>
          <w:color w:val="000000"/>
        </w:rPr>
        <w:t>(</w:t>
      </w:r>
      <w:r w:rsidR="00815219" w:rsidRPr="00815219">
        <w:rPr>
          <w:rFonts w:ascii="Open Sans" w:hAnsi="Open Sans" w:cs="Open Sans"/>
          <w:color w:val="000000"/>
        </w:rPr>
        <w:t>0,3%</w:t>
      </w:r>
      <w:r w:rsidR="00815219">
        <w:rPr>
          <w:rFonts w:ascii="Open Sans" w:hAnsi="Open Sans" w:cs="Open Sans"/>
          <w:color w:val="000000"/>
        </w:rPr>
        <w:t>),</w:t>
      </w:r>
      <w:r w:rsidR="00815219" w:rsidRPr="00815219">
        <w:rPr>
          <w:rFonts w:ascii="Open Sans" w:hAnsi="Open Sans" w:cs="Open Sans"/>
          <w:color w:val="000000"/>
        </w:rPr>
        <w:t xml:space="preserve"> Cantabria </w:t>
      </w:r>
      <w:r w:rsidR="00815219">
        <w:rPr>
          <w:rFonts w:ascii="Open Sans" w:hAnsi="Open Sans" w:cs="Open Sans"/>
          <w:color w:val="000000"/>
        </w:rPr>
        <w:t>(</w:t>
      </w:r>
      <w:r w:rsidR="00815219" w:rsidRPr="00815219">
        <w:rPr>
          <w:rFonts w:ascii="Open Sans" w:hAnsi="Open Sans" w:cs="Open Sans"/>
          <w:color w:val="000000"/>
        </w:rPr>
        <w:t>0,2%</w:t>
      </w:r>
      <w:r w:rsidR="00815219">
        <w:rPr>
          <w:rFonts w:ascii="Open Sans" w:hAnsi="Open Sans" w:cs="Open Sans"/>
          <w:color w:val="000000"/>
        </w:rPr>
        <w:t>),</w:t>
      </w:r>
      <w:r w:rsidR="00815219" w:rsidRPr="00815219">
        <w:rPr>
          <w:rFonts w:ascii="Open Sans" w:hAnsi="Open Sans" w:cs="Open Sans"/>
          <w:color w:val="000000"/>
        </w:rPr>
        <w:t xml:space="preserve"> Castilla y León</w:t>
      </w:r>
      <w:r w:rsidR="00815219">
        <w:rPr>
          <w:rFonts w:ascii="Open Sans" w:hAnsi="Open Sans" w:cs="Open Sans"/>
          <w:color w:val="000000"/>
        </w:rPr>
        <w:t xml:space="preserve"> (</w:t>
      </w:r>
      <w:r w:rsidR="00815219" w:rsidRPr="00815219">
        <w:rPr>
          <w:rFonts w:ascii="Open Sans" w:hAnsi="Open Sans" w:cs="Open Sans"/>
          <w:color w:val="000000"/>
        </w:rPr>
        <w:t>0,2%</w:t>
      </w:r>
      <w:r w:rsidR="00815219">
        <w:rPr>
          <w:rFonts w:ascii="Open Sans" w:hAnsi="Open Sans" w:cs="Open Sans"/>
          <w:color w:val="000000"/>
        </w:rPr>
        <w:t>) y</w:t>
      </w:r>
      <w:r w:rsidR="00815219" w:rsidRPr="00815219">
        <w:rPr>
          <w:rFonts w:ascii="Open Sans" w:hAnsi="Open Sans" w:cs="Open Sans"/>
          <w:color w:val="000000"/>
        </w:rPr>
        <w:t xml:space="preserve"> La Rioja </w:t>
      </w:r>
      <w:r w:rsidR="00815219">
        <w:rPr>
          <w:rFonts w:ascii="Open Sans" w:hAnsi="Open Sans" w:cs="Open Sans"/>
          <w:color w:val="000000"/>
        </w:rPr>
        <w:t>(</w:t>
      </w:r>
      <w:r w:rsidR="00815219" w:rsidRPr="00815219">
        <w:rPr>
          <w:rFonts w:ascii="Open Sans" w:hAnsi="Open Sans" w:cs="Open Sans"/>
          <w:color w:val="000000"/>
        </w:rPr>
        <w:t>0,1%</w:t>
      </w:r>
      <w:r w:rsidR="00815219">
        <w:rPr>
          <w:rFonts w:ascii="Open Sans" w:hAnsi="Open Sans" w:cs="Open Sans"/>
          <w:color w:val="000000"/>
        </w:rPr>
        <w:t xml:space="preserve">). </w:t>
      </w:r>
      <w:r>
        <w:rPr>
          <w:rFonts w:ascii="Open Sans" w:hAnsi="Open Sans" w:cs="Open Sans"/>
          <w:color w:val="000000"/>
        </w:rPr>
        <w:t xml:space="preserve">Por otro lado, </w:t>
      </w:r>
      <w:r w:rsidR="002B6931">
        <w:rPr>
          <w:rFonts w:ascii="Open Sans" w:hAnsi="Open Sans" w:cs="Open Sans"/>
          <w:color w:val="000000"/>
        </w:rPr>
        <w:t xml:space="preserve">Canarias </w:t>
      </w:r>
      <w:r w:rsidRPr="00F64561">
        <w:rPr>
          <w:rFonts w:ascii="Open Sans" w:hAnsi="Open Sans" w:cs="Open Sans"/>
          <w:color w:val="000000"/>
        </w:rPr>
        <w:t xml:space="preserve">con un </w:t>
      </w:r>
      <w:r w:rsidR="00815219">
        <w:rPr>
          <w:rFonts w:ascii="Open Sans" w:hAnsi="Open Sans" w:cs="Open Sans"/>
          <w:color w:val="000000"/>
        </w:rPr>
        <w:t>descenso</w:t>
      </w:r>
      <w:r w:rsidRPr="00F64561">
        <w:rPr>
          <w:rFonts w:ascii="Open Sans" w:hAnsi="Open Sans" w:cs="Open Sans"/>
          <w:color w:val="000000"/>
        </w:rPr>
        <w:t xml:space="preserve"> de</w:t>
      </w:r>
      <w:r w:rsidR="002B6931">
        <w:rPr>
          <w:rFonts w:ascii="Open Sans" w:hAnsi="Open Sans" w:cs="Open Sans"/>
          <w:color w:val="000000"/>
        </w:rPr>
        <w:t xml:space="preserve"> un </w:t>
      </w:r>
      <w:r w:rsidR="00815219">
        <w:rPr>
          <w:rFonts w:ascii="Open Sans" w:hAnsi="Open Sans" w:cs="Open Sans"/>
          <w:color w:val="000000"/>
        </w:rPr>
        <w:t>-</w:t>
      </w:r>
      <w:r w:rsidR="002B6931">
        <w:rPr>
          <w:rFonts w:ascii="Open Sans" w:hAnsi="Open Sans" w:cs="Open Sans"/>
          <w:color w:val="000000"/>
        </w:rPr>
        <w:t>1%</w:t>
      </w:r>
      <w:r w:rsidRPr="00F64561">
        <w:rPr>
          <w:rFonts w:ascii="Open Sans" w:hAnsi="Open Sans" w:cs="Open Sans"/>
          <w:color w:val="000000"/>
        </w:rPr>
        <w:t xml:space="preserve"> es la región que más </w:t>
      </w:r>
      <w:r w:rsidR="00815219">
        <w:rPr>
          <w:rFonts w:ascii="Open Sans" w:hAnsi="Open Sans" w:cs="Open Sans"/>
          <w:color w:val="000000"/>
        </w:rPr>
        <w:t>baja</w:t>
      </w:r>
      <w:r w:rsidRPr="00F64561">
        <w:rPr>
          <w:rFonts w:ascii="Open Sans" w:hAnsi="Open Sans" w:cs="Open Sans"/>
          <w:color w:val="000000"/>
        </w:rPr>
        <w:t xml:space="preserve"> de precio</w:t>
      </w:r>
      <w:r>
        <w:rPr>
          <w:rFonts w:ascii="Open Sans" w:hAnsi="Open Sans" w:cs="Open Sans"/>
          <w:color w:val="000000"/>
        </w:rPr>
        <w:t>, seguida de</w:t>
      </w:r>
      <w:r w:rsidR="002B6931" w:rsidRPr="002B6931">
        <w:rPr>
          <w:rFonts w:ascii="Open Sans" w:hAnsi="Open Sans" w:cs="Open Sans"/>
          <w:color w:val="000000"/>
        </w:rPr>
        <w:t xml:space="preserve"> </w:t>
      </w:r>
      <w:r w:rsidR="00815219">
        <w:rPr>
          <w:rFonts w:ascii="Open Sans" w:hAnsi="Open Sans" w:cs="Open Sans"/>
          <w:color w:val="000000"/>
        </w:rPr>
        <w:t>Galicia</w:t>
      </w:r>
      <w:r w:rsidR="002B6931" w:rsidRPr="002B6931">
        <w:rPr>
          <w:rFonts w:ascii="Open Sans" w:hAnsi="Open Sans" w:cs="Open Sans"/>
          <w:color w:val="000000"/>
        </w:rPr>
        <w:t xml:space="preserve"> </w:t>
      </w:r>
      <w:r w:rsidR="002B6931">
        <w:rPr>
          <w:rFonts w:ascii="Open Sans" w:hAnsi="Open Sans" w:cs="Open Sans"/>
          <w:color w:val="000000"/>
        </w:rPr>
        <w:t>(</w:t>
      </w:r>
      <w:r w:rsidR="00815219">
        <w:rPr>
          <w:rFonts w:ascii="Open Sans" w:hAnsi="Open Sans" w:cs="Open Sans"/>
          <w:color w:val="000000"/>
        </w:rPr>
        <w:t>-</w:t>
      </w:r>
      <w:r w:rsidR="002B6931">
        <w:rPr>
          <w:rFonts w:ascii="Open Sans" w:hAnsi="Open Sans" w:cs="Open Sans"/>
          <w:color w:val="000000"/>
        </w:rPr>
        <w:t>0,</w:t>
      </w:r>
      <w:r w:rsidR="00815219">
        <w:rPr>
          <w:rFonts w:ascii="Open Sans" w:hAnsi="Open Sans" w:cs="Open Sans"/>
          <w:color w:val="000000"/>
        </w:rPr>
        <w:t>6</w:t>
      </w:r>
      <w:r w:rsidR="002B6931">
        <w:rPr>
          <w:rFonts w:ascii="Open Sans" w:hAnsi="Open Sans" w:cs="Open Sans"/>
          <w:color w:val="000000"/>
        </w:rPr>
        <w:t>%),</w:t>
      </w:r>
      <w:r w:rsidR="002B6931" w:rsidRPr="002B6931">
        <w:rPr>
          <w:rFonts w:ascii="Open Sans" w:hAnsi="Open Sans" w:cs="Open Sans"/>
          <w:color w:val="000000"/>
        </w:rPr>
        <w:t xml:space="preserve"> </w:t>
      </w:r>
      <w:r w:rsidR="00815219" w:rsidRPr="00815219">
        <w:rPr>
          <w:rFonts w:ascii="Open Sans" w:hAnsi="Open Sans" w:cs="Open Sans"/>
          <w:color w:val="000000"/>
        </w:rPr>
        <w:t xml:space="preserve">País Vasco </w:t>
      </w:r>
      <w:r w:rsidR="002B6931">
        <w:rPr>
          <w:rFonts w:ascii="Open Sans" w:hAnsi="Open Sans" w:cs="Open Sans"/>
          <w:color w:val="000000"/>
        </w:rPr>
        <w:t>(</w:t>
      </w:r>
      <w:r w:rsidR="00815219">
        <w:rPr>
          <w:rFonts w:ascii="Open Sans" w:hAnsi="Open Sans" w:cs="Open Sans"/>
          <w:color w:val="000000"/>
        </w:rPr>
        <w:t>-</w:t>
      </w:r>
      <w:r w:rsidR="002B6931">
        <w:rPr>
          <w:rFonts w:ascii="Open Sans" w:hAnsi="Open Sans" w:cs="Open Sans"/>
          <w:color w:val="000000"/>
        </w:rPr>
        <w:t>0,</w:t>
      </w:r>
      <w:r w:rsidR="00815219">
        <w:rPr>
          <w:rFonts w:ascii="Open Sans" w:hAnsi="Open Sans" w:cs="Open Sans"/>
          <w:color w:val="000000"/>
        </w:rPr>
        <w:t>1</w:t>
      </w:r>
      <w:r w:rsidR="002B6931">
        <w:rPr>
          <w:rFonts w:ascii="Open Sans" w:hAnsi="Open Sans" w:cs="Open Sans"/>
          <w:color w:val="000000"/>
        </w:rPr>
        <w:t>%)</w:t>
      </w:r>
      <w:r w:rsidR="00815219">
        <w:rPr>
          <w:rFonts w:ascii="Open Sans" w:hAnsi="Open Sans" w:cs="Open Sans"/>
          <w:color w:val="000000"/>
        </w:rPr>
        <w:t xml:space="preserve"> y Murcia </w:t>
      </w:r>
      <w:r w:rsidR="002B6931">
        <w:rPr>
          <w:rFonts w:ascii="Open Sans" w:hAnsi="Open Sans" w:cs="Open Sans"/>
          <w:color w:val="000000"/>
        </w:rPr>
        <w:t>(</w:t>
      </w:r>
      <w:r w:rsidR="00815219">
        <w:rPr>
          <w:rFonts w:ascii="Open Sans" w:hAnsi="Open Sans" w:cs="Open Sans"/>
          <w:color w:val="000000"/>
        </w:rPr>
        <w:t>-</w:t>
      </w:r>
      <w:r w:rsidR="002B6931">
        <w:rPr>
          <w:rFonts w:ascii="Open Sans" w:hAnsi="Open Sans" w:cs="Open Sans"/>
          <w:color w:val="000000"/>
        </w:rPr>
        <w:t>0,</w:t>
      </w:r>
      <w:r w:rsidR="00815219">
        <w:rPr>
          <w:rFonts w:ascii="Open Sans" w:hAnsi="Open Sans" w:cs="Open Sans"/>
          <w:color w:val="000000"/>
        </w:rPr>
        <w:t>1</w:t>
      </w:r>
      <w:r w:rsidR="002B6931">
        <w:rPr>
          <w:rFonts w:ascii="Open Sans" w:hAnsi="Open Sans" w:cs="Open Sans"/>
          <w:color w:val="000000"/>
        </w:rPr>
        <w:t>%)</w:t>
      </w:r>
      <w:r w:rsidR="00815219">
        <w:rPr>
          <w:rFonts w:ascii="Open Sans" w:hAnsi="Open Sans" w:cs="Open Sans"/>
          <w:color w:val="000000"/>
        </w:rPr>
        <w:t>.</w:t>
      </w:r>
    </w:p>
    <w:p w14:paraId="76FF374C" w14:textId="791F5763" w:rsidR="00776F95" w:rsidRDefault="00776F95" w:rsidP="002C7B33">
      <w:pPr>
        <w:pStyle w:val="NormalWeb"/>
        <w:shd w:val="clear" w:color="auto" w:fill="FFFFFF"/>
        <w:spacing w:line="276" w:lineRule="auto"/>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sidRPr="00753088">
        <w:rPr>
          <w:rFonts w:ascii="Open Sans" w:hAnsi="Open Sans" w:cs="Open Sans"/>
          <w:color w:val="000000"/>
        </w:rPr>
        <w:t xml:space="preserve">de segunda mano </w:t>
      </w:r>
      <w:r>
        <w:rPr>
          <w:rFonts w:ascii="Open Sans" w:hAnsi="Open Sans" w:cs="Open Sans"/>
          <w:color w:val="000000"/>
        </w:rPr>
        <w:t xml:space="preserve">más caras en España, </w:t>
      </w:r>
      <w:r w:rsidRPr="00467BFA">
        <w:rPr>
          <w:rFonts w:ascii="Open Sans" w:hAnsi="Open Sans" w:cs="Open Sans"/>
          <w:color w:val="000000"/>
        </w:rPr>
        <w:t>se encuentran Madrid</w:t>
      </w:r>
      <w:r>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País Vasco,</w:t>
      </w:r>
      <w:r w:rsidRPr="00467BFA">
        <w:rPr>
          <w:rFonts w:ascii="Open Sans" w:hAnsi="Open Sans" w:cs="Open Sans"/>
          <w:color w:val="000000"/>
        </w:rPr>
        <w:t xml:space="preserve"> </w:t>
      </w:r>
      <w:r>
        <w:rPr>
          <w:rFonts w:ascii="Open Sans" w:hAnsi="Open Sans" w:cs="Open Sans"/>
          <w:color w:val="000000"/>
        </w:rPr>
        <w:t xml:space="preserve">con los </w:t>
      </w:r>
      <w:r w:rsidRPr="002E03E2">
        <w:rPr>
          <w:rFonts w:ascii="Open Sans" w:hAnsi="Open Sans" w:cs="Open Sans"/>
          <w:color w:val="000000"/>
        </w:rPr>
        <w:t xml:space="preserve">precios </w:t>
      </w:r>
      <w:r>
        <w:rPr>
          <w:rFonts w:ascii="Open Sans" w:hAnsi="Open Sans" w:cs="Open Sans"/>
          <w:color w:val="000000"/>
        </w:rPr>
        <w:t>de</w:t>
      </w:r>
      <w:r w:rsidRPr="002E03E2">
        <w:rPr>
          <w:rFonts w:ascii="Open Sans" w:hAnsi="Open Sans" w:cs="Open Sans"/>
          <w:color w:val="000000"/>
        </w:rPr>
        <w:t xml:space="preserve"> </w:t>
      </w:r>
      <w:r>
        <w:rPr>
          <w:rFonts w:ascii="Open Sans" w:hAnsi="Open Sans" w:cs="Open Sans"/>
          <w:color w:val="000000"/>
        </w:rPr>
        <w:t>3.0</w:t>
      </w:r>
      <w:r w:rsidR="00CF0A9F">
        <w:rPr>
          <w:rFonts w:ascii="Open Sans" w:hAnsi="Open Sans" w:cs="Open Sans"/>
          <w:color w:val="000000"/>
        </w:rPr>
        <w:t>64</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Pr="00467BFA">
        <w:rPr>
          <w:rFonts w:ascii="Open Sans" w:hAnsi="Open Sans" w:cs="Open Sans"/>
          <w:color w:val="000000"/>
        </w:rPr>
        <w:t xml:space="preserve"> y los </w:t>
      </w:r>
      <w:r>
        <w:rPr>
          <w:rFonts w:ascii="Open Sans" w:hAnsi="Open Sans" w:cs="Open Sans"/>
          <w:color w:val="000000"/>
        </w:rPr>
        <w:t>2</w:t>
      </w:r>
      <w:r w:rsidR="002B6931">
        <w:rPr>
          <w:rFonts w:ascii="Open Sans" w:hAnsi="Open Sans" w:cs="Open Sans"/>
          <w:color w:val="000000"/>
        </w:rPr>
        <w:t>.79</w:t>
      </w:r>
      <w:r w:rsidR="00CF0A9F">
        <w:rPr>
          <w:rFonts w:ascii="Open Sans" w:hAnsi="Open Sans" w:cs="Open Sans"/>
          <w:color w:val="000000"/>
        </w:rPr>
        <w:t>4</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respectivamente. Le siguen, </w:t>
      </w:r>
      <w:r w:rsidRPr="00776F95">
        <w:rPr>
          <w:rFonts w:ascii="Open Sans" w:hAnsi="Open Sans" w:cs="Open Sans"/>
          <w:color w:val="000000"/>
        </w:rPr>
        <w:t xml:space="preserve">Baleares </w:t>
      </w:r>
      <w:r>
        <w:rPr>
          <w:rFonts w:ascii="Open Sans" w:hAnsi="Open Sans" w:cs="Open Sans"/>
          <w:color w:val="000000"/>
        </w:rPr>
        <w:t>con</w:t>
      </w:r>
      <w:r w:rsidRPr="00776F95">
        <w:rPr>
          <w:rFonts w:ascii="Open Sans" w:hAnsi="Open Sans" w:cs="Open Sans"/>
          <w:color w:val="000000"/>
        </w:rPr>
        <w:t xml:space="preserve"> 2.7</w:t>
      </w:r>
      <w:r w:rsidR="00CF0A9F">
        <w:rPr>
          <w:rFonts w:ascii="Open Sans" w:hAnsi="Open Sans" w:cs="Open Sans"/>
          <w:color w:val="000000"/>
        </w:rPr>
        <w:t>58</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Cataluña </w:t>
      </w:r>
      <w:r>
        <w:rPr>
          <w:rFonts w:ascii="Open Sans" w:hAnsi="Open Sans" w:cs="Open Sans"/>
          <w:color w:val="000000"/>
        </w:rPr>
        <w:t>con</w:t>
      </w:r>
      <w:r w:rsidRPr="00776F95">
        <w:rPr>
          <w:rFonts w:ascii="Open Sans" w:hAnsi="Open Sans" w:cs="Open Sans"/>
          <w:color w:val="000000"/>
        </w:rPr>
        <w:t xml:space="preserve"> 2.4</w:t>
      </w:r>
      <w:r w:rsidR="00CF0A9F">
        <w:rPr>
          <w:rFonts w:ascii="Open Sans" w:hAnsi="Open Sans" w:cs="Open Sans"/>
          <w:color w:val="000000"/>
        </w:rPr>
        <w:t>43</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Canarias </w:t>
      </w:r>
      <w:r>
        <w:rPr>
          <w:rFonts w:ascii="Open Sans" w:hAnsi="Open Sans" w:cs="Open Sans"/>
          <w:color w:val="000000"/>
        </w:rPr>
        <w:t>con</w:t>
      </w:r>
      <w:r w:rsidRPr="00776F95">
        <w:rPr>
          <w:rFonts w:ascii="Open Sans" w:hAnsi="Open Sans" w:cs="Open Sans"/>
          <w:color w:val="000000"/>
        </w:rPr>
        <w:t xml:space="preserve"> 1.7</w:t>
      </w:r>
      <w:r w:rsidR="00CF0A9F">
        <w:rPr>
          <w:rFonts w:ascii="Open Sans" w:hAnsi="Open Sans" w:cs="Open Sans"/>
          <w:color w:val="000000"/>
        </w:rPr>
        <w:t>96</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Cantabria </w:t>
      </w:r>
      <w:r>
        <w:rPr>
          <w:rFonts w:ascii="Open Sans" w:hAnsi="Open Sans" w:cs="Open Sans"/>
          <w:color w:val="000000"/>
        </w:rPr>
        <w:t>con</w:t>
      </w:r>
      <w:r w:rsidRPr="00776F95">
        <w:rPr>
          <w:rFonts w:ascii="Open Sans" w:hAnsi="Open Sans" w:cs="Open Sans"/>
          <w:color w:val="000000"/>
        </w:rPr>
        <w:t xml:space="preserve"> 1.7</w:t>
      </w:r>
      <w:r w:rsidR="00CF0A9F">
        <w:rPr>
          <w:rFonts w:ascii="Open Sans" w:hAnsi="Open Sans" w:cs="Open Sans"/>
          <w:color w:val="000000"/>
        </w:rPr>
        <w:t>31</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Andalucía </w:t>
      </w:r>
      <w:r>
        <w:rPr>
          <w:rFonts w:ascii="Open Sans" w:hAnsi="Open Sans" w:cs="Open Sans"/>
          <w:color w:val="000000"/>
        </w:rPr>
        <w:t>con</w:t>
      </w:r>
      <w:r w:rsidRPr="00776F95">
        <w:rPr>
          <w:rFonts w:ascii="Open Sans" w:hAnsi="Open Sans" w:cs="Open Sans"/>
          <w:color w:val="000000"/>
        </w:rPr>
        <w:t xml:space="preserve"> 1.6</w:t>
      </w:r>
      <w:r w:rsidR="002B6931">
        <w:rPr>
          <w:rFonts w:ascii="Open Sans" w:hAnsi="Open Sans" w:cs="Open Sans"/>
          <w:color w:val="000000"/>
        </w:rPr>
        <w:t>3</w:t>
      </w:r>
      <w:r w:rsidR="00CF0A9F">
        <w:rPr>
          <w:rFonts w:ascii="Open Sans" w:hAnsi="Open Sans" w:cs="Open Sans"/>
          <w:color w:val="000000"/>
        </w:rPr>
        <w:t>9</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2B6931" w:rsidRPr="00776F95">
        <w:rPr>
          <w:rFonts w:ascii="Open Sans" w:hAnsi="Open Sans" w:cs="Open Sans"/>
          <w:color w:val="000000"/>
        </w:rPr>
        <w:t>Navarra</w:t>
      </w:r>
      <w:r w:rsidR="002B6931">
        <w:rPr>
          <w:rFonts w:ascii="Open Sans" w:hAnsi="Open Sans" w:cs="Open Sans"/>
          <w:color w:val="000000"/>
        </w:rPr>
        <w:t xml:space="preserve"> con</w:t>
      </w:r>
      <w:r w:rsidR="002B6931" w:rsidRPr="00776F95">
        <w:rPr>
          <w:rFonts w:ascii="Open Sans" w:hAnsi="Open Sans" w:cs="Open Sans"/>
          <w:color w:val="000000"/>
        </w:rPr>
        <w:t xml:space="preserve"> 1.</w:t>
      </w:r>
      <w:r w:rsidR="002B6931">
        <w:rPr>
          <w:rFonts w:ascii="Open Sans" w:hAnsi="Open Sans" w:cs="Open Sans"/>
          <w:color w:val="000000"/>
        </w:rPr>
        <w:t>6</w:t>
      </w:r>
      <w:r w:rsidR="00CF0A9F">
        <w:rPr>
          <w:rFonts w:ascii="Open Sans" w:hAnsi="Open Sans" w:cs="Open Sans"/>
          <w:color w:val="000000"/>
        </w:rPr>
        <w:t>20</w:t>
      </w:r>
      <w:r w:rsidR="002B6931" w:rsidRPr="00776F95">
        <w:rPr>
          <w:rFonts w:ascii="Open Sans" w:hAnsi="Open Sans" w:cs="Open Sans"/>
          <w:color w:val="000000"/>
        </w:rPr>
        <w:t xml:space="preserve"> </w:t>
      </w:r>
      <w:r w:rsidR="00F23A6E">
        <w:rPr>
          <w:rFonts w:ascii="Open Sans" w:hAnsi="Open Sans" w:cs="Open Sans"/>
          <w:color w:val="000000"/>
        </w:rPr>
        <w:t>euros/m</w:t>
      </w:r>
      <w:r w:rsidR="002B6931" w:rsidRPr="00FC4BCC">
        <w:rPr>
          <w:rFonts w:ascii="Open Sans" w:hAnsi="Open Sans" w:cs="Open Sans"/>
          <w:color w:val="000000"/>
          <w:vertAlign w:val="superscript"/>
        </w:rPr>
        <w:t>2</w:t>
      </w:r>
      <w:r w:rsidR="002B6931" w:rsidRPr="002B6931">
        <w:rPr>
          <w:rFonts w:ascii="Open Sans" w:hAnsi="Open Sans" w:cs="Open Sans"/>
          <w:color w:val="000000"/>
        </w:rPr>
        <w:t xml:space="preserve">, </w:t>
      </w:r>
      <w:r w:rsidRPr="00776F95">
        <w:rPr>
          <w:rFonts w:ascii="Open Sans" w:hAnsi="Open Sans" w:cs="Open Sans"/>
          <w:color w:val="000000"/>
        </w:rPr>
        <w:t xml:space="preserve">Aragón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5</w:t>
      </w:r>
      <w:r w:rsidR="00CF0A9F">
        <w:rPr>
          <w:rFonts w:ascii="Open Sans" w:hAnsi="Open Sans" w:cs="Open Sans"/>
          <w:color w:val="000000"/>
        </w:rPr>
        <w:t>70</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Galicia </w:t>
      </w:r>
      <w:r>
        <w:rPr>
          <w:rFonts w:ascii="Open Sans" w:hAnsi="Open Sans" w:cs="Open Sans"/>
          <w:color w:val="000000"/>
        </w:rPr>
        <w:t>con</w:t>
      </w:r>
      <w:r w:rsidRPr="00776F95">
        <w:rPr>
          <w:rFonts w:ascii="Open Sans" w:hAnsi="Open Sans" w:cs="Open Sans"/>
          <w:color w:val="000000"/>
        </w:rPr>
        <w:t xml:space="preserve"> 1.5</w:t>
      </w:r>
      <w:r w:rsidR="00CF0A9F">
        <w:rPr>
          <w:rFonts w:ascii="Open Sans" w:hAnsi="Open Sans" w:cs="Open Sans"/>
          <w:color w:val="000000"/>
        </w:rPr>
        <w:t>5</w:t>
      </w:r>
      <w:r w:rsidR="002B6931">
        <w:rPr>
          <w:rFonts w:ascii="Open Sans" w:hAnsi="Open Sans" w:cs="Open Sans"/>
          <w:color w:val="000000"/>
        </w:rPr>
        <w:t>5</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Asturias </w:t>
      </w:r>
      <w:r>
        <w:rPr>
          <w:rFonts w:ascii="Open Sans" w:hAnsi="Open Sans" w:cs="Open Sans"/>
          <w:color w:val="000000"/>
        </w:rPr>
        <w:t>con</w:t>
      </w:r>
      <w:r w:rsidRPr="00776F95">
        <w:rPr>
          <w:rFonts w:ascii="Open Sans" w:hAnsi="Open Sans" w:cs="Open Sans"/>
          <w:color w:val="000000"/>
        </w:rPr>
        <w:t xml:space="preserve"> 1.5</w:t>
      </w:r>
      <w:r w:rsidR="002B6931">
        <w:rPr>
          <w:rFonts w:ascii="Open Sans" w:hAnsi="Open Sans" w:cs="Open Sans"/>
          <w:color w:val="000000"/>
        </w:rPr>
        <w:t>4</w:t>
      </w:r>
      <w:r w:rsidR="00CF0A9F">
        <w:rPr>
          <w:rFonts w:ascii="Open Sans" w:hAnsi="Open Sans" w:cs="Open Sans"/>
          <w:color w:val="000000"/>
        </w:rPr>
        <w:t>6</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Castilla y León </w:t>
      </w:r>
      <w:r>
        <w:rPr>
          <w:rFonts w:ascii="Open Sans" w:hAnsi="Open Sans" w:cs="Open Sans"/>
          <w:color w:val="000000"/>
        </w:rPr>
        <w:t>con</w:t>
      </w:r>
      <w:r w:rsidRPr="00776F95">
        <w:rPr>
          <w:rFonts w:ascii="Open Sans" w:hAnsi="Open Sans" w:cs="Open Sans"/>
          <w:color w:val="000000"/>
        </w:rPr>
        <w:t xml:space="preserve"> 1.4</w:t>
      </w:r>
      <w:r w:rsidR="002B6931">
        <w:rPr>
          <w:rFonts w:ascii="Open Sans" w:hAnsi="Open Sans" w:cs="Open Sans"/>
          <w:color w:val="000000"/>
        </w:rPr>
        <w:t>3</w:t>
      </w:r>
      <w:r w:rsidR="00CF0A9F">
        <w:rPr>
          <w:rFonts w:ascii="Open Sans" w:hAnsi="Open Sans" w:cs="Open Sans"/>
          <w:color w:val="000000"/>
        </w:rPr>
        <w:t>6</w:t>
      </w:r>
      <w:r w:rsidR="00472BD0">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00472BD0">
        <w:rPr>
          <w:rFonts w:ascii="Open Sans" w:hAnsi="Open Sans" w:cs="Open Sans"/>
          <w:color w:val="000000"/>
        </w:rPr>
        <w:t xml:space="preserve"> </w:t>
      </w:r>
      <w:r w:rsidR="00E9520C" w:rsidRPr="00776F95">
        <w:rPr>
          <w:rFonts w:ascii="Open Sans" w:hAnsi="Open Sans" w:cs="Open Sans"/>
          <w:color w:val="000000"/>
        </w:rPr>
        <w:t xml:space="preserve">La Rioja </w:t>
      </w:r>
      <w:r>
        <w:rPr>
          <w:rFonts w:ascii="Open Sans" w:hAnsi="Open Sans" w:cs="Open Sans"/>
          <w:color w:val="000000"/>
        </w:rPr>
        <w:t>con</w:t>
      </w:r>
      <w:r w:rsidRPr="00776F95">
        <w:rPr>
          <w:rFonts w:ascii="Open Sans" w:hAnsi="Open Sans" w:cs="Open Sans"/>
          <w:color w:val="000000"/>
        </w:rPr>
        <w:t xml:space="preserve"> 1.4</w:t>
      </w:r>
      <w:r w:rsidR="00E9520C">
        <w:rPr>
          <w:rFonts w:ascii="Open Sans" w:hAnsi="Open Sans" w:cs="Open Sans"/>
          <w:color w:val="000000"/>
        </w:rPr>
        <w:t>1</w:t>
      </w:r>
      <w:r w:rsidR="00CF0A9F">
        <w:rPr>
          <w:rFonts w:ascii="Open Sans" w:hAnsi="Open Sans" w:cs="Open Sans"/>
          <w:color w:val="000000"/>
        </w:rPr>
        <w:t>4</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E9520C" w:rsidRPr="00776F95">
        <w:rPr>
          <w:rFonts w:ascii="Open Sans" w:hAnsi="Open Sans" w:cs="Open Sans"/>
          <w:color w:val="000000"/>
        </w:rPr>
        <w:t xml:space="preserve">Comunitat </w:t>
      </w:r>
      <w:r w:rsidR="00E9520C" w:rsidRPr="00776F95">
        <w:rPr>
          <w:rFonts w:ascii="Open Sans" w:hAnsi="Open Sans" w:cs="Open Sans"/>
          <w:color w:val="000000"/>
        </w:rPr>
        <w:lastRenderedPageBreak/>
        <w:t xml:space="preserve">Valenciana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4</w:t>
      </w:r>
      <w:r w:rsidR="00CF0A9F">
        <w:rPr>
          <w:rFonts w:ascii="Open Sans" w:hAnsi="Open Sans" w:cs="Open Sans"/>
          <w:color w:val="000000"/>
        </w:rPr>
        <w:t>11</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Región de Murcia </w:t>
      </w:r>
      <w:r>
        <w:rPr>
          <w:rFonts w:ascii="Open Sans" w:hAnsi="Open Sans" w:cs="Open Sans"/>
          <w:color w:val="000000"/>
        </w:rPr>
        <w:t>con</w:t>
      </w:r>
      <w:r w:rsidRPr="00776F95">
        <w:rPr>
          <w:rFonts w:ascii="Open Sans" w:hAnsi="Open Sans" w:cs="Open Sans"/>
          <w:color w:val="000000"/>
        </w:rPr>
        <w:t xml:space="preserve"> 1.1</w:t>
      </w:r>
      <w:r w:rsidR="002B6931">
        <w:rPr>
          <w:rFonts w:ascii="Open Sans" w:hAnsi="Open Sans" w:cs="Open Sans"/>
          <w:color w:val="000000"/>
        </w:rPr>
        <w:t>6</w:t>
      </w:r>
      <w:r w:rsidR="00CF0A9F">
        <w:rPr>
          <w:rFonts w:ascii="Open Sans" w:hAnsi="Open Sans" w:cs="Open Sans"/>
          <w:color w:val="000000"/>
        </w:rPr>
        <w:t>3</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00472BD0">
        <w:rPr>
          <w:rFonts w:ascii="Open Sans" w:hAnsi="Open Sans" w:cs="Open Sans"/>
          <w:color w:val="000000"/>
        </w:rPr>
        <w:t>,</w:t>
      </w:r>
      <w:r w:rsidRPr="00776F95">
        <w:rPr>
          <w:rFonts w:ascii="Open Sans" w:hAnsi="Open Sans" w:cs="Open Sans"/>
          <w:color w:val="000000"/>
        </w:rPr>
        <w:t xml:space="preserve"> Castilla-La Mancha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1</w:t>
      </w:r>
      <w:r w:rsidR="00CF0A9F">
        <w:rPr>
          <w:rFonts w:ascii="Open Sans" w:hAnsi="Open Sans" w:cs="Open Sans"/>
          <w:color w:val="000000"/>
        </w:rPr>
        <w:t>15</w:t>
      </w:r>
      <w:r w:rsidR="002B6931">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y</w:t>
      </w:r>
      <w:r w:rsidRPr="00776F95">
        <w:rPr>
          <w:rFonts w:ascii="Open Sans" w:hAnsi="Open Sans" w:cs="Open Sans"/>
          <w:color w:val="000000"/>
        </w:rPr>
        <w:t xml:space="preserve"> Extremadura </w:t>
      </w:r>
      <w:r>
        <w:rPr>
          <w:rFonts w:ascii="Open Sans" w:hAnsi="Open Sans" w:cs="Open Sans"/>
          <w:color w:val="000000"/>
        </w:rPr>
        <w:t>con</w:t>
      </w:r>
      <w:r w:rsidRPr="00776F95">
        <w:rPr>
          <w:rFonts w:ascii="Open Sans" w:hAnsi="Open Sans" w:cs="Open Sans"/>
          <w:color w:val="000000"/>
        </w:rPr>
        <w:t xml:space="preserve"> 1.</w:t>
      </w:r>
      <w:r w:rsidR="00CF0A9F">
        <w:rPr>
          <w:rFonts w:ascii="Open Sans" w:hAnsi="Open Sans" w:cs="Open Sans"/>
          <w:color w:val="000000"/>
        </w:rPr>
        <w:t>108</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  </w:t>
      </w:r>
    </w:p>
    <w:p w14:paraId="78450FEF" w14:textId="4580EAFC" w:rsidR="003966AF" w:rsidRPr="00921BB0" w:rsidRDefault="003966AF" w:rsidP="003966AF">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t xml:space="preserve">“La variación interanual a nivel nacional de este mes de febrero (-2,3%) es otro síntoma claro de que el precio de la vivienda en nuestro país se está moderando. Durante 2020 vamos a ver cómo el precio de la vivienda de segunda mano sufre descensos y claramente hemos dejado atrás los grandes incrementos interanuales a los que habíamos asistido hace justo un año. No obstante, los precios no se comportan de igual manera en todas las comunidades y en </w:t>
      </w:r>
      <w:r w:rsidRPr="00921BB0">
        <w:rPr>
          <w:rFonts w:ascii="Open Sans" w:hAnsi="Open Sans" w:cs="Open Sans"/>
          <w:color w:val="000000"/>
        </w:rPr>
        <w:t xml:space="preserve">Madrid, Canarias y Baleares los precios continúan subiendo con más fuerza que el resto de las comunidades, que tienen un comportamiento más moderado o incluso registran ya caídas interanuales en el precio de la vivienda en venta”, explica Ismael Kardoudi, director de Estudios y Formación de </w:t>
      </w:r>
      <w:hyperlink r:id="rId10" w:history="1">
        <w:r w:rsidRPr="00921BB0">
          <w:rPr>
            <w:rStyle w:val="Hipervnculo"/>
            <w:rFonts w:ascii="Open Sans" w:hAnsi="Open Sans" w:cs="Open Sans"/>
          </w:rPr>
          <w:t>Fotocasa</w:t>
        </w:r>
      </w:hyperlink>
      <w:r w:rsidRPr="00921BB0">
        <w:rPr>
          <w:rFonts w:ascii="Open Sans" w:hAnsi="Open Sans" w:cs="Open Sans"/>
          <w:color w:val="000000"/>
        </w:rPr>
        <w:t>.</w:t>
      </w:r>
    </w:p>
    <w:p w14:paraId="7BB1E204" w14:textId="77777777" w:rsidR="003966AF" w:rsidRDefault="003966AF" w:rsidP="002C7B33">
      <w:pPr>
        <w:pStyle w:val="NormalWeb"/>
        <w:shd w:val="clear" w:color="auto" w:fill="FFFFFF"/>
        <w:spacing w:line="276" w:lineRule="auto"/>
        <w:rPr>
          <w:rFonts w:ascii="Open Sans Light" w:hAnsi="Open Sans Light" w:cs="Open Sans Light"/>
          <w:b/>
          <w:iCs/>
          <w:color w:val="303AB2"/>
          <w:sz w:val="28"/>
          <w:szCs w:val="22"/>
        </w:rPr>
      </w:pPr>
    </w:p>
    <w:p w14:paraId="0B4A6B90" w14:textId="11F83FBD" w:rsidR="00FE756C" w:rsidRDefault="00FE756C" w:rsidP="002C7B33">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t>CCAA de mayor a menor incremento mensual</w:t>
      </w:r>
    </w:p>
    <w:tbl>
      <w:tblPr>
        <w:tblStyle w:val="Tabladecuadrcula5oscura-nfasis11"/>
        <w:tblW w:w="9086" w:type="dxa"/>
        <w:tblInd w:w="-5" w:type="dxa"/>
        <w:tblLook w:val="04A0" w:firstRow="1" w:lastRow="0" w:firstColumn="1" w:lastColumn="0" w:noHBand="0" w:noVBand="1"/>
      </w:tblPr>
      <w:tblGrid>
        <w:gridCol w:w="2727"/>
        <w:gridCol w:w="2348"/>
        <w:gridCol w:w="2013"/>
        <w:gridCol w:w="1998"/>
      </w:tblGrid>
      <w:tr w:rsidR="008D2BF4" w:rsidRPr="004F310E" w14:paraId="485D3CA1" w14:textId="77777777" w:rsidTr="003B3FA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7FF43BDC" w14:textId="034F6037" w:rsidR="008D2BF4" w:rsidRPr="004F310E" w:rsidRDefault="00AD1466" w:rsidP="002C7B33">
            <w:pPr>
              <w:rPr>
                <w:rFonts w:ascii="Open Sans" w:hAnsi="Open Sans" w:cs="Open Sans"/>
                <w:bCs w:val="0"/>
                <w:sz w:val="22"/>
                <w:szCs w:val="22"/>
                <w:lang w:val="es-ES"/>
              </w:rPr>
            </w:pPr>
            <w:r w:rsidRPr="004F310E">
              <w:rPr>
                <w:rFonts w:ascii="Open Sans" w:hAnsi="Open Sans" w:cs="Open Sans"/>
                <w:bCs w:val="0"/>
                <w:sz w:val="22"/>
                <w:szCs w:val="22"/>
                <w:lang w:val="es-ES"/>
              </w:rPr>
              <w:t>Comunidad Autónoma</w:t>
            </w:r>
          </w:p>
        </w:tc>
        <w:tc>
          <w:tcPr>
            <w:tcW w:w="2348" w:type="dxa"/>
            <w:vAlign w:val="center"/>
          </w:tcPr>
          <w:p w14:paraId="57A95A4F"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Variación</w:t>
            </w:r>
          </w:p>
          <w:p w14:paraId="16FA7E6A"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mensual (%)</w:t>
            </w:r>
          </w:p>
        </w:tc>
        <w:tc>
          <w:tcPr>
            <w:tcW w:w="2013" w:type="dxa"/>
            <w:vAlign w:val="center"/>
          </w:tcPr>
          <w:p w14:paraId="22D069B3"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4F310E">
              <w:rPr>
                <w:rFonts w:ascii="Open Sans" w:hAnsi="Open Sans" w:cs="Open Sans"/>
                <w:sz w:val="22"/>
                <w:szCs w:val="22"/>
                <w:lang w:val="es-ES"/>
              </w:rPr>
              <w:t>Variación interanual (%)</w:t>
            </w:r>
          </w:p>
        </w:tc>
        <w:tc>
          <w:tcPr>
            <w:tcW w:w="1998" w:type="dxa"/>
            <w:vAlign w:val="center"/>
          </w:tcPr>
          <w:p w14:paraId="620A2C83" w14:textId="460D6CAD" w:rsidR="000F48F6" w:rsidRPr="004F310E" w:rsidRDefault="00CF0A9F"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0F48F6" w:rsidRPr="004F310E">
              <w:rPr>
                <w:rFonts w:ascii="Open Sans" w:hAnsi="Open Sans" w:cs="Open Sans"/>
                <w:bCs w:val="0"/>
                <w:sz w:val="22"/>
                <w:szCs w:val="22"/>
                <w:lang w:val="es-ES"/>
              </w:rPr>
              <w:t>. 20</w:t>
            </w:r>
            <w:r w:rsidR="004F310E" w:rsidRPr="004F310E">
              <w:rPr>
                <w:rFonts w:ascii="Open Sans" w:hAnsi="Open Sans" w:cs="Open Sans"/>
                <w:bCs w:val="0"/>
                <w:sz w:val="22"/>
                <w:szCs w:val="22"/>
                <w:lang w:val="es-ES"/>
              </w:rPr>
              <w:t>20</w:t>
            </w:r>
          </w:p>
          <w:p w14:paraId="60AF83B9" w14:textId="6B6A6888" w:rsidR="008D2BF4" w:rsidRPr="004F310E"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4F310E">
              <w:rPr>
                <w:rFonts w:ascii="Open Sans" w:hAnsi="Open Sans" w:cs="Open Sans"/>
                <w:bCs w:val="0"/>
                <w:sz w:val="22"/>
                <w:szCs w:val="22"/>
                <w:lang w:val="es-ES"/>
              </w:rPr>
              <w:t>²)</w:t>
            </w:r>
          </w:p>
        </w:tc>
      </w:tr>
      <w:tr w:rsidR="00CF0A9F" w:rsidRPr="004F310E" w14:paraId="09B582FD" w14:textId="77777777" w:rsidTr="00C325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BEBBFF5" w14:textId="52583E56"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Extremadura </w:t>
            </w:r>
          </w:p>
        </w:tc>
        <w:tc>
          <w:tcPr>
            <w:tcW w:w="2348" w:type="dxa"/>
            <w:vAlign w:val="bottom"/>
          </w:tcPr>
          <w:p w14:paraId="5E30012E" w14:textId="215403A2"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1,4 %</w:t>
            </w:r>
          </w:p>
        </w:tc>
        <w:tc>
          <w:tcPr>
            <w:tcW w:w="2013" w:type="dxa"/>
            <w:vAlign w:val="bottom"/>
          </w:tcPr>
          <w:p w14:paraId="72AA201E" w14:textId="67AE3D30"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98" w:type="dxa"/>
            <w:vAlign w:val="bottom"/>
          </w:tcPr>
          <w:p w14:paraId="039F1A02" w14:textId="488A36D6"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1.108 € </w:t>
            </w:r>
          </w:p>
        </w:tc>
      </w:tr>
      <w:tr w:rsidR="00CF0A9F" w:rsidRPr="004F310E" w14:paraId="47076A30"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36EE999" w14:textId="55F07E01"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Cataluña </w:t>
            </w:r>
          </w:p>
        </w:tc>
        <w:tc>
          <w:tcPr>
            <w:tcW w:w="2348" w:type="dxa"/>
            <w:vAlign w:val="bottom"/>
          </w:tcPr>
          <w:p w14:paraId="21044336" w14:textId="7B92DA09"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0,8 %</w:t>
            </w:r>
          </w:p>
        </w:tc>
        <w:tc>
          <w:tcPr>
            <w:tcW w:w="2013" w:type="dxa"/>
            <w:vAlign w:val="bottom"/>
          </w:tcPr>
          <w:p w14:paraId="3B934409" w14:textId="2720DA43"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-3,5 %</w:t>
            </w:r>
          </w:p>
        </w:tc>
        <w:tc>
          <w:tcPr>
            <w:tcW w:w="1998" w:type="dxa"/>
            <w:vAlign w:val="bottom"/>
          </w:tcPr>
          <w:p w14:paraId="1BA5E9CF" w14:textId="708D4A35"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2.443 € </w:t>
            </w:r>
          </w:p>
        </w:tc>
      </w:tr>
      <w:tr w:rsidR="00CF0A9F" w:rsidRPr="004F310E" w14:paraId="5EB6D7E9"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28191ED" w14:textId="68416C8F"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Castilla-La Mancha </w:t>
            </w:r>
          </w:p>
        </w:tc>
        <w:tc>
          <w:tcPr>
            <w:tcW w:w="2348" w:type="dxa"/>
            <w:vAlign w:val="bottom"/>
          </w:tcPr>
          <w:p w14:paraId="3FC7E672" w14:textId="741A00FF"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0,6 %</w:t>
            </w:r>
          </w:p>
        </w:tc>
        <w:tc>
          <w:tcPr>
            <w:tcW w:w="2013" w:type="dxa"/>
            <w:vAlign w:val="bottom"/>
          </w:tcPr>
          <w:p w14:paraId="72E089D7" w14:textId="717D848B"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998" w:type="dxa"/>
            <w:vAlign w:val="bottom"/>
          </w:tcPr>
          <w:p w14:paraId="2B14F990" w14:textId="719E066C"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1.115 € </w:t>
            </w:r>
          </w:p>
        </w:tc>
      </w:tr>
      <w:tr w:rsidR="00CF0A9F" w:rsidRPr="004F310E" w14:paraId="3B13B025"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85F43E" w14:textId="49A469A8"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Baleares </w:t>
            </w:r>
          </w:p>
        </w:tc>
        <w:tc>
          <w:tcPr>
            <w:tcW w:w="2348" w:type="dxa"/>
            <w:vAlign w:val="bottom"/>
          </w:tcPr>
          <w:p w14:paraId="58F7A5E5" w14:textId="39E81B05"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0,5 %</w:t>
            </w:r>
          </w:p>
        </w:tc>
        <w:tc>
          <w:tcPr>
            <w:tcW w:w="2013" w:type="dxa"/>
            <w:vAlign w:val="bottom"/>
          </w:tcPr>
          <w:p w14:paraId="2FA424F3" w14:textId="6A43DA5C"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6,3 %</w:t>
            </w:r>
          </w:p>
        </w:tc>
        <w:tc>
          <w:tcPr>
            <w:tcW w:w="1998" w:type="dxa"/>
            <w:vAlign w:val="bottom"/>
          </w:tcPr>
          <w:p w14:paraId="472A4130" w14:textId="2024869D"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2.758 € </w:t>
            </w:r>
          </w:p>
        </w:tc>
      </w:tr>
      <w:tr w:rsidR="00CF0A9F" w:rsidRPr="004F310E" w14:paraId="73E327B1"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594FE2" w14:textId="296C4571"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Andalucía </w:t>
            </w:r>
          </w:p>
        </w:tc>
        <w:tc>
          <w:tcPr>
            <w:tcW w:w="2348" w:type="dxa"/>
            <w:vAlign w:val="bottom"/>
          </w:tcPr>
          <w:p w14:paraId="665A8623" w14:textId="16FFE810"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0,5 %</w:t>
            </w:r>
          </w:p>
        </w:tc>
        <w:tc>
          <w:tcPr>
            <w:tcW w:w="2013" w:type="dxa"/>
            <w:vAlign w:val="bottom"/>
          </w:tcPr>
          <w:p w14:paraId="39D8E26E" w14:textId="45DD7EC2"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0,7 %</w:t>
            </w:r>
          </w:p>
        </w:tc>
        <w:tc>
          <w:tcPr>
            <w:tcW w:w="1998" w:type="dxa"/>
            <w:vAlign w:val="bottom"/>
          </w:tcPr>
          <w:p w14:paraId="50735726" w14:textId="07BCC188"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1.639 € </w:t>
            </w:r>
          </w:p>
        </w:tc>
      </w:tr>
      <w:tr w:rsidR="00CF0A9F" w:rsidRPr="004F310E" w14:paraId="040BFA58"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7697CD" w14:textId="4DD531D5"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Navarra </w:t>
            </w:r>
          </w:p>
        </w:tc>
        <w:tc>
          <w:tcPr>
            <w:tcW w:w="2348" w:type="dxa"/>
            <w:vAlign w:val="bottom"/>
          </w:tcPr>
          <w:p w14:paraId="1CAA7FE5" w14:textId="13F0AE9F"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0,4 %</w:t>
            </w:r>
          </w:p>
        </w:tc>
        <w:tc>
          <w:tcPr>
            <w:tcW w:w="2013" w:type="dxa"/>
            <w:vAlign w:val="bottom"/>
          </w:tcPr>
          <w:p w14:paraId="53F947BC" w14:textId="0D2166DB"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998" w:type="dxa"/>
            <w:vAlign w:val="bottom"/>
          </w:tcPr>
          <w:p w14:paraId="1D41E572" w14:textId="499F7682"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1.620 € </w:t>
            </w:r>
          </w:p>
        </w:tc>
      </w:tr>
      <w:tr w:rsidR="00CF0A9F" w:rsidRPr="004F310E" w14:paraId="57534E86"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A8FB0B9" w14:textId="2F414A5D"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Madrid </w:t>
            </w:r>
          </w:p>
        </w:tc>
        <w:tc>
          <w:tcPr>
            <w:tcW w:w="2348" w:type="dxa"/>
            <w:vAlign w:val="bottom"/>
          </w:tcPr>
          <w:p w14:paraId="557B903C" w14:textId="4BD72938"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0,4 %</w:t>
            </w:r>
          </w:p>
        </w:tc>
        <w:tc>
          <w:tcPr>
            <w:tcW w:w="2013" w:type="dxa"/>
            <w:vAlign w:val="bottom"/>
          </w:tcPr>
          <w:p w14:paraId="00591E46" w14:textId="1710BE48"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4,2 %</w:t>
            </w:r>
          </w:p>
        </w:tc>
        <w:tc>
          <w:tcPr>
            <w:tcW w:w="1998" w:type="dxa"/>
            <w:vAlign w:val="bottom"/>
          </w:tcPr>
          <w:p w14:paraId="75EB1A0D" w14:textId="56DA4C89"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3.064 € </w:t>
            </w:r>
          </w:p>
        </w:tc>
      </w:tr>
      <w:tr w:rsidR="00CF0A9F" w:rsidRPr="004F310E" w14:paraId="22F5D23D"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1F83ED3" w14:textId="6F33C678"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Comunitat Valenciana </w:t>
            </w:r>
          </w:p>
        </w:tc>
        <w:tc>
          <w:tcPr>
            <w:tcW w:w="2348" w:type="dxa"/>
            <w:vAlign w:val="bottom"/>
          </w:tcPr>
          <w:p w14:paraId="1B8EFDD2" w14:textId="2A8CA52E"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0,3 %</w:t>
            </w:r>
          </w:p>
        </w:tc>
        <w:tc>
          <w:tcPr>
            <w:tcW w:w="2013" w:type="dxa"/>
            <w:vAlign w:val="bottom"/>
          </w:tcPr>
          <w:p w14:paraId="57AC1A9C" w14:textId="354B2DBA"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0,6 %</w:t>
            </w:r>
          </w:p>
        </w:tc>
        <w:tc>
          <w:tcPr>
            <w:tcW w:w="1998" w:type="dxa"/>
            <w:vAlign w:val="bottom"/>
          </w:tcPr>
          <w:p w14:paraId="0085AACB" w14:textId="78FB690D"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1.411 € </w:t>
            </w:r>
          </w:p>
        </w:tc>
      </w:tr>
      <w:tr w:rsidR="00CF0A9F" w:rsidRPr="004F310E" w14:paraId="3BA2598E"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B8F333F" w14:textId="51608A68"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Asturias </w:t>
            </w:r>
          </w:p>
        </w:tc>
        <w:tc>
          <w:tcPr>
            <w:tcW w:w="2348" w:type="dxa"/>
            <w:vAlign w:val="bottom"/>
          </w:tcPr>
          <w:p w14:paraId="4FADC8FF" w14:textId="701012A4"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0,3 %</w:t>
            </w:r>
          </w:p>
        </w:tc>
        <w:tc>
          <w:tcPr>
            <w:tcW w:w="2013" w:type="dxa"/>
            <w:vAlign w:val="bottom"/>
          </w:tcPr>
          <w:p w14:paraId="5904BD58" w14:textId="51C527D6"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1998" w:type="dxa"/>
            <w:vAlign w:val="bottom"/>
          </w:tcPr>
          <w:p w14:paraId="25E0C996" w14:textId="14DCDA3B"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1.546 € </w:t>
            </w:r>
          </w:p>
        </w:tc>
      </w:tr>
      <w:tr w:rsidR="00CF0A9F" w:rsidRPr="004F310E" w14:paraId="723BDD90"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E528329" w14:textId="5044D40B"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Canarias </w:t>
            </w:r>
          </w:p>
        </w:tc>
        <w:tc>
          <w:tcPr>
            <w:tcW w:w="2348" w:type="dxa"/>
            <w:vAlign w:val="bottom"/>
          </w:tcPr>
          <w:p w14:paraId="1E7EAF49" w14:textId="00BEFA5D"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0,3 %</w:t>
            </w:r>
          </w:p>
        </w:tc>
        <w:tc>
          <w:tcPr>
            <w:tcW w:w="2013" w:type="dxa"/>
            <w:vAlign w:val="bottom"/>
          </w:tcPr>
          <w:p w14:paraId="7D1752DD" w14:textId="0351F351"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5,4 %</w:t>
            </w:r>
          </w:p>
        </w:tc>
        <w:tc>
          <w:tcPr>
            <w:tcW w:w="1998" w:type="dxa"/>
            <w:vAlign w:val="bottom"/>
          </w:tcPr>
          <w:p w14:paraId="02D2F634" w14:textId="3BFA043C"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1.796 € </w:t>
            </w:r>
          </w:p>
        </w:tc>
      </w:tr>
      <w:tr w:rsidR="00CF0A9F" w:rsidRPr="004F310E" w14:paraId="26FB16E0"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AFD1C0" w14:textId="1763CB3B"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Cantabria </w:t>
            </w:r>
          </w:p>
        </w:tc>
        <w:tc>
          <w:tcPr>
            <w:tcW w:w="2348" w:type="dxa"/>
            <w:vAlign w:val="bottom"/>
          </w:tcPr>
          <w:p w14:paraId="5D0EAE01" w14:textId="0D0B2956"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000000"/>
                <w:sz w:val="22"/>
                <w:szCs w:val="22"/>
              </w:rPr>
              <w:t>0,2 %</w:t>
            </w:r>
          </w:p>
        </w:tc>
        <w:tc>
          <w:tcPr>
            <w:tcW w:w="2013" w:type="dxa"/>
            <w:vAlign w:val="bottom"/>
          </w:tcPr>
          <w:p w14:paraId="173654ED" w14:textId="51419935"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1,3 %</w:t>
            </w:r>
          </w:p>
        </w:tc>
        <w:tc>
          <w:tcPr>
            <w:tcW w:w="1998" w:type="dxa"/>
            <w:vAlign w:val="bottom"/>
          </w:tcPr>
          <w:p w14:paraId="1A64C58B" w14:textId="585C3C98"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1.731 € </w:t>
            </w:r>
          </w:p>
        </w:tc>
      </w:tr>
      <w:tr w:rsidR="00CF0A9F" w:rsidRPr="004F310E" w14:paraId="21379E25"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9A95DC1" w14:textId="2373446C"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Castilla y León </w:t>
            </w:r>
          </w:p>
        </w:tc>
        <w:tc>
          <w:tcPr>
            <w:tcW w:w="2348" w:type="dxa"/>
            <w:vAlign w:val="bottom"/>
          </w:tcPr>
          <w:p w14:paraId="417E6870" w14:textId="6792ABA8"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000000"/>
                <w:sz w:val="22"/>
                <w:szCs w:val="22"/>
              </w:rPr>
              <w:t>0,2 %</w:t>
            </w:r>
          </w:p>
        </w:tc>
        <w:tc>
          <w:tcPr>
            <w:tcW w:w="2013" w:type="dxa"/>
            <w:vAlign w:val="bottom"/>
          </w:tcPr>
          <w:p w14:paraId="29797ACA" w14:textId="4F6E8979"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1998" w:type="dxa"/>
            <w:vAlign w:val="bottom"/>
          </w:tcPr>
          <w:p w14:paraId="346852A7" w14:textId="7D1F3B46"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1.436 € </w:t>
            </w:r>
          </w:p>
        </w:tc>
      </w:tr>
      <w:tr w:rsidR="00CF0A9F" w:rsidRPr="004F310E" w14:paraId="3B8F27F2"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DBAC43C" w14:textId="6C283048"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La Rioja </w:t>
            </w:r>
          </w:p>
        </w:tc>
        <w:tc>
          <w:tcPr>
            <w:tcW w:w="2348" w:type="dxa"/>
            <w:vAlign w:val="bottom"/>
          </w:tcPr>
          <w:p w14:paraId="310726FC" w14:textId="3E18F532"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000000"/>
                <w:sz w:val="22"/>
                <w:szCs w:val="22"/>
              </w:rPr>
              <w:t>0,1 %</w:t>
            </w:r>
          </w:p>
        </w:tc>
        <w:tc>
          <w:tcPr>
            <w:tcW w:w="2013" w:type="dxa"/>
            <w:vAlign w:val="bottom"/>
          </w:tcPr>
          <w:p w14:paraId="7A6F6EAE" w14:textId="6E5F3F87"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1998" w:type="dxa"/>
            <w:vAlign w:val="bottom"/>
          </w:tcPr>
          <w:p w14:paraId="1FF600F3" w14:textId="3D789565"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1.414 € </w:t>
            </w:r>
          </w:p>
        </w:tc>
      </w:tr>
      <w:tr w:rsidR="00CF0A9F" w:rsidRPr="004F310E" w14:paraId="397C31D9"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FC3531" w14:textId="60C73808"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Región de Murcia </w:t>
            </w:r>
          </w:p>
        </w:tc>
        <w:tc>
          <w:tcPr>
            <w:tcW w:w="2348" w:type="dxa"/>
            <w:vAlign w:val="bottom"/>
          </w:tcPr>
          <w:p w14:paraId="4F91A78A" w14:textId="5C78F3C6"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-0,1 %</w:t>
            </w:r>
          </w:p>
        </w:tc>
        <w:tc>
          <w:tcPr>
            <w:tcW w:w="2013" w:type="dxa"/>
            <w:vAlign w:val="bottom"/>
          </w:tcPr>
          <w:p w14:paraId="21D53406" w14:textId="7D6D8B16"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1998" w:type="dxa"/>
            <w:vAlign w:val="bottom"/>
          </w:tcPr>
          <w:p w14:paraId="0B398A52" w14:textId="0DACFB40"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1.163 € </w:t>
            </w:r>
          </w:p>
        </w:tc>
      </w:tr>
      <w:tr w:rsidR="00CF0A9F" w:rsidRPr="004F310E" w14:paraId="51CA11A5"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91254D" w14:textId="5EEB5841"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País Vasco </w:t>
            </w:r>
          </w:p>
        </w:tc>
        <w:tc>
          <w:tcPr>
            <w:tcW w:w="2348" w:type="dxa"/>
            <w:vAlign w:val="bottom"/>
          </w:tcPr>
          <w:p w14:paraId="1750E227" w14:textId="6C2DE038"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-0,1 %</w:t>
            </w:r>
          </w:p>
        </w:tc>
        <w:tc>
          <w:tcPr>
            <w:tcW w:w="2013" w:type="dxa"/>
            <w:vAlign w:val="bottom"/>
          </w:tcPr>
          <w:p w14:paraId="1500AA4B" w14:textId="0C498A70"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998" w:type="dxa"/>
            <w:vAlign w:val="bottom"/>
          </w:tcPr>
          <w:p w14:paraId="5591B498" w14:textId="77A88E63"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2.794 € </w:t>
            </w:r>
          </w:p>
        </w:tc>
      </w:tr>
      <w:tr w:rsidR="00CF0A9F" w:rsidRPr="004F310E" w14:paraId="3367902D"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013CC65" w14:textId="3D856F68"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Galicia </w:t>
            </w:r>
          </w:p>
        </w:tc>
        <w:tc>
          <w:tcPr>
            <w:tcW w:w="2348" w:type="dxa"/>
            <w:vAlign w:val="bottom"/>
          </w:tcPr>
          <w:p w14:paraId="22951649" w14:textId="3DBC0CD1"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-0,6 %</w:t>
            </w:r>
          </w:p>
        </w:tc>
        <w:tc>
          <w:tcPr>
            <w:tcW w:w="2013" w:type="dxa"/>
            <w:vAlign w:val="bottom"/>
          </w:tcPr>
          <w:p w14:paraId="4C84AEF5" w14:textId="47EB94F7"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-4,7 %</w:t>
            </w:r>
          </w:p>
        </w:tc>
        <w:tc>
          <w:tcPr>
            <w:tcW w:w="1998" w:type="dxa"/>
            <w:vAlign w:val="bottom"/>
          </w:tcPr>
          <w:p w14:paraId="1938CEF0" w14:textId="6ABA2F9B" w:rsidR="00CF0A9F" w:rsidRPr="004F310E"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1.555 € </w:t>
            </w:r>
          </w:p>
        </w:tc>
      </w:tr>
      <w:tr w:rsidR="00CF0A9F" w:rsidRPr="004F310E" w14:paraId="1EE70406"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12D0A9" w14:textId="4C0C5D91" w:rsidR="00CF0A9F" w:rsidRPr="00CF0A9F" w:rsidRDefault="00CF0A9F" w:rsidP="00CF0A9F">
            <w:pPr>
              <w:rPr>
                <w:rFonts w:ascii="Open Sans" w:hAnsi="Open Sans" w:cs="Open Sans"/>
                <w:b w:val="0"/>
                <w:bCs w:val="0"/>
                <w:sz w:val="22"/>
                <w:szCs w:val="22"/>
              </w:rPr>
            </w:pPr>
            <w:r w:rsidRPr="00CF0A9F">
              <w:rPr>
                <w:rFonts w:ascii="Open Sans" w:hAnsi="Open Sans" w:cs="Open Sans"/>
                <w:b w:val="0"/>
                <w:bCs w:val="0"/>
                <w:sz w:val="22"/>
                <w:szCs w:val="22"/>
              </w:rPr>
              <w:t xml:space="preserve"> Aragón </w:t>
            </w:r>
          </w:p>
        </w:tc>
        <w:tc>
          <w:tcPr>
            <w:tcW w:w="2348" w:type="dxa"/>
            <w:vAlign w:val="bottom"/>
          </w:tcPr>
          <w:p w14:paraId="17DBB3B8" w14:textId="324C3B18"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-1,0 %</w:t>
            </w:r>
          </w:p>
        </w:tc>
        <w:tc>
          <w:tcPr>
            <w:tcW w:w="2013" w:type="dxa"/>
            <w:vAlign w:val="bottom"/>
          </w:tcPr>
          <w:p w14:paraId="628A68E4" w14:textId="283AE19C"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1998" w:type="dxa"/>
            <w:vAlign w:val="bottom"/>
          </w:tcPr>
          <w:p w14:paraId="72E6E4DE" w14:textId="28829AE1" w:rsidR="00CF0A9F" w:rsidRPr="004F310E" w:rsidRDefault="00CF0A9F" w:rsidP="00CF0A9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1.570 € </w:t>
            </w:r>
          </w:p>
        </w:tc>
      </w:tr>
      <w:tr w:rsidR="00CF0A9F" w:rsidRPr="004F310E" w14:paraId="554E3E34"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F9218E6" w14:textId="52204176" w:rsidR="00CF0A9F" w:rsidRPr="00CF0A9F" w:rsidRDefault="00CF0A9F" w:rsidP="00CF0A9F">
            <w:pPr>
              <w:rPr>
                <w:rFonts w:ascii="Open Sans" w:hAnsi="Open Sans" w:cs="Open Sans"/>
                <w:sz w:val="22"/>
                <w:szCs w:val="22"/>
              </w:rPr>
            </w:pPr>
            <w:r w:rsidRPr="00CF0A9F">
              <w:rPr>
                <w:rFonts w:ascii="Open Sans" w:hAnsi="Open Sans" w:cs="Open Sans"/>
                <w:sz w:val="22"/>
                <w:szCs w:val="22"/>
              </w:rPr>
              <w:t xml:space="preserve"> España </w:t>
            </w:r>
          </w:p>
        </w:tc>
        <w:tc>
          <w:tcPr>
            <w:tcW w:w="2348" w:type="dxa"/>
            <w:vAlign w:val="bottom"/>
          </w:tcPr>
          <w:p w14:paraId="42D1E44E" w14:textId="4393C167" w:rsidR="00CF0A9F" w:rsidRPr="00CF0A9F"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CF0A9F">
              <w:rPr>
                <w:rFonts w:ascii="Open Sans" w:hAnsi="Open Sans" w:cs="Open Sans"/>
                <w:b/>
                <w:bCs/>
                <w:color w:val="000000"/>
                <w:sz w:val="22"/>
                <w:szCs w:val="22"/>
              </w:rPr>
              <w:t>0,1 %</w:t>
            </w:r>
          </w:p>
        </w:tc>
        <w:tc>
          <w:tcPr>
            <w:tcW w:w="2013" w:type="dxa"/>
            <w:vAlign w:val="bottom"/>
          </w:tcPr>
          <w:p w14:paraId="09305962" w14:textId="4A11CAE4" w:rsidR="00CF0A9F" w:rsidRPr="00CF0A9F"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CF0A9F">
              <w:rPr>
                <w:rFonts w:ascii="Open Sans" w:hAnsi="Open Sans" w:cs="Open Sans"/>
                <w:b/>
                <w:bCs/>
                <w:color w:val="9C0006"/>
                <w:sz w:val="22"/>
                <w:szCs w:val="22"/>
              </w:rPr>
              <w:t>-2,3 %</w:t>
            </w:r>
          </w:p>
        </w:tc>
        <w:tc>
          <w:tcPr>
            <w:tcW w:w="1998" w:type="dxa"/>
            <w:vAlign w:val="bottom"/>
          </w:tcPr>
          <w:p w14:paraId="1EE1BE4C" w14:textId="7FCBB03E" w:rsidR="00CF0A9F" w:rsidRPr="00CF0A9F" w:rsidRDefault="00CF0A9F" w:rsidP="00CF0A9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CF0A9F">
              <w:rPr>
                <w:rFonts w:ascii="Open Sans" w:hAnsi="Open Sans" w:cs="Open Sans"/>
                <w:b/>
                <w:bCs/>
                <w:color w:val="000000"/>
                <w:sz w:val="22"/>
                <w:szCs w:val="22"/>
              </w:rPr>
              <w:t xml:space="preserve">          1.843 € </w:t>
            </w:r>
          </w:p>
        </w:tc>
      </w:tr>
    </w:tbl>
    <w:p w14:paraId="45B033F9" w14:textId="77777777" w:rsidR="004D3A34" w:rsidRPr="004D3A34" w:rsidRDefault="004D3A34"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10"/>
          <w:szCs w:val="8"/>
        </w:rPr>
      </w:pPr>
    </w:p>
    <w:p w14:paraId="54E04979" w14:textId="77777777" w:rsidR="003966AF" w:rsidRDefault="003966AF"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p>
    <w:p w14:paraId="3FCF623B" w14:textId="77777777" w:rsidR="003966AF" w:rsidRDefault="003966AF"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p>
    <w:p w14:paraId="7E7B2147" w14:textId="3B6F81B2" w:rsidR="00FB5607" w:rsidRDefault="00156927"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El precio de la vivienda sube en el 50% de las provincias</w:t>
      </w:r>
    </w:p>
    <w:p w14:paraId="7EAAF2CB" w14:textId="6603A1AD" w:rsidR="00833FBC" w:rsidRPr="00086538" w:rsidRDefault="00FB5607" w:rsidP="00086538">
      <w:pPr>
        <w:spacing w:line="276" w:lineRule="auto"/>
        <w:jc w:val="both"/>
        <w:rPr>
          <w:rFonts w:ascii="Open Sans" w:eastAsia="Times New Roman" w:hAnsi="Open Sans" w:cs="Open Sans"/>
          <w:color w:val="000000"/>
          <w:lang w:val="es-ES" w:eastAsia="es-ES"/>
        </w:rPr>
      </w:pPr>
      <w:r>
        <w:rPr>
          <w:rFonts w:ascii="Open Sans" w:hAnsi="Open Sans" w:cs="Open Sans"/>
          <w:color w:val="000000"/>
        </w:rPr>
        <w:t xml:space="preserve">En </w:t>
      </w:r>
      <w:r w:rsidR="00833FBC">
        <w:rPr>
          <w:rFonts w:ascii="Open Sans" w:hAnsi="Open Sans" w:cs="Open Sans"/>
          <w:color w:val="000000"/>
        </w:rPr>
        <w:t>31</w:t>
      </w:r>
      <w:r w:rsidR="00197D6A">
        <w:rPr>
          <w:rFonts w:ascii="Open Sans" w:hAnsi="Open Sans" w:cs="Open Sans"/>
          <w:color w:val="000000"/>
        </w:rPr>
        <w:t xml:space="preserve"> de las</w:t>
      </w:r>
      <w:r w:rsidR="00D15EC8">
        <w:rPr>
          <w:rFonts w:ascii="Open Sans" w:hAnsi="Open Sans" w:cs="Open Sans"/>
          <w:color w:val="000000"/>
        </w:rPr>
        <w:t xml:space="preserve"> </w:t>
      </w:r>
      <w:r w:rsidR="003C2D34">
        <w:rPr>
          <w:rFonts w:ascii="Open Sans" w:hAnsi="Open Sans" w:cs="Open Sans"/>
          <w:color w:val="000000"/>
        </w:rPr>
        <w:t>50</w:t>
      </w:r>
      <w:r w:rsidR="00D15EC8">
        <w:rPr>
          <w:rFonts w:ascii="Open Sans" w:hAnsi="Open Sans" w:cs="Open Sans"/>
          <w:color w:val="000000"/>
        </w:rPr>
        <w:t xml:space="preserve"> </w:t>
      </w:r>
      <w:r w:rsidR="00DE1605" w:rsidRPr="00DB7E4F">
        <w:rPr>
          <w:rFonts w:ascii="Open Sans" w:hAnsi="Open Sans" w:cs="Open Sans"/>
          <w:color w:val="000000"/>
        </w:rPr>
        <w:t xml:space="preserve">provincias </w:t>
      </w:r>
      <w:r w:rsidR="00AD1466">
        <w:rPr>
          <w:rFonts w:ascii="Open Sans" w:hAnsi="Open Sans" w:cs="Open Sans"/>
          <w:color w:val="000000"/>
        </w:rPr>
        <w:t>sube</w:t>
      </w:r>
      <w:r w:rsidR="00DE1605" w:rsidRPr="00DB7E4F">
        <w:rPr>
          <w:rFonts w:ascii="Open Sans" w:hAnsi="Open Sans" w:cs="Open Sans"/>
          <w:color w:val="000000"/>
        </w:rPr>
        <w:t xml:space="preserve"> el precio en </w:t>
      </w:r>
      <w:r w:rsidR="003F3FE5">
        <w:rPr>
          <w:rFonts w:ascii="Open Sans" w:hAnsi="Open Sans" w:cs="Open Sans"/>
          <w:color w:val="000000"/>
        </w:rPr>
        <w:t xml:space="preserve">el </w:t>
      </w:r>
      <w:r w:rsidR="00DE1605" w:rsidRPr="00DB7E4F">
        <w:rPr>
          <w:rFonts w:ascii="Open Sans" w:hAnsi="Open Sans" w:cs="Open Sans"/>
          <w:color w:val="000000"/>
        </w:rPr>
        <w:t xml:space="preserve">mes de </w:t>
      </w:r>
      <w:r w:rsidR="0018778E">
        <w:rPr>
          <w:rFonts w:ascii="Open Sans" w:hAnsi="Open Sans" w:cs="Open Sans"/>
          <w:color w:val="000000"/>
        </w:rPr>
        <w:t>febrero</w:t>
      </w:r>
      <w:r w:rsidR="00DE1605" w:rsidRPr="00DB7E4F">
        <w:rPr>
          <w:rFonts w:ascii="Open Sans" w:hAnsi="Open Sans" w:cs="Open Sans"/>
          <w:color w:val="000000"/>
        </w:rPr>
        <w:t xml:space="preserve">. </w:t>
      </w:r>
      <w:r w:rsidR="00D15EC8">
        <w:rPr>
          <w:rFonts w:ascii="Open Sans" w:hAnsi="Open Sans" w:cs="Open Sans"/>
          <w:color w:val="000000"/>
        </w:rPr>
        <w:t>La</w:t>
      </w:r>
      <w:r w:rsidR="00197D6A">
        <w:rPr>
          <w:rFonts w:ascii="Open Sans" w:hAnsi="Open Sans" w:cs="Open Sans"/>
          <w:color w:val="000000"/>
        </w:rPr>
        <w:t>s</w:t>
      </w:r>
      <w:r w:rsidR="00D15EC8">
        <w:rPr>
          <w:rFonts w:ascii="Open Sans" w:hAnsi="Open Sans" w:cs="Open Sans"/>
          <w:color w:val="000000"/>
        </w:rPr>
        <w:t xml:space="preserve"> provincia</w:t>
      </w:r>
      <w:r w:rsidR="00197D6A">
        <w:rPr>
          <w:rFonts w:ascii="Open Sans" w:hAnsi="Open Sans" w:cs="Open Sans"/>
          <w:color w:val="000000"/>
        </w:rPr>
        <w:t>s</w:t>
      </w:r>
      <w:r w:rsidR="00D15EC8">
        <w:rPr>
          <w:rFonts w:ascii="Open Sans" w:hAnsi="Open Sans" w:cs="Open Sans"/>
          <w:color w:val="000000"/>
        </w:rPr>
        <w:t xml:space="preserve"> con </w:t>
      </w:r>
      <w:r w:rsidR="005D142F">
        <w:rPr>
          <w:rFonts w:ascii="Open Sans" w:hAnsi="Open Sans" w:cs="Open Sans"/>
          <w:color w:val="000000"/>
        </w:rPr>
        <w:t xml:space="preserve">los diez primeros </w:t>
      </w:r>
      <w:r w:rsidR="00AD1466">
        <w:rPr>
          <w:rFonts w:ascii="Open Sans" w:hAnsi="Open Sans" w:cs="Open Sans"/>
          <w:color w:val="000000"/>
        </w:rPr>
        <w:t>incrementos</w:t>
      </w:r>
      <w:r w:rsidR="00D15EC8">
        <w:rPr>
          <w:rFonts w:ascii="Open Sans" w:hAnsi="Open Sans" w:cs="Open Sans"/>
          <w:color w:val="000000"/>
        </w:rPr>
        <w:t xml:space="preserve"> </w:t>
      </w:r>
      <w:r w:rsidR="005D142F">
        <w:rPr>
          <w:rFonts w:ascii="Open Sans" w:hAnsi="Open Sans" w:cs="Open Sans"/>
          <w:color w:val="000000"/>
        </w:rPr>
        <w:t xml:space="preserve">del ranking </w:t>
      </w:r>
      <w:r w:rsidR="00197D6A">
        <w:rPr>
          <w:rFonts w:ascii="Open Sans" w:hAnsi="Open Sans" w:cs="Open Sans"/>
          <w:color w:val="000000"/>
        </w:rPr>
        <w:t>son</w:t>
      </w:r>
      <w:r w:rsidR="00AD1466">
        <w:rPr>
          <w:rFonts w:ascii="Open Sans" w:hAnsi="Open Sans" w:cs="Open Sans"/>
          <w:color w:val="000000"/>
        </w:rPr>
        <w:t>:</w:t>
      </w:r>
      <w:r w:rsidR="00197D6A">
        <w:rPr>
          <w:rFonts w:ascii="Open Sans" w:hAnsi="Open Sans" w:cs="Open Sans"/>
          <w:color w:val="000000"/>
        </w:rPr>
        <w:t xml:space="preserve"> </w:t>
      </w:r>
      <w:r w:rsidR="00833FBC" w:rsidRPr="00833FBC">
        <w:rPr>
          <w:rFonts w:ascii="Open Sans" w:hAnsi="Open Sans" w:cs="Open Sans"/>
          <w:color w:val="000000"/>
        </w:rPr>
        <w:t xml:space="preserve">Soria </w:t>
      </w:r>
      <w:r w:rsidR="005D142F">
        <w:rPr>
          <w:rFonts w:ascii="Open Sans" w:hAnsi="Open Sans" w:cs="Open Sans"/>
          <w:color w:val="000000"/>
        </w:rPr>
        <w:t>(3,</w:t>
      </w:r>
      <w:r w:rsidR="00833FBC">
        <w:rPr>
          <w:rFonts w:ascii="Open Sans" w:hAnsi="Open Sans" w:cs="Open Sans"/>
          <w:color w:val="000000"/>
        </w:rPr>
        <w:t>9</w:t>
      </w:r>
      <w:r w:rsidR="005D142F">
        <w:rPr>
          <w:rFonts w:ascii="Open Sans" w:hAnsi="Open Sans" w:cs="Open Sans"/>
          <w:color w:val="000000"/>
        </w:rPr>
        <w:t xml:space="preserve">%), </w:t>
      </w:r>
      <w:r w:rsidR="00833FBC" w:rsidRPr="00833FBC">
        <w:rPr>
          <w:rFonts w:ascii="Open Sans" w:hAnsi="Open Sans" w:cs="Open Sans"/>
          <w:color w:val="000000"/>
        </w:rPr>
        <w:t xml:space="preserve">Lleida </w:t>
      </w:r>
      <w:r w:rsidR="005D142F">
        <w:rPr>
          <w:rFonts w:ascii="Open Sans" w:hAnsi="Open Sans" w:cs="Open Sans"/>
          <w:color w:val="000000"/>
        </w:rPr>
        <w:t xml:space="preserve">(1,9%), </w:t>
      </w:r>
      <w:r w:rsidR="00833FBC" w:rsidRPr="00833FBC">
        <w:rPr>
          <w:rFonts w:ascii="Open Sans" w:hAnsi="Open Sans" w:cs="Open Sans"/>
          <w:color w:val="000000"/>
        </w:rPr>
        <w:t xml:space="preserve">Cáceres </w:t>
      </w:r>
      <w:r w:rsidR="005D142F">
        <w:rPr>
          <w:rFonts w:ascii="Open Sans" w:hAnsi="Open Sans" w:cs="Open Sans"/>
          <w:color w:val="000000"/>
        </w:rPr>
        <w:t>(1,</w:t>
      </w:r>
      <w:r w:rsidR="00833FBC">
        <w:rPr>
          <w:rFonts w:ascii="Open Sans" w:hAnsi="Open Sans" w:cs="Open Sans"/>
          <w:color w:val="000000"/>
        </w:rPr>
        <w:t>6</w:t>
      </w:r>
      <w:r w:rsidR="005D142F">
        <w:rPr>
          <w:rFonts w:ascii="Open Sans" w:hAnsi="Open Sans" w:cs="Open Sans"/>
          <w:color w:val="000000"/>
        </w:rPr>
        <w:t xml:space="preserve">%), </w:t>
      </w:r>
      <w:r w:rsidR="00833FBC" w:rsidRPr="00086538">
        <w:rPr>
          <w:rFonts w:ascii="Open Sans" w:hAnsi="Open Sans" w:cs="Open Sans"/>
          <w:color w:val="000000"/>
        </w:rPr>
        <w:t xml:space="preserve">Teruel </w:t>
      </w:r>
      <w:r w:rsidR="005D142F" w:rsidRPr="00086538">
        <w:rPr>
          <w:rFonts w:ascii="Open Sans" w:hAnsi="Open Sans" w:cs="Open Sans"/>
          <w:color w:val="000000"/>
        </w:rPr>
        <w:t>(1,</w:t>
      </w:r>
      <w:r w:rsidR="00833FBC" w:rsidRPr="00086538">
        <w:rPr>
          <w:rFonts w:ascii="Open Sans" w:hAnsi="Open Sans" w:cs="Open Sans"/>
          <w:color w:val="000000"/>
        </w:rPr>
        <w:t>5</w:t>
      </w:r>
      <w:r w:rsidR="005D142F" w:rsidRPr="00086538">
        <w:rPr>
          <w:rFonts w:ascii="Open Sans" w:hAnsi="Open Sans" w:cs="Open Sans"/>
          <w:color w:val="000000"/>
        </w:rPr>
        <w:t xml:space="preserve">%), </w:t>
      </w:r>
      <w:r w:rsidR="00833FBC" w:rsidRPr="00086538">
        <w:rPr>
          <w:rFonts w:ascii="Open Sans" w:hAnsi="Open Sans" w:cs="Open Sans"/>
          <w:color w:val="000000"/>
        </w:rPr>
        <w:t xml:space="preserve">Badajoz </w:t>
      </w:r>
      <w:r w:rsidR="005D142F" w:rsidRPr="00086538">
        <w:rPr>
          <w:rFonts w:ascii="Open Sans" w:hAnsi="Open Sans" w:cs="Open Sans"/>
          <w:color w:val="000000"/>
        </w:rPr>
        <w:t>(</w:t>
      </w:r>
      <w:r w:rsidR="00833FBC" w:rsidRPr="00086538">
        <w:rPr>
          <w:rFonts w:ascii="Open Sans" w:hAnsi="Open Sans" w:cs="Open Sans"/>
          <w:color w:val="000000"/>
        </w:rPr>
        <w:t>1,4</w:t>
      </w:r>
      <w:r w:rsidR="005D142F" w:rsidRPr="00086538">
        <w:rPr>
          <w:rFonts w:ascii="Open Sans" w:hAnsi="Open Sans" w:cs="Open Sans"/>
          <w:color w:val="000000"/>
        </w:rPr>
        <w:t xml:space="preserve">%), </w:t>
      </w:r>
      <w:r w:rsidR="00833FBC" w:rsidRPr="00086538">
        <w:rPr>
          <w:rFonts w:ascii="Open Sans" w:hAnsi="Open Sans" w:cs="Open Sans"/>
          <w:color w:val="000000"/>
        </w:rPr>
        <w:t xml:space="preserve">Burgos </w:t>
      </w:r>
      <w:r w:rsidR="005D142F" w:rsidRPr="00086538">
        <w:rPr>
          <w:rFonts w:ascii="Open Sans" w:hAnsi="Open Sans" w:cs="Open Sans"/>
          <w:color w:val="000000"/>
        </w:rPr>
        <w:t>(</w:t>
      </w:r>
      <w:r w:rsidR="00833FBC" w:rsidRPr="00086538">
        <w:rPr>
          <w:rFonts w:ascii="Open Sans" w:hAnsi="Open Sans" w:cs="Open Sans"/>
          <w:color w:val="000000"/>
        </w:rPr>
        <w:t>1,2</w:t>
      </w:r>
      <w:r w:rsidR="005D142F" w:rsidRPr="00086538">
        <w:rPr>
          <w:rFonts w:ascii="Open Sans" w:hAnsi="Open Sans" w:cs="Open Sans"/>
          <w:color w:val="000000"/>
        </w:rPr>
        <w:t xml:space="preserve">%), </w:t>
      </w:r>
      <w:r w:rsidR="00833FBC" w:rsidRPr="00086538">
        <w:rPr>
          <w:rFonts w:ascii="Open Sans" w:hAnsi="Open Sans" w:cs="Open Sans"/>
          <w:color w:val="000000"/>
        </w:rPr>
        <w:t xml:space="preserve">Cuenca </w:t>
      </w:r>
      <w:r w:rsidR="005D142F" w:rsidRPr="00086538">
        <w:rPr>
          <w:rFonts w:ascii="Open Sans" w:hAnsi="Open Sans" w:cs="Open Sans"/>
          <w:color w:val="000000"/>
        </w:rPr>
        <w:t>(</w:t>
      </w:r>
      <w:r w:rsidR="00833FBC" w:rsidRPr="00086538">
        <w:rPr>
          <w:rFonts w:ascii="Open Sans" w:hAnsi="Open Sans" w:cs="Open Sans"/>
          <w:color w:val="000000"/>
        </w:rPr>
        <w:t>1,1</w:t>
      </w:r>
      <w:r w:rsidR="005D142F" w:rsidRPr="00086538">
        <w:rPr>
          <w:rFonts w:ascii="Open Sans" w:hAnsi="Open Sans" w:cs="Open Sans"/>
          <w:color w:val="000000"/>
        </w:rPr>
        <w:t xml:space="preserve">%), </w:t>
      </w:r>
      <w:r w:rsidR="00833FBC" w:rsidRPr="00086538">
        <w:rPr>
          <w:rFonts w:ascii="Open Sans" w:hAnsi="Open Sans" w:cs="Open Sans"/>
          <w:color w:val="000000"/>
        </w:rPr>
        <w:t xml:space="preserve">Ciudad Real </w:t>
      </w:r>
      <w:r w:rsidR="005D142F" w:rsidRPr="00086538">
        <w:rPr>
          <w:rFonts w:ascii="Open Sans" w:hAnsi="Open Sans" w:cs="Open Sans"/>
          <w:color w:val="000000"/>
        </w:rPr>
        <w:t>(</w:t>
      </w:r>
      <w:r w:rsidR="00833FBC" w:rsidRPr="00086538">
        <w:rPr>
          <w:rFonts w:ascii="Open Sans" w:hAnsi="Open Sans" w:cs="Open Sans"/>
          <w:color w:val="000000"/>
        </w:rPr>
        <w:t>1</w:t>
      </w:r>
      <w:r w:rsidR="005D142F" w:rsidRPr="00086538">
        <w:rPr>
          <w:rFonts w:ascii="Open Sans" w:hAnsi="Open Sans" w:cs="Open Sans"/>
          <w:color w:val="000000"/>
        </w:rPr>
        <w:t>%)</w:t>
      </w:r>
      <w:r w:rsidR="00833FBC" w:rsidRPr="00086538">
        <w:rPr>
          <w:rFonts w:ascii="Open Sans" w:hAnsi="Open Sans" w:cs="Open Sans"/>
          <w:color w:val="000000"/>
        </w:rPr>
        <w:t xml:space="preserve">, Valladolid </w:t>
      </w:r>
      <w:r w:rsidR="005D142F" w:rsidRPr="00086538">
        <w:rPr>
          <w:rFonts w:ascii="Open Sans" w:hAnsi="Open Sans" w:cs="Open Sans"/>
          <w:color w:val="000000"/>
        </w:rPr>
        <w:t>(0,</w:t>
      </w:r>
      <w:r w:rsidR="00833FBC" w:rsidRPr="00086538">
        <w:rPr>
          <w:rFonts w:ascii="Open Sans" w:hAnsi="Open Sans" w:cs="Open Sans"/>
          <w:color w:val="000000"/>
        </w:rPr>
        <w:t>8</w:t>
      </w:r>
      <w:r w:rsidR="005D142F" w:rsidRPr="00086538">
        <w:rPr>
          <w:rFonts w:ascii="Open Sans" w:hAnsi="Open Sans" w:cs="Open Sans"/>
          <w:color w:val="000000"/>
        </w:rPr>
        <w:t>%)</w:t>
      </w:r>
      <w:r w:rsidR="00833FBC" w:rsidRPr="00086538">
        <w:rPr>
          <w:rFonts w:ascii="Open Sans" w:hAnsi="Open Sans" w:cs="Open Sans"/>
          <w:color w:val="000000"/>
        </w:rPr>
        <w:t xml:space="preserve"> y </w:t>
      </w:r>
      <w:r w:rsidR="00833FBC" w:rsidRPr="00086538">
        <w:rPr>
          <w:rFonts w:ascii="Open Sans" w:eastAsia="Times New Roman" w:hAnsi="Open Sans" w:cs="Open Sans"/>
          <w:color w:val="000000"/>
          <w:lang w:val="es-ES" w:eastAsia="es-ES"/>
        </w:rPr>
        <w:t>Barcelona (0,8%).</w:t>
      </w:r>
    </w:p>
    <w:p w14:paraId="780F1825" w14:textId="77777777" w:rsidR="00086538" w:rsidRPr="00086538" w:rsidRDefault="00086538" w:rsidP="00086538">
      <w:pPr>
        <w:pStyle w:val="NormalWeb"/>
        <w:shd w:val="clear" w:color="auto" w:fill="FFFFFF"/>
        <w:spacing w:before="0" w:beforeAutospacing="0" w:after="225" w:afterAutospacing="0" w:line="276" w:lineRule="auto"/>
        <w:jc w:val="both"/>
        <w:rPr>
          <w:rFonts w:ascii="Open Sans" w:hAnsi="Open Sans" w:cs="Open Sans"/>
          <w:color w:val="000000"/>
          <w:sz w:val="8"/>
          <w:szCs w:val="8"/>
        </w:rPr>
      </w:pPr>
    </w:p>
    <w:p w14:paraId="5B063DC1" w14:textId="32354E01" w:rsidR="001B0D22" w:rsidRPr="00086538" w:rsidRDefault="00DE1605" w:rsidP="00086538">
      <w:pPr>
        <w:pStyle w:val="NormalWeb"/>
        <w:shd w:val="clear" w:color="auto" w:fill="FFFFFF"/>
        <w:spacing w:before="0" w:beforeAutospacing="0" w:after="225" w:afterAutospacing="0" w:line="276" w:lineRule="auto"/>
        <w:jc w:val="both"/>
        <w:rPr>
          <w:rFonts w:ascii="Open Sans Light" w:hAnsi="Open Sans Light" w:cs="Open Sans Light"/>
          <w:b/>
          <w:iCs/>
          <w:color w:val="303AB2"/>
        </w:rPr>
      </w:pPr>
      <w:r w:rsidRPr="00086538">
        <w:rPr>
          <w:rFonts w:ascii="Open Sans" w:hAnsi="Open Sans" w:cs="Open Sans"/>
          <w:color w:val="000000"/>
        </w:rPr>
        <w:t xml:space="preserve">En cuanto a los precios, </w:t>
      </w:r>
      <w:r w:rsidR="003C2D34" w:rsidRPr="00086538">
        <w:rPr>
          <w:rFonts w:ascii="Open Sans" w:hAnsi="Open Sans" w:cs="Open Sans"/>
          <w:color w:val="000000"/>
        </w:rPr>
        <w:t xml:space="preserve">Madrid </w:t>
      </w:r>
      <w:r w:rsidRPr="00086538">
        <w:rPr>
          <w:rFonts w:ascii="Open Sans" w:hAnsi="Open Sans" w:cs="Open Sans"/>
          <w:color w:val="000000"/>
        </w:rPr>
        <w:t xml:space="preserve">es la provincia más cara </w:t>
      </w:r>
      <w:r w:rsidR="003C2D34" w:rsidRPr="00086538">
        <w:rPr>
          <w:rFonts w:ascii="Open Sans" w:hAnsi="Open Sans" w:cs="Open Sans"/>
          <w:color w:val="000000"/>
        </w:rPr>
        <w:t>3.0</w:t>
      </w:r>
      <w:r w:rsidR="00086538">
        <w:rPr>
          <w:rFonts w:ascii="Open Sans" w:hAnsi="Open Sans" w:cs="Open Sans"/>
          <w:color w:val="000000"/>
        </w:rPr>
        <w:t>64</w:t>
      </w:r>
      <w:r w:rsidR="003C2D34"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 xml:space="preserve">, seguida de </w:t>
      </w:r>
      <w:r w:rsidR="005D142F" w:rsidRPr="00086538">
        <w:rPr>
          <w:rFonts w:ascii="Open Sans" w:hAnsi="Open Sans" w:cs="Open Sans"/>
          <w:color w:val="000000"/>
        </w:rPr>
        <w:t xml:space="preserve">Gipuzkoa </w:t>
      </w:r>
      <w:r w:rsidRPr="00086538">
        <w:rPr>
          <w:rFonts w:ascii="Open Sans" w:hAnsi="Open Sans" w:cs="Open Sans"/>
          <w:color w:val="000000"/>
        </w:rPr>
        <w:t>(</w:t>
      </w:r>
      <w:r w:rsidR="00086538">
        <w:rPr>
          <w:rFonts w:ascii="Open Sans" w:hAnsi="Open Sans" w:cs="Open Sans"/>
          <w:color w:val="000000"/>
        </w:rPr>
        <w:t>3.010</w:t>
      </w:r>
      <w:r w:rsidR="00651A15"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w:t>
      </w:r>
      <w:r w:rsidR="003C2D34" w:rsidRPr="00086538">
        <w:rPr>
          <w:rFonts w:ascii="Open Sans" w:hAnsi="Open Sans" w:cs="Open Sans"/>
          <w:color w:val="000000"/>
        </w:rPr>
        <w:t xml:space="preserve"> y</w:t>
      </w:r>
      <w:r w:rsidRPr="00086538">
        <w:rPr>
          <w:rFonts w:ascii="Open Sans" w:hAnsi="Open Sans" w:cs="Open Sans"/>
          <w:color w:val="000000"/>
        </w:rPr>
        <w:t xml:space="preserve"> </w:t>
      </w:r>
      <w:r w:rsidR="005D142F" w:rsidRPr="00086538">
        <w:rPr>
          <w:rFonts w:ascii="Open Sans" w:hAnsi="Open Sans" w:cs="Open Sans"/>
          <w:color w:val="000000"/>
        </w:rPr>
        <w:t xml:space="preserve">Barcelona </w:t>
      </w:r>
      <w:r w:rsidRPr="00086538">
        <w:rPr>
          <w:rFonts w:ascii="Open Sans" w:hAnsi="Open Sans" w:cs="Open Sans"/>
          <w:color w:val="000000"/>
        </w:rPr>
        <w:t>(</w:t>
      </w:r>
      <w:r w:rsidR="003C2D34" w:rsidRPr="00086538">
        <w:rPr>
          <w:rFonts w:ascii="Open Sans" w:hAnsi="Open Sans" w:cs="Open Sans"/>
          <w:color w:val="000000"/>
        </w:rPr>
        <w:t>2.9</w:t>
      </w:r>
      <w:r w:rsidR="00086538">
        <w:rPr>
          <w:rFonts w:ascii="Open Sans" w:hAnsi="Open Sans" w:cs="Open Sans"/>
          <w:color w:val="000000"/>
        </w:rPr>
        <w:t>88</w:t>
      </w:r>
      <w:r w:rsidR="00F23A6E" w:rsidRPr="00086538">
        <w:rPr>
          <w:rFonts w:ascii="Open Sans" w:hAnsi="Open Sans" w:cs="Open Sans"/>
          <w:color w:val="000000"/>
        </w:rPr>
        <w:t xml:space="preserve"> euros/m</w:t>
      </w:r>
      <w:r w:rsidRPr="00086538">
        <w:rPr>
          <w:rFonts w:ascii="Open Sans" w:hAnsi="Open Sans" w:cs="Open Sans"/>
          <w:color w:val="000000"/>
          <w:vertAlign w:val="superscript"/>
        </w:rPr>
        <w:t>2</w:t>
      </w:r>
      <w:r w:rsidRPr="00086538">
        <w:rPr>
          <w:rFonts w:ascii="Open Sans" w:hAnsi="Open Sans" w:cs="Open Sans"/>
          <w:color w:val="000000"/>
        </w:rPr>
        <w:t>)</w:t>
      </w:r>
      <w:r w:rsidR="00651A15" w:rsidRPr="00086538">
        <w:rPr>
          <w:rFonts w:ascii="Open Sans" w:hAnsi="Open Sans" w:cs="Open Sans"/>
          <w:color w:val="000000"/>
        </w:rPr>
        <w:t>,</w:t>
      </w:r>
      <w:r w:rsidR="003C2D34" w:rsidRPr="00086538">
        <w:rPr>
          <w:rFonts w:ascii="Open Sans" w:hAnsi="Open Sans" w:cs="Open Sans"/>
          <w:color w:val="000000"/>
        </w:rPr>
        <w:t xml:space="preserve"> entre otras. Por otro lado, l</w:t>
      </w:r>
      <w:r w:rsidRPr="00086538">
        <w:rPr>
          <w:rFonts w:ascii="Open Sans" w:hAnsi="Open Sans" w:cs="Open Sans"/>
          <w:color w:val="000000"/>
        </w:rPr>
        <w:t xml:space="preserve">a provincia más económica es </w:t>
      </w:r>
      <w:r w:rsidR="003C2D34" w:rsidRPr="00086538">
        <w:rPr>
          <w:rFonts w:ascii="Open Sans" w:hAnsi="Open Sans" w:cs="Open Sans"/>
          <w:color w:val="000000"/>
        </w:rPr>
        <w:t xml:space="preserve">Toledo </w:t>
      </w:r>
      <w:r w:rsidRPr="00086538">
        <w:rPr>
          <w:rFonts w:ascii="Open Sans" w:hAnsi="Open Sans" w:cs="Open Sans"/>
          <w:color w:val="000000"/>
        </w:rPr>
        <w:t xml:space="preserve">con </w:t>
      </w:r>
      <w:r w:rsidR="003C2D34" w:rsidRPr="00086538">
        <w:rPr>
          <w:rFonts w:ascii="Open Sans" w:hAnsi="Open Sans" w:cs="Open Sans"/>
          <w:color w:val="000000"/>
        </w:rPr>
        <w:t>9</w:t>
      </w:r>
      <w:r w:rsidR="00086538">
        <w:rPr>
          <w:rFonts w:ascii="Open Sans" w:hAnsi="Open Sans" w:cs="Open Sans"/>
          <w:color w:val="000000"/>
        </w:rPr>
        <w:t>77</w:t>
      </w:r>
      <w:r w:rsidR="00AD1466"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001B0D22" w:rsidRPr="00086538">
        <w:rPr>
          <w:rFonts w:ascii="Open Sans" w:hAnsi="Open Sans" w:cs="Open Sans"/>
          <w:color w:val="000000"/>
        </w:rPr>
        <w:t>.</w:t>
      </w:r>
    </w:p>
    <w:tbl>
      <w:tblPr>
        <w:tblStyle w:val="Tabladecuadrcula5oscura-nfasis11"/>
        <w:tblW w:w="9086" w:type="dxa"/>
        <w:tblInd w:w="-5" w:type="dxa"/>
        <w:tblLook w:val="04A0" w:firstRow="1" w:lastRow="0" w:firstColumn="1" w:lastColumn="0" w:noHBand="0" w:noVBand="1"/>
      </w:tblPr>
      <w:tblGrid>
        <w:gridCol w:w="2410"/>
        <w:gridCol w:w="2268"/>
        <w:gridCol w:w="2268"/>
        <w:gridCol w:w="2140"/>
      </w:tblGrid>
      <w:tr w:rsidR="004D3A34" w:rsidRPr="00E40AF9" w14:paraId="23E1213E" w14:textId="77777777" w:rsidTr="0008653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71FD07E" w14:textId="0AE523CA" w:rsidR="004D3A34" w:rsidRPr="00E40AF9" w:rsidRDefault="00197D6A" w:rsidP="002C7B33">
            <w:pPr>
              <w:rPr>
                <w:rFonts w:ascii="Open Sans" w:hAnsi="Open Sans" w:cs="Open Sans"/>
                <w:bCs w:val="0"/>
                <w:sz w:val="22"/>
                <w:szCs w:val="22"/>
                <w:lang w:val="es-ES"/>
              </w:rPr>
            </w:pPr>
            <w:r w:rsidRPr="00E40AF9">
              <w:rPr>
                <w:rFonts w:ascii="Open Sans" w:hAnsi="Open Sans" w:cs="Open Sans"/>
                <w:bCs w:val="0"/>
                <w:sz w:val="22"/>
                <w:szCs w:val="22"/>
                <w:lang w:val="es-ES"/>
              </w:rPr>
              <w:t>Provincia</w:t>
            </w:r>
          </w:p>
        </w:tc>
        <w:tc>
          <w:tcPr>
            <w:tcW w:w="2268" w:type="dxa"/>
            <w:vAlign w:val="center"/>
          </w:tcPr>
          <w:p w14:paraId="4A8E5308"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E40AF9">
              <w:rPr>
                <w:rFonts w:ascii="Open Sans" w:hAnsi="Open Sans" w:cs="Open Sans"/>
                <w:bCs w:val="0"/>
                <w:sz w:val="22"/>
                <w:szCs w:val="22"/>
                <w:lang w:val="es-ES"/>
              </w:rPr>
              <w:t>Variación</w:t>
            </w:r>
          </w:p>
          <w:p w14:paraId="51142AE7"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E40AF9">
              <w:rPr>
                <w:rFonts w:ascii="Open Sans" w:hAnsi="Open Sans" w:cs="Open Sans"/>
                <w:bCs w:val="0"/>
                <w:sz w:val="22"/>
                <w:szCs w:val="22"/>
                <w:lang w:val="es-ES"/>
              </w:rPr>
              <w:t>mensual (%)</w:t>
            </w:r>
          </w:p>
        </w:tc>
        <w:tc>
          <w:tcPr>
            <w:tcW w:w="2268" w:type="dxa"/>
            <w:vAlign w:val="center"/>
          </w:tcPr>
          <w:p w14:paraId="0DBEC753"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E40AF9">
              <w:rPr>
                <w:rFonts w:ascii="Open Sans" w:hAnsi="Open Sans" w:cs="Open Sans"/>
                <w:sz w:val="22"/>
                <w:szCs w:val="22"/>
                <w:lang w:val="es-ES"/>
              </w:rPr>
              <w:t>Variación interanual (%)</w:t>
            </w:r>
          </w:p>
        </w:tc>
        <w:tc>
          <w:tcPr>
            <w:tcW w:w="2140" w:type="dxa"/>
            <w:vAlign w:val="center"/>
          </w:tcPr>
          <w:p w14:paraId="115FCCA3" w14:textId="5ECB3B3E" w:rsidR="000F48F6" w:rsidRPr="00967736" w:rsidRDefault="00086538"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5D142F">
              <w:rPr>
                <w:rFonts w:ascii="Open Sans" w:hAnsi="Open Sans" w:cs="Open Sans"/>
                <w:bCs w:val="0"/>
                <w:sz w:val="22"/>
                <w:szCs w:val="22"/>
                <w:lang w:val="es-ES"/>
              </w:rPr>
              <w:t>.2020</w:t>
            </w:r>
          </w:p>
          <w:p w14:paraId="493F7E67" w14:textId="5F184157" w:rsidR="004D3A34" w:rsidRPr="00E40AF9"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086538" w:rsidRPr="00E40AF9" w14:paraId="2CDFC975"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312746" w14:textId="2B7296C7"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Soria</w:t>
            </w:r>
          </w:p>
        </w:tc>
        <w:tc>
          <w:tcPr>
            <w:tcW w:w="2268" w:type="dxa"/>
            <w:vAlign w:val="bottom"/>
          </w:tcPr>
          <w:p w14:paraId="73BC8C28" w14:textId="3DB27A99"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3,9 %</w:t>
            </w:r>
          </w:p>
        </w:tc>
        <w:tc>
          <w:tcPr>
            <w:tcW w:w="2268" w:type="dxa"/>
            <w:vAlign w:val="bottom"/>
          </w:tcPr>
          <w:p w14:paraId="2359D1AB" w14:textId="03BD002F"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2140" w:type="dxa"/>
            <w:vAlign w:val="bottom"/>
          </w:tcPr>
          <w:p w14:paraId="47CD5FC4" w14:textId="0380812C"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1.261 €</w:t>
            </w:r>
          </w:p>
        </w:tc>
      </w:tr>
      <w:tr w:rsidR="00086538" w:rsidRPr="00E40AF9" w14:paraId="708FE770"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0404C85" w14:textId="6A01E35F"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Lleida</w:t>
            </w:r>
          </w:p>
        </w:tc>
        <w:tc>
          <w:tcPr>
            <w:tcW w:w="2268" w:type="dxa"/>
            <w:vAlign w:val="bottom"/>
          </w:tcPr>
          <w:p w14:paraId="5DC45AF0" w14:textId="5790D3C4"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268" w:type="dxa"/>
            <w:vAlign w:val="bottom"/>
          </w:tcPr>
          <w:p w14:paraId="50E1941C" w14:textId="5AA8E57A"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2140" w:type="dxa"/>
            <w:vAlign w:val="bottom"/>
          </w:tcPr>
          <w:p w14:paraId="78FBD7BA" w14:textId="2BFD8D32"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1.182 €</w:t>
            </w:r>
          </w:p>
        </w:tc>
      </w:tr>
      <w:tr w:rsidR="00086538" w:rsidRPr="00E40AF9" w14:paraId="1A424006"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BAEB10B" w14:textId="7BD3877A"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Cáceres</w:t>
            </w:r>
          </w:p>
        </w:tc>
        <w:tc>
          <w:tcPr>
            <w:tcW w:w="2268" w:type="dxa"/>
            <w:vAlign w:val="bottom"/>
          </w:tcPr>
          <w:p w14:paraId="57CAC87D" w14:textId="50B90AF1"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1,6 %</w:t>
            </w:r>
          </w:p>
        </w:tc>
        <w:tc>
          <w:tcPr>
            <w:tcW w:w="2268" w:type="dxa"/>
            <w:vAlign w:val="bottom"/>
          </w:tcPr>
          <w:p w14:paraId="197A46EB" w14:textId="3737009A"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2140" w:type="dxa"/>
            <w:vAlign w:val="bottom"/>
          </w:tcPr>
          <w:p w14:paraId="02FF613E" w14:textId="63DEAE58"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1.124 €</w:t>
            </w:r>
          </w:p>
        </w:tc>
      </w:tr>
      <w:tr w:rsidR="00086538" w:rsidRPr="00E40AF9" w14:paraId="3F8EAEE0"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A9ED802" w14:textId="367B129A"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Teruel</w:t>
            </w:r>
          </w:p>
        </w:tc>
        <w:tc>
          <w:tcPr>
            <w:tcW w:w="2268" w:type="dxa"/>
            <w:vAlign w:val="bottom"/>
          </w:tcPr>
          <w:p w14:paraId="3AD1AD8D" w14:textId="3E36B07D"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1,5 %</w:t>
            </w:r>
          </w:p>
        </w:tc>
        <w:tc>
          <w:tcPr>
            <w:tcW w:w="2268" w:type="dxa"/>
            <w:vAlign w:val="bottom"/>
          </w:tcPr>
          <w:p w14:paraId="18FBD88F" w14:textId="2FC9EBB3"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2140" w:type="dxa"/>
            <w:vAlign w:val="bottom"/>
          </w:tcPr>
          <w:p w14:paraId="10AFB3BA" w14:textId="776B4A04"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1.165 €</w:t>
            </w:r>
          </w:p>
        </w:tc>
      </w:tr>
      <w:tr w:rsidR="00086538" w:rsidRPr="00E40AF9" w14:paraId="4CBBC9D8"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FD7AC14" w14:textId="5A434EDE"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Badajoz</w:t>
            </w:r>
          </w:p>
        </w:tc>
        <w:tc>
          <w:tcPr>
            <w:tcW w:w="2268" w:type="dxa"/>
            <w:vAlign w:val="bottom"/>
          </w:tcPr>
          <w:p w14:paraId="6FF159E6" w14:textId="44654C28"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1,4 %</w:t>
            </w:r>
          </w:p>
        </w:tc>
        <w:tc>
          <w:tcPr>
            <w:tcW w:w="2268" w:type="dxa"/>
            <w:vAlign w:val="bottom"/>
          </w:tcPr>
          <w:p w14:paraId="1912B635" w14:textId="6B01D0B4"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140" w:type="dxa"/>
            <w:vAlign w:val="bottom"/>
          </w:tcPr>
          <w:p w14:paraId="7DE4C739" w14:textId="24101DBE"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1.102 €</w:t>
            </w:r>
          </w:p>
        </w:tc>
      </w:tr>
      <w:tr w:rsidR="00086538" w:rsidRPr="00E40AF9" w14:paraId="6AA7B483"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B3B5249" w14:textId="15F36360"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Burgos</w:t>
            </w:r>
          </w:p>
        </w:tc>
        <w:tc>
          <w:tcPr>
            <w:tcW w:w="2268" w:type="dxa"/>
            <w:vAlign w:val="bottom"/>
          </w:tcPr>
          <w:p w14:paraId="0DD0AD2A" w14:textId="6ED5896B"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1,2 %</w:t>
            </w:r>
          </w:p>
        </w:tc>
        <w:tc>
          <w:tcPr>
            <w:tcW w:w="2268" w:type="dxa"/>
            <w:vAlign w:val="bottom"/>
          </w:tcPr>
          <w:p w14:paraId="198FD44A" w14:textId="2283D17B"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2140" w:type="dxa"/>
            <w:vAlign w:val="bottom"/>
          </w:tcPr>
          <w:p w14:paraId="3DCFDEEB" w14:textId="738F28EA"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1.500 €</w:t>
            </w:r>
          </w:p>
        </w:tc>
      </w:tr>
      <w:tr w:rsidR="00086538" w:rsidRPr="00E40AF9" w14:paraId="537ED15D"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EC4E8F2" w14:textId="45DA5F89"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Cuenca</w:t>
            </w:r>
          </w:p>
        </w:tc>
        <w:tc>
          <w:tcPr>
            <w:tcW w:w="2268" w:type="dxa"/>
            <w:vAlign w:val="bottom"/>
          </w:tcPr>
          <w:p w14:paraId="23296036" w14:textId="731CD14F"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1,1 %</w:t>
            </w:r>
          </w:p>
        </w:tc>
        <w:tc>
          <w:tcPr>
            <w:tcW w:w="2268" w:type="dxa"/>
            <w:vAlign w:val="bottom"/>
          </w:tcPr>
          <w:p w14:paraId="055CB85C" w14:textId="35A4D79B"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-6,1 %</w:t>
            </w:r>
          </w:p>
        </w:tc>
        <w:tc>
          <w:tcPr>
            <w:tcW w:w="2140" w:type="dxa"/>
            <w:vAlign w:val="bottom"/>
          </w:tcPr>
          <w:p w14:paraId="51195280" w14:textId="5DBE0F4D"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1.083 €</w:t>
            </w:r>
          </w:p>
        </w:tc>
      </w:tr>
      <w:tr w:rsidR="00086538" w:rsidRPr="00E40AF9" w14:paraId="2D2D2DC4"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332C6F5" w14:textId="5BB24CCF"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Ciudad Real</w:t>
            </w:r>
          </w:p>
        </w:tc>
        <w:tc>
          <w:tcPr>
            <w:tcW w:w="2268" w:type="dxa"/>
            <w:vAlign w:val="bottom"/>
          </w:tcPr>
          <w:p w14:paraId="0E078D9B" w14:textId="0A95CA44"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1,0 %</w:t>
            </w:r>
          </w:p>
        </w:tc>
        <w:tc>
          <w:tcPr>
            <w:tcW w:w="2268" w:type="dxa"/>
            <w:vAlign w:val="bottom"/>
          </w:tcPr>
          <w:p w14:paraId="52D03CAA" w14:textId="7669E851"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140" w:type="dxa"/>
            <w:vAlign w:val="bottom"/>
          </w:tcPr>
          <w:p w14:paraId="19B418EE" w14:textId="320EACCF"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1.002 €</w:t>
            </w:r>
          </w:p>
        </w:tc>
      </w:tr>
      <w:tr w:rsidR="00086538" w:rsidRPr="00E40AF9" w14:paraId="2BB0B35C"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06C710D" w14:textId="5442E882"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Valladolid</w:t>
            </w:r>
          </w:p>
        </w:tc>
        <w:tc>
          <w:tcPr>
            <w:tcW w:w="2268" w:type="dxa"/>
            <w:vAlign w:val="bottom"/>
          </w:tcPr>
          <w:p w14:paraId="1B39E853" w14:textId="6E0D86A5"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268" w:type="dxa"/>
            <w:vAlign w:val="bottom"/>
          </w:tcPr>
          <w:p w14:paraId="17928183" w14:textId="705F4037"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1,8 %</w:t>
            </w:r>
          </w:p>
        </w:tc>
        <w:tc>
          <w:tcPr>
            <w:tcW w:w="2140" w:type="dxa"/>
            <w:vAlign w:val="bottom"/>
          </w:tcPr>
          <w:p w14:paraId="6A7F2B65" w14:textId="70496674"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1.548 €</w:t>
            </w:r>
          </w:p>
        </w:tc>
      </w:tr>
      <w:tr w:rsidR="00086538" w:rsidRPr="00E40AF9" w14:paraId="2F8AEE29"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4DD98F4" w14:textId="6984181A"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Barcelona</w:t>
            </w:r>
          </w:p>
        </w:tc>
        <w:tc>
          <w:tcPr>
            <w:tcW w:w="2268" w:type="dxa"/>
            <w:vAlign w:val="bottom"/>
          </w:tcPr>
          <w:p w14:paraId="34419BE3" w14:textId="66F73829"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268" w:type="dxa"/>
            <w:vAlign w:val="bottom"/>
          </w:tcPr>
          <w:p w14:paraId="540625BC" w14:textId="69B73F20"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40" w:type="dxa"/>
            <w:vAlign w:val="bottom"/>
          </w:tcPr>
          <w:p w14:paraId="0AE28813" w14:textId="69C746EC"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2.988 €</w:t>
            </w:r>
          </w:p>
        </w:tc>
      </w:tr>
      <w:tr w:rsidR="00086538" w:rsidRPr="00E40AF9" w14:paraId="0ACA915B"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DF69A4" w14:textId="373A4C0C"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Las Palmas</w:t>
            </w:r>
          </w:p>
        </w:tc>
        <w:tc>
          <w:tcPr>
            <w:tcW w:w="2268" w:type="dxa"/>
            <w:vAlign w:val="bottom"/>
          </w:tcPr>
          <w:p w14:paraId="38E4B51C" w14:textId="6059AA7D"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0,7 %</w:t>
            </w:r>
          </w:p>
        </w:tc>
        <w:tc>
          <w:tcPr>
            <w:tcW w:w="2268" w:type="dxa"/>
            <w:vAlign w:val="bottom"/>
          </w:tcPr>
          <w:p w14:paraId="3904C8D1" w14:textId="55849930"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2,2 %</w:t>
            </w:r>
          </w:p>
        </w:tc>
        <w:tc>
          <w:tcPr>
            <w:tcW w:w="2140" w:type="dxa"/>
            <w:vAlign w:val="bottom"/>
          </w:tcPr>
          <w:p w14:paraId="0798C502" w14:textId="0E7B35F6"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1.755 €</w:t>
            </w:r>
          </w:p>
        </w:tc>
      </w:tr>
      <w:tr w:rsidR="00086538" w:rsidRPr="00E40AF9" w14:paraId="13AB1809"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837094E" w14:textId="37E3A514"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Castellón</w:t>
            </w:r>
          </w:p>
        </w:tc>
        <w:tc>
          <w:tcPr>
            <w:tcW w:w="2268" w:type="dxa"/>
            <w:vAlign w:val="bottom"/>
          </w:tcPr>
          <w:p w14:paraId="126CC67D" w14:textId="1C7FD08E"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0,7 %</w:t>
            </w:r>
          </w:p>
        </w:tc>
        <w:tc>
          <w:tcPr>
            <w:tcW w:w="2268" w:type="dxa"/>
            <w:vAlign w:val="bottom"/>
          </w:tcPr>
          <w:p w14:paraId="72075205" w14:textId="6E09BCB1"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-2,8 %</w:t>
            </w:r>
          </w:p>
        </w:tc>
        <w:tc>
          <w:tcPr>
            <w:tcW w:w="2140" w:type="dxa"/>
            <w:vAlign w:val="bottom"/>
          </w:tcPr>
          <w:p w14:paraId="1DE274E4" w14:textId="35AE9130"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1.114 €</w:t>
            </w:r>
          </w:p>
        </w:tc>
      </w:tr>
      <w:tr w:rsidR="00086538" w:rsidRPr="00E40AF9" w14:paraId="0B3A2A16"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5C5D681" w14:textId="56265008"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Málaga</w:t>
            </w:r>
          </w:p>
        </w:tc>
        <w:tc>
          <w:tcPr>
            <w:tcW w:w="2268" w:type="dxa"/>
            <w:vAlign w:val="bottom"/>
          </w:tcPr>
          <w:p w14:paraId="31C2E669" w14:textId="2AEB28FF"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0,7 %</w:t>
            </w:r>
          </w:p>
        </w:tc>
        <w:tc>
          <w:tcPr>
            <w:tcW w:w="2268" w:type="dxa"/>
            <w:vAlign w:val="bottom"/>
          </w:tcPr>
          <w:p w14:paraId="1D0E11EE" w14:textId="383EF19B"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4,8 %</w:t>
            </w:r>
          </w:p>
        </w:tc>
        <w:tc>
          <w:tcPr>
            <w:tcW w:w="2140" w:type="dxa"/>
            <w:vAlign w:val="bottom"/>
          </w:tcPr>
          <w:p w14:paraId="3FD28B63" w14:textId="1F0A8564"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2.269 €</w:t>
            </w:r>
          </w:p>
        </w:tc>
      </w:tr>
      <w:tr w:rsidR="00086538" w:rsidRPr="00E40AF9" w14:paraId="49721A9C"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16D4EA8" w14:textId="266F2C2D"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Albacete</w:t>
            </w:r>
          </w:p>
        </w:tc>
        <w:tc>
          <w:tcPr>
            <w:tcW w:w="2268" w:type="dxa"/>
            <w:vAlign w:val="bottom"/>
          </w:tcPr>
          <w:p w14:paraId="696F5381" w14:textId="40927697"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268" w:type="dxa"/>
            <w:vAlign w:val="bottom"/>
          </w:tcPr>
          <w:p w14:paraId="6EE358D9" w14:textId="1B517EAC"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40" w:type="dxa"/>
            <w:vAlign w:val="bottom"/>
          </w:tcPr>
          <w:p w14:paraId="22D466A2" w14:textId="739B5779"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1.301 €</w:t>
            </w:r>
          </w:p>
        </w:tc>
      </w:tr>
      <w:tr w:rsidR="00086538" w:rsidRPr="00E40AF9" w14:paraId="189B1FF2"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973B0A2" w14:textId="6AFB6FF9"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Almería</w:t>
            </w:r>
          </w:p>
        </w:tc>
        <w:tc>
          <w:tcPr>
            <w:tcW w:w="2268" w:type="dxa"/>
            <w:vAlign w:val="bottom"/>
          </w:tcPr>
          <w:p w14:paraId="264C0827" w14:textId="4F095C2F"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268" w:type="dxa"/>
            <w:vAlign w:val="bottom"/>
          </w:tcPr>
          <w:p w14:paraId="4DE176B7" w14:textId="7F929DAB"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40" w:type="dxa"/>
            <w:vAlign w:val="bottom"/>
          </w:tcPr>
          <w:p w14:paraId="5D942D4F" w14:textId="6F6D38FD"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1.189 €</w:t>
            </w:r>
          </w:p>
        </w:tc>
      </w:tr>
      <w:tr w:rsidR="00086538" w:rsidRPr="00E40AF9" w14:paraId="152146CB"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2253E24" w14:textId="6548A089"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Araba - Álava</w:t>
            </w:r>
          </w:p>
        </w:tc>
        <w:tc>
          <w:tcPr>
            <w:tcW w:w="2268" w:type="dxa"/>
            <w:vAlign w:val="bottom"/>
          </w:tcPr>
          <w:p w14:paraId="39CD9989" w14:textId="3F96FEF0"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268" w:type="dxa"/>
            <w:vAlign w:val="bottom"/>
          </w:tcPr>
          <w:p w14:paraId="1F87E7ED" w14:textId="20A47E98"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5,9 %</w:t>
            </w:r>
          </w:p>
        </w:tc>
        <w:tc>
          <w:tcPr>
            <w:tcW w:w="2140" w:type="dxa"/>
            <w:vAlign w:val="bottom"/>
          </w:tcPr>
          <w:p w14:paraId="3BD929B1" w14:textId="6DEFF7B2"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2.362 €</w:t>
            </w:r>
          </w:p>
        </w:tc>
      </w:tr>
      <w:tr w:rsidR="00086538" w:rsidRPr="00E40AF9" w14:paraId="0CF53C35"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641BDD2" w14:textId="738A38E5"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Illes Balears</w:t>
            </w:r>
          </w:p>
        </w:tc>
        <w:tc>
          <w:tcPr>
            <w:tcW w:w="2268" w:type="dxa"/>
            <w:vAlign w:val="bottom"/>
          </w:tcPr>
          <w:p w14:paraId="431BE9BF" w14:textId="4F849C23"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268" w:type="dxa"/>
            <w:vAlign w:val="bottom"/>
          </w:tcPr>
          <w:p w14:paraId="20E310AA" w14:textId="5B7DE286"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6,3 %</w:t>
            </w:r>
          </w:p>
        </w:tc>
        <w:tc>
          <w:tcPr>
            <w:tcW w:w="2140" w:type="dxa"/>
            <w:vAlign w:val="bottom"/>
          </w:tcPr>
          <w:p w14:paraId="42032026" w14:textId="1FE0A19A"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2.758 €</w:t>
            </w:r>
          </w:p>
        </w:tc>
      </w:tr>
      <w:tr w:rsidR="00086538" w:rsidRPr="00E40AF9" w14:paraId="77D32AF3"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136E08" w14:textId="0AD4892A"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Cádiz</w:t>
            </w:r>
          </w:p>
        </w:tc>
        <w:tc>
          <w:tcPr>
            <w:tcW w:w="2268" w:type="dxa"/>
            <w:vAlign w:val="bottom"/>
          </w:tcPr>
          <w:p w14:paraId="7F710C42" w14:textId="3D860334"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268" w:type="dxa"/>
            <w:vAlign w:val="bottom"/>
          </w:tcPr>
          <w:p w14:paraId="2EF03AA3" w14:textId="7D83E5B2"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2,2 %</w:t>
            </w:r>
          </w:p>
        </w:tc>
        <w:tc>
          <w:tcPr>
            <w:tcW w:w="2140" w:type="dxa"/>
            <w:vAlign w:val="bottom"/>
          </w:tcPr>
          <w:p w14:paraId="51064007" w14:textId="46853684"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1.480 €</w:t>
            </w:r>
          </w:p>
        </w:tc>
      </w:tr>
      <w:tr w:rsidR="00086538" w:rsidRPr="00E40AF9" w14:paraId="0693211F"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B23A762" w14:textId="65CA5DD1"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Gipuzkoa</w:t>
            </w:r>
          </w:p>
        </w:tc>
        <w:tc>
          <w:tcPr>
            <w:tcW w:w="2268" w:type="dxa"/>
            <w:vAlign w:val="bottom"/>
          </w:tcPr>
          <w:p w14:paraId="21D9453A" w14:textId="251B2FAC"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274187D5" w14:textId="78DDE978"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40" w:type="dxa"/>
            <w:vAlign w:val="bottom"/>
          </w:tcPr>
          <w:p w14:paraId="1804ADFA" w14:textId="4DE8915C"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3.010 €</w:t>
            </w:r>
          </w:p>
        </w:tc>
      </w:tr>
      <w:tr w:rsidR="00086538" w:rsidRPr="00E40AF9" w14:paraId="028B96DF"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56A58CF" w14:textId="42820291"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León</w:t>
            </w:r>
          </w:p>
        </w:tc>
        <w:tc>
          <w:tcPr>
            <w:tcW w:w="2268" w:type="dxa"/>
            <w:vAlign w:val="bottom"/>
          </w:tcPr>
          <w:p w14:paraId="6BDDE007" w14:textId="1E350336"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39E85CC9" w14:textId="20207E2F"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0,0 %</w:t>
            </w:r>
          </w:p>
        </w:tc>
        <w:tc>
          <w:tcPr>
            <w:tcW w:w="2140" w:type="dxa"/>
            <w:vAlign w:val="bottom"/>
          </w:tcPr>
          <w:p w14:paraId="223C68C2" w14:textId="75F8E7DF"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1.244 €</w:t>
            </w:r>
          </w:p>
        </w:tc>
      </w:tr>
      <w:tr w:rsidR="00086538" w:rsidRPr="00E40AF9" w14:paraId="0A9FA633"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027ABEC" w14:textId="4B5E024E"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Navarra</w:t>
            </w:r>
          </w:p>
        </w:tc>
        <w:tc>
          <w:tcPr>
            <w:tcW w:w="2268" w:type="dxa"/>
            <w:vAlign w:val="bottom"/>
          </w:tcPr>
          <w:p w14:paraId="4CFB5E71" w14:textId="1CD92F8C"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6263007F" w14:textId="05741124"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40" w:type="dxa"/>
            <w:vAlign w:val="bottom"/>
          </w:tcPr>
          <w:p w14:paraId="0B16F41D" w14:textId="183CEB37"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1.620 €</w:t>
            </w:r>
          </w:p>
        </w:tc>
      </w:tr>
      <w:tr w:rsidR="00086538" w:rsidRPr="00E40AF9" w14:paraId="5129DF0A"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9B7A5B4" w14:textId="29532911"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Madrid</w:t>
            </w:r>
          </w:p>
        </w:tc>
        <w:tc>
          <w:tcPr>
            <w:tcW w:w="2268" w:type="dxa"/>
            <w:vAlign w:val="bottom"/>
          </w:tcPr>
          <w:p w14:paraId="055CC68E" w14:textId="49ED137F"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5339F918" w14:textId="70D0AB0F"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4,2 %</w:t>
            </w:r>
          </w:p>
        </w:tc>
        <w:tc>
          <w:tcPr>
            <w:tcW w:w="2140" w:type="dxa"/>
            <w:vAlign w:val="bottom"/>
          </w:tcPr>
          <w:p w14:paraId="721600CE" w14:textId="67A1DE55"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3.064 €</w:t>
            </w:r>
          </w:p>
        </w:tc>
      </w:tr>
      <w:tr w:rsidR="00086538" w:rsidRPr="00E40AF9" w14:paraId="6A57A0A1"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E5E5461" w14:textId="22A26072"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Alicante</w:t>
            </w:r>
          </w:p>
        </w:tc>
        <w:tc>
          <w:tcPr>
            <w:tcW w:w="2268" w:type="dxa"/>
            <w:vAlign w:val="bottom"/>
          </w:tcPr>
          <w:p w14:paraId="13D7ED99" w14:textId="671CA112"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68" w:type="dxa"/>
            <w:vAlign w:val="bottom"/>
          </w:tcPr>
          <w:p w14:paraId="5DC2D0AF" w14:textId="7B640068"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4,7 %</w:t>
            </w:r>
          </w:p>
        </w:tc>
        <w:tc>
          <w:tcPr>
            <w:tcW w:w="2140" w:type="dxa"/>
            <w:vAlign w:val="bottom"/>
          </w:tcPr>
          <w:p w14:paraId="15CCBC11" w14:textId="44024A7E"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1.523 €</w:t>
            </w:r>
          </w:p>
        </w:tc>
      </w:tr>
      <w:tr w:rsidR="00086538" w:rsidRPr="00E40AF9" w14:paraId="1D52106A"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EBA3321" w14:textId="13AEFD43"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Asturias</w:t>
            </w:r>
          </w:p>
        </w:tc>
        <w:tc>
          <w:tcPr>
            <w:tcW w:w="2268" w:type="dxa"/>
            <w:vAlign w:val="bottom"/>
          </w:tcPr>
          <w:p w14:paraId="08484F62" w14:textId="699E060D"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68" w:type="dxa"/>
            <w:vAlign w:val="bottom"/>
          </w:tcPr>
          <w:p w14:paraId="591A26A3" w14:textId="368432DE"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40" w:type="dxa"/>
            <w:vAlign w:val="bottom"/>
          </w:tcPr>
          <w:p w14:paraId="5B49125B" w14:textId="7A3146CE"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1.546 €</w:t>
            </w:r>
          </w:p>
        </w:tc>
      </w:tr>
      <w:tr w:rsidR="00086538" w:rsidRPr="00E40AF9" w14:paraId="24E420C1"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4D3B2FA" w14:textId="3A823369"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Granada</w:t>
            </w:r>
          </w:p>
        </w:tc>
        <w:tc>
          <w:tcPr>
            <w:tcW w:w="2268" w:type="dxa"/>
            <w:vAlign w:val="bottom"/>
          </w:tcPr>
          <w:p w14:paraId="0885EBD4" w14:textId="08F56A7B"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68" w:type="dxa"/>
            <w:vAlign w:val="bottom"/>
          </w:tcPr>
          <w:p w14:paraId="14B4D0AD" w14:textId="6368FEAB"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-4,4 %</w:t>
            </w:r>
          </w:p>
        </w:tc>
        <w:tc>
          <w:tcPr>
            <w:tcW w:w="2140" w:type="dxa"/>
            <w:vAlign w:val="bottom"/>
          </w:tcPr>
          <w:p w14:paraId="77B63A36" w14:textId="066B21EC"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1.528 €</w:t>
            </w:r>
          </w:p>
        </w:tc>
      </w:tr>
      <w:tr w:rsidR="00086538" w:rsidRPr="00E40AF9" w14:paraId="26F7D36D"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EC95EC2" w14:textId="4CA862D8"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Zamora</w:t>
            </w:r>
          </w:p>
        </w:tc>
        <w:tc>
          <w:tcPr>
            <w:tcW w:w="2268" w:type="dxa"/>
            <w:vAlign w:val="bottom"/>
          </w:tcPr>
          <w:p w14:paraId="6E451FBA" w14:textId="41B24B0E"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68" w:type="dxa"/>
            <w:vAlign w:val="bottom"/>
          </w:tcPr>
          <w:p w14:paraId="6CDF07F2" w14:textId="53FA165A"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-2,8 %</w:t>
            </w:r>
          </w:p>
        </w:tc>
        <w:tc>
          <w:tcPr>
            <w:tcW w:w="2140" w:type="dxa"/>
            <w:vAlign w:val="bottom"/>
          </w:tcPr>
          <w:p w14:paraId="4340C5FA" w14:textId="5CEFF1C8"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1.217 €</w:t>
            </w:r>
          </w:p>
        </w:tc>
      </w:tr>
      <w:tr w:rsidR="00086538" w:rsidRPr="00E40AF9" w14:paraId="0888523E"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C76BAA4" w14:textId="4EEC37CD"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Valencia</w:t>
            </w:r>
          </w:p>
        </w:tc>
        <w:tc>
          <w:tcPr>
            <w:tcW w:w="2268" w:type="dxa"/>
            <w:vAlign w:val="bottom"/>
          </w:tcPr>
          <w:p w14:paraId="41E2E857" w14:textId="5BF8306F"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68" w:type="dxa"/>
            <w:vAlign w:val="bottom"/>
          </w:tcPr>
          <w:p w14:paraId="38F82560" w14:textId="19F9F0D7"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140" w:type="dxa"/>
            <w:vAlign w:val="bottom"/>
          </w:tcPr>
          <w:p w14:paraId="22BEB090" w14:textId="432DE5A9"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1.420 €</w:t>
            </w:r>
          </w:p>
        </w:tc>
      </w:tr>
      <w:tr w:rsidR="00086538" w:rsidRPr="00E40AF9" w14:paraId="334B08EB"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0C7C466" w14:textId="598AE6A0"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Cantabria</w:t>
            </w:r>
          </w:p>
        </w:tc>
        <w:tc>
          <w:tcPr>
            <w:tcW w:w="2268" w:type="dxa"/>
            <w:vAlign w:val="bottom"/>
          </w:tcPr>
          <w:p w14:paraId="3AC67FE1" w14:textId="24B7C748"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268" w:type="dxa"/>
            <w:vAlign w:val="bottom"/>
          </w:tcPr>
          <w:p w14:paraId="6C24BA45" w14:textId="6B7474E2"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1,3 %</w:t>
            </w:r>
          </w:p>
        </w:tc>
        <w:tc>
          <w:tcPr>
            <w:tcW w:w="2140" w:type="dxa"/>
            <w:vAlign w:val="bottom"/>
          </w:tcPr>
          <w:p w14:paraId="580AD99C" w14:textId="1D5D4540"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1.731 €</w:t>
            </w:r>
          </w:p>
        </w:tc>
      </w:tr>
      <w:tr w:rsidR="00086538" w:rsidRPr="00E40AF9" w14:paraId="64208583"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0A1F1A4" w14:textId="658FB212"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Tarragona</w:t>
            </w:r>
          </w:p>
        </w:tc>
        <w:tc>
          <w:tcPr>
            <w:tcW w:w="2268" w:type="dxa"/>
            <w:vAlign w:val="bottom"/>
          </w:tcPr>
          <w:p w14:paraId="3FC00B5A" w14:textId="503DE916"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268" w:type="dxa"/>
            <w:vAlign w:val="bottom"/>
          </w:tcPr>
          <w:p w14:paraId="45804F51" w14:textId="65597A52"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40" w:type="dxa"/>
            <w:vAlign w:val="bottom"/>
          </w:tcPr>
          <w:p w14:paraId="666FA52C" w14:textId="26F3BA09"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1.468 €</w:t>
            </w:r>
          </w:p>
        </w:tc>
      </w:tr>
      <w:tr w:rsidR="00086538" w:rsidRPr="00E40AF9" w14:paraId="07476808"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EAEEE72" w14:textId="6189701D"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Huesca</w:t>
            </w:r>
          </w:p>
        </w:tc>
        <w:tc>
          <w:tcPr>
            <w:tcW w:w="2268" w:type="dxa"/>
            <w:vAlign w:val="bottom"/>
          </w:tcPr>
          <w:p w14:paraId="27FE6EEC" w14:textId="59945316"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268" w:type="dxa"/>
            <w:vAlign w:val="bottom"/>
          </w:tcPr>
          <w:p w14:paraId="66F20F9A" w14:textId="1B440209"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3,1 %</w:t>
            </w:r>
          </w:p>
        </w:tc>
        <w:tc>
          <w:tcPr>
            <w:tcW w:w="2140" w:type="dxa"/>
            <w:vAlign w:val="bottom"/>
          </w:tcPr>
          <w:p w14:paraId="6F4D65CD" w14:textId="55835FF7"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1.448 €</w:t>
            </w:r>
          </w:p>
        </w:tc>
      </w:tr>
      <w:tr w:rsidR="00086538" w:rsidRPr="00E40AF9" w14:paraId="1A80ED98"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6EA670" w14:textId="1E4D6149"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La Rioja</w:t>
            </w:r>
          </w:p>
        </w:tc>
        <w:tc>
          <w:tcPr>
            <w:tcW w:w="2268" w:type="dxa"/>
            <w:vAlign w:val="bottom"/>
          </w:tcPr>
          <w:p w14:paraId="04F404FC" w14:textId="2027E7DB"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c>
          <w:tcPr>
            <w:tcW w:w="2268" w:type="dxa"/>
            <w:vAlign w:val="bottom"/>
          </w:tcPr>
          <w:p w14:paraId="206FF969" w14:textId="4BE4078B"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40" w:type="dxa"/>
            <w:vAlign w:val="bottom"/>
          </w:tcPr>
          <w:p w14:paraId="02BFFE06" w14:textId="66A403B5"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1.414 €</w:t>
            </w:r>
          </w:p>
        </w:tc>
      </w:tr>
      <w:tr w:rsidR="00086538" w:rsidRPr="00E40AF9" w14:paraId="45EB2E62"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F27A9A6" w14:textId="41984E72"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lastRenderedPageBreak/>
              <w:t>Santa Cruz de Tenerife</w:t>
            </w:r>
          </w:p>
        </w:tc>
        <w:tc>
          <w:tcPr>
            <w:tcW w:w="2268" w:type="dxa"/>
            <w:vAlign w:val="bottom"/>
          </w:tcPr>
          <w:p w14:paraId="0FA43673" w14:textId="1DA67231"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29C997E5" w14:textId="27D17D4E"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8,7 %</w:t>
            </w:r>
          </w:p>
        </w:tc>
        <w:tc>
          <w:tcPr>
            <w:tcW w:w="2140" w:type="dxa"/>
            <w:vAlign w:val="bottom"/>
          </w:tcPr>
          <w:p w14:paraId="35D4F5EC" w14:textId="54A485F9"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1.838 €</w:t>
            </w:r>
          </w:p>
        </w:tc>
      </w:tr>
      <w:tr w:rsidR="00086538" w:rsidRPr="00E40AF9" w14:paraId="77CE75A5"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D36AC7" w14:textId="07C18123"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Murcia</w:t>
            </w:r>
          </w:p>
        </w:tc>
        <w:tc>
          <w:tcPr>
            <w:tcW w:w="2268" w:type="dxa"/>
            <w:vAlign w:val="bottom"/>
          </w:tcPr>
          <w:p w14:paraId="6CB44F3F" w14:textId="4469779C"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5C5126EF" w14:textId="34E53062"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40" w:type="dxa"/>
            <w:vAlign w:val="bottom"/>
          </w:tcPr>
          <w:p w14:paraId="304F9330" w14:textId="14D3E552"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1.163 €</w:t>
            </w:r>
          </w:p>
        </w:tc>
      </w:tr>
      <w:tr w:rsidR="00086538" w:rsidRPr="00E40AF9" w14:paraId="53EFF7BA"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68439A5" w14:textId="4E42CA5E"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Ourense</w:t>
            </w:r>
          </w:p>
        </w:tc>
        <w:tc>
          <w:tcPr>
            <w:tcW w:w="2268" w:type="dxa"/>
            <w:vAlign w:val="bottom"/>
          </w:tcPr>
          <w:p w14:paraId="59A44EC6" w14:textId="157E453F"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0F6EE7FC" w14:textId="4EE0CA7A"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2140" w:type="dxa"/>
            <w:vAlign w:val="bottom"/>
          </w:tcPr>
          <w:p w14:paraId="2CC67129" w14:textId="4D488276"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1.413 €</w:t>
            </w:r>
          </w:p>
        </w:tc>
      </w:tr>
      <w:tr w:rsidR="00086538" w:rsidRPr="00E40AF9" w14:paraId="0E551A09"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FF7F80" w14:textId="6ABD6BF1"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Huelva</w:t>
            </w:r>
          </w:p>
        </w:tc>
        <w:tc>
          <w:tcPr>
            <w:tcW w:w="2268" w:type="dxa"/>
            <w:vAlign w:val="bottom"/>
          </w:tcPr>
          <w:p w14:paraId="5FCB1EAD" w14:textId="2C0981D9"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0E64B023" w14:textId="096673E8"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1,3 %</w:t>
            </w:r>
          </w:p>
        </w:tc>
        <w:tc>
          <w:tcPr>
            <w:tcW w:w="2140" w:type="dxa"/>
            <w:vAlign w:val="bottom"/>
          </w:tcPr>
          <w:p w14:paraId="47C5E7A9" w14:textId="3373D31D"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1.273 €</w:t>
            </w:r>
          </w:p>
        </w:tc>
      </w:tr>
      <w:tr w:rsidR="00086538" w:rsidRPr="00E40AF9" w14:paraId="0C942FB4"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1D4845D" w14:textId="40C55845"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Sevilla</w:t>
            </w:r>
          </w:p>
        </w:tc>
        <w:tc>
          <w:tcPr>
            <w:tcW w:w="2268" w:type="dxa"/>
            <w:vAlign w:val="bottom"/>
          </w:tcPr>
          <w:p w14:paraId="00E6CD5D" w14:textId="594F5FCD"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68" w:type="dxa"/>
            <w:vAlign w:val="bottom"/>
          </w:tcPr>
          <w:p w14:paraId="316119B7" w14:textId="0D52159D"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140" w:type="dxa"/>
            <w:vAlign w:val="bottom"/>
          </w:tcPr>
          <w:p w14:paraId="75244C68" w14:textId="525316FF"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1.602 €</w:t>
            </w:r>
          </w:p>
        </w:tc>
      </w:tr>
      <w:tr w:rsidR="00086538" w:rsidRPr="00E40AF9" w14:paraId="364D95B6"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BF6B647" w14:textId="18C89C67"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Salamanca</w:t>
            </w:r>
          </w:p>
        </w:tc>
        <w:tc>
          <w:tcPr>
            <w:tcW w:w="2268" w:type="dxa"/>
            <w:vAlign w:val="bottom"/>
          </w:tcPr>
          <w:p w14:paraId="32BB89E0" w14:textId="13826F20"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68" w:type="dxa"/>
            <w:vAlign w:val="bottom"/>
          </w:tcPr>
          <w:p w14:paraId="5FA5262C" w14:textId="78263B2A"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-3,4 %</w:t>
            </w:r>
          </w:p>
        </w:tc>
        <w:tc>
          <w:tcPr>
            <w:tcW w:w="2140" w:type="dxa"/>
            <w:vAlign w:val="bottom"/>
          </w:tcPr>
          <w:p w14:paraId="5DB650FB" w14:textId="7677A520"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1.688 €</w:t>
            </w:r>
          </w:p>
        </w:tc>
      </w:tr>
      <w:tr w:rsidR="00086538" w:rsidRPr="00E40AF9" w14:paraId="4CA99739"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752981" w14:textId="1A2CCA4F"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Girona</w:t>
            </w:r>
          </w:p>
        </w:tc>
        <w:tc>
          <w:tcPr>
            <w:tcW w:w="2268" w:type="dxa"/>
            <w:vAlign w:val="bottom"/>
          </w:tcPr>
          <w:p w14:paraId="7EC61127" w14:textId="631B0F82"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68" w:type="dxa"/>
            <w:vAlign w:val="bottom"/>
          </w:tcPr>
          <w:p w14:paraId="0F8CF676" w14:textId="4127DE88"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3,8 %</w:t>
            </w:r>
          </w:p>
        </w:tc>
        <w:tc>
          <w:tcPr>
            <w:tcW w:w="2140" w:type="dxa"/>
            <w:vAlign w:val="bottom"/>
          </w:tcPr>
          <w:p w14:paraId="2DD7D8EC" w14:textId="08532518"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1.993 €</w:t>
            </w:r>
          </w:p>
        </w:tc>
      </w:tr>
      <w:tr w:rsidR="00086538" w:rsidRPr="00E40AF9" w14:paraId="327A8381"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11B361B" w14:textId="6D97F711"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Toledo</w:t>
            </w:r>
          </w:p>
        </w:tc>
        <w:tc>
          <w:tcPr>
            <w:tcW w:w="2268" w:type="dxa"/>
            <w:vAlign w:val="bottom"/>
          </w:tcPr>
          <w:p w14:paraId="2BF77FD4" w14:textId="2006A993"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68" w:type="dxa"/>
            <w:vAlign w:val="bottom"/>
          </w:tcPr>
          <w:p w14:paraId="50EFAF92" w14:textId="49951C4D"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2,1 %</w:t>
            </w:r>
          </w:p>
        </w:tc>
        <w:tc>
          <w:tcPr>
            <w:tcW w:w="2140" w:type="dxa"/>
            <w:vAlign w:val="bottom"/>
          </w:tcPr>
          <w:p w14:paraId="162F5FCA" w14:textId="627951FB"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977 €</w:t>
            </w:r>
          </w:p>
        </w:tc>
      </w:tr>
      <w:tr w:rsidR="00086538" w:rsidRPr="00E40AF9" w14:paraId="6FFCD822"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113AB68" w14:textId="42D3C167"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Lugo</w:t>
            </w:r>
          </w:p>
        </w:tc>
        <w:tc>
          <w:tcPr>
            <w:tcW w:w="2268" w:type="dxa"/>
            <w:vAlign w:val="bottom"/>
          </w:tcPr>
          <w:p w14:paraId="0AA36976" w14:textId="51A12E6C"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268" w:type="dxa"/>
            <w:vAlign w:val="bottom"/>
          </w:tcPr>
          <w:p w14:paraId="3A117B94" w14:textId="2F3DED81"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-9,2 %</w:t>
            </w:r>
          </w:p>
        </w:tc>
        <w:tc>
          <w:tcPr>
            <w:tcW w:w="2140" w:type="dxa"/>
            <w:vAlign w:val="bottom"/>
          </w:tcPr>
          <w:p w14:paraId="4BBEC0F2" w14:textId="4CCF7832"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1.041 €</w:t>
            </w:r>
          </w:p>
        </w:tc>
      </w:tr>
      <w:tr w:rsidR="00086538" w:rsidRPr="00E40AF9" w14:paraId="5CA646A7"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EC5099D" w14:textId="73A24744"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A Coruña</w:t>
            </w:r>
          </w:p>
        </w:tc>
        <w:tc>
          <w:tcPr>
            <w:tcW w:w="2268" w:type="dxa"/>
            <w:vAlign w:val="bottom"/>
          </w:tcPr>
          <w:p w14:paraId="380E8774" w14:textId="5B848142"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268" w:type="dxa"/>
            <w:vAlign w:val="bottom"/>
          </w:tcPr>
          <w:p w14:paraId="206F488E" w14:textId="3EFF9E64"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-5,6 %</w:t>
            </w:r>
          </w:p>
        </w:tc>
        <w:tc>
          <w:tcPr>
            <w:tcW w:w="2140" w:type="dxa"/>
            <w:vAlign w:val="bottom"/>
          </w:tcPr>
          <w:p w14:paraId="683F3A23" w14:textId="7709FE89"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1.612 €</w:t>
            </w:r>
          </w:p>
        </w:tc>
      </w:tr>
      <w:tr w:rsidR="00086538" w:rsidRPr="00E40AF9" w14:paraId="32C1A462"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1F14AC2" w14:textId="758B0549"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Bizkaia</w:t>
            </w:r>
          </w:p>
        </w:tc>
        <w:tc>
          <w:tcPr>
            <w:tcW w:w="2268" w:type="dxa"/>
            <w:vAlign w:val="bottom"/>
          </w:tcPr>
          <w:p w14:paraId="50CDE95D" w14:textId="27FC3BE5"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268" w:type="dxa"/>
            <w:vAlign w:val="bottom"/>
          </w:tcPr>
          <w:p w14:paraId="067E7C6A" w14:textId="1C73FEDC"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140" w:type="dxa"/>
            <w:vAlign w:val="bottom"/>
          </w:tcPr>
          <w:p w14:paraId="3D77AA00" w14:textId="47F1306A"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2.783 €</w:t>
            </w:r>
          </w:p>
        </w:tc>
      </w:tr>
      <w:tr w:rsidR="00086538" w:rsidRPr="00E40AF9" w14:paraId="49B6EA62"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9CC0A09" w14:textId="24C9309E"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Guadalajara</w:t>
            </w:r>
          </w:p>
        </w:tc>
        <w:tc>
          <w:tcPr>
            <w:tcW w:w="2268" w:type="dxa"/>
            <w:vAlign w:val="bottom"/>
          </w:tcPr>
          <w:p w14:paraId="33A9CB38" w14:textId="3CE470C8"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268" w:type="dxa"/>
            <w:vAlign w:val="bottom"/>
          </w:tcPr>
          <w:p w14:paraId="13E5F5EB" w14:textId="5811B466"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2140" w:type="dxa"/>
            <w:vAlign w:val="bottom"/>
          </w:tcPr>
          <w:p w14:paraId="7817F24A" w14:textId="1407D21A"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1.269 €</w:t>
            </w:r>
          </w:p>
        </w:tc>
      </w:tr>
      <w:tr w:rsidR="00086538" w:rsidRPr="00E40AF9" w14:paraId="227EEDB9"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94A81DA" w14:textId="1CCEBC37"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Córdoba</w:t>
            </w:r>
          </w:p>
        </w:tc>
        <w:tc>
          <w:tcPr>
            <w:tcW w:w="2268" w:type="dxa"/>
            <w:vAlign w:val="bottom"/>
          </w:tcPr>
          <w:p w14:paraId="0A645048" w14:textId="25940CFC"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268" w:type="dxa"/>
            <w:vAlign w:val="bottom"/>
          </w:tcPr>
          <w:p w14:paraId="45688397" w14:textId="408D2C28"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-1,3 %</w:t>
            </w:r>
          </w:p>
        </w:tc>
        <w:tc>
          <w:tcPr>
            <w:tcW w:w="2140" w:type="dxa"/>
            <w:vAlign w:val="bottom"/>
          </w:tcPr>
          <w:p w14:paraId="558D22DA" w14:textId="18F77B3D"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1.419 €</w:t>
            </w:r>
          </w:p>
        </w:tc>
      </w:tr>
      <w:tr w:rsidR="00086538" w:rsidRPr="00E40AF9" w14:paraId="364AAFE4"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A729497" w14:textId="132725F3"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Ávila</w:t>
            </w:r>
          </w:p>
        </w:tc>
        <w:tc>
          <w:tcPr>
            <w:tcW w:w="2268" w:type="dxa"/>
            <w:vAlign w:val="bottom"/>
          </w:tcPr>
          <w:p w14:paraId="18BB6283" w14:textId="78A4DA33"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268" w:type="dxa"/>
            <w:vAlign w:val="bottom"/>
          </w:tcPr>
          <w:p w14:paraId="67BF0697" w14:textId="145C43E4"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40" w:type="dxa"/>
            <w:vAlign w:val="bottom"/>
          </w:tcPr>
          <w:p w14:paraId="266CC83E" w14:textId="48C8E299"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1.017 €</w:t>
            </w:r>
          </w:p>
        </w:tc>
      </w:tr>
      <w:tr w:rsidR="00086538" w:rsidRPr="00E40AF9" w14:paraId="1B1A22A8"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A4A8E99" w14:textId="5572A4B6"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Pontevedra</w:t>
            </w:r>
          </w:p>
        </w:tc>
        <w:tc>
          <w:tcPr>
            <w:tcW w:w="2268" w:type="dxa"/>
            <w:vAlign w:val="bottom"/>
          </w:tcPr>
          <w:p w14:paraId="494D7C71" w14:textId="077C1D31"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268" w:type="dxa"/>
            <w:vAlign w:val="bottom"/>
          </w:tcPr>
          <w:p w14:paraId="3CABD45E" w14:textId="10C04F40"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140" w:type="dxa"/>
            <w:vAlign w:val="bottom"/>
          </w:tcPr>
          <w:p w14:paraId="26FEE168" w14:textId="586DA716"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1.690 €</w:t>
            </w:r>
          </w:p>
        </w:tc>
      </w:tr>
      <w:tr w:rsidR="00086538" w:rsidRPr="00E40AF9" w14:paraId="1E94BBA2"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8AFC1B8" w14:textId="02CED72E"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Segovia</w:t>
            </w:r>
          </w:p>
        </w:tc>
        <w:tc>
          <w:tcPr>
            <w:tcW w:w="2268" w:type="dxa"/>
            <w:vAlign w:val="bottom"/>
          </w:tcPr>
          <w:p w14:paraId="39A7AFF9" w14:textId="56715901"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-0,6 %</w:t>
            </w:r>
          </w:p>
        </w:tc>
        <w:tc>
          <w:tcPr>
            <w:tcW w:w="2268" w:type="dxa"/>
            <w:vAlign w:val="bottom"/>
          </w:tcPr>
          <w:p w14:paraId="7116AE28" w14:textId="53B20458"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-1,8 %</w:t>
            </w:r>
          </w:p>
        </w:tc>
        <w:tc>
          <w:tcPr>
            <w:tcW w:w="2140" w:type="dxa"/>
            <w:vAlign w:val="bottom"/>
          </w:tcPr>
          <w:p w14:paraId="0E243869" w14:textId="5474C450" w:rsidR="00086538"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1.325 €</w:t>
            </w:r>
          </w:p>
        </w:tc>
      </w:tr>
      <w:tr w:rsidR="00086538" w:rsidRPr="00E40AF9" w14:paraId="3CD9B62D"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AEF0520" w14:textId="2D25FBA1"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Jaén</w:t>
            </w:r>
          </w:p>
        </w:tc>
        <w:tc>
          <w:tcPr>
            <w:tcW w:w="2268" w:type="dxa"/>
            <w:vAlign w:val="bottom"/>
          </w:tcPr>
          <w:p w14:paraId="4EA47D35" w14:textId="70EC9D27"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-0,9 %</w:t>
            </w:r>
          </w:p>
        </w:tc>
        <w:tc>
          <w:tcPr>
            <w:tcW w:w="2268" w:type="dxa"/>
            <w:vAlign w:val="bottom"/>
          </w:tcPr>
          <w:p w14:paraId="17643944" w14:textId="382CDCD9"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-0,6 %</w:t>
            </w:r>
          </w:p>
        </w:tc>
        <w:tc>
          <w:tcPr>
            <w:tcW w:w="2140" w:type="dxa"/>
            <w:vAlign w:val="bottom"/>
          </w:tcPr>
          <w:p w14:paraId="7AF5A577" w14:textId="64387EA2" w:rsidR="00086538"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1.080 €</w:t>
            </w:r>
          </w:p>
        </w:tc>
      </w:tr>
      <w:tr w:rsidR="00086538" w:rsidRPr="00E40AF9" w14:paraId="434D45A6" w14:textId="77777777" w:rsidTr="00086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4B052A2" w14:textId="3438CA8C"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Palencia</w:t>
            </w:r>
          </w:p>
        </w:tc>
        <w:tc>
          <w:tcPr>
            <w:tcW w:w="2268" w:type="dxa"/>
            <w:vAlign w:val="bottom"/>
          </w:tcPr>
          <w:p w14:paraId="0B5EF542" w14:textId="12F5A8C6"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2268" w:type="dxa"/>
            <w:vAlign w:val="bottom"/>
          </w:tcPr>
          <w:p w14:paraId="54F3A7BD" w14:textId="5C3EAA0C"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-4,5 %</w:t>
            </w:r>
          </w:p>
        </w:tc>
        <w:tc>
          <w:tcPr>
            <w:tcW w:w="2140" w:type="dxa"/>
            <w:vAlign w:val="bottom"/>
          </w:tcPr>
          <w:p w14:paraId="2276D16F" w14:textId="64880628" w:rsidR="00086538" w:rsidRPr="00E40AF9" w:rsidRDefault="00086538" w:rsidP="000865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1.385 €</w:t>
            </w:r>
          </w:p>
        </w:tc>
      </w:tr>
      <w:tr w:rsidR="00086538" w:rsidRPr="00E40AF9" w14:paraId="1C7B06FA" w14:textId="77777777" w:rsidTr="00086538">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675BF3C" w14:textId="1C078C37" w:rsidR="00086538" w:rsidRPr="00086538" w:rsidRDefault="00086538" w:rsidP="00086538">
            <w:pPr>
              <w:rPr>
                <w:rFonts w:ascii="Open Sans" w:hAnsi="Open Sans" w:cs="Open Sans"/>
                <w:b w:val="0"/>
                <w:bCs w:val="0"/>
                <w:sz w:val="22"/>
                <w:szCs w:val="22"/>
              </w:rPr>
            </w:pPr>
            <w:r w:rsidRPr="00086538">
              <w:rPr>
                <w:rFonts w:ascii="Open Sans" w:hAnsi="Open Sans" w:cs="Open Sans"/>
                <w:b w:val="0"/>
                <w:bCs w:val="0"/>
                <w:sz w:val="22"/>
                <w:szCs w:val="22"/>
              </w:rPr>
              <w:t>Zaragoza</w:t>
            </w:r>
          </w:p>
        </w:tc>
        <w:tc>
          <w:tcPr>
            <w:tcW w:w="2268" w:type="dxa"/>
            <w:vAlign w:val="bottom"/>
          </w:tcPr>
          <w:p w14:paraId="6E3610AC" w14:textId="22CBBDAF"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268" w:type="dxa"/>
            <w:vAlign w:val="bottom"/>
          </w:tcPr>
          <w:p w14:paraId="2B2A9950" w14:textId="021D1D27"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-1,0 %</w:t>
            </w:r>
          </w:p>
        </w:tc>
        <w:tc>
          <w:tcPr>
            <w:tcW w:w="2140" w:type="dxa"/>
            <w:vAlign w:val="bottom"/>
          </w:tcPr>
          <w:p w14:paraId="1C484B3C" w14:textId="157A16F1" w:rsidR="00086538" w:rsidRPr="00E40AF9" w:rsidRDefault="00086538" w:rsidP="000865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1.635 €</w:t>
            </w:r>
          </w:p>
        </w:tc>
      </w:tr>
    </w:tbl>
    <w:p w14:paraId="1B9C19DD" w14:textId="696C1092" w:rsidR="004D3A34" w:rsidRDefault="00A07E2C"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En qué capital sube más el precio de la vivienda</w:t>
      </w:r>
    </w:p>
    <w:p w14:paraId="01C23529" w14:textId="12956D3A" w:rsidR="00540CD7" w:rsidRDefault="004B72A4" w:rsidP="00540CD7">
      <w:pPr>
        <w:pStyle w:val="NormalWeb"/>
        <w:spacing w:after="225" w:line="276" w:lineRule="auto"/>
        <w:jc w:val="both"/>
        <w:rPr>
          <w:rFonts w:ascii="Open Sans" w:hAnsi="Open Sans" w:cs="Open Sans"/>
          <w:color w:val="000000"/>
        </w:rPr>
      </w:pPr>
      <w:r>
        <w:rPr>
          <w:rFonts w:ascii="Open Sans" w:hAnsi="Open Sans" w:cs="Open Sans"/>
          <w:color w:val="000000"/>
        </w:rPr>
        <w:t xml:space="preserve">En </w:t>
      </w:r>
      <w:r w:rsidR="00F322E6">
        <w:rPr>
          <w:rFonts w:ascii="Open Sans" w:hAnsi="Open Sans" w:cs="Open Sans"/>
          <w:color w:val="000000"/>
        </w:rPr>
        <w:t>1</w:t>
      </w:r>
      <w:r w:rsidR="005D142F">
        <w:rPr>
          <w:rFonts w:ascii="Open Sans" w:hAnsi="Open Sans" w:cs="Open Sans"/>
          <w:color w:val="000000"/>
        </w:rPr>
        <w:t xml:space="preserve">9 </w:t>
      </w:r>
      <w:r w:rsidR="001454FC">
        <w:rPr>
          <w:rFonts w:ascii="Open Sans" w:hAnsi="Open Sans" w:cs="Open Sans"/>
          <w:color w:val="000000"/>
        </w:rPr>
        <w:t xml:space="preserve">de las </w:t>
      </w:r>
      <w:r w:rsidR="005D142F">
        <w:rPr>
          <w:rFonts w:ascii="Open Sans" w:hAnsi="Open Sans" w:cs="Open Sans"/>
          <w:color w:val="000000"/>
        </w:rPr>
        <w:t>4</w:t>
      </w:r>
      <w:r w:rsidR="00F322E6">
        <w:rPr>
          <w:rFonts w:ascii="Open Sans" w:hAnsi="Open Sans" w:cs="Open Sans"/>
          <w:color w:val="000000"/>
        </w:rPr>
        <w:t>7</w:t>
      </w:r>
      <w:r w:rsidR="00E40AF9">
        <w:rPr>
          <w:rFonts w:ascii="Open Sans" w:hAnsi="Open Sans" w:cs="Open Sans"/>
          <w:color w:val="000000"/>
        </w:rPr>
        <w:t xml:space="preserve"> capitales de provincia </w:t>
      </w:r>
      <w:r w:rsidR="001454FC">
        <w:rPr>
          <w:rFonts w:ascii="Open Sans" w:hAnsi="Open Sans" w:cs="Open Sans"/>
          <w:color w:val="000000"/>
        </w:rPr>
        <w:t>(</w:t>
      </w:r>
      <w:r w:rsidR="00F62446">
        <w:rPr>
          <w:rFonts w:ascii="Open Sans" w:hAnsi="Open Sans" w:cs="Open Sans"/>
          <w:color w:val="000000"/>
        </w:rPr>
        <w:t xml:space="preserve">en el </w:t>
      </w:r>
      <w:r w:rsidR="00F322E6">
        <w:rPr>
          <w:rFonts w:ascii="Open Sans" w:hAnsi="Open Sans" w:cs="Open Sans"/>
          <w:color w:val="000000"/>
        </w:rPr>
        <w:t>40</w:t>
      </w:r>
      <w:r w:rsidR="001454FC">
        <w:rPr>
          <w:rFonts w:ascii="Open Sans" w:hAnsi="Open Sans" w:cs="Open Sans"/>
          <w:color w:val="000000"/>
        </w:rPr>
        <w:t xml:space="preserve">%) </w:t>
      </w:r>
      <w:r w:rsidR="00540CD7">
        <w:rPr>
          <w:rFonts w:ascii="Open Sans" w:hAnsi="Open Sans" w:cs="Open Sans"/>
          <w:color w:val="000000"/>
        </w:rPr>
        <w:t xml:space="preserve">con variación mensual, </w:t>
      </w:r>
      <w:r w:rsidR="00E40AF9">
        <w:rPr>
          <w:rFonts w:ascii="Open Sans" w:hAnsi="Open Sans" w:cs="Open Sans"/>
          <w:color w:val="000000"/>
        </w:rPr>
        <w:t xml:space="preserve">sube el precio </w:t>
      </w:r>
      <w:r>
        <w:rPr>
          <w:rFonts w:ascii="Open Sans" w:hAnsi="Open Sans" w:cs="Open Sans"/>
          <w:color w:val="000000"/>
        </w:rPr>
        <w:t xml:space="preserve">en </w:t>
      </w:r>
      <w:r w:rsidR="00F322E6">
        <w:rPr>
          <w:rFonts w:ascii="Open Sans" w:hAnsi="Open Sans" w:cs="Open Sans"/>
          <w:color w:val="000000"/>
        </w:rPr>
        <w:t>febrero</w:t>
      </w:r>
      <w:r>
        <w:rPr>
          <w:rFonts w:ascii="Open Sans" w:hAnsi="Open Sans" w:cs="Open Sans"/>
          <w:color w:val="000000"/>
        </w:rPr>
        <w:t xml:space="preserve"> </w:t>
      </w:r>
      <w:r w:rsidR="00E40AF9">
        <w:rPr>
          <w:rFonts w:ascii="Open Sans" w:hAnsi="Open Sans" w:cs="Open Sans"/>
          <w:color w:val="000000"/>
        </w:rPr>
        <w:t>respecto al mes anterior.</w:t>
      </w:r>
      <w:r>
        <w:rPr>
          <w:rFonts w:ascii="Open Sans" w:hAnsi="Open Sans" w:cs="Open Sans"/>
          <w:color w:val="000000"/>
        </w:rPr>
        <w:t xml:space="preserve"> Los</w:t>
      </w:r>
      <w:r w:rsidR="001454FC">
        <w:rPr>
          <w:rFonts w:ascii="Open Sans" w:hAnsi="Open Sans" w:cs="Open Sans"/>
          <w:color w:val="000000"/>
        </w:rPr>
        <w:t xml:space="preserve"> </w:t>
      </w:r>
      <w:r w:rsidR="00540CD7">
        <w:rPr>
          <w:rFonts w:ascii="Open Sans" w:hAnsi="Open Sans" w:cs="Open Sans"/>
          <w:color w:val="000000"/>
        </w:rPr>
        <w:t xml:space="preserve">diez mayores </w:t>
      </w:r>
      <w:r w:rsidR="001454FC">
        <w:rPr>
          <w:rFonts w:ascii="Open Sans" w:hAnsi="Open Sans" w:cs="Open Sans"/>
          <w:color w:val="000000"/>
        </w:rPr>
        <w:t>incrementos</w:t>
      </w:r>
      <w:r>
        <w:rPr>
          <w:rFonts w:ascii="Open Sans" w:hAnsi="Open Sans" w:cs="Open Sans"/>
          <w:color w:val="000000"/>
        </w:rPr>
        <w:t xml:space="preserve"> mensuales corresponden a las siguientes ciudades:</w:t>
      </w:r>
      <w:r w:rsidRPr="004B72A4">
        <w:rPr>
          <w:rFonts w:ascii="Open Sans" w:hAnsi="Open Sans" w:cs="Open Sans"/>
          <w:color w:val="000000"/>
        </w:rPr>
        <w:t xml:space="preserve"> </w:t>
      </w:r>
      <w:r w:rsidR="00F322E6" w:rsidRPr="00F322E6">
        <w:rPr>
          <w:rFonts w:ascii="Open Sans" w:hAnsi="Open Sans" w:cs="Open Sans"/>
          <w:color w:val="000000"/>
        </w:rPr>
        <w:t xml:space="preserve">A Coruña Capital </w:t>
      </w:r>
      <w:r w:rsidR="00540CD7">
        <w:rPr>
          <w:rFonts w:ascii="Open Sans" w:hAnsi="Open Sans" w:cs="Open Sans"/>
          <w:color w:val="000000"/>
        </w:rPr>
        <w:t>(</w:t>
      </w:r>
      <w:r w:rsidR="007B5EFA">
        <w:rPr>
          <w:rFonts w:ascii="Open Sans" w:hAnsi="Open Sans" w:cs="Open Sans"/>
          <w:color w:val="000000"/>
        </w:rPr>
        <w:t>9,2</w:t>
      </w:r>
      <w:r w:rsidR="00540CD7">
        <w:rPr>
          <w:rFonts w:ascii="Open Sans" w:hAnsi="Open Sans" w:cs="Open Sans"/>
          <w:color w:val="000000"/>
        </w:rPr>
        <w:t xml:space="preserve">%), </w:t>
      </w:r>
      <w:r w:rsidR="00F322E6" w:rsidRPr="00F322E6">
        <w:rPr>
          <w:rFonts w:ascii="Open Sans" w:hAnsi="Open Sans" w:cs="Open Sans"/>
          <w:color w:val="000000"/>
        </w:rPr>
        <w:t xml:space="preserve">Santander </w:t>
      </w:r>
      <w:r w:rsidR="00540CD7">
        <w:rPr>
          <w:rFonts w:ascii="Open Sans" w:hAnsi="Open Sans" w:cs="Open Sans"/>
          <w:color w:val="000000"/>
        </w:rPr>
        <w:t>(</w:t>
      </w:r>
      <w:r w:rsidR="007B5EFA">
        <w:rPr>
          <w:rFonts w:ascii="Open Sans" w:hAnsi="Open Sans" w:cs="Open Sans"/>
          <w:color w:val="000000"/>
        </w:rPr>
        <w:t>5,6</w:t>
      </w:r>
      <w:r w:rsidR="00540CD7">
        <w:rPr>
          <w:rFonts w:ascii="Open Sans" w:hAnsi="Open Sans" w:cs="Open Sans"/>
          <w:color w:val="000000"/>
        </w:rPr>
        <w:t xml:space="preserve">%), </w:t>
      </w:r>
      <w:r w:rsidR="00F322E6" w:rsidRPr="00F322E6">
        <w:rPr>
          <w:rFonts w:ascii="Open Sans" w:hAnsi="Open Sans" w:cs="Open Sans"/>
          <w:color w:val="000000"/>
        </w:rPr>
        <w:t xml:space="preserve">Pontevedra Capital </w:t>
      </w:r>
      <w:r w:rsidR="00540CD7">
        <w:rPr>
          <w:rFonts w:ascii="Open Sans" w:hAnsi="Open Sans" w:cs="Open Sans"/>
          <w:color w:val="000000"/>
        </w:rPr>
        <w:t>(</w:t>
      </w:r>
      <w:r w:rsidR="007B5EFA">
        <w:rPr>
          <w:rFonts w:ascii="Open Sans" w:hAnsi="Open Sans" w:cs="Open Sans"/>
          <w:color w:val="000000"/>
        </w:rPr>
        <w:t>4,6</w:t>
      </w:r>
      <w:r w:rsidR="00540CD7">
        <w:rPr>
          <w:rFonts w:ascii="Open Sans" w:hAnsi="Open Sans" w:cs="Open Sans"/>
          <w:color w:val="000000"/>
        </w:rPr>
        <w:t xml:space="preserve">%), </w:t>
      </w:r>
      <w:r w:rsidR="00F322E6" w:rsidRPr="00F322E6">
        <w:rPr>
          <w:rFonts w:ascii="Open Sans" w:hAnsi="Open Sans" w:cs="Open Sans"/>
          <w:color w:val="000000"/>
        </w:rPr>
        <w:t xml:space="preserve">Cuenca Capital </w:t>
      </w:r>
      <w:r w:rsidR="00540CD7">
        <w:rPr>
          <w:rFonts w:ascii="Open Sans" w:hAnsi="Open Sans" w:cs="Open Sans"/>
          <w:color w:val="000000"/>
        </w:rPr>
        <w:t>(</w:t>
      </w:r>
      <w:r w:rsidR="007B5EFA">
        <w:rPr>
          <w:rFonts w:ascii="Open Sans" w:hAnsi="Open Sans" w:cs="Open Sans"/>
          <w:color w:val="000000"/>
        </w:rPr>
        <w:t>4,4</w:t>
      </w:r>
      <w:r w:rsidR="00540CD7">
        <w:rPr>
          <w:rFonts w:ascii="Open Sans" w:hAnsi="Open Sans" w:cs="Open Sans"/>
          <w:color w:val="000000"/>
        </w:rPr>
        <w:t xml:space="preserve">%), </w:t>
      </w:r>
      <w:r w:rsidR="00F322E6" w:rsidRPr="00F322E6">
        <w:rPr>
          <w:rFonts w:ascii="Open Sans" w:hAnsi="Open Sans" w:cs="Open Sans"/>
          <w:color w:val="000000"/>
        </w:rPr>
        <w:t xml:space="preserve">Castellón de la Plana / Castelló de la Plana </w:t>
      </w:r>
      <w:r w:rsidR="00540CD7">
        <w:rPr>
          <w:rFonts w:ascii="Open Sans" w:hAnsi="Open Sans" w:cs="Open Sans"/>
          <w:color w:val="000000"/>
        </w:rPr>
        <w:t>(</w:t>
      </w:r>
      <w:r w:rsidR="007B5EFA">
        <w:rPr>
          <w:rFonts w:ascii="Open Sans" w:hAnsi="Open Sans" w:cs="Open Sans"/>
          <w:color w:val="000000"/>
        </w:rPr>
        <w:t>4,3</w:t>
      </w:r>
      <w:r w:rsidR="00540CD7">
        <w:rPr>
          <w:rFonts w:ascii="Open Sans" w:hAnsi="Open Sans" w:cs="Open Sans"/>
          <w:color w:val="000000"/>
        </w:rPr>
        <w:t xml:space="preserve">%), </w:t>
      </w:r>
      <w:r w:rsidR="00F322E6" w:rsidRPr="00F322E6">
        <w:rPr>
          <w:rFonts w:ascii="Open Sans" w:hAnsi="Open Sans" w:cs="Open Sans"/>
          <w:color w:val="000000"/>
        </w:rPr>
        <w:t xml:space="preserve">Logroño </w:t>
      </w:r>
      <w:r w:rsidR="00540CD7">
        <w:rPr>
          <w:rFonts w:ascii="Open Sans" w:hAnsi="Open Sans" w:cs="Open Sans"/>
          <w:color w:val="000000"/>
        </w:rPr>
        <w:t>(</w:t>
      </w:r>
      <w:r w:rsidR="007B5EFA">
        <w:rPr>
          <w:rFonts w:ascii="Open Sans" w:hAnsi="Open Sans" w:cs="Open Sans"/>
          <w:color w:val="000000"/>
        </w:rPr>
        <w:t>3,9</w:t>
      </w:r>
      <w:r w:rsidR="00540CD7">
        <w:rPr>
          <w:rFonts w:ascii="Open Sans" w:hAnsi="Open Sans" w:cs="Open Sans"/>
          <w:color w:val="000000"/>
        </w:rPr>
        <w:t xml:space="preserve">%), </w:t>
      </w:r>
      <w:r w:rsidR="00F322E6" w:rsidRPr="00F322E6">
        <w:rPr>
          <w:rFonts w:ascii="Open Sans" w:hAnsi="Open Sans" w:cs="Open Sans"/>
          <w:color w:val="000000"/>
        </w:rPr>
        <w:t xml:space="preserve">Salamanca Capital </w:t>
      </w:r>
      <w:r w:rsidR="00540CD7">
        <w:rPr>
          <w:rFonts w:ascii="Open Sans" w:hAnsi="Open Sans" w:cs="Open Sans"/>
          <w:color w:val="000000"/>
        </w:rPr>
        <w:t>(</w:t>
      </w:r>
      <w:r w:rsidR="007B5EFA">
        <w:rPr>
          <w:rFonts w:ascii="Open Sans" w:hAnsi="Open Sans" w:cs="Open Sans"/>
          <w:color w:val="000000"/>
        </w:rPr>
        <w:t>3,5</w:t>
      </w:r>
      <w:r w:rsidR="00540CD7">
        <w:rPr>
          <w:rFonts w:ascii="Open Sans" w:hAnsi="Open Sans" w:cs="Open Sans"/>
          <w:color w:val="000000"/>
        </w:rPr>
        <w:t xml:space="preserve">%), </w:t>
      </w:r>
      <w:r w:rsidR="00F322E6" w:rsidRPr="00F322E6">
        <w:rPr>
          <w:rFonts w:ascii="Open Sans" w:hAnsi="Open Sans" w:cs="Open Sans"/>
          <w:color w:val="000000"/>
        </w:rPr>
        <w:t xml:space="preserve">Lugo Capital </w:t>
      </w:r>
      <w:r w:rsidR="00540CD7">
        <w:rPr>
          <w:rFonts w:ascii="Open Sans" w:hAnsi="Open Sans" w:cs="Open Sans"/>
          <w:color w:val="000000"/>
        </w:rPr>
        <w:t>(</w:t>
      </w:r>
      <w:r w:rsidR="007B5EFA">
        <w:rPr>
          <w:rFonts w:ascii="Open Sans" w:hAnsi="Open Sans" w:cs="Open Sans"/>
          <w:color w:val="000000"/>
        </w:rPr>
        <w:t>3,1</w:t>
      </w:r>
      <w:r w:rsidR="00540CD7">
        <w:rPr>
          <w:rFonts w:ascii="Open Sans" w:hAnsi="Open Sans" w:cs="Open Sans"/>
          <w:color w:val="000000"/>
        </w:rPr>
        <w:t xml:space="preserve">%), </w:t>
      </w:r>
      <w:r w:rsidR="00F322E6" w:rsidRPr="00F322E6">
        <w:rPr>
          <w:rFonts w:ascii="Open Sans" w:hAnsi="Open Sans" w:cs="Open Sans"/>
          <w:color w:val="000000"/>
        </w:rPr>
        <w:t>Zamora Capital</w:t>
      </w:r>
      <w:r w:rsidR="00540CD7">
        <w:rPr>
          <w:rFonts w:ascii="Open Sans" w:hAnsi="Open Sans" w:cs="Open Sans"/>
          <w:color w:val="000000"/>
        </w:rPr>
        <w:t xml:space="preserve"> (</w:t>
      </w:r>
      <w:r w:rsidR="007B5EFA">
        <w:rPr>
          <w:rFonts w:ascii="Open Sans" w:hAnsi="Open Sans" w:cs="Open Sans"/>
          <w:color w:val="000000"/>
        </w:rPr>
        <w:t>2,5</w:t>
      </w:r>
      <w:r w:rsidR="00540CD7">
        <w:rPr>
          <w:rFonts w:ascii="Open Sans" w:hAnsi="Open Sans" w:cs="Open Sans"/>
          <w:color w:val="000000"/>
        </w:rPr>
        <w:t xml:space="preserve">%) y </w:t>
      </w:r>
      <w:r w:rsidR="00F322E6" w:rsidRPr="00F322E6">
        <w:rPr>
          <w:rFonts w:ascii="Open Sans" w:hAnsi="Open Sans" w:cs="Open Sans"/>
          <w:color w:val="000000"/>
        </w:rPr>
        <w:t xml:space="preserve">Segovia Capital </w:t>
      </w:r>
      <w:r w:rsidR="00540CD7">
        <w:rPr>
          <w:rFonts w:ascii="Open Sans" w:hAnsi="Open Sans" w:cs="Open Sans"/>
          <w:color w:val="000000"/>
        </w:rPr>
        <w:t>(</w:t>
      </w:r>
      <w:r w:rsidR="007B5EFA">
        <w:rPr>
          <w:rFonts w:ascii="Open Sans" w:hAnsi="Open Sans" w:cs="Open Sans"/>
          <w:color w:val="000000"/>
        </w:rPr>
        <w:t>2,4</w:t>
      </w:r>
      <w:r w:rsidR="00540CD7">
        <w:rPr>
          <w:rFonts w:ascii="Open Sans" w:hAnsi="Open Sans" w:cs="Open Sans"/>
          <w:color w:val="000000"/>
        </w:rPr>
        <w:t xml:space="preserve">%). Por otro lado, las tres capitales con mayores </w:t>
      </w:r>
      <w:r w:rsidR="00F63BCC">
        <w:rPr>
          <w:rFonts w:ascii="Open Sans" w:hAnsi="Open Sans" w:cs="Open Sans"/>
          <w:color w:val="000000"/>
        </w:rPr>
        <w:t>descensos</w:t>
      </w:r>
      <w:r w:rsidR="00540CD7">
        <w:rPr>
          <w:rFonts w:ascii="Open Sans" w:hAnsi="Open Sans" w:cs="Open Sans"/>
          <w:color w:val="000000"/>
        </w:rPr>
        <w:t xml:space="preserve"> son: </w:t>
      </w:r>
      <w:r w:rsidR="00F322E6" w:rsidRPr="00F322E6">
        <w:rPr>
          <w:rFonts w:ascii="Open Sans" w:hAnsi="Open Sans" w:cs="Open Sans"/>
          <w:color w:val="000000"/>
        </w:rPr>
        <w:t xml:space="preserve">Pamplona / Iruña </w:t>
      </w:r>
      <w:r w:rsidR="00540CD7" w:rsidRPr="00540CD7">
        <w:rPr>
          <w:rFonts w:ascii="Open Sans" w:hAnsi="Open Sans" w:cs="Open Sans"/>
          <w:color w:val="000000"/>
        </w:rPr>
        <w:t>(</w:t>
      </w:r>
      <w:r w:rsidR="00540CD7">
        <w:rPr>
          <w:rFonts w:ascii="Open Sans" w:hAnsi="Open Sans" w:cs="Open Sans"/>
          <w:color w:val="000000"/>
        </w:rPr>
        <w:t>-</w:t>
      </w:r>
      <w:r w:rsidR="00F322E6">
        <w:rPr>
          <w:rFonts w:ascii="Open Sans" w:hAnsi="Open Sans" w:cs="Open Sans"/>
          <w:color w:val="000000"/>
        </w:rPr>
        <w:t>16,9</w:t>
      </w:r>
      <w:r w:rsidR="00540CD7" w:rsidRPr="00540CD7">
        <w:rPr>
          <w:rFonts w:ascii="Open Sans" w:hAnsi="Open Sans" w:cs="Open Sans"/>
          <w:color w:val="000000"/>
        </w:rPr>
        <w:t>%),</w:t>
      </w:r>
      <w:r w:rsidR="00540CD7">
        <w:rPr>
          <w:rFonts w:ascii="Open Sans" w:hAnsi="Open Sans" w:cs="Open Sans"/>
          <w:color w:val="000000"/>
        </w:rPr>
        <w:t xml:space="preserve"> </w:t>
      </w:r>
      <w:r w:rsidR="00F322E6" w:rsidRPr="00F322E6">
        <w:rPr>
          <w:rFonts w:ascii="Open Sans" w:hAnsi="Open Sans" w:cs="Open Sans"/>
          <w:color w:val="000000"/>
        </w:rPr>
        <w:t xml:space="preserve">Murcia Capital </w:t>
      </w:r>
      <w:r w:rsidR="00540CD7" w:rsidRPr="00540CD7">
        <w:rPr>
          <w:rFonts w:ascii="Open Sans" w:hAnsi="Open Sans" w:cs="Open Sans"/>
          <w:color w:val="000000"/>
        </w:rPr>
        <w:t>(</w:t>
      </w:r>
      <w:r w:rsidR="00540CD7">
        <w:rPr>
          <w:rFonts w:ascii="Open Sans" w:hAnsi="Open Sans" w:cs="Open Sans"/>
          <w:color w:val="000000"/>
        </w:rPr>
        <w:t>-</w:t>
      </w:r>
      <w:r w:rsidR="00F322E6">
        <w:rPr>
          <w:rFonts w:ascii="Open Sans" w:hAnsi="Open Sans" w:cs="Open Sans"/>
          <w:color w:val="000000"/>
        </w:rPr>
        <w:t>11,1</w:t>
      </w:r>
      <w:r w:rsidR="00540CD7" w:rsidRPr="00540CD7">
        <w:rPr>
          <w:rFonts w:ascii="Open Sans" w:hAnsi="Open Sans" w:cs="Open Sans"/>
          <w:color w:val="000000"/>
        </w:rPr>
        <w:t>%)</w:t>
      </w:r>
      <w:r w:rsidR="00540CD7">
        <w:rPr>
          <w:rFonts w:ascii="Open Sans" w:hAnsi="Open Sans" w:cs="Open Sans"/>
          <w:color w:val="000000"/>
        </w:rPr>
        <w:t xml:space="preserve"> y </w:t>
      </w:r>
      <w:r w:rsidR="00F322E6" w:rsidRPr="00F322E6">
        <w:rPr>
          <w:rFonts w:ascii="Open Sans" w:hAnsi="Open Sans" w:cs="Open Sans"/>
          <w:color w:val="000000"/>
        </w:rPr>
        <w:t xml:space="preserve">Toledo Capital </w:t>
      </w:r>
      <w:r w:rsidR="00540CD7" w:rsidRPr="00540CD7">
        <w:rPr>
          <w:rFonts w:ascii="Open Sans" w:hAnsi="Open Sans" w:cs="Open Sans"/>
          <w:color w:val="000000"/>
        </w:rPr>
        <w:t>(</w:t>
      </w:r>
      <w:r w:rsidR="00540CD7">
        <w:rPr>
          <w:rFonts w:ascii="Open Sans" w:hAnsi="Open Sans" w:cs="Open Sans"/>
          <w:color w:val="000000"/>
        </w:rPr>
        <w:t>-</w:t>
      </w:r>
      <w:r w:rsidR="007B5EFA">
        <w:rPr>
          <w:rFonts w:ascii="Open Sans" w:hAnsi="Open Sans" w:cs="Open Sans"/>
          <w:color w:val="000000"/>
        </w:rPr>
        <w:t>10,6</w:t>
      </w:r>
      <w:r w:rsidR="00540CD7" w:rsidRPr="00540CD7">
        <w:rPr>
          <w:rFonts w:ascii="Open Sans" w:hAnsi="Open Sans" w:cs="Open Sans"/>
          <w:color w:val="000000"/>
        </w:rPr>
        <w:t>%)</w:t>
      </w:r>
      <w:r w:rsidR="00540CD7">
        <w:rPr>
          <w:rFonts w:ascii="Open Sans" w:hAnsi="Open Sans" w:cs="Open Sans"/>
          <w:color w:val="000000"/>
        </w:rPr>
        <w:t>.</w:t>
      </w:r>
    </w:p>
    <w:p w14:paraId="7DF6A02A" w14:textId="4701278A" w:rsidR="002A1E8E" w:rsidRDefault="00E40AF9" w:rsidP="002C7B33">
      <w:pPr>
        <w:pStyle w:val="NormalWeb"/>
        <w:spacing w:after="225" w:line="276" w:lineRule="auto"/>
        <w:jc w:val="both"/>
        <w:rPr>
          <w:rFonts w:ascii="Open Sans" w:hAnsi="Open Sans" w:cs="Open Sans"/>
          <w:color w:val="000000"/>
        </w:rPr>
      </w:pPr>
      <w:r>
        <w:rPr>
          <w:rFonts w:ascii="Open Sans" w:hAnsi="Open Sans" w:cs="Open Sans"/>
          <w:color w:val="000000"/>
        </w:rPr>
        <w:t xml:space="preserve">Respecto a los precios, la capital de provincia más cara es </w:t>
      </w:r>
      <w:r w:rsidR="001454FC" w:rsidRPr="001454FC">
        <w:rPr>
          <w:rFonts w:ascii="Open Sans" w:hAnsi="Open Sans" w:cs="Open Sans"/>
          <w:color w:val="000000"/>
        </w:rPr>
        <w:t>Donostia - San Sebastián</w:t>
      </w:r>
      <w:r w:rsidR="001454FC">
        <w:rPr>
          <w:rFonts w:ascii="Open Sans" w:hAnsi="Open Sans" w:cs="Open Sans"/>
          <w:color w:val="000000"/>
        </w:rPr>
        <w:t xml:space="preserve"> </w:t>
      </w:r>
      <w:r>
        <w:rPr>
          <w:rFonts w:ascii="Open Sans" w:hAnsi="Open Sans" w:cs="Open Sans"/>
          <w:color w:val="000000"/>
        </w:rPr>
        <w:t xml:space="preserve">con </w:t>
      </w:r>
      <w:r w:rsidR="007B5EFA">
        <w:rPr>
          <w:rFonts w:ascii="Open Sans" w:hAnsi="Open Sans" w:cs="Open Sans"/>
          <w:color w:val="000000"/>
        </w:rPr>
        <w:t>4.913</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seguida de </w:t>
      </w:r>
      <w:r w:rsidR="001454FC" w:rsidRPr="001454FC">
        <w:rPr>
          <w:rFonts w:ascii="Open Sans" w:hAnsi="Open Sans" w:cs="Open Sans"/>
          <w:color w:val="000000"/>
        </w:rPr>
        <w:t xml:space="preserve">Barcelona Capital </w:t>
      </w:r>
      <w:r w:rsidRPr="00C108A1">
        <w:rPr>
          <w:rFonts w:ascii="Open Sans" w:hAnsi="Open Sans" w:cs="Open Sans"/>
          <w:color w:val="000000"/>
        </w:rPr>
        <w:t>(</w:t>
      </w:r>
      <w:r w:rsidR="001454FC">
        <w:rPr>
          <w:rFonts w:ascii="Open Sans" w:hAnsi="Open Sans" w:cs="Open Sans"/>
          <w:color w:val="000000"/>
        </w:rPr>
        <w:t>4.</w:t>
      </w:r>
      <w:r w:rsidR="007B5EFA">
        <w:rPr>
          <w:rFonts w:ascii="Open Sans" w:hAnsi="Open Sans" w:cs="Open Sans"/>
          <w:color w:val="000000"/>
        </w:rPr>
        <w:t>264</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 xml:space="preserve">Madrid Capital </w:t>
      </w:r>
      <w:r w:rsidRPr="00C108A1">
        <w:rPr>
          <w:rFonts w:ascii="Open Sans" w:hAnsi="Open Sans" w:cs="Open Sans"/>
          <w:color w:val="000000"/>
        </w:rPr>
        <w:t>(</w:t>
      </w:r>
      <w:r w:rsidR="001454FC">
        <w:rPr>
          <w:rFonts w:ascii="Open Sans" w:hAnsi="Open Sans" w:cs="Open Sans"/>
          <w:color w:val="000000"/>
        </w:rPr>
        <w:t>3.</w:t>
      </w:r>
      <w:r w:rsidR="007B5EFA">
        <w:rPr>
          <w:rFonts w:ascii="Open Sans" w:hAnsi="Open Sans" w:cs="Open Sans"/>
          <w:color w:val="000000"/>
        </w:rPr>
        <w:t>685</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Pr>
          <w:rFonts w:ascii="Open Sans" w:hAnsi="Open Sans" w:cs="Open Sans"/>
          <w:color w:val="000000"/>
        </w:rPr>
        <w:t>Bilbao</w:t>
      </w:r>
      <w:r>
        <w:rPr>
          <w:rFonts w:ascii="Open Sans" w:hAnsi="Open Sans" w:cs="Open Sans"/>
          <w:color w:val="000000"/>
        </w:rPr>
        <w:t xml:space="preserve"> </w:t>
      </w:r>
      <w:r w:rsidRPr="00C108A1">
        <w:rPr>
          <w:rFonts w:ascii="Open Sans" w:hAnsi="Open Sans" w:cs="Open Sans"/>
          <w:color w:val="000000"/>
        </w:rPr>
        <w:t>(</w:t>
      </w:r>
      <w:r w:rsidR="00F62446">
        <w:rPr>
          <w:rFonts w:ascii="Open Sans" w:hAnsi="Open Sans" w:cs="Open Sans"/>
          <w:color w:val="000000"/>
        </w:rPr>
        <w:t>3.2</w:t>
      </w:r>
      <w:r w:rsidR="007B5EFA">
        <w:rPr>
          <w:rFonts w:ascii="Open Sans" w:hAnsi="Open Sans" w:cs="Open Sans"/>
          <w:color w:val="000000"/>
        </w:rPr>
        <w:t>42</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Palma de Mallorca</w:t>
      </w:r>
      <w:r>
        <w:rPr>
          <w:rFonts w:ascii="Open Sans" w:hAnsi="Open Sans" w:cs="Open Sans"/>
          <w:color w:val="000000"/>
        </w:rPr>
        <w:t xml:space="preserve"> </w:t>
      </w:r>
      <w:r w:rsidRPr="00C108A1">
        <w:rPr>
          <w:rFonts w:ascii="Open Sans" w:hAnsi="Open Sans" w:cs="Open Sans"/>
          <w:color w:val="000000"/>
        </w:rPr>
        <w:t>(</w:t>
      </w:r>
      <w:r w:rsidR="007B5EFA">
        <w:rPr>
          <w:rFonts w:ascii="Open Sans" w:hAnsi="Open Sans" w:cs="Open Sans"/>
          <w:color w:val="000000"/>
        </w:rPr>
        <w:t>3.042</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7B5EFA" w:rsidRPr="007B5EFA">
        <w:rPr>
          <w:rFonts w:ascii="Open Sans" w:hAnsi="Open Sans" w:cs="Open Sans"/>
          <w:color w:val="000000"/>
        </w:rPr>
        <w:t xml:space="preserve">A Coruña Capital </w:t>
      </w:r>
      <w:r w:rsidRPr="00C108A1">
        <w:rPr>
          <w:rFonts w:ascii="Open Sans" w:hAnsi="Open Sans" w:cs="Open Sans"/>
          <w:color w:val="000000"/>
        </w:rPr>
        <w:t>(</w:t>
      </w:r>
      <w:r w:rsidR="001454FC">
        <w:rPr>
          <w:rFonts w:ascii="Open Sans" w:hAnsi="Open Sans" w:cs="Open Sans"/>
          <w:color w:val="000000"/>
        </w:rPr>
        <w:t>2.</w:t>
      </w:r>
      <w:r w:rsidR="007B5EFA">
        <w:rPr>
          <w:rFonts w:ascii="Open Sans" w:hAnsi="Open Sans" w:cs="Open Sans"/>
          <w:color w:val="000000"/>
        </w:rPr>
        <w:t>491</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7B5EFA" w:rsidRPr="007B5EFA">
        <w:rPr>
          <w:rFonts w:ascii="Open Sans" w:hAnsi="Open Sans" w:cs="Open Sans"/>
          <w:color w:val="000000"/>
        </w:rPr>
        <w:t xml:space="preserve">Vitoria - Gasteiz </w:t>
      </w:r>
      <w:r w:rsidRPr="00C108A1">
        <w:rPr>
          <w:rFonts w:ascii="Open Sans" w:hAnsi="Open Sans" w:cs="Open Sans"/>
          <w:color w:val="000000"/>
        </w:rPr>
        <w:t>(</w:t>
      </w:r>
      <w:r w:rsidR="001454FC">
        <w:rPr>
          <w:rFonts w:ascii="Open Sans" w:hAnsi="Open Sans" w:cs="Open Sans"/>
          <w:color w:val="000000"/>
        </w:rPr>
        <w:t>2.</w:t>
      </w:r>
      <w:r w:rsidR="007B5EFA">
        <w:rPr>
          <w:rFonts w:ascii="Open Sans" w:hAnsi="Open Sans" w:cs="Open Sans"/>
          <w:color w:val="000000"/>
        </w:rPr>
        <w:t>449</w:t>
      </w:r>
      <w:r w:rsidR="001454FC">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y </w:t>
      </w:r>
      <w:r w:rsidR="007B5EFA" w:rsidRPr="007B5EFA">
        <w:rPr>
          <w:rFonts w:ascii="Open Sans" w:hAnsi="Open Sans" w:cs="Open Sans"/>
          <w:color w:val="000000"/>
        </w:rPr>
        <w:t xml:space="preserve">Cádiz Capital </w:t>
      </w:r>
      <w:r w:rsidRPr="00C108A1">
        <w:rPr>
          <w:rFonts w:ascii="Open Sans" w:hAnsi="Open Sans" w:cs="Open Sans"/>
          <w:color w:val="000000"/>
        </w:rPr>
        <w:t>(</w:t>
      </w:r>
      <w:r w:rsidR="001454FC">
        <w:rPr>
          <w:rFonts w:ascii="Open Sans" w:hAnsi="Open Sans" w:cs="Open Sans"/>
          <w:color w:val="000000"/>
        </w:rPr>
        <w:t>2.3</w:t>
      </w:r>
      <w:r w:rsidR="007B5EFA">
        <w:rPr>
          <w:rFonts w:ascii="Open Sans" w:hAnsi="Open Sans" w:cs="Open Sans"/>
          <w:color w:val="000000"/>
        </w:rPr>
        <w:t xml:space="preserve">92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w:t>
      </w:r>
    </w:p>
    <w:tbl>
      <w:tblPr>
        <w:tblStyle w:val="Tabladecuadrcula5oscura-nfasis11"/>
        <w:tblW w:w="9063" w:type="dxa"/>
        <w:tblInd w:w="-5" w:type="dxa"/>
        <w:tblLook w:val="04A0" w:firstRow="1" w:lastRow="0" w:firstColumn="1" w:lastColumn="0" w:noHBand="0" w:noVBand="1"/>
      </w:tblPr>
      <w:tblGrid>
        <w:gridCol w:w="1636"/>
        <w:gridCol w:w="2617"/>
        <w:gridCol w:w="1559"/>
        <w:gridCol w:w="1701"/>
        <w:gridCol w:w="1550"/>
      </w:tblGrid>
      <w:tr w:rsidR="00E40AF9" w:rsidRPr="00967736" w14:paraId="50BC08B8" w14:textId="77777777" w:rsidTr="0056052D">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36C777EB" w14:textId="2B526D17" w:rsidR="00E40AF9" w:rsidRPr="001454FC" w:rsidRDefault="00E40AF9" w:rsidP="002C7B33">
            <w:pPr>
              <w:rPr>
                <w:rFonts w:ascii="Open Sans" w:hAnsi="Open Sans" w:cs="Open Sans"/>
                <w:bCs w:val="0"/>
                <w:sz w:val="22"/>
                <w:szCs w:val="22"/>
                <w:lang w:val="es-ES"/>
              </w:rPr>
            </w:pPr>
            <w:r w:rsidRPr="001454FC">
              <w:rPr>
                <w:rFonts w:ascii="Open Sans" w:hAnsi="Open Sans" w:cs="Open Sans"/>
                <w:bCs w:val="0"/>
                <w:sz w:val="22"/>
                <w:szCs w:val="22"/>
                <w:lang w:val="es-ES"/>
              </w:rPr>
              <w:t>Provincia</w:t>
            </w:r>
          </w:p>
        </w:tc>
        <w:tc>
          <w:tcPr>
            <w:tcW w:w="2617" w:type="dxa"/>
            <w:vAlign w:val="center"/>
          </w:tcPr>
          <w:p w14:paraId="294F8A68" w14:textId="0A30FB18" w:rsidR="00E40AF9" w:rsidRPr="00967736" w:rsidRDefault="00E40AF9" w:rsidP="002C7B33">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559" w:type="dxa"/>
          </w:tcPr>
          <w:p w14:paraId="48DE2C6A" w14:textId="7777777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34BB92D4" w14:textId="2086E51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701" w:type="dxa"/>
          </w:tcPr>
          <w:p w14:paraId="603EAAC6" w14:textId="7777777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4D1D1539" w14:textId="5F2A491E"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550" w:type="dxa"/>
          </w:tcPr>
          <w:p w14:paraId="6AF1C994" w14:textId="62180D92" w:rsidR="00E40AF9" w:rsidRPr="00967736" w:rsidRDefault="00A07E2C"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79401C">
              <w:rPr>
                <w:rFonts w:ascii="Open Sans" w:hAnsi="Open Sans" w:cs="Open Sans"/>
                <w:bCs w:val="0"/>
                <w:sz w:val="22"/>
                <w:szCs w:val="22"/>
                <w:lang w:val="es-ES"/>
              </w:rPr>
              <w:t>.2020</w:t>
            </w:r>
          </w:p>
          <w:p w14:paraId="6B7D8AA6" w14:textId="2E822938"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7B5EFA" w:rsidRPr="00967736" w14:paraId="3D5BDFFE"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1A913C" w14:textId="2101566E"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A Coruña</w:t>
            </w:r>
          </w:p>
        </w:tc>
        <w:tc>
          <w:tcPr>
            <w:tcW w:w="2617" w:type="dxa"/>
            <w:vAlign w:val="bottom"/>
          </w:tcPr>
          <w:p w14:paraId="33428CCE" w14:textId="5DCB6A5D"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A Coruña Capital</w:t>
            </w:r>
          </w:p>
        </w:tc>
        <w:tc>
          <w:tcPr>
            <w:tcW w:w="1559" w:type="dxa"/>
            <w:vAlign w:val="bottom"/>
          </w:tcPr>
          <w:p w14:paraId="1B2084CB" w14:textId="7EBC9B44"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9,2 %</w:t>
            </w:r>
          </w:p>
        </w:tc>
        <w:tc>
          <w:tcPr>
            <w:tcW w:w="1701" w:type="dxa"/>
            <w:vAlign w:val="bottom"/>
          </w:tcPr>
          <w:p w14:paraId="49931DF0" w14:textId="48F8DC56"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11,0 %</w:t>
            </w:r>
          </w:p>
        </w:tc>
        <w:tc>
          <w:tcPr>
            <w:tcW w:w="1550" w:type="dxa"/>
            <w:vAlign w:val="bottom"/>
          </w:tcPr>
          <w:p w14:paraId="2BF050E3" w14:textId="2294557A"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2.491 € </w:t>
            </w:r>
          </w:p>
        </w:tc>
      </w:tr>
      <w:tr w:rsidR="007B5EFA" w:rsidRPr="00967736" w14:paraId="6BC09A1F"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8ACF0B6" w14:textId="554F2F10"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Cantabria</w:t>
            </w:r>
          </w:p>
        </w:tc>
        <w:tc>
          <w:tcPr>
            <w:tcW w:w="2617" w:type="dxa"/>
            <w:vAlign w:val="bottom"/>
          </w:tcPr>
          <w:p w14:paraId="6D9B3CFF" w14:textId="37F95F09"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Santander</w:t>
            </w:r>
          </w:p>
        </w:tc>
        <w:tc>
          <w:tcPr>
            <w:tcW w:w="1559" w:type="dxa"/>
            <w:vAlign w:val="bottom"/>
          </w:tcPr>
          <w:p w14:paraId="777FFC64" w14:textId="6F7EF9D7"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5,6 %</w:t>
            </w:r>
          </w:p>
        </w:tc>
        <w:tc>
          <w:tcPr>
            <w:tcW w:w="1701" w:type="dxa"/>
            <w:vAlign w:val="bottom"/>
          </w:tcPr>
          <w:p w14:paraId="04028EFA" w14:textId="400EE4DD"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9,5 %</w:t>
            </w:r>
          </w:p>
        </w:tc>
        <w:tc>
          <w:tcPr>
            <w:tcW w:w="1550" w:type="dxa"/>
            <w:vAlign w:val="bottom"/>
          </w:tcPr>
          <w:p w14:paraId="7133D007" w14:textId="26F6E0F8"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2.269 € </w:t>
            </w:r>
          </w:p>
        </w:tc>
      </w:tr>
      <w:tr w:rsidR="007B5EFA" w:rsidRPr="00967736" w14:paraId="070318DD"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6E58195" w14:textId="77C8D837"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Pontevedra</w:t>
            </w:r>
          </w:p>
        </w:tc>
        <w:tc>
          <w:tcPr>
            <w:tcW w:w="2617" w:type="dxa"/>
            <w:vAlign w:val="bottom"/>
          </w:tcPr>
          <w:p w14:paraId="3DA927BE" w14:textId="12B65704"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Pontevedra Capital</w:t>
            </w:r>
          </w:p>
        </w:tc>
        <w:tc>
          <w:tcPr>
            <w:tcW w:w="1559" w:type="dxa"/>
            <w:vAlign w:val="bottom"/>
          </w:tcPr>
          <w:p w14:paraId="1D666C1B" w14:textId="32F8C08A"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4,6 %</w:t>
            </w:r>
          </w:p>
        </w:tc>
        <w:tc>
          <w:tcPr>
            <w:tcW w:w="1701" w:type="dxa"/>
            <w:vAlign w:val="bottom"/>
          </w:tcPr>
          <w:p w14:paraId="7D4E179B" w14:textId="5B7EACDE"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3,9 %</w:t>
            </w:r>
          </w:p>
        </w:tc>
        <w:tc>
          <w:tcPr>
            <w:tcW w:w="1550" w:type="dxa"/>
            <w:vAlign w:val="bottom"/>
          </w:tcPr>
          <w:p w14:paraId="37EC804F" w14:textId="5ED954FC"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1.791 € </w:t>
            </w:r>
          </w:p>
        </w:tc>
      </w:tr>
      <w:tr w:rsidR="007B5EFA" w:rsidRPr="00967736" w14:paraId="34A7B4EA"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CDD98AD" w14:textId="24168014"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Cuenca</w:t>
            </w:r>
          </w:p>
        </w:tc>
        <w:tc>
          <w:tcPr>
            <w:tcW w:w="2617" w:type="dxa"/>
            <w:vAlign w:val="bottom"/>
          </w:tcPr>
          <w:p w14:paraId="7C36D5C6" w14:textId="3998507C"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Cuenca Capital</w:t>
            </w:r>
          </w:p>
        </w:tc>
        <w:tc>
          <w:tcPr>
            <w:tcW w:w="1559" w:type="dxa"/>
            <w:vAlign w:val="bottom"/>
          </w:tcPr>
          <w:p w14:paraId="5EB3FE38" w14:textId="0737CBDF"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4,4 %</w:t>
            </w:r>
          </w:p>
        </w:tc>
        <w:tc>
          <w:tcPr>
            <w:tcW w:w="1701" w:type="dxa"/>
            <w:vAlign w:val="bottom"/>
          </w:tcPr>
          <w:p w14:paraId="3A2C9CC3" w14:textId="2696F857"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1550" w:type="dxa"/>
            <w:vAlign w:val="bottom"/>
          </w:tcPr>
          <w:p w14:paraId="5C86A653" w14:textId="19C3CA00"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1.317 € </w:t>
            </w:r>
          </w:p>
        </w:tc>
      </w:tr>
      <w:tr w:rsidR="007B5EFA" w:rsidRPr="00967736" w14:paraId="6FF1DB8A"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0D44B07" w14:textId="7B106215"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lastRenderedPageBreak/>
              <w:t>Castellón</w:t>
            </w:r>
          </w:p>
        </w:tc>
        <w:tc>
          <w:tcPr>
            <w:tcW w:w="2617" w:type="dxa"/>
            <w:vAlign w:val="bottom"/>
          </w:tcPr>
          <w:p w14:paraId="0B4F131A" w14:textId="7C21FDCC"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Castellón de la Plana</w:t>
            </w:r>
          </w:p>
        </w:tc>
        <w:tc>
          <w:tcPr>
            <w:tcW w:w="1559" w:type="dxa"/>
            <w:vAlign w:val="bottom"/>
          </w:tcPr>
          <w:p w14:paraId="739C91D3" w14:textId="10B65CAF"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4,3 %</w:t>
            </w:r>
          </w:p>
        </w:tc>
        <w:tc>
          <w:tcPr>
            <w:tcW w:w="1701" w:type="dxa"/>
            <w:vAlign w:val="bottom"/>
          </w:tcPr>
          <w:p w14:paraId="5893537F" w14:textId="261BE6A5"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2,2 %</w:t>
            </w:r>
          </w:p>
        </w:tc>
        <w:tc>
          <w:tcPr>
            <w:tcW w:w="1550" w:type="dxa"/>
            <w:vAlign w:val="bottom"/>
          </w:tcPr>
          <w:p w14:paraId="26F7151E" w14:textId="4D5AC44E"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1.274 € </w:t>
            </w:r>
          </w:p>
        </w:tc>
      </w:tr>
      <w:tr w:rsidR="007B5EFA" w:rsidRPr="00967736" w14:paraId="558554D3"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C802D74" w14:textId="6CF48559"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La Rioja</w:t>
            </w:r>
          </w:p>
        </w:tc>
        <w:tc>
          <w:tcPr>
            <w:tcW w:w="2617" w:type="dxa"/>
            <w:vAlign w:val="bottom"/>
          </w:tcPr>
          <w:p w14:paraId="4C5C7968" w14:textId="295667EF"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Logroño</w:t>
            </w:r>
          </w:p>
        </w:tc>
        <w:tc>
          <w:tcPr>
            <w:tcW w:w="1559" w:type="dxa"/>
            <w:vAlign w:val="bottom"/>
          </w:tcPr>
          <w:p w14:paraId="12AA6273" w14:textId="26F78E42"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3,9 %</w:t>
            </w:r>
          </w:p>
        </w:tc>
        <w:tc>
          <w:tcPr>
            <w:tcW w:w="1701" w:type="dxa"/>
            <w:vAlign w:val="bottom"/>
          </w:tcPr>
          <w:p w14:paraId="2D8F9D2F" w14:textId="1CCBD77A"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7,9 %</w:t>
            </w:r>
          </w:p>
        </w:tc>
        <w:tc>
          <w:tcPr>
            <w:tcW w:w="1550" w:type="dxa"/>
            <w:vAlign w:val="bottom"/>
          </w:tcPr>
          <w:p w14:paraId="798DF1E2" w14:textId="10D96863"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1.751 € </w:t>
            </w:r>
          </w:p>
        </w:tc>
      </w:tr>
      <w:tr w:rsidR="007B5EFA" w:rsidRPr="00967736" w14:paraId="673D97D6"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1407E1" w14:textId="4C50F3AC"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Salamanca</w:t>
            </w:r>
          </w:p>
        </w:tc>
        <w:tc>
          <w:tcPr>
            <w:tcW w:w="2617" w:type="dxa"/>
            <w:vAlign w:val="bottom"/>
          </w:tcPr>
          <w:p w14:paraId="567F2BC9" w14:textId="2FE2AC4F"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Salamanca Capital</w:t>
            </w:r>
          </w:p>
        </w:tc>
        <w:tc>
          <w:tcPr>
            <w:tcW w:w="1559" w:type="dxa"/>
            <w:vAlign w:val="bottom"/>
          </w:tcPr>
          <w:p w14:paraId="67BFB155" w14:textId="12F98754"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3,5 %</w:t>
            </w:r>
          </w:p>
        </w:tc>
        <w:tc>
          <w:tcPr>
            <w:tcW w:w="1701" w:type="dxa"/>
            <w:vAlign w:val="bottom"/>
          </w:tcPr>
          <w:p w14:paraId="4002F8A0" w14:textId="0D3E5565"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4,4 %</w:t>
            </w:r>
          </w:p>
        </w:tc>
        <w:tc>
          <w:tcPr>
            <w:tcW w:w="1550" w:type="dxa"/>
            <w:vAlign w:val="bottom"/>
          </w:tcPr>
          <w:p w14:paraId="4D08D76F" w14:textId="60539DAF"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1.984 € </w:t>
            </w:r>
          </w:p>
        </w:tc>
      </w:tr>
      <w:tr w:rsidR="007B5EFA" w:rsidRPr="00967736" w14:paraId="2035ACBD"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0F6D6C4" w14:textId="60A4D908"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Lugo</w:t>
            </w:r>
          </w:p>
        </w:tc>
        <w:tc>
          <w:tcPr>
            <w:tcW w:w="2617" w:type="dxa"/>
            <w:vAlign w:val="bottom"/>
          </w:tcPr>
          <w:p w14:paraId="5899F7DD" w14:textId="03361C79"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Lugo Capital</w:t>
            </w:r>
          </w:p>
        </w:tc>
        <w:tc>
          <w:tcPr>
            <w:tcW w:w="1559" w:type="dxa"/>
            <w:vAlign w:val="bottom"/>
          </w:tcPr>
          <w:p w14:paraId="25C6D13F" w14:textId="6D046E83"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3,1 %</w:t>
            </w:r>
          </w:p>
        </w:tc>
        <w:tc>
          <w:tcPr>
            <w:tcW w:w="1701" w:type="dxa"/>
            <w:vAlign w:val="bottom"/>
          </w:tcPr>
          <w:p w14:paraId="5756304F" w14:textId="3CEFA041"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1,0 %</w:t>
            </w:r>
          </w:p>
        </w:tc>
        <w:tc>
          <w:tcPr>
            <w:tcW w:w="1550" w:type="dxa"/>
            <w:vAlign w:val="bottom"/>
          </w:tcPr>
          <w:p w14:paraId="2088190C" w14:textId="488CB3B1"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1.336 € </w:t>
            </w:r>
          </w:p>
        </w:tc>
      </w:tr>
      <w:tr w:rsidR="007B5EFA" w:rsidRPr="00967736" w14:paraId="1405E26B"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309E29" w14:textId="674477E8"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Zamora</w:t>
            </w:r>
          </w:p>
        </w:tc>
        <w:tc>
          <w:tcPr>
            <w:tcW w:w="2617" w:type="dxa"/>
            <w:vAlign w:val="bottom"/>
          </w:tcPr>
          <w:p w14:paraId="52305A05" w14:textId="7ABB3A66"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Zamora Capital</w:t>
            </w:r>
          </w:p>
        </w:tc>
        <w:tc>
          <w:tcPr>
            <w:tcW w:w="1559" w:type="dxa"/>
            <w:vAlign w:val="bottom"/>
          </w:tcPr>
          <w:p w14:paraId="23FA4477" w14:textId="6BCB684A"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2,5 %</w:t>
            </w:r>
          </w:p>
        </w:tc>
        <w:tc>
          <w:tcPr>
            <w:tcW w:w="1701" w:type="dxa"/>
            <w:vAlign w:val="bottom"/>
          </w:tcPr>
          <w:p w14:paraId="53214A1E" w14:textId="67D4B8EB"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0,4 %</w:t>
            </w:r>
          </w:p>
        </w:tc>
        <w:tc>
          <w:tcPr>
            <w:tcW w:w="1550" w:type="dxa"/>
            <w:vAlign w:val="bottom"/>
          </w:tcPr>
          <w:p w14:paraId="3F254647" w14:textId="3473766D"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1.337 € </w:t>
            </w:r>
          </w:p>
        </w:tc>
      </w:tr>
      <w:tr w:rsidR="007B5EFA" w:rsidRPr="00967736" w14:paraId="500C5811"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0CBE76E" w14:textId="0322AEDF"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Segovia</w:t>
            </w:r>
          </w:p>
        </w:tc>
        <w:tc>
          <w:tcPr>
            <w:tcW w:w="2617" w:type="dxa"/>
            <w:vAlign w:val="bottom"/>
          </w:tcPr>
          <w:p w14:paraId="697A4884" w14:textId="3302B3BF"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Segovia Capital</w:t>
            </w:r>
          </w:p>
        </w:tc>
        <w:tc>
          <w:tcPr>
            <w:tcW w:w="1559" w:type="dxa"/>
            <w:vAlign w:val="bottom"/>
          </w:tcPr>
          <w:p w14:paraId="133CDCD4" w14:textId="7C0F5EB2"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2,4 %</w:t>
            </w:r>
          </w:p>
        </w:tc>
        <w:tc>
          <w:tcPr>
            <w:tcW w:w="1701" w:type="dxa"/>
            <w:vAlign w:val="bottom"/>
          </w:tcPr>
          <w:p w14:paraId="20F06192" w14:textId="3B774459"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5,1 %</w:t>
            </w:r>
          </w:p>
        </w:tc>
        <w:tc>
          <w:tcPr>
            <w:tcW w:w="1550" w:type="dxa"/>
            <w:vAlign w:val="bottom"/>
          </w:tcPr>
          <w:p w14:paraId="40DBEC7D" w14:textId="3F6BFF63"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1.678 € </w:t>
            </w:r>
          </w:p>
        </w:tc>
      </w:tr>
      <w:tr w:rsidR="007B5EFA" w:rsidRPr="00967736" w14:paraId="75AB458C"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49B6A28" w14:textId="35CD0C00"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Badajoz</w:t>
            </w:r>
          </w:p>
        </w:tc>
        <w:tc>
          <w:tcPr>
            <w:tcW w:w="2617" w:type="dxa"/>
            <w:vAlign w:val="bottom"/>
          </w:tcPr>
          <w:p w14:paraId="59443C2C" w14:textId="66A11C0C"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Badajoz Capital</w:t>
            </w:r>
          </w:p>
        </w:tc>
        <w:tc>
          <w:tcPr>
            <w:tcW w:w="1559" w:type="dxa"/>
            <w:vAlign w:val="bottom"/>
          </w:tcPr>
          <w:p w14:paraId="29C5544E" w14:textId="50C2FB54"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2,3 %</w:t>
            </w:r>
          </w:p>
        </w:tc>
        <w:tc>
          <w:tcPr>
            <w:tcW w:w="1701" w:type="dxa"/>
            <w:vAlign w:val="bottom"/>
          </w:tcPr>
          <w:p w14:paraId="123FF288" w14:textId="5BAEB41C"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6,0 %</w:t>
            </w:r>
          </w:p>
        </w:tc>
        <w:tc>
          <w:tcPr>
            <w:tcW w:w="1550" w:type="dxa"/>
            <w:vAlign w:val="bottom"/>
          </w:tcPr>
          <w:p w14:paraId="3A47F5BE" w14:textId="5822DBEE"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1.329 € </w:t>
            </w:r>
          </w:p>
        </w:tc>
      </w:tr>
      <w:tr w:rsidR="007B5EFA" w:rsidRPr="00967736" w14:paraId="3DA84E29"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980FA8" w14:textId="0B79E38D"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Illes Balears</w:t>
            </w:r>
          </w:p>
        </w:tc>
        <w:tc>
          <w:tcPr>
            <w:tcW w:w="2617" w:type="dxa"/>
            <w:vAlign w:val="bottom"/>
          </w:tcPr>
          <w:p w14:paraId="529D8D5A" w14:textId="55F21DB1"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Palma de Mallorca</w:t>
            </w:r>
          </w:p>
        </w:tc>
        <w:tc>
          <w:tcPr>
            <w:tcW w:w="1559" w:type="dxa"/>
            <w:vAlign w:val="bottom"/>
          </w:tcPr>
          <w:p w14:paraId="01449010" w14:textId="3AF9360E"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1,7 %</w:t>
            </w:r>
          </w:p>
        </w:tc>
        <w:tc>
          <w:tcPr>
            <w:tcW w:w="1701" w:type="dxa"/>
            <w:vAlign w:val="bottom"/>
          </w:tcPr>
          <w:p w14:paraId="3E576B89" w14:textId="3C6FA1A2"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8,5 %</w:t>
            </w:r>
          </w:p>
        </w:tc>
        <w:tc>
          <w:tcPr>
            <w:tcW w:w="1550" w:type="dxa"/>
            <w:vAlign w:val="bottom"/>
          </w:tcPr>
          <w:p w14:paraId="3AC549AD" w14:textId="04575766"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3.042 € </w:t>
            </w:r>
          </w:p>
        </w:tc>
      </w:tr>
      <w:tr w:rsidR="007B5EFA" w:rsidRPr="00967736" w14:paraId="6576D1EF"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CCB4C57" w14:textId="31779557"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Girona</w:t>
            </w:r>
          </w:p>
        </w:tc>
        <w:tc>
          <w:tcPr>
            <w:tcW w:w="2617" w:type="dxa"/>
            <w:vAlign w:val="bottom"/>
          </w:tcPr>
          <w:p w14:paraId="1E3C9075" w14:textId="1697F587"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Girona Capital</w:t>
            </w:r>
          </w:p>
        </w:tc>
        <w:tc>
          <w:tcPr>
            <w:tcW w:w="1559" w:type="dxa"/>
            <w:vAlign w:val="bottom"/>
          </w:tcPr>
          <w:p w14:paraId="147E8CE2" w14:textId="74513EB7"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1,2 %</w:t>
            </w:r>
          </w:p>
        </w:tc>
        <w:tc>
          <w:tcPr>
            <w:tcW w:w="1701" w:type="dxa"/>
            <w:vAlign w:val="bottom"/>
          </w:tcPr>
          <w:p w14:paraId="55EF6C4D" w14:textId="07AD8980"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7,7 %</w:t>
            </w:r>
          </w:p>
        </w:tc>
        <w:tc>
          <w:tcPr>
            <w:tcW w:w="1550" w:type="dxa"/>
            <w:vAlign w:val="bottom"/>
          </w:tcPr>
          <w:p w14:paraId="5D1ABAA2" w14:textId="667405BE"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2.367 € </w:t>
            </w:r>
          </w:p>
        </w:tc>
      </w:tr>
      <w:tr w:rsidR="007B5EFA" w:rsidRPr="00967736" w14:paraId="645C5A53"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60AC0C" w14:textId="13BADA8C"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Ciudad Real</w:t>
            </w:r>
          </w:p>
        </w:tc>
        <w:tc>
          <w:tcPr>
            <w:tcW w:w="2617" w:type="dxa"/>
            <w:vAlign w:val="bottom"/>
          </w:tcPr>
          <w:p w14:paraId="09B50342" w14:textId="10C20786"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Ciudad Real Capital</w:t>
            </w:r>
          </w:p>
        </w:tc>
        <w:tc>
          <w:tcPr>
            <w:tcW w:w="1559" w:type="dxa"/>
            <w:vAlign w:val="bottom"/>
          </w:tcPr>
          <w:p w14:paraId="004AA59D" w14:textId="0D2B1B27"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1,1 %</w:t>
            </w:r>
          </w:p>
        </w:tc>
        <w:tc>
          <w:tcPr>
            <w:tcW w:w="1701" w:type="dxa"/>
            <w:vAlign w:val="bottom"/>
          </w:tcPr>
          <w:p w14:paraId="4AC03913" w14:textId="7F76872E"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2,0 %</w:t>
            </w:r>
          </w:p>
        </w:tc>
        <w:tc>
          <w:tcPr>
            <w:tcW w:w="1550" w:type="dxa"/>
            <w:vAlign w:val="bottom"/>
          </w:tcPr>
          <w:p w14:paraId="4B5A5ADB" w14:textId="72DD1C26"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1.280 € </w:t>
            </w:r>
          </w:p>
        </w:tc>
      </w:tr>
      <w:tr w:rsidR="007B5EFA" w:rsidRPr="00967736" w14:paraId="1C6640E0"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020907" w14:textId="75CEDB73"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Málaga</w:t>
            </w:r>
          </w:p>
        </w:tc>
        <w:tc>
          <w:tcPr>
            <w:tcW w:w="2617" w:type="dxa"/>
            <w:vAlign w:val="bottom"/>
          </w:tcPr>
          <w:p w14:paraId="57213A71" w14:textId="0F114509"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Málaga Capital</w:t>
            </w:r>
          </w:p>
        </w:tc>
        <w:tc>
          <w:tcPr>
            <w:tcW w:w="1559" w:type="dxa"/>
            <w:vAlign w:val="bottom"/>
          </w:tcPr>
          <w:p w14:paraId="30CBE648" w14:textId="33A0B9E5"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1,1 %</w:t>
            </w:r>
          </w:p>
        </w:tc>
        <w:tc>
          <w:tcPr>
            <w:tcW w:w="1701" w:type="dxa"/>
            <w:vAlign w:val="bottom"/>
          </w:tcPr>
          <w:p w14:paraId="194E1AD8" w14:textId="32172A13"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5,8 %</w:t>
            </w:r>
          </w:p>
        </w:tc>
        <w:tc>
          <w:tcPr>
            <w:tcW w:w="1550" w:type="dxa"/>
            <w:vAlign w:val="bottom"/>
          </w:tcPr>
          <w:p w14:paraId="64689D45" w14:textId="05464A09"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2.364 € </w:t>
            </w:r>
          </w:p>
        </w:tc>
      </w:tr>
      <w:tr w:rsidR="007B5EFA" w:rsidRPr="00967736" w14:paraId="2CECFE45"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9D39EEE" w14:textId="1632870D"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Zaragoza</w:t>
            </w:r>
          </w:p>
        </w:tc>
        <w:tc>
          <w:tcPr>
            <w:tcW w:w="2617" w:type="dxa"/>
            <w:vAlign w:val="bottom"/>
          </w:tcPr>
          <w:p w14:paraId="6684C3DC" w14:textId="11841624"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Zaragoza Capital</w:t>
            </w:r>
          </w:p>
        </w:tc>
        <w:tc>
          <w:tcPr>
            <w:tcW w:w="1559" w:type="dxa"/>
            <w:vAlign w:val="bottom"/>
          </w:tcPr>
          <w:p w14:paraId="0E5ABFFE" w14:textId="08445128"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0,8 %</w:t>
            </w:r>
          </w:p>
        </w:tc>
        <w:tc>
          <w:tcPr>
            <w:tcW w:w="1701" w:type="dxa"/>
            <w:vAlign w:val="bottom"/>
          </w:tcPr>
          <w:p w14:paraId="4A842A6C" w14:textId="13DF7F76"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4,5 %</w:t>
            </w:r>
          </w:p>
        </w:tc>
        <w:tc>
          <w:tcPr>
            <w:tcW w:w="1550" w:type="dxa"/>
            <w:vAlign w:val="bottom"/>
          </w:tcPr>
          <w:p w14:paraId="4B5C3F16" w14:textId="454AF6A2"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1.866 € </w:t>
            </w:r>
          </w:p>
        </w:tc>
      </w:tr>
      <w:tr w:rsidR="007B5EFA" w:rsidRPr="00967736" w14:paraId="2E611F46"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E3574A" w14:textId="50042E13"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Córdoba</w:t>
            </w:r>
          </w:p>
        </w:tc>
        <w:tc>
          <w:tcPr>
            <w:tcW w:w="2617" w:type="dxa"/>
            <w:vAlign w:val="bottom"/>
          </w:tcPr>
          <w:p w14:paraId="1E986A88" w14:textId="019ADAC6"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Córdoba Capital</w:t>
            </w:r>
          </w:p>
        </w:tc>
        <w:tc>
          <w:tcPr>
            <w:tcW w:w="1559" w:type="dxa"/>
            <w:vAlign w:val="bottom"/>
          </w:tcPr>
          <w:p w14:paraId="583BA32B" w14:textId="561819AE"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0,5 %</w:t>
            </w:r>
          </w:p>
        </w:tc>
        <w:tc>
          <w:tcPr>
            <w:tcW w:w="1701" w:type="dxa"/>
            <w:vAlign w:val="bottom"/>
          </w:tcPr>
          <w:p w14:paraId="02EF9891" w14:textId="4B3A1BD7"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1,8 %</w:t>
            </w:r>
          </w:p>
        </w:tc>
        <w:tc>
          <w:tcPr>
            <w:tcW w:w="1550" w:type="dxa"/>
            <w:vAlign w:val="bottom"/>
          </w:tcPr>
          <w:p w14:paraId="3CBCB463" w14:textId="45DCC6F4"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1.529 € </w:t>
            </w:r>
          </w:p>
        </w:tc>
      </w:tr>
      <w:tr w:rsidR="007B5EFA" w:rsidRPr="00967736" w14:paraId="67746B45"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EF97AB9" w14:textId="7FCBACD2"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Lleida</w:t>
            </w:r>
          </w:p>
        </w:tc>
        <w:tc>
          <w:tcPr>
            <w:tcW w:w="2617" w:type="dxa"/>
            <w:vAlign w:val="bottom"/>
          </w:tcPr>
          <w:p w14:paraId="23E5F130" w14:textId="1CB40AC8"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Lleida Capital</w:t>
            </w:r>
          </w:p>
        </w:tc>
        <w:tc>
          <w:tcPr>
            <w:tcW w:w="1559" w:type="dxa"/>
            <w:vAlign w:val="bottom"/>
          </w:tcPr>
          <w:p w14:paraId="47627A15" w14:textId="4573C34B"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0,2 %</w:t>
            </w:r>
          </w:p>
        </w:tc>
        <w:tc>
          <w:tcPr>
            <w:tcW w:w="1701" w:type="dxa"/>
            <w:vAlign w:val="bottom"/>
          </w:tcPr>
          <w:p w14:paraId="27F24196" w14:textId="043D7AD6"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-2,7 %</w:t>
            </w:r>
          </w:p>
        </w:tc>
        <w:tc>
          <w:tcPr>
            <w:tcW w:w="1550" w:type="dxa"/>
            <w:vAlign w:val="bottom"/>
          </w:tcPr>
          <w:p w14:paraId="13CAD5B0" w14:textId="6390C126"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1.234 € </w:t>
            </w:r>
          </w:p>
        </w:tc>
      </w:tr>
      <w:tr w:rsidR="007B5EFA" w:rsidRPr="00967736" w14:paraId="33434408"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84427F4" w14:textId="3E8CA9D6"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Bizkaia</w:t>
            </w:r>
          </w:p>
        </w:tc>
        <w:tc>
          <w:tcPr>
            <w:tcW w:w="2617" w:type="dxa"/>
            <w:vAlign w:val="bottom"/>
          </w:tcPr>
          <w:p w14:paraId="69BDBF70" w14:textId="316C9739"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Bilbao</w:t>
            </w:r>
          </w:p>
        </w:tc>
        <w:tc>
          <w:tcPr>
            <w:tcW w:w="1559" w:type="dxa"/>
            <w:vAlign w:val="bottom"/>
          </w:tcPr>
          <w:p w14:paraId="2F661902" w14:textId="5F0438F6"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0,1 %</w:t>
            </w:r>
          </w:p>
        </w:tc>
        <w:tc>
          <w:tcPr>
            <w:tcW w:w="1701" w:type="dxa"/>
            <w:vAlign w:val="bottom"/>
          </w:tcPr>
          <w:p w14:paraId="7ADA3C16" w14:textId="5D01B568"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1,7 %</w:t>
            </w:r>
          </w:p>
        </w:tc>
        <w:tc>
          <w:tcPr>
            <w:tcW w:w="1550" w:type="dxa"/>
            <w:vAlign w:val="bottom"/>
          </w:tcPr>
          <w:p w14:paraId="21401A72" w14:textId="3D57C037"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3.242 € </w:t>
            </w:r>
          </w:p>
        </w:tc>
      </w:tr>
      <w:tr w:rsidR="007B5EFA" w:rsidRPr="00967736" w14:paraId="3D949B5B"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695BEB9" w14:textId="4276C448"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Valencia</w:t>
            </w:r>
          </w:p>
        </w:tc>
        <w:tc>
          <w:tcPr>
            <w:tcW w:w="2617" w:type="dxa"/>
            <w:vAlign w:val="bottom"/>
          </w:tcPr>
          <w:p w14:paraId="29C2948D" w14:textId="0CE11AFB"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Valencia Capital</w:t>
            </w:r>
          </w:p>
        </w:tc>
        <w:tc>
          <w:tcPr>
            <w:tcW w:w="1559" w:type="dxa"/>
            <w:vAlign w:val="bottom"/>
          </w:tcPr>
          <w:p w14:paraId="28C9BACB" w14:textId="04213073"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0,0 %</w:t>
            </w:r>
          </w:p>
        </w:tc>
        <w:tc>
          <w:tcPr>
            <w:tcW w:w="1701" w:type="dxa"/>
            <w:vAlign w:val="bottom"/>
          </w:tcPr>
          <w:p w14:paraId="5E0FC1DB" w14:textId="767600B2"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8,3 %</w:t>
            </w:r>
          </w:p>
        </w:tc>
        <w:tc>
          <w:tcPr>
            <w:tcW w:w="1550" w:type="dxa"/>
            <w:vAlign w:val="bottom"/>
          </w:tcPr>
          <w:p w14:paraId="1D8CCCAC" w14:textId="452D6D3D"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2.051 € </w:t>
            </w:r>
          </w:p>
        </w:tc>
      </w:tr>
      <w:tr w:rsidR="007B5EFA" w:rsidRPr="00967736" w14:paraId="77D19863"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918C6BB" w14:textId="2534567A"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Cádiz</w:t>
            </w:r>
          </w:p>
        </w:tc>
        <w:tc>
          <w:tcPr>
            <w:tcW w:w="2617" w:type="dxa"/>
            <w:vAlign w:val="bottom"/>
          </w:tcPr>
          <w:p w14:paraId="168CB127" w14:textId="14BF5C34"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Cádiz Capital</w:t>
            </w:r>
          </w:p>
        </w:tc>
        <w:tc>
          <w:tcPr>
            <w:tcW w:w="1559" w:type="dxa"/>
            <w:vAlign w:val="bottom"/>
          </w:tcPr>
          <w:p w14:paraId="2E74E801" w14:textId="79337B85"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1701" w:type="dxa"/>
            <w:vAlign w:val="bottom"/>
          </w:tcPr>
          <w:p w14:paraId="55F5491A" w14:textId="45CBD559"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6,9 %</w:t>
            </w:r>
          </w:p>
        </w:tc>
        <w:tc>
          <w:tcPr>
            <w:tcW w:w="1550" w:type="dxa"/>
            <w:vAlign w:val="bottom"/>
          </w:tcPr>
          <w:p w14:paraId="3E024303" w14:textId="621875B9"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2.392 € </w:t>
            </w:r>
          </w:p>
        </w:tc>
      </w:tr>
      <w:tr w:rsidR="007B5EFA" w:rsidRPr="00967736" w14:paraId="7CA7D2B3"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ED0070D" w14:textId="32D8F966"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Valladolid</w:t>
            </w:r>
          </w:p>
        </w:tc>
        <w:tc>
          <w:tcPr>
            <w:tcW w:w="2617" w:type="dxa"/>
            <w:vAlign w:val="bottom"/>
          </w:tcPr>
          <w:p w14:paraId="4DAB4594" w14:textId="00E10931"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Valladolid Capital</w:t>
            </w:r>
          </w:p>
        </w:tc>
        <w:tc>
          <w:tcPr>
            <w:tcW w:w="1559" w:type="dxa"/>
            <w:vAlign w:val="bottom"/>
          </w:tcPr>
          <w:p w14:paraId="3E992006" w14:textId="0A0DC1A7"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701" w:type="dxa"/>
            <w:vAlign w:val="bottom"/>
          </w:tcPr>
          <w:p w14:paraId="136E572E" w14:textId="1D5BD03A"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2,8 %</w:t>
            </w:r>
          </w:p>
        </w:tc>
        <w:tc>
          <w:tcPr>
            <w:tcW w:w="1550" w:type="dxa"/>
            <w:vAlign w:val="bottom"/>
          </w:tcPr>
          <w:p w14:paraId="0B1340C1" w14:textId="601E4068"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1.710 € </w:t>
            </w:r>
          </w:p>
        </w:tc>
      </w:tr>
      <w:tr w:rsidR="007B5EFA" w:rsidRPr="00967736" w14:paraId="16A6222A"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D4B0BC5" w14:textId="76312725"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Santa Cruz de Tenerife</w:t>
            </w:r>
          </w:p>
        </w:tc>
        <w:tc>
          <w:tcPr>
            <w:tcW w:w="2617" w:type="dxa"/>
            <w:vAlign w:val="bottom"/>
          </w:tcPr>
          <w:p w14:paraId="530F7063" w14:textId="5F14FEA3"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Santa Cruz de Tenerife Capital</w:t>
            </w:r>
          </w:p>
        </w:tc>
        <w:tc>
          <w:tcPr>
            <w:tcW w:w="1559" w:type="dxa"/>
            <w:vAlign w:val="bottom"/>
          </w:tcPr>
          <w:p w14:paraId="12576E6B" w14:textId="26E673B2"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1701" w:type="dxa"/>
            <w:vAlign w:val="bottom"/>
          </w:tcPr>
          <w:p w14:paraId="3F33BA4A" w14:textId="4BA83F8D"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4,4 %</w:t>
            </w:r>
          </w:p>
        </w:tc>
        <w:tc>
          <w:tcPr>
            <w:tcW w:w="1550" w:type="dxa"/>
            <w:vAlign w:val="bottom"/>
          </w:tcPr>
          <w:p w14:paraId="3E7E844C" w14:textId="3A49748E"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1.571 € </w:t>
            </w:r>
          </w:p>
        </w:tc>
      </w:tr>
      <w:tr w:rsidR="007B5EFA" w:rsidRPr="00967736" w14:paraId="2DBD7D2C"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E7974D4" w14:textId="2C6F5DDE"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Jaén</w:t>
            </w:r>
          </w:p>
        </w:tc>
        <w:tc>
          <w:tcPr>
            <w:tcW w:w="2617" w:type="dxa"/>
            <w:vAlign w:val="bottom"/>
          </w:tcPr>
          <w:p w14:paraId="1483E579" w14:textId="4EA1B849"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Jaén Capital</w:t>
            </w:r>
          </w:p>
        </w:tc>
        <w:tc>
          <w:tcPr>
            <w:tcW w:w="1559" w:type="dxa"/>
            <w:vAlign w:val="bottom"/>
          </w:tcPr>
          <w:p w14:paraId="2307218F" w14:textId="213752A0"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701" w:type="dxa"/>
            <w:vAlign w:val="bottom"/>
          </w:tcPr>
          <w:p w14:paraId="639F332E" w14:textId="02EA62F3"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6,4 %</w:t>
            </w:r>
          </w:p>
        </w:tc>
        <w:tc>
          <w:tcPr>
            <w:tcW w:w="1550" w:type="dxa"/>
            <w:vAlign w:val="bottom"/>
          </w:tcPr>
          <w:p w14:paraId="6D7B4972" w14:textId="106047CB"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1.357 € </w:t>
            </w:r>
          </w:p>
        </w:tc>
      </w:tr>
      <w:tr w:rsidR="007B5EFA" w:rsidRPr="00967736" w14:paraId="0AFF1928"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977C40B" w14:textId="6308668D"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Burgos</w:t>
            </w:r>
          </w:p>
        </w:tc>
        <w:tc>
          <w:tcPr>
            <w:tcW w:w="2617" w:type="dxa"/>
            <w:vAlign w:val="bottom"/>
          </w:tcPr>
          <w:p w14:paraId="62A8C9A3" w14:textId="1360FC07"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Burgos Capital</w:t>
            </w:r>
          </w:p>
        </w:tc>
        <w:tc>
          <w:tcPr>
            <w:tcW w:w="1559" w:type="dxa"/>
            <w:vAlign w:val="bottom"/>
          </w:tcPr>
          <w:p w14:paraId="004C64C9" w14:textId="383D3DF6"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701" w:type="dxa"/>
            <w:vAlign w:val="bottom"/>
          </w:tcPr>
          <w:p w14:paraId="0DC31C15" w14:textId="3DC56A6D"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1550" w:type="dxa"/>
            <w:vAlign w:val="bottom"/>
          </w:tcPr>
          <w:p w14:paraId="111919CA" w14:textId="48AA2666"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1.765 € </w:t>
            </w:r>
          </w:p>
        </w:tc>
      </w:tr>
      <w:tr w:rsidR="007B5EFA" w:rsidRPr="00967736" w14:paraId="1BE1AE45"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74D718" w14:textId="4EE38BCE"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Albacete</w:t>
            </w:r>
          </w:p>
        </w:tc>
        <w:tc>
          <w:tcPr>
            <w:tcW w:w="2617" w:type="dxa"/>
            <w:vAlign w:val="bottom"/>
          </w:tcPr>
          <w:p w14:paraId="586CB5A0" w14:textId="1E06B256"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Albacete Capital</w:t>
            </w:r>
          </w:p>
        </w:tc>
        <w:tc>
          <w:tcPr>
            <w:tcW w:w="1559" w:type="dxa"/>
            <w:vAlign w:val="bottom"/>
          </w:tcPr>
          <w:p w14:paraId="5D809B8E" w14:textId="2035D8E1"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701" w:type="dxa"/>
            <w:vAlign w:val="bottom"/>
          </w:tcPr>
          <w:p w14:paraId="29DC8E06" w14:textId="11534980"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2,2 %</w:t>
            </w:r>
          </w:p>
        </w:tc>
        <w:tc>
          <w:tcPr>
            <w:tcW w:w="1550" w:type="dxa"/>
            <w:vAlign w:val="bottom"/>
          </w:tcPr>
          <w:p w14:paraId="0D414430" w14:textId="2513EA25"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1.432 € </w:t>
            </w:r>
          </w:p>
        </w:tc>
      </w:tr>
      <w:tr w:rsidR="007B5EFA" w:rsidRPr="00967736" w14:paraId="20C5031F"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E755D3" w14:textId="14EA676C"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Almería</w:t>
            </w:r>
          </w:p>
        </w:tc>
        <w:tc>
          <w:tcPr>
            <w:tcW w:w="2617" w:type="dxa"/>
            <w:vAlign w:val="bottom"/>
          </w:tcPr>
          <w:p w14:paraId="34D44171" w14:textId="103CD3D3"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Almería Capital</w:t>
            </w:r>
          </w:p>
        </w:tc>
        <w:tc>
          <w:tcPr>
            <w:tcW w:w="1559" w:type="dxa"/>
            <w:vAlign w:val="bottom"/>
          </w:tcPr>
          <w:p w14:paraId="4DDF51F5" w14:textId="417BBF37"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701" w:type="dxa"/>
            <w:vAlign w:val="bottom"/>
          </w:tcPr>
          <w:p w14:paraId="0B580FE7" w14:textId="586BF2FB"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2,0 %</w:t>
            </w:r>
          </w:p>
        </w:tc>
        <w:tc>
          <w:tcPr>
            <w:tcW w:w="1550" w:type="dxa"/>
            <w:vAlign w:val="bottom"/>
          </w:tcPr>
          <w:p w14:paraId="4C66D9F9" w14:textId="0E467394"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1.300 € </w:t>
            </w:r>
          </w:p>
        </w:tc>
      </w:tr>
      <w:tr w:rsidR="007B5EFA" w:rsidRPr="00967736" w14:paraId="14626870"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1571B0" w14:textId="2164C9BC"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Palencia</w:t>
            </w:r>
          </w:p>
        </w:tc>
        <w:tc>
          <w:tcPr>
            <w:tcW w:w="2617" w:type="dxa"/>
            <w:vAlign w:val="bottom"/>
          </w:tcPr>
          <w:p w14:paraId="6EB733F8" w14:textId="229B867B"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Palencia Capital</w:t>
            </w:r>
          </w:p>
        </w:tc>
        <w:tc>
          <w:tcPr>
            <w:tcW w:w="1559" w:type="dxa"/>
            <w:vAlign w:val="bottom"/>
          </w:tcPr>
          <w:p w14:paraId="0551926E" w14:textId="2718ED9C"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1701" w:type="dxa"/>
            <w:vAlign w:val="bottom"/>
          </w:tcPr>
          <w:p w14:paraId="256B37A4" w14:textId="44485C13"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-1,6 %</w:t>
            </w:r>
          </w:p>
        </w:tc>
        <w:tc>
          <w:tcPr>
            <w:tcW w:w="1550" w:type="dxa"/>
            <w:vAlign w:val="bottom"/>
          </w:tcPr>
          <w:p w14:paraId="1D425277" w14:textId="2A4519DA"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1.490 € </w:t>
            </w:r>
          </w:p>
        </w:tc>
      </w:tr>
      <w:tr w:rsidR="007B5EFA" w:rsidRPr="00967736" w14:paraId="2E2DB8A9"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E4D55EC" w14:textId="10C854E9"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Cáceres</w:t>
            </w:r>
          </w:p>
        </w:tc>
        <w:tc>
          <w:tcPr>
            <w:tcW w:w="2617" w:type="dxa"/>
            <w:vAlign w:val="bottom"/>
          </w:tcPr>
          <w:p w14:paraId="17E61248" w14:textId="4A9EA243"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Cáceres Capital</w:t>
            </w:r>
          </w:p>
        </w:tc>
        <w:tc>
          <w:tcPr>
            <w:tcW w:w="1559" w:type="dxa"/>
            <w:vAlign w:val="bottom"/>
          </w:tcPr>
          <w:p w14:paraId="70581BEF" w14:textId="6E19E952"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-2,3 %</w:t>
            </w:r>
          </w:p>
        </w:tc>
        <w:tc>
          <w:tcPr>
            <w:tcW w:w="1701" w:type="dxa"/>
            <w:vAlign w:val="bottom"/>
          </w:tcPr>
          <w:p w14:paraId="7F34A079" w14:textId="1CC0CD07"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-5,0 %</w:t>
            </w:r>
          </w:p>
        </w:tc>
        <w:tc>
          <w:tcPr>
            <w:tcW w:w="1550" w:type="dxa"/>
            <w:vAlign w:val="bottom"/>
          </w:tcPr>
          <w:p w14:paraId="20FD3D84" w14:textId="13900509"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1.228 € </w:t>
            </w:r>
          </w:p>
        </w:tc>
      </w:tr>
      <w:tr w:rsidR="007B5EFA" w:rsidRPr="00967736" w14:paraId="0576F47A"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B11FEB7" w14:textId="6C972308"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Guadalajara</w:t>
            </w:r>
          </w:p>
        </w:tc>
        <w:tc>
          <w:tcPr>
            <w:tcW w:w="2617" w:type="dxa"/>
            <w:vAlign w:val="bottom"/>
          </w:tcPr>
          <w:p w14:paraId="6C658BB8" w14:textId="7EEB4A50"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Guadalajara Capital</w:t>
            </w:r>
          </w:p>
        </w:tc>
        <w:tc>
          <w:tcPr>
            <w:tcW w:w="1559" w:type="dxa"/>
            <w:vAlign w:val="bottom"/>
          </w:tcPr>
          <w:p w14:paraId="0EADF880" w14:textId="5A262561"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-2,7 %</w:t>
            </w:r>
          </w:p>
        </w:tc>
        <w:tc>
          <w:tcPr>
            <w:tcW w:w="1701" w:type="dxa"/>
            <w:vAlign w:val="bottom"/>
          </w:tcPr>
          <w:p w14:paraId="4322F448" w14:textId="13C7749C"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-5,2 %</w:t>
            </w:r>
          </w:p>
        </w:tc>
        <w:tc>
          <w:tcPr>
            <w:tcW w:w="1550" w:type="dxa"/>
            <w:vAlign w:val="bottom"/>
          </w:tcPr>
          <w:p w14:paraId="2F024753" w14:textId="717A26EA"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1.440 € </w:t>
            </w:r>
          </w:p>
        </w:tc>
      </w:tr>
      <w:tr w:rsidR="007B5EFA" w:rsidRPr="00967736" w14:paraId="1C4AB205"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F8D9E13" w14:textId="3A155117"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Granada</w:t>
            </w:r>
          </w:p>
        </w:tc>
        <w:tc>
          <w:tcPr>
            <w:tcW w:w="2617" w:type="dxa"/>
            <w:vAlign w:val="bottom"/>
          </w:tcPr>
          <w:p w14:paraId="36F609C2" w14:textId="20E2EF92"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Granada Capital</w:t>
            </w:r>
          </w:p>
        </w:tc>
        <w:tc>
          <w:tcPr>
            <w:tcW w:w="1559" w:type="dxa"/>
            <w:vAlign w:val="bottom"/>
          </w:tcPr>
          <w:p w14:paraId="17E11C90" w14:textId="272752AF"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-2,8 %</w:t>
            </w:r>
          </w:p>
        </w:tc>
        <w:tc>
          <w:tcPr>
            <w:tcW w:w="1701" w:type="dxa"/>
            <w:vAlign w:val="bottom"/>
          </w:tcPr>
          <w:p w14:paraId="321185EC" w14:textId="36B85222"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1550" w:type="dxa"/>
            <w:vAlign w:val="bottom"/>
          </w:tcPr>
          <w:p w14:paraId="654B7EC1" w14:textId="3F8B266A"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1.894 € </w:t>
            </w:r>
          </w:p>
        </w:tc>
      </w:tr>
      <w:tr w:rsidR="007B5EFA" w:rsidRPr="00967736" w14:paraId="670E91BD"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89C1F9D" w14:textId="4B7BE8BF"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Araba - Álava</w:t>
            </w:r>
          </w:p>
        </w:tc>
        <w:tc>
          <w:tcPr>
            <w:tcW w:w="2617" w:type="dxa"/>
            <w:vAlign w:val="bottom"/>
          </w:tcPr>
          <w:p w14:paraId="1875B3E9" w14:textId="79206F0E"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Vitoria - Gasteiz</w:t>
            </w:r>
          </w:p>
        </w:tc>
        <w:tc>
          <w:tcPr>
            <w:tcW w:w="1559" w:type="dxa"/>
            <w:vAlign w:val="bottom"/>
          </w:tcPr>
          <w:p w14:paraId="7683BE71" w14:textId="50469DD2"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-2,9 %</w:t>
            </w:r>
          </w:p>
        </w:tc>
        <w:tc>
          <w:tcPr>
            <w:tcW w:w="1701" w:type="dxa"/>
            <w:vAlign w:val="bottom"/>
          </w:tcPr>
          <w:p w14:paraId="372DFC39" w14:textId="5D97714B"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4,9 %</w:t>
            </w:r>
          </w:p>
        </w:tc>
        <w:tc>
          <w:tcPr>
            <w:tcW w:w="1550" w:type="dxa"/>
            <w:vAlign w:val="bottom"/>
          </w:tcPr>
          <w:p w14:paraId="7A31E441" w14:textId="33147ABF"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2.449 € </w:t>
            </w:r>
          </w:p>
        </w:tc>
      </w:tr>
      <w:tr w:rsidR="007B5EFA" w:rsidRPr="00967736" w14:paraId="473BEAA0"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64711DF" w14:textId="0B779BD7"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Asturias</w:t>
            </w:r>
          </w:p>
        </w:tc>
        <w:tc>
          <w:tcPr>
            <w:tcW w:w="2617" w:type="dxa"/>
            <w:vAlign w:val="bottom"/>
          </w:tcPr>
          <w:p w14:paraId="6F855E84" w14:textId="17EAC099"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Oviedo</w:t>
            </w:r>
          </w:p>
        </w:tc>
        <w:tc>
          <w:tcPr>
            <w:tcW w:w="1559" w:type="dxa"/>
            <w:vAlign w:val="bottom"/>
          </w:tcPr>
          <w:p w14:paraId="6A87EB3B" w14:textId="21219F90"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1701" w:type="dxa"/>
            <w:vAlign w:val="bottom"/>
          </w:tcPr>
          <w:p w14:paraId="7B582B3E" w14:textId="03A6FC6C"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-2,3 %</w:t>
            </w:r>
          </w:p>
        </w:tc>
        <w:tc>
          <w:tcPr>
            <w:tcW w:w="1550" w:type="dxa"/>
            <w:vAlign w:val="bottom"/>
          </w:tcPr>
          <w:p w14:paraId="007FF08C" w14:textId="5C4E6F43"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1.602 € </w:t>
            </w:r>
          </w:p>
        </w:tc>
      </w:tr>
      <w:tr w:rsidR="007B5EFA" w:rsidRPr="00967736" w14:paraId="1F6B6F6F"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0A4C5B4" w14:textId="19A67ABA"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Ávila</w:t>
            </w:r>
          </w:p>
        </w:tc>
        <w:tc>
          <w:tcPr>
            <w:tcW w:w="2617" w:type="dxa"/>
            <w:vAlign w:val="bottom"/>
          </w:tcPr>
          <w:p w14:paraId="2C417DEE" w14:textId="0FADD750"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Ávila Capital</w:t>
            </w:r>
          </w:p>
        </w:tc>
        <w:tc>
          <w:tcPr>
            <w:tcW w:w="1559" w:type="dxa"/>
            <w:vAlign w:val="bottom"/>
          </w:tcPr>
          <w:p w14:paraId="6788F0BF" w14:textId="67181C45"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-3,3 %</w:t>
            </w:r>
          </w:p>
        </w:tc>
        <w:tc>
          <w:tcPr>
            <w:tcW w:w="1701" w:type="dxa"/>
            <w:vAlign w:val="bottom"/>
          </w:tcPr>
          <w:p w14:paraId="0B88AEB3" w14:textId="0C327E73"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-3,1 %</w:t>
            </w:r>
          </w:p>
        </w:tc>
        <w:tc>
          <w:tcPr>
            <w:tcW w:w="1550" w:type="dxa"/>
            <w:vAlign w:val="bottom"/>
          </w:tcPr>
          <w:p w14:paraId="15A2BE4E" w14:textId="0F5F3C5D"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1.136 € </w:t>
            </w:r>
          </w:p>
        </w:tc>
      </w:tr>
      <w:tr w:rsidR="007B5EFA" w:rsidRPr="00967736" w14:paraId="4B6DA924"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9EB888" w14:textId="2CA907DC"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Huelva</w:t>
            </w:r>
          </w:p>
        </w:tc>
        <w:tc>
          <w:tcPr>
            <w:tcW w:w="2617" w:type="dxa"/>
            <w:vAlign w:val="bottom"/>
          </w:tcPr>
          <w:p w14:paraId="1F1A36FD" w14:textId="58E2171A"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Huelva Capital</w:t>
            </w:r>
          </w:p>
        </w:tc>
        <w:tc>
          <w:tcPr>
            <w:tcW w:w="1559" w:type="dxa"/>
            <w:vAlign w:val="bottom"/>
          </w:tcPr>
          <w:p w14:paraId="4BBC4BDF" w14:textId="429CD5FA"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-5,2 %</w:t>
            </w:r>
          </w:p>
        </w:tc>
        <w:tc>
          <w:tcPr>
            <w:tcW w:w="1701" w:type="dxa"/>
            <w:vAlign w:val="bottom"/>
          </w:tcPr>
          <w:p w14:paraId="11B77A30" w14:textId="346904D2"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0,05 %</w:t>
            </w:r>
          </w:p>
        </w:tc>
        <w:tc>
          <w:tcPr>
            <w:tcW w:w="1550" w:type="dxa"/>
            <w:vAlign w:val="bottom"/>
          </w:tcPr>
          <w:p w14:paraId="46D7448D" w14:textId="0CB7B2A3"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1.193 € </w:t>
            </w:r>
          </w:p>
        </w:tc>
      </w:tr>
      <w:tr w:rsidR="007B5EFA" w:rsidRPr="00967736" w14:paraId="4DF53E7F"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8FEB4B3" w14:textId="4A62300D"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Barcelona</w:t>
            </w:r>
          </w:p>
        </w:tc>
        <w:tc>
          <w:tcPr>
            <w:tcW w:w="2617" w:type="dxa"/>
            <w:vAlign w:val="bottom"/>
          </w:tcPr>
          <w:p w14:paraId="6E672312" w14:textId="59828D41"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Barcelona Capital</w:t>
            </w:r>
          </w:p>
        </w:tc>
        <w:tc>
          <w:tcPr>
            <w:tcW w:w="1559" w:type="dxa"/>
            <w:vAlign w:val="bottom"/>
          </w:tcPr>
          <w:p w14:paraId="05B966E6" w14:textId="4EAEFE5F"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-5,4 %</w:t>
            </w:r>
          </w:p>
        </w:tc>
        <w:tc>
          <w:tcPr>
            <w:tcW w:w="1701" w:type="dxa"/>
            <w:vAlign w:val="bottom"/>
          </w:tcPr>
          <w:p w14:paraId="34AD34B0" w14:textId="755FCC02"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-4,0 %</w:t>
            </w:r>
          </w:p>
        </w:tc>
        <w:tc>
          <w:tcPr>
            <w:tcW w:w="1550" w:type="dxa"/>
            <w:vAlign w:val="bottom"/>
          </w:tcPr>
          <w:p w14:paraId="73CB0113" w14:textId="6302FA3B"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4.264 € </w:t>
            </w:r>
          </w:p>
        </w:tc>
      </w:tr>
      <w:tr w:rsidR="007B5EFA" w:rsidRPr="00967736" w14:paraId="463C9516"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46B6D12" w14:textId="2C19E400"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Madrid</w:t>
            </w:r>
          </w:p>
        </w:tc>
        <w:tc>
          <w:tcPr>
            <w:tcW w:w="2617" w:type="dxa"/>
            <w:vAlign w:val="bottom"/>
          </w:tcPr>
          <w:p w14:paraId="38442AB3" w14:textId="2E320B40"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Madrid Capital</w:t>
            </w:r>
          </w:p>
        </w:tc>
        <w:tc>
          <w:tcPr>
            <w:tcW w:w="1559" w:type="dxa"/>
            <w:vAlign w:val="bottom"/>
          </w:tcPr>
          <w:p w14:paraId="2A26E2BB" w14:textId="7E7F1FDD"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-5,9 %</w:t>
            </w:r>
          </w:p>
        </w:tc>
        <w:tc>
          <w:tcPr>
            <w:tcW w:w="1701" w:type="dxa"/>
            <w:vAlign w:val="bottom"/>
          </w:tcPr>
          <w:p w14:paraId="30D4E146" w14:textId="1CD66EE3"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1550" w:type="dxa"/>
            <w:vAlign w:val="bottom"/>
          </w:tcPr>
          <w:p w14:paraId="71D2FCE3" w14:textId="2151D8A7"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3.685 € </w:t>
            </w:r>
          </w:p>
        </w:tc>
      </w:tr>
      <w:tr w:rsidR="007B5EFA" w:rsidRPr="00967736" w14:paraId="18B3E7E0"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D305A51" w14:textId="30255988"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Las Palmas</w:t>
            </w:r>
          </w:p>
        </w:tc>
        <w:tc>
          <w:tcPr>
            <w:tcW w:w="2617" w:type="dxa"/>
            <w:vAlign w:val="bottom"/>
          </w:tcPr>
          <w:p w14:paraId="6305896D" w14:textId="2CC18940"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Las Palmas de Gran Canaria</w:t>
            </w:r>
          </w:p>
        </w:tc>
        <w:tc>
          <w:tcPr>
            <w:tcW w:w="1559" w:type="dxa"/>
            <w:vAlign w:val="bottom"/>
          </w:tcPr>
          <w:p w14:paraId="6675F6AF" w14:textId="73CE1B37"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-5,9 %</w:t>
            </w:r>
          </w:p>
        </w:tc>
        <w:tc>
          <w:tcPr>
            <w:tcW w:w="1701" w:type="dxa"/>
            <w:vAlign w:val="bottom"/>
          </w:tcPr>
          <w:p w14:paraId="56857A7A" w14:textId="527CEFF2"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1550" w:type="dxa"/>
            <w:vAlign w:val="bottom"/>
          </w:tcPr>
          <w:p w14:paraId="59B89188" w14:textId="53CF110E"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1.924 € </w:t>
            </w:r>
          </w:p>
        </w:tc>
      </w:tr>
      <w:tr w:rsidR="007B5EFA" w:rsidRPr="00967736" w14:paraId="376B25A0"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8D32B34" w14:textId="7FCCD36D"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Alicante</w:t>
            </w:r>
          </w:p>
        </w:tc>
        <w:tc>
          <w:tcPr>
            <w:tcW w:w="2617" w:type="dxa"/>
            <w:vAlign w:val="bottom"/>
          </w:tcPr>
          <w:p w14:paraId="682D57E2" w14:textId="3F127DC9"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 xml:space="preserve">Alicante </w:t>
            </w:r>
          </w:p>
        </w:tc>
        <w:tc>
          <w:tcPr>
            <w:tcW w:w="1559" w:type="dxa"/>
            <w:vAlign w:val="bottom"/>
          </w:tcPr>
          <w:p w14:paraId="2E916BD1" w14:textId="17195674"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-6,0 %</w:t>
            </w:r>
          </w:p>
        </w:tc>
        <w:tc>
          <w:tcPr>
            <w:tcW w:w="1701" w:type="dxa"/>
            <w:vAlign w:val="bottom"/>
          </w:tcPr>
          <w:p w14:paraId="1BE20E4A" w14:textId="6EA3B9C8"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0,2 %</w:t>
            </w:r>
          </w:p>
        </w:tc>
        <w:tc>
          <w:tcPr>
            <w:tcW w:w="1550" w:type="dxa"/>
            <w:vAlign w:val="bottom"/>
          </w:tcPr>
          <w:p w14:paraId="4A4AECCC" w14:textId="042A1315"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1.580 € </w:t>
            </w:r>
          </w:p>
        </w:tc>
      </w:tr>
      <w:tr w:rsidR="007B5EFA" w:rsidRPr="00967736" w14:paraId="237B1A44"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48F4AF6" w14:textId="51B95FCC"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León</w:t>
            </w:r>
          </w:p>
        </w:tc>
        <w:tc>
          <w:tcPr>
            <w:tcW w:w="2617" w:type="dxa"/>
            <w:vAlign w:val="bottom"/>
          </w:tcPr>
          <w:p w14:paraId="283B7F0F" w14:textId="5505D53D"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León Capital</w:t>
            </w:r>
          </w:p>
        </w:tc>
        <w:tc>
          <w:tcPr>
            <w:tcW w:w="1559" w:type="dxa"/>
            <w:vAlign w:val="bottom"/>
          </w:tcPr>
          <w:p w14:paraId="0D862510" w14:textId="1E7C10F4"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-6,2 %</w:t>
            </w:r>
          </w:p>
        </w:tc>
        <w:tc>
          <w:tcPr>
            <w:tcW w:w="1701" w:type="dxa"/>
            <w:vAlign w:val="bottom"/>
          </w:tcPr>
          <w:p w14:paraId="6E489CA5" w14:textId="42C63A64"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-3,9 %</w:t>
            </w:r>
          </w:p>
        </w:tc>
        <w:tc>
          <w:tcPr>
            <w:tcW w:w="1550" w:type="dxa"/>
            <w:vAlign w:val="bottom"/>
          </w:tcPr>
          <w:p w14:paraId="72AE4ADE" w14:textId="4D99CC26"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1.398 € </w:t>
            </w:r>
          </w:p>
        </w:tc>
      </w:tr>
      <w:tr w:rsidR="007B5EFA" w:rsidRPr="00967736" w14:paraId="0ABB8663"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4AB60AB" w14:textId="31624B5D"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Ourense</w:t>
            </w:r>
          </w:p>
        </w:tc>
        <w:tc>
          <w:tcPr>
            <w:tcW w:w="2617" w:type="dxa"/>
            <w:vAlign w:val="bottom"/>
          </w:tcPr>
          <w:p w14:paraId="7DA86246" w14:textId="35F7A533"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Ourense Capital</w:t>
            </w:r>
          </w:p>
        </w:tc>
        <w:tc>
          <w:tcPr>
            <w:tcW w:w="1559" w:type="dxa"/>
            <w:vAlign w:val="bottom"/>
          </w:tcPr>
          <w:p w14:paraId="3FCF15AF" w14:textId="2163F710"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-6,9 %</w:t>
            </w:r>
          </w:p>
        </w:tc>
        <w:tc>
          <w:tcPr>
            <w:tcW w:w="1701" w:type="dxa"/>
            <w:vAlign w:val="bottom"/>
          </w:tcPr>
          <w:p w14:paraId="067FB6F7" w14:textId="7F85D9FC"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-8,1 %</w:t>
            </w:r>
          </w:p>
        </w:tc>
        <w:tc>
          <w:tcPr>
            <w:tcW w:w="1550" w:type="dxa"/>
            <w:vAlign w:val="bottom"/>
          </w:tcPr>
          <w:p w14:paraId="6C9AD3C8" w14:textId="624B0F4C"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1.406 € </w:t>
            </w:r>
          </w:p>
        </w:tc>
      </w:tr>
      <w:tr w:rsidR="007B5EFA" w:rsidRPr="00967736" w14:paraId="582B731F"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71F38A3" w14:textId="4BA4B945"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Tarragona</w:t>
            </w:r>
          </w:p>
        </w:tc>
        <w:tc>
          <w:tcPr>
            <w:tcW w:w="2617" w:type="dxa"/>
            <w:vAlign w:val="bottom"/>
          </w:tcPr>
          <w:p w14:paraId="63CCB9A7" w14:textId="69F15A9C"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Tarragona Capital</w:t>
            </w:r>
          </w:p>
        </w:tc>
        <w:tc>
          <w:tcPr>
            <w:tcW w:w="1559" w:type="dxa"/>
            <w:vAlign w:val="bottom"/>
          </w:tcPr>
          <w:p w14:paraId="3FFB1FD9" w14:textId="5DC4B053"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-7,6 %</w:t>
            </w:r>
          </w:p>
        </w:tc>
        <w:tc>
          <w:tcPr>
            <w:tcW w:w="1701" w:type="dxa"/>
            <w:vAlign w:val="bottom"/>
          </w:tcPr>
          <w:p w14:paraId="20019C0E" w14:textId="5DD805EE"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-5,9 %</w:t>
            </w:r>
          </w:p>
        </w:tc>
        <w:tc>
          <w:tcPr>
            <w:tcW w:w="1550" w:type="dxa"/>
            <w:vAlign w:val="bottom"/>
          </w:tcPr>
          <w:p w14:paraId="78CC7EDA" w14:textId="55E4A776"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1.537 € </w:t>
            </w:r>
          </w:p>
        </w:tc>
      </w:tr>
      <w:tr w:rsidR="007B5EFA" w:rsidRPr="00967736" w14:paraId="65DBC492"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5EC44E8" w14:textId="5DA8DA4F"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Gipuzkoa</w:t>
            </w:r>
          </w:p>
        </w:tc>
        <w:tc>
          <w:tcPr>
            <w:tcW w:w="2617" w:type="dxa"/>
            <w:vAlign w:val="bottom"/>
          </w:tcPr>
          <w:p w14:paraId="241C2730" w14:textId="791CF301"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Donostia - San Sebastián</w:t>
            </w:r>
          </w:p>
        </w:tc>
        <w:tc>
          <w:tcPr>
            <w:tcW w:w="1559" w:type="dxa"/>
            <w:vAlign w:val="bottom"/>
          </w:tcPr>
          <w:p w14:paraId="67182B09" w14:textId="16328A6A"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-9,4 %</w:t>
            </w:r>
          </w:p>
        </w:tc>
        <w:tc>
          <w:tcPr>
            <w:tcW w:w="1701" w:type="dxa"/>
            <w:vAlign w:val="bottom"/>
          </w:tcPr>
          <w:p w14:paraId="2537E6DE" w14:textId="3BEAB5F2"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0,03 %</w:t>
            </w:r>
          </w:p>
        </w:tc>
        <w:tc>
          <w:tcPr>
            <w:tcW w:w="1550" w:type="dxa"/>
            <w:vAlign w:val="bottom"/>
          </w:tcPr>
          <w:p w14:paraId="6CA08A05" w14:textId="5A6EC851"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4.913 € </w:t>
            </w:r>
          </w:p>
        </w:tc>
      </w:tr>
      <w:tr w:rsidR="007B5EFA" w:rsidRPr="00967736" w14:paraId="4C7AB3D8"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10FE77" w14:textId="25507534"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Sevilla</w:t>
            </w:r>
          </w:p>
        </w:tc>
        <w:tc>
          <w:tcPr>
            <w:tcW w:w="2617" w:type="dxa"/>
            <w:vAlign w:val="bottom"/>
          </w:tcPr>
          <w:p w14:paraId="15FEE483" w14:textId="7B62D895"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Sevilla Capital</w:t>
            </w:r>
          </w:p>
        </w:tc>
        <w:tc>
          <w:tcPr>
            <w:tcW w:w="1559" w:type="dxa"/>
            <w:vAlign w:val="bottom"/>
          </w:tcPr>
          <w:p w14:paraId="6E9141CA" w14:textId="4B405319"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-10,0 %</w:t>
            </w:r>
          </w:p>
        </w:tc>
        <w:tc>
          <w:tcPr>
            <w:tcW w:w="1701" w:type="dxa"/>
            <w:vAlign w:val="bottom"/>
          </w:tcPr>
          <w:p w14:paraId="5595D82B" w14:textId="66F42DE1"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-4,9 %</w:t>
            </w:r>
          </w:p>
        </w:tc>
        <w:tc>
          <w:tcPr>
            <w:tcW w:w="1550" w:type="dxa"/>
            <w:vAlign w:val="bottom"/>
          </w:tcPr>
          <w:p w14:paraId="7092D823" w14:textId="2B843191"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1.921 € </w:t>
            </w:r>
          </w:p>
        </w:tc>
      </w:tr>
      <w:tr w:rsidR="007B5EFA" w:rsidRPr="00967736" w14:paraId="7EFE94AC"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524C7F" w14:textId="3691D52D"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Toledo</w:t>
            </w:r>
          </w:p>
        </w:tc>
        <w:tc>
          <w:tcPr>
            <w:tcW w:w="2617" w:type="dxa"/>
            <w:vAlign w:val="bottom"/>
          </w:tcPr>
          <w:p w14:paraId="624D749C" w14:textId="47D1149E"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Toledo Capital</w:t>
            </w:r>
          </w:p>
        </w:tc>
        <w:tc>
          <w:tcPr>
            <w:tcW w:w="1559" w:type="dxa"/>
            <w:vAlign w:val="bottom"/>
          </w:tcPr>
          <w:p w14:paraId="507F61A8" w14:textId="13D7322E"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-10,6 %</w:t>
            </w:r>
          </w:p>
        </w:tc>
        <w:tc>
          <w:tcPr>
            <w:tcW w:w="1701" w:type="dxa"/>
            <w:vAlign w:val="bottom"/>
          </w:tcPr>
          <w:p w14:paraId="41D253D5" w14:textId="1D6E686B"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-9,4 %</w:t>
            </w:r>
          </w:p>
        </w:tc>
        <w:tc>
          <w:tcPr>
            <w:tcW w:w="1550" w:type="dxa"/>
            <w:vAlign w:val="bottom"/>
          </w:tcPr>
          <w:p w14:paraId="3CE6D823" w14:textId="67A8F8C4"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1.330 € </w:t>
            </w:r>
          </w:p>
        </w:tc>
      </w:tr>
      <w:tr w:rsidR="007B5EFA" w:rsidRPr="00967736" w14:paraId="21FEA5FB" w14:textId="77777777" w:rsidTr="0056052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79A8226" w14:textId="0ED30F04"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Murcia</w:t>
            </w:r>
          </w:p>
        </w:tc>
        <w:tc>
          <w:tcPr>
            <w:tcW w:w="2617" w:type="dxa"/>
            <w:vAlign w:val="bottom"/>
          </w:tcPr>
          <w:p w14:paraId="4D7FA26D" w14:textId="0FF9F4EB" w:rsidR="007B5EFA" w:rsidRPr="007B5EFA" w:rsidRDefault="007B5EFA" w:rsidP="007B5EF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Murcia Capital</w:t>
            </w:r>
          </w:p>
        </w:tc>
        <w:tc>
          <w:tcPr>
            <w:tcW w:w="1559" w:type="dxa"/>
            <w:vAlign w:val="bottom"/>
          </w:tcPr>
          <w:p w14:paraId="34871966" w14:textId="7384A6FA"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-11,1 %</w:t>
            </w:r>
          </w:p>
        </w:tc>
        <w:tc>
          <w:tcPr>
            <w:tcW w:w="1701" w:type="dxa"/>
            <w:vAlign w:val="bottom"/>
          </w:tcPr>
          <w:p w14:paraId="3DE623D0" w14:textId="7570CC8B"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-9,3 %</w:t>
            </w:r>
          </w:p>
        </w:tc>
        <w:tc>
          <w:tcPr>
            <w:tcW w:w="1550" w:type="dxa"/>
            <w:vAlign w:val="bottom"/>
          </w:tcPr>
          <w:p w14:paraId="40F8C086" w14:textId="6A9D8DA5" w:rsidR="007B5EFA" w:rsidRDefault="007B5EFA" w:rsidP="007B5EF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1.241 € </w:t>
            </w:r>
          </w:p>
        </w:tc>
      </w:tr>
      <w:tr w:rsidR="007B5EFA" w:rsidRPr="00967736" w14:paraId="435991A0" w14:textId="77777777" w:rsidTr="0056052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3244BB" w14:textId="3B98AB45" w:rsidR="007B5EFA" w:rsidRPr="007B5EFA" w:rsidRDefault="007B5EFA" w:rsidP="007B5EFA">
            <w:pPr>
              <w:rPr>
                <w:rFonts w:ascii="Open Sans" w:hAnsi="Open Sans" w:cs="Open Sans"/>
                <w:b w:val="0"/>
                <w:bCs w:val="0"/>
                <w:sz w:val="22"/>
                <w:szCs w:val="22"/>
              </w:rPr>
            </w:pPr>
            <w:r w:rsidRPr="007B5EFA">
              <w:rPr>
                <w:rFonts w:ascii="Open Sans" w:hAnsi="Open Sans" w:cs="Open Sans"/>
                <w:b w:val="0"/>
                <w:bCs w:val="0"/>
                <w:sz w:val="22"/>
                <w:szCs w:val="22"/>
              </w:rPr>
              <w:t>Navarra</w:t>
            </w:r>
          </w:p>
        </w:tc>
        <w:tc>
          <w:tcPr>
            <w:tcW w:w="2617" w:type="dxa"/>
            <w:vAlign w:val="bottom"/>
          </w:tcPr>
          <w:p w14:paraId="40839CC4" w14:textId="764A28F3" w:rsidR="007B5EFA" w:rsidRPr="007B5EFA" w:rsidRDefault="007B5EFA" w:rsidP="007B5EF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B5EFA">
              <w:rPr>
                <w:rFonts w:ascii="Open Sans" w:hAnsi="Open Sans" w:cs="Open Sans"/>
                <w:sz w:val="22"/>
                <w:szCs w:val="22"/>
              </w:rPr>
              <w:t>Pamplona / Iruña</w:t>
            </w:r>
          </w:p>
        </w:tc>
        <w:tc>
          <w:tcPr>
            <w:tcW w:w="1559" w:type="dxa"/>
            <w:vAlign w:val="bottom"/>
          </w:tcPr>
          <w:p w14:paraId="1421D516" w14:textId="2D1B6915"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-16,9 %</w:t>
            </w:r>
          </w:p>
        </w:tc>
        <w:tc>
          <w:tcPr>
            <w:tcW w:w="1701" w:type="dxa"/>
            <w:vAlign w:val="bottom"/>
          </w:tcPr>
          <w:p w14:paraId="70F86436" w14:textId="4B631D54"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-15,4 %</w:t>
            </w:r>
          </w:p>
        </w:tc>
        <w:tc>
          <w:tcPr>
            <w:tcW w:w="1550" w:type="dxa"/>
            <w:vAlign w:val="bottom"/>
          </w:tcPr>
          <w:p w14:paraId="042966CE" w14:textId="4A6C2CE8" w:rsidR="007B5EFA" w:rsidRDefault="007B5EFA" w:rsidP="007B5EF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1.977 € </w:t>
            </w:r>
          </w:p>
        </w:tc>
      </w:tr>
    </w:tbl>
    <w:p w14:paraId="0DD75479" w14:textId="49132AEF" w:rsidR="003B7640" w:rsidRDefault="00A07E2C"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sidRPr="00A07E2C">
        <w:rPr>
          <w:rFonts w:ascii="Open Sans Light" w:eastAsiaTheme="minorHAnsi" w:hAnsi="Open Sans Light" w:cs="Open Sans Light"/>
          <w:b/>
          <w:iCs/>
          <w:color w:val="303AB2"/>
          <w:sz w:val="28"/>
          <w:szCs w:val="22"/>
          <w:lang w:eastAsia="en-US"/>
        </w:rPr>
        <w:lastRenderedPageBreak/>
        <w:t xml:space="preserve">Alboraya </w:t>
      </w:r>
      <w:r w:rsidR="007941AF">
        <w:rPr>
          <w:rFonts w:ascii="Open Sans Light" w:eastAsiaTheme="minorHAnsi" w:hAnsi="Open Sans Light" w:cs="Open Sans Light"/>
          <w:b/>
          <w:iCs/>
          <w:color w:val="303AB2"/>
          <w:sz w:val="28"/>
          <w:szCs w:val="22"/>
          <w:lang w:eastAsia="en-US"/>
        </w:rPr>
        <w:t>es el municipio</w:t>
      </w:r>
      <w:r w:rsidR="00294EA8">
        <w:rPr>
          <w:rFonts w:ascii="Open Sans Light" w:eastAsiaTheme="minorHAnsi" w:hAnsi="Open Sans Light" w:cs="Open Sans Light"/>
          <w:b/>
          <w:iCs/>
          <w:color w:val="303AB2"/>
          <w:sz w:val="28"/>
          <w:szCs w:val="22"/>
          <w:lang w:eastAsia="en-US"/>
        </w:rPr>
        <w:t xml:space="preserve"> en el</w:t>
      </w:r>
      <w:r w:rsidR="007941AF">
        <w:rPr>
          <w:rFonts w:ascii="Open Sans Light" w:eastAsiaTheme="minorHAnsi" w:hAnsi="Open Sans Light" w:cs="Open Sans Light"/>
          <w:b/>
          <w:iCs/>
          <w:color w:val="303AB2"/>
          <w:sz w:val="28"/>
          <w:szCs w:val="22"/>
          <w:lang w:eastAsia="en-US"/>
        </w:rPr>
        <w:t xml:space="preserve"> que más </w:t>
      </w:r>
      <w:r w:rsidR="005739B8">
        <w:rPr>
          <w:rFonts w:ascii="Open Sans Light" w:eastAsiaTheme="minorHAnsi" w:hAnsi="Open Sans Light" w:cs="Open Sans Light"/>
          <w:b/>
          <w:iCs/>
          <w:color w:val="303AB2"/>
          <w:sz w:val="28"/>
          <w:szCs w:val="22"/>
          <w:lang w:eastAsia="en-US"/>
        </w:rPr>
        <w:t>sube</w:t>
      </w:r>
      <w:r w:rsidR="007941AF">
        <w:rPr>
          <w:rFonts w:ascii="Open Sans Light" w:eastAsiaTheme="minorHAnsi" w:hAnsi="Open Sans Light" w:cs="Open Sans Light"/>
          <w:b/>
          <w:iCs/>
          <w:color w:val="303AB2"/>
          <w:sz w:val="28"/>
          <w:szCs w:val="22"/>
          <w:lang w:eastAsia="en-US"/>
        </w:rPr>
        <w:t xml:space="preserve"> </w:t>
      </w:r>
      <w:r w:rsidR="00294EA8">
        <w:rPr>
          <w:rFonts w:ascii="Open Sans Light" w:eastAsiaTheme="minorHAnsi" w:hAnsi="Open Sans Light" w:cs="Open Sans Light"/>
          <w:b/>
          <w:iCs/>
          <w:color w:val="303AB2"/>
          <w:sz w:val="28"/>
          <w:szCs w:val="22"/>
          <w:lang w:eastAsia="en-US"/>
        </w:rPr>
        <w:t xml:space="preserve">el </w:t>
      </w:r>
      <w:r w:rsidR="00860277">
        <w:rPr>
          <w:rFonts w:ascii="Open Sans Light" w:eastAsiaTheme="minorHAnsi" w:hAnsi="Open Sans Light" w:cs="Open Sans Light"/>
          <w:b/>
          <w:iCs/>
          <w:color w:val="303AB2"/>
          <w:sz w:val="28"/>
          <w:szCs w:val="22"/>
          <w:lang w:eastAsia="en-US"/>
        </w:rPr>
        <w:t>precio</w:t>
      </w:r>
      <w:r w:rsidR="00294EA8">
        <w:rPr>
          <w:rFonts w:ascii="Open Sans Light" w:eastAsiaTheme="minorHAnsi" w:hAnsi="Open Sans Light" w:cs="Open Sans Light"/>
          <w:b/>
          <w:iCs/>
          <w:color w:val="303AB2"/>
          <w:sz w:val="28"/>
          <w:szCs w:val="22"/>
          <w:lang w:eastAsia="en-US"/>
        </w:rPr>
        <w:t xml:space="preserve"> </w:t>
      </w:r>
      <w:r w:rsidR="007941AF">
        <w:rPr>
          <w:rFonts w:ascii="Open Sans Light" w:eastAsiaTheme="minorHAnsi" w:hAnsi="Open Sans Light" w:cs="Open Sans Light"/>
          <w:b/>
          <w:iCs/>
          <w:color w:val="303AB2"/>
          <w:sz w:val="28"/>
          <w:szCs w:val="22"/>
          <w:lang w:eastAsia="en-US"/>
        </w:rPr>
        <w:t xml:space="preserve">en </w:t>
      </w:r>
      <w:r>
        <w:rPr>
          <w:rFonts w:ascii="Open Sans Light" w:eastAsiaTheme="minorHAnsi" w:hAnsi="Open Sans Light" w:cs="Open Sans Light"/>
          <w:b/>
          <w:iCs/>
          <w:color w:val="303AB2"/>
          <w:sz w:val="28"/>
          <w:szCs w:val="22"/>
          <w:lang w:eastAsia="en-US"/>
        </w:rPr>
        <w:t>febrero</w:t>
      </w:r>
    </w:p>
    <w:p w14:paraId="18D0644D" w14:textId="57285E1F" w:rsidR="00276F57" w:rsidRPr="002C7B33" w:rsidRDefault="00753088" w:rsidP="008A0A2B">
      <w:pPr>
        <w:spacing w:line="276" w:lineRule="auto"/>
        <w:jc w:val="both"/>
        <w:rPr>
          <w:rFonts w:ascii="Open Sans" w:eastAsia="Times New Roman" w:hAnsi="Open Sans" w:cs="Open Sans"/>
          <w:color w:val="000000"/>
          <w:sz w:val="22"/>
          <w:szCs w:val="22"/>
          <w:lang w:val="es-ES" w:eastAsia="es-ES"/>
        </w:rPr>
      </w:pPr>
      <w:r w:rsidRPr="00753088">
        <w:rPr>
          <w:rFonts w:ascii="Open Sans" w:hAnsi="Open Sans" w:cs="Open Sans"/>
          <w:color w:val="000000"/>
        </w:rPr>
        <w:t xml:space="preserve">El precio medio de la vivienda de segunda mano </w:t>
      </w:r>
      <w:r w:rsidR="005739B8">
        <w:rPr>
          <w:rFonts w:ascii="Open Sans" w:hAnsi="Open Sans" w:cs="Open Sans"/>
          <w:color w:val="000000"/>
        </w:rPr>
        <w:t>sube</w:t>
      </w:r>
      <w:r w:rsidRPr="00753088">
        <w:rPr>
          <w:rFonts w:ascii="Open Sans" w:hAnsi="Open Sans" w:cs="Open Sans"/>
          <w:color w:val="000000"/>
        </w:rPr>
        <w:t xml:space="preserve"> en </w:t>
      </w:r>
      <w:r w:rsidR="00C32523">
        <w:rPr>
          <w:rFonts w:ascii="Open Sans" w:hAnsi="Open Sans" w:cs="Open Sans"/>
          <w:color w:val="000000"/>
        </w:rPr>
        <w:t>366</w:t>
      </w:r>
      <w:r w:rsidRPr="00753088">
        <w:rPr>
          <w:rFonts w:ascii="Open Sans" w:hAnsi="Open Sans" w:cs="Open Sans"/>
          <w:color w:val="000000"/>
        </w:rPr>
        <w:t xml:space="preserve"> de los </w:t>
      </w:r>
      <w:r w:rsidR="002646E8">
        <w:rPr>
          <w:rFonts w:ascii="Open Sans" w:hAnsi="Open Sans" w:cs="Open Sans"/>
          <w:color w:val="000000"/>
        </w:rPr>
        <w:t>7</w:t>
      </w:r>
      <w:r w:rsidR="008A0A2B">
        <w:rPr>
          <w:rFonts w:ascii="Open Sans" w:hAnsi="Open Sans" w:cs="Open Sans"/>
          <w:color w:val="000000"/>
        </w:rPr>
        <w:t>6</w:t>
      </w:r>
      <w:r w:rsidR="002646E8">
        <w:rPr>
          <w:rFonts w:ascii="Open Sans" w:hAnsi="Open Sans" w:cs="Open Sans"/>
          <w:color w:val="000000"/>
        </w:rPr>
        <w:t>6</w:t>
      </w:r>
      <w:r w:rsidR="004D6C33">
        <w:rPr>
          <w:rFonts w:ascii="Open Sans" w:hAnsi="Open Sans" w:cs="Open Sans"/>
          <w:color w:val="000000"/>
        </w:rPr>
        <w:t xml:space="preserve"> </w:t>
      </w:r>
      <w:r w:rsidRPr="00753088">
        <w:rPr>
          <w:rFonts w:ascii="Open Sans" w:hAnsi="Open Sans" w:cs="Open Sans"/>
          <w:color w:val="000000"/>
        </w:rPr>
        <w:t>municipios</w:t>
      </w:r>
      <w:r w:rsidR="00555343">
        <w:rPr>
          <w:rFonts w:ascii="Open Sans" w:hAnsi="Open Sans" w:cs="Open Sans"/>
          <w:color w:val="000000"/>
        </w:rPr>
        <w:t xml:space="preserve"> (en el </w:t>
      </w:r>
      <w:r w:rsidR="008A0A2B">
        <w:rPr>
          <w:rFonts w:ascii="Open Sans" w:hAnsi="Open Sans" w:cs="Open Sans"/>
          <w:color w:val="000000"/>
        </w:rPr>
        <w:t>48</w:t>
      </w:r>
      <w:r w:rsidR="00555343">
        <w:rPr>
          <w:rFonts w:ascii="Open Sans" w:hAnsi="Open Sans" w:cs="Open Sans"/>
          <w:color w:val="000000"/>
        </w:rPr>
        <w:t>%)</w:t>
      </w:r>
      <w:r w:rsidRPr="00753088">
        <w:rPr>
          <w:rFonts w:ascii="Open Sans" w:hAnsi="Open Sans" w:cs="Open Sans"/>
          <w:color w:val="000000"/>
        </w:rPr>
        <w:t xml:space="preserve"> </w:t>
      </w:r>
      <w:r w:rsidR="002646E8">
        <w:rPr>
          <w:rFonts w:ascii="Open Sans" w:hAnsi="Open Sans" w:cs="Open Sans"/>
          <w:color w:val="000000"/>
        </w:rPr>
        <w:t xml:space="preserve">con variación </w:t>
      </w:r>
      <w:r w:rsidR="00FE40AF">
        <w:rPr>
          <w:rFonts w:ascii="Open Sans" w:hAnsi="Open Sans" w:cs="Open Sans"/>
          <w:color w:val="000000"/>
        </w:rPr>
        <w:t>mensual</w:t>
      </w:r>
      <w:r w:rsidR="004D6C33">
        <w:rPr>
          <w:rFonts w:ascii="Open Sans" w:hAnsi="Open Sans" w:cs="Open Sans"/>
          <w:color w:val="000000"/>
        </w:rPr>
        <w:t xml:space="preserve"> </w:t>
      </w:r>
      <w:r w:rsidR="002646E8">
        <w:rPr>
          <w:rFonts w:ascii="Open Sans" w:hAnsi="Open Sans" w:cs="Open Sans"/>
          <w:color w:val="000000"/>
        </w:rPr>
        <w:t xml:space="preserve">analizados </w:t>
      </w:r>
      <w:r w:rsidRPr="00753088">
        <w:rPr>
          <w:rFonts w:ascii="Open Sans" w:hAnsi="Open Sans" w:cs="Open Sans"/>
          <w:color w:val="000000"/>
        </w:rPr>
        <w:t xml:space="preserve">por </w:t>
      </w:r>
      <w:hyperlink r:id="rId11" w:history="1">
        <w:r w:rsidR="001B0D22" w:rsidRPr="00982455">
          <w:rPr>
            <w:rStyle w:val="Hipervnculo"/>
            <w:rFonts w:ascii="Open Sans" w:hAnsi="Open Sans" w:cs="Open Sans"/>
          </w:rPr>
          <w:t>Fotocasa</w:t>
        </w:r>
      </w:hyperlink>
      <w:r w:rsidRPr="00753088">
        <w:rPr>
          <w:rFonts w:ascii="Open Sans" w:hAnsi="Open Sans" w:cs="Open Sans"/>
          <w:color w:val="000000"/>
        </w:rPr>
        <w:t xml:space="preserve">. </w:t>
      </w:r>
      <w:r w:rsidR="0039111F">
        <w:rPr>
          <w:rFonts w:ascii="Open Sans" w:hAnsi="Open Sans" w:cs="Open Sans"/>
          <w:color w:val="000000"/>
        </w:rPr>
        <w:t xml:space="preserve">El mayor </w:t>
      </w:r>
      <w:r w:rsidR="005739B8">
        <w:rPr>
          <w:rFonts w:ascii="Open Sans" w:hAnsi="Open Sans" w:cs="Open Sans"/>
          <w:color w:val="000000"/>
        </w:rPr>
        <w:t>incremento</w:t>
      </w:r>
      <w:r w:rsidR="0039111F" w:rsidRPr="004D3A34">
        <w:rPr>
          <w:rFonts w:ascii="Open Sans" w:hAnsi="Open Sans" w:cs="Open Sans"/>
          <w:color w:val="000000"/>
        </w:rPr>
        <w:t xml:space="preserve"> lo registra</w:t>
      </w:r>
      <w:r w:rsidRPr="004D3A34">
        <w:rPr>
          <w:rFonts w:ascii="Open Sans" w:hAnsi="Open Sans" w:cs="Open Sans"/>
          <w:color w:val="000000"/>
        </w:rPr>
        <w:t xml:space="preserve"> </w:t>
      </w:r>
      <w:r w:rsidR="008A0A2B" w:rsidRPr="008A0A2B">
        <w:rPr>
          <w:rFonts w:ascii="Open Sans" w:hAnsi="Open Sans" w:cs="Open Sans"/>
          <w:color w:val="000000"/>
        </w:rPr>
        <w:t xml:space="preserve">Alboraya </w:t>
      </w:r>
      <w:r w:rsidRPr="004D3A34">
        <w:rPr>
          <w:rFonts w:ascii="Open Sans" w:hAnsi="Open Sans" w:cs="Open Sans"/>
          <w:color w:val="000000"/>
        </w:rPr>
        <w:t>(</w:t>
      </w:r>
      <w:r w:rsidR="008A0A2B">
        <w:rPr>
          <w:rFonts w:ascii="Open Sans" w:hAnsi="Open Sans" w:cs="Open Sans"/>
          <w:color w:val="000000"/>
        </w:rPr>
        <w:t>Valencia</w:t>
      </w:r>
      <w:r w:rsidR="007A361B" w:rsidRPr="004D3A34">
        <w:rPr>
          <w:rFonts w:ascii="Open Sans" w:hAnsi="Open Sans" w:cs="Open Sans"/>
          <w:color w:val="000000"/>
        </w:rPr>
        <w:t>)</w:t>
      </w:r>
      <w:r w:rsidRPr="004D3A34">
        <w:rPr>
          <w:rFonts w:ascii="Open Sans" w:hAnsi="Open Sans" w:cs="Open Sans"/>
          <w:color w:val="000000"/>
        </w:rPr>
        <w:t xml:space="preserve"> </w:t>
      </w:r>
      <w:r w:rsidR="0039111F" w:rsidRPr="004D3A34">
        <w:rPr>
          <w:rFonts w:ascii="Open Sans" w:hAnsi="Open Sans" w:cs="Open Sans"/>
          <w:color w:val="000000"/>
        </w:rPr>
        <w:t>con</w:t>
      </w:r>
      <w:r w:rsidR="00F03EB1">
        <w:rPr>
          <w:rFonts w:ascii="Open Sans" w:hAnsi="Open Sans" w:cs="Open Sans"/>
          <w:color w:val="000000"/>
        </w:rPr>
        <w:t xml:space="preserve"> un</w:t>
      </w:r>
      <w:r w:rsidR="0039111F" w:rsidRPr="004D3A34">
        <w:rPr>
          <w:rFonts w:ascii="Open Sans" w:hAnsi="Open Sans" w:cs="Open Sans"/>
          <w:color w:val="000000"/>
        </w:rPr>
        <w:t xml:space="preserve"> </w:t>
      </w:r>
      <w:r w:rsidR="008A0A2B">
        <w:rPr>
          <w:rFonts w:ascii="Open Sans" w:hAnsi="Open Sans" w:cs="Open Sans"/>
          <w:color w:val="000000"/>
        </w:rPr>
        <w:t>55,1</w:t>
      </w:r>
      <w:r w:rsidR="0039111F" w:rsidRPr="004D3A34">
        <w:rPr>
          <w:rFonts w:ascii="Open Sans" w:hAnsi="Open Sans" w:cs="Open Sans"/>
          <w:color w:val="000000"/>
        </w:rPr>
        <w:t xml:space="preserve">%, seguida de </w:t>
      </w:r>
      <w:r w:rsidR="008A0A2B" w:rsidRPr="008A0A2B">
        <w:rPr>
          <w:rFonts w:ascii="Open Sans" w:hAnsi="Open Sans" w:cs="Open Sans"/>
          <w:color w:val="000000"/>
        </w:rPr>
        <w:t>Puçol</w:t>
      </w:r>
      <w:r w:rsidR="008A0A2B">
        <w:rPr>
          <w:rFonts w:ascii="Open Sans" w:hAnsi="Open Sans" w:cs="Open Sans"/>
          <w:color w:val="000000"/>
        </w:rPr>
        <w:t xml:space="preserve"> </w:t>
      </w:r>
      <w:r w:rsidR="00132773">
        <w:rPr>
          <w:rFonts w:ascii="Open Sans" w:hAnsi="Open Sans" w:cs="Open Sans"/>
          <w:color w:val="000000"/>
        </w:rPr>
        <w:t xml:space="preserve">en </w:t>
      </w:r>
      <w:r w:rsidR="00555343">
        <w:rPr>
          <w:rFonts w:ascii="Open Sans" w:hAnsi="Open Sans" w:cs="Open Sans"/>
          <w:color w:val="000000"/>
        </w:rPr>
        <w:t>Valencia</w:t>
      </w:r>
      <w:r w:rsidR="00882F87" w:rsidRPr="00882F87">
        <w:rPr>
          <w:rFonts w:ascii="Open Sans" w:hAnsi="Open Sans" w:cs="Open Sans"/>
          <w:color w:val="000000"/>
        </w:rPr>
        <w:t xml:space="preserve"> </w:t>
      </w:r>
      <w:r w:rsidR="0039111F" w:rsidRPr="004D3A34">
        <w:rPr>
          <w:rFonts w:ascii="Open Sans" w:hAnsi="Open Sans" w:cs="Open Sans"/>
          <w:color w:val="000000"/>
        </w:rPr>
        <w:t>(</w:t>
      </w:r>
      <w:r w:rsidR="008A0A2B">
        <w:rPr>
          <w:rFonts w:ascii="Open Sans" w:hAnsi="Open Sans" w:cs="Open Sans"/>
          <w:color w:val="000000"/>
        </w:rPr>
        <w:t>28,2</w:t>
      </w:r>
      <w:r w:rsidR="0039111F" w:rsidRPr="004D3A34">
        <w:rPr>
          <w:rFonts w:ascii="Open Sans" w:hAnsi="Open Sans" w:cs="Open Sans"/>
          <w:color w:val="000000"/>
        </w:rPr>
        <w:t xml:space="preserve">%) y </w:t>
      </w:r>
      <w:r w:rsidR="008A0A2B" w:rsidRPr="008A0A2B">
        <w:rPr>
          <w:rFonts w:ascii="Open Sans" w:eastAsia="Times New Roman" w:hAnsi="Open Sans" w:cs="Open Sans"/>
          <w:color w:val="000000"/>
          <w:sz w:val="22"/>
          <w:szCs w:val="22"/>
          <w:lang w:val="es-ES" w:eastAsia="es-ES"/>
        </w:rPr>
        <w:t>El Vendrell</w:t>
      </w:r>
      <w:r w:rsidR="004D6C33">
        <w:rPr>
          <w:rFonts w:ascii="Open Sans" w:eastAsia="Times New Roman" w:hAnsi="Open Sans" w:cs="Open Sans"/>
          <w:color w:val="000000"/>
          <w:sz w:val="22"/>
          <w:szCs w:val="22"/>
          <w:lang w:val="es-ES" w:eastAsia="es-ES"/>
        </w:rPr>
        <w:t xml:space="preserve"> </w:t>
      </w:r>
      <w:r w:rsidR="00132773">
        <w:rPr>
          <w:rFonts w:ascii="Open Sans" w:hAnsi="Open Sans" w:cs="Open Sans"/>
          <w:color w:val="000000"/>
        </w:rPr>
        <w:t xml:space="preserve">en </w:t>
      </w:r>
      <w:r w:rsidR="008A0A2B" w:rsidRPr="008A0A2B">
        <w:rPr>
          <w:rFonts w:ascii="Open Sans" w:hAnsi="Open Sans" w:cs="Open Sans"/>
          <w:color w:val="000000"/>
        </w:rPr>
        <w:t xml:space="preserve">Tarragona </w:t>
      </w:r>
      <w:r w:rsidR="0039111F">
        <w:rPr>
          <w:rFonts w:ascii="Open Sans" w:hAnsi="Open Sans" w:cs="Open Sans"/>
          <w:color w:val="000000"/>
        </w:rPr>
        <w:t>(</w:t>
      </w:r>
      <w:r w:rsidR="008A0A2B">
        <w:rPr>
          <w:rFonts w:ascii="Open Sans" w:hAnsi="Open Sans" w:cs="Open Sans"/>
          <w:color w:val="000000"/>
        </w:rPr>
        <w:t>24,9</w:t>
      </w:r>
      <w:r w:rsidR="000E3988">
        <w:rPr>
          <w:rFonts w:ascii="Open Sans" w:hAnsi="Open Sans" w:cs="Open Sans"/>
          <w:color w:val="000000"/>
        </w:rPr>
        <w:t>%</w:t>
      </w:r>
      <w:r w:rsidR="0039111F">
        <w:rPr>
          <w:rFonts w:ascii="Open Sans" w:hAnsi="Open Sans" w:cs="Open Sans"/>
          <w:color w:val="000000"/>
        </w:rPr>
        <w:t>).</w:t>
      </w:r>
      <w:r w:rsidR="000E3988">
        <w:rPr>
          <w:rFonts w:ascii="Open Sans" w:hAnsi="Open Sans" w:cs="Open Sans"/>
          <w:color w:val="000000"/>
        </w:rPr>
        <w:t xml:space="preserve"> </w:t>
      </w:r>
      <w:r w:rsidR="006D4516" w:rsidRPr="00753088">
        <w:rPr>
          <w:rFonts w:ascii="Open Sans" w:hAnsi="Open Sans" w:cs="Open Sans"/>
          <w:color w:val="000000"/>
        </w:rPr>
        <w:t xml:space="preserve">Por el contrario, </w:t>
      </w:r>
      <w:r w:rsidR="005739B8">
        <w:rPr>
          <w:rFonts w:ascii="Open Sans" w:hAnsi="Open Sans" w:cs="Open Sans"/>
          <w:color w:val="000000"/>
        </w:rPr>
        <w:t>el descenso</w:t>
      </w:r>
      <w:r w:rsidR="006D4516" w:rsidRPr="00753088">
        <w:rPr>
          <w:rFonts w:ascii="Open Sans" w:hAnsi="Open Sans" w:cs="Open Sans"/>
          <w:color w:val="000000"/>
        </w:rPr>
        <w:t xml:space="preserve"> más pronunciad</w:t>
      </w:r>
      <w:r w:rsidR="005739B8">
        <w:rPr>
          <w:rFonts w:ascii="Open Sans" w:hAnsi="Open Sans" w:cs="Open Sans"/>
          <w:color w:val="000000"/>
        </w:rPr>
        <w:t>o</w:t>
      </w:r>
      <w:r w:rsidR="006D4516" w:rsidRPr="00753088">
        <w:rPr>
          <w:rFonts w:ascii="Open Sans" w:hAnsi="Open Sans" w:cs="Open Sans"/>
          <w:color w:val="000000"/>
        </w:rPr>
        <w:t xml:space="preserve"> l</w:t>
      </w:r>
      <w:r w:rsidR="00555343">
        <w:rPr>
          <w:rFonts w:ascii="Open Sans" w:hAnsi="Open Sans" w:cs="Open Sans"/>
          <w:color w:val="000000"/>
        </w:rPr>
        <w:t>o</w:t>
      </w:r>
      <w:r w:rsidR="006D4516" w:rsidRPr="00753088">
        <w:rPr>
          <w:rFonts w:ascii="Open Sans" w:hAnsi="Open Sans" w:cs="Open Sans"/>
          <w:color w:val="000000"/>
        </w:rPr>
        <w:t xml:space="preserve"> experimenta </w:t>
      </w:r>
      <w:r w:rsidR="008A0A2B" w:rsidRPr="008A0A2B">
        <w:rPr>
          <w:rFonts w:ascii="Open Sans" w:hAnsi="Open Sans" w:cs="Open Sans"/>
          <w:color w:val="000000"/>
        </w:rPr>
        <w:t>Oliva</w:t>
      </w:r>
      <w:r w:rsidR="008A0A2B">
        <w:rPr>
          <w:rFonts w:ascii="Open Sans" w:hAnsi="Open Sans" w:cs="Open Sans"/>
          <w:color w:val="000000"/>
        </w:rPr>
        <w:t xml:space="preserve"> </w:t>
      </w:r>
      <w:r w:rsidR="000E203B">
        <w:rPr>
          <w:rFonts w:ascii="Open Sans" w:hAnsi="Open Sans" w:cs="Open Sans"/>
          <w:color w:val="000000"/>
        </w:rPr>
        <w:t xml:space="preserve">en </w:t>
      </w:r>
      <w:r w:rsidR="00555343">
        <w:rPr>
          <w:rFonts w:ascii="Open Sans" w:hAnsi="Open Sans" w:cs="Open Sans"/>
          <w:color w:val="000000"/>
        </w:rPr>
        <w:t>Valencia</w:t>
      </w:r>
      <w:r w:rsidR="002C7B33" w:rsidRPr="002C7B33">
        <w:rPr>
          <w:rFonts w:ascii="Open Sans" w:hAnsi="Open Sans" w:cs="Open Sans"/>
          <w:color w:val="000000"/>
        </w:rPr>
        <w:t xml:space="preserve"> </w:t>
      </w:r>
      <w:r w:rsidR="00276F57">
        <w:rPr>
          <w:rFonts w:ascii="Open Sans" w:hAnsi="Open Sans" w:cs="Open Sans"/>
          <w:color w:val="000000"/>
        </w:rPr>
        <w:t>(</w:t>
      </w:r>
      <w:r w:rsidR="005739B8">
        <w:rPr>
          <w:rFonts w:ascii="Open Sans" w:hAnsi="Open Sans" w:cs="Open Sans"/>
          <w:color w:val="000000"/>
        </w:rPr>
        <w:t>-</w:t>
      </w:r>
      <w:r w:rsidR="008A0A2B">
        <w:rPr>
          <w:rFonts w:ascii="Open Sans" w:hAnsi="Open Sans" w:cs="Open Sans"/>
          <w:color w:val="000000"/>
        </w:rPr>
        <w:t>22,7</w:t>
      </w:r>
      <w:r w:rsidR="00276F57" w:rsidRPr="00753088">
        <w:rPr>
          <w:rFonts w:ascii="Open Sans" w:hAnsi="Open Sans" w:cs="Open Sans"/>
          <w:color w:val="000000"/>
        </w:rPr>
        <w:t>%</w:t>
      </w:r>
      <w:r w:rsidR="00276F57">
        <w:rPr>
          <w:rFonts w:ascii="Open Sans" w:hAnsi="Open Sans" w:cs="Open Sans"/>
          <w:color w:val="000000"/>
        </w:rPr>
        <w:t>),</w:t>
      </w:r>
      <w:r w:rsidR="006D4516" w:rsidRPr="008431EF">
        <w:rPr>
          <w:rFonts w:ascii="Open Sans" w:hAnsi="Open Sans" w:cs="Open Sans"/>
          <w:color w:val="000000"/>
        </w:rPr>
        <w:t xml:space="preserve"> </w:t>
      </w:r>
      <w:r w:rsidR="006D4516">
        <w:rPr>
          <w:rFonts w:ascii="Open Sans" w:hAnsi="Open Sans" w:cs="Open Sans"/>
          <w:color w:val="000000"/>
        </w:rPr>
        <w:t xml:space="preserve">seguida </w:t>
      </w:r>
      <w:r w:rsidR="00276F57">
        <w:rPr>
          <w:rFonts w:ascii="Open Sans" w:hAnsi="Open Sans" w:cs="Open Sans"/>
          <w:color w:val="000000"/>
        </w:rPr>
        <w:t xml:space="preserve">por </w:t>
      </w:r>
      <w:r w:rsidR="008A0A2B" w:rsidRPr="008A0A2B">
        <w:rPr>
          <w:rFonts w:ascii="Open Sans" w:hAnsi="Open Sans" w:cs="Open Sans"/>
          <w:color w:val="000000"/>
        </w:rPr>
        <w:t>Esplugues de Llobregat</w:t>
      </w:r>
      <w:r w:rsidR="008A0A2B">
        <w:rPr>
          <w:rFonts w:ascii="Open Sans" w:hAnsi="Open Sans" w:cs="Open Sans"/>
          <w:color w:val="000000"/>
        </w:rPr>
        <w:t xml:space="preserve"> </w:t>
      </w:r>
      <w:r w:rsidR="002C7B33">
        <w:rPr>
          <w:rFonts w:ascii="Open Sans" w:hAnsi="Open Sans" w:cs="Open Sans"/>
          <w:color w:val="000000"/>
        </w:rPr>
        <w:t xml:space="preserve">en </w:t>
      </w:r>
      <w:r w:rsidR="008A0A2B" w:rsidRPr="008A0A2B">
        <w:rPr>
          <w:rFonts w:ascii="Open Sans" w:hAnsi="Open Sans" w:cs="Open Sans"/>
          <w:color w:val="000000"/>
        </w:rPr>
        <w:t xml:space="preserve">Barcelona </w:t>
      </w:r>
      <w:r w:rsidR="00C774D9">
        <w:rPr>
          <w:rFonts w:ascii="Open Sans" w:hAnsi="Open Sans" w:cs="Open Sans"/>
          <w:color w:val="000000"/>
        </w:rPr>
        <w:t>(</w:t>
      </w:r>
      <w:r w:rsidR="005739B8">
        <w:rPr>
          <w:rFonts w:ascii="Open Sans" w:hAnsi="Open Sans" w:cs="Open Sans"/>
          <w:color w:val="000000"/>
        </w:rPr>
        <w:t>-</w:t>
      </w:r>
      <w:r w:rsidR="00555343">
        <w:rPr>
          <w:rFonts w:ascii="Open Sans" w:hAnsi="Open Sans" w:cs="Open Sans"/>
          <w:color w:val="000000"/>
        </w:rPr>
        <w:t>1</w:t>
      </w:r>
      <w:r w:rsidR="008A0A2B">
        <w:rPr>
          <w:rFonts w:ascii="Open Sans" w:hAnsi="Open Sans" w:cs="Open Sans"/>
          <w:color w:val="000000"/>
        </w:rPr>
        <w:t>9,4</w:t>
      </w:r>
      <w:r w:rsidR="00C774D9">
        <w:rPr>
          <w:rFonts w:ascii="Open Sans" w:hAnsi="Open Sans" w:cs="Open Sans"/>
          <w:color w:val="000000"/>
        </w:rPr>
        <w:t>%)</w:t>
      </w:r>
      <w:r w:rsidR="00276F57">
        <w:rPr>
          <w:rFonts w:ascii="Open Sans" w:hAnsi="Open Sans" w:cs="Open Sans"/>
          <w:color w:val="000000"/>
        </w:rPr>
        <w:t xml:space="preserve">. </w:t>
      </w:r>
    </w:p>
    <w:p w14:paraId="44E2F7E6" w14:textId="5E05F0DE" w:rsidR="001B0D22" w:rsidRDefault="003D5C3A" w:rsidP="008A0A2B">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8A0A2B">
        <w:rPr>
          <w:rFonts w:ascii="Open Sans" w:hAnsi="Open Sans" w:cs="Open Sans"/>
          <w:color w:val="000000"/>
        </w:rPr>
        <w:t>febrero</w:t>
      </w:r>
      <w:r>
        <w:rPr>
          <w:rFonts w:ascii="Open Sans" w:hAnsi="Open Sans" w:cs="Open Sans"/>
          <w:color w:val="000000"/>
        </w:rPr>
        <w:t xml:space="preserve">, vemos que solo </w:t>
      </w:r>
      <w:r w:rsidR="008A0A2B">
        <w:rPr>
          <w:rFonts w:ascii="Open Sans" w:hAnsi="Open Sans" w:cs="Open Sans"/>
          <w:color w:val="000000"/>
        </w:rPr>
        <w:t>un</w:t>
      </w:r>
      <w:r>
        <w:rPr>
          <w:rFonts w:ascii="Open Sans" w:hAnsi="Open Sans" w:cs="Open Sans"/>
          <w:color w:val="000000"/>
        </w:rPr>
        <w:t xml:space="preserve"> municipio supera la barrera de los </w:t>
      </w:r>
      <w:r w:rsidR="004D6C33">
        <w:rPr>
          <w:rFonts w:ascii="Open Sans" w:hAnsi="Open Sans" w:cs="Open Sans"/>
          <w:color w:val="000000"/>
        </w:rPr>
        <w:t>5</w:t>
      </w:r>
      <w:r>
        <w:rPr>
          <w:rFonts w:ascii="Open Sans" w:hAnsi="Open Sans" w:cs="Open Sans"/>
          <w:color w:val="000000"/>
        </w:rPr>
        <w:t xml:space="preserve">.000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y </w:t>
      </w:r>
      <w:r w:rsidR="008A0A2B">
        <w:rPr>
          <w:rFonts w:ascii="Open Sans" w:hAnsi="Open Sans" w:cs="Open Sans"/>
          <w:color w:val="000000"/>
        </w:rPr>
        <w:t>es</w:t>
      </w:r>
      <w:r>
        <w:rPr>
          <w:rFonts w:ascii="Open Sans" w:hAnsi="Open Sans" w:cs="Open Sans"/>
          <w:color w:val="000000"/>
        </w:rPr>
        <w:t xml:space="preserve"> </w:t>
      </w:r>
      <w:r w:rsidR="008A0A2B" w:rsidRPr="008A0A2B">
        <w:rPr>
          <w:rFonts w:ascii="Open Sans" w:hAnsi="Open Sans" w:cs="Open Sans"/>
          <w:color w:val="000000"/>
        </w:rPr>
        <w:t xml:space="preserve">Zarautz </w:t>
      </w:r>
      <w:r w:rsidR="005739B8">
        <w:rPr>
          <w:rFonts w:ascii="Open Sans" w:hAnsi="Open Sans" w:cs="Open Sans"/>
          <w:color w:val="000000"/>
        </w:rPr>
        <w:t>(</w:t>
      </w:r>
      <w:r w:rsidR="004D6C33">
        <w:rPr>
          <w:rFonts w:ascii="Open Sans" w:hAnsi="Open Sans" w:cs="Open Sans"/>
          <w:color w:val="000000"/>
        </w:rPr>
        <w:t>5.</w:t>
      </w:r>
      <w:r w:rsidR="008A0A2B">
        <w:rPr>
          <w:rFonts w:ascii="Open Sans" w:hAnsi="Open Sans" w:cs="Open Sans"/>
          <w:color w:val="000000"/>
        </w:rPr>
        <w:t>008</w:t>
      </w:r>
      <w:r w:rsidR="00F708B0">
        <w:rPr>
          <w:rFonts w:ascii="Open Sans" w:hAnsi="Open Sans" w:cs="Open Sans"/>
          <w:color w:val="000000"/>
        </w:rPr>
        <w:t xml:space="preserve"> </w:t>
      </w:r>
      <w:r w:rsidR="00F23A6E">
        <w:rPr>
          <w:rFonts w:ascii="Open Sans" w:hAnsi="Open Sans" w:cs="Open Sans"/>
          <w:color w:val="000000"/>
        </w:rPr>
        <w:t>euros/m</w:t>
      </w:r>
      <w:r w:rsidR="00F708B0" w:rsidRPr="00C108A1">
        <w:rPr>
          <w:rFonts w:ascii="Open Sans" w:hAnsi="Open Sans" w:cs="Open Sans"/>
          <w:color w:val="000000"/>
          <w:vertAlign w:val="superscript"/>
        </w:rPr>
        <w:t>2</w:t>
      </w:r>
      <w:r w:rsidR="005739B8">
        <w:rPr>
          <w:rFonts w:ascii="Open Sans" w:hAnsi="Open Sans" w:cs="Open Sans"/>
          <w:color w:val="000000"/>
        </w:rPr>
        <w:t>)</w:t>
      </w:r>
      <w:r w:rsidR="008A0A2B">
        <w:rPr>
          <w:rFonts w:ascii="Open Sans" w:hAnsi="Open Sans" w:cs="Open Sans"/>
          <w:color w:val="000000"/>
        </w:rPr>
        <w:t xml:space="preserve">. </w:t>
      </w:r>
      <w:r w:rsidR="008901C1" w:rsidRPr="008901C1">
        <w:rPr>
          <w:rFonts w:ascii="Open Sans" w:hAnsi="Open Sans" w:cs="Open Sans"/>
          <w:color w:val="000000"/>
        </w:rPr>
        <w:t>Por otro</w:t>
      </w:r>
      <w:r w:rsidR="008901C1">
        <w:rPr>
          <w:rFonts w:ascii="Open Sans" w:hAnsi="Open Sans" w:cs="Open Sans"/>
          <w:color w:val="000000"/>
        </w:rPr>
        <w:t xml:space="preserve">, la ciudad con el precio por metro cuadrado más económico de España es la ciudad valenciana de </w:t>
      </w:r>
      <w:r w:rsidR="008A0A2B" w:rsidRPr="008A0A2B">
        <w:rPr>
          <w:rFonts w:ascii="Open Sans" w:hAnsi="Open Sans" w:cs="Open Sans"/>
          <w:color w:val="000000"/>
        </w:rPr>
        <w:t>Benicull de Xúquer</w:t>
      </w:r>
      <w:r w:rsidR="008A0A2B">
        <w:rPr>
          <w:rFonts w:ascii="Open Sans" w:hAnsi="Open Sans" w:cs="Open Sans"/>
          <w:color w:val="000000"/>
        </w:rPr>
        <w:t xml:space="preserve"> </w:t>
      </w:r>
      <w:r w:rsidR="008901C1">
        <w:rPr>
          <w:rFonts w:ascii="Open Sans" w:hAnsi="Open Sans" w:cs="Open Sans"/>
          <w:color w:val="000000"/>
        </w:rPr>
        <w:t>con 5</w:t>
      </w:r>
      <w:r w:rsidR="008A0A2B">
        <w:rPr>
          <w:rFonts w:ascii="Open Sans" w:hAnsi="Open Sans" w:cs="Open Sans"/>
          <w:color w:val="000000"/>
        </w:rPr>
        <w:t>37</w:t>
      </w:r>
      <w:r w:rsidR="00555343">
        <w:rPr>
          <w:rFonts w:ascii="Open Sans" w:hAnsi="Open Sans" w:cs="Open Sans"/>
          <w:color w:val="000000"/>
        </w:rPr>
        <w:t xml:space="preserve"> </w:t>
      </w:r>
      <w:r w:rsidR="00F23A6E">
        <w:rPr>
          <w:rFonts w:ascii="Open Sans" w:hAnsi="Open Sans" w:cs="Open Sans"/>
          <w:color w:val="000000"/>
        </w:rPr>
        <w:t>euros/m</w:t>
      </w:r>
      <w:r w:rsidR="00555343" w:rsidRPr="00C108A1">
        <w:rPr>
          <w:rFonts w:ascii="Open Sans" w:hAnsi="Open Sans" w:cs="Open Sans"/>
          <w:color w:val="000000"/>
          <w:vertAlign w:val="superscript"/>
        </w:rPr>
        <w:t>2</w:t>
      </w:r>
      <w:r w:rsidR="00555343" w:rsidRPr="00555343">
        <w:rPr>
          <w:rFonts w:ascii="Open Sans" w:hAnsi="Open Sans" w:cs="Open Sans"/>
          <w:color w:val="000000"/>
        </w:rPr>
        <w:t>.</w:t>
      </w:r>
    </w:p>
    <w:p w14:paraId="0182F372" w14:textId="342BA651" w:rsidR="00073C61" w:rsidRDefault="00073C61" w:rsidP="002C7B33">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incremento mensual</w:t>
      </w:r>
    </w:p>
    <w:tbl>
      <w:tblPr>
        <w:tblStyle w:val="Tabladecuadrcula5oscura-nfasis11"/>
        <w:tblW w:w="9063" w:type="dxa"/>
        <w:tblInd w:w="-5" w:type="dxa"/>
        <w:tblLook w:val="04A0" w:firstRow="1" w:lastRow="0" w:firstColumn="1" w:lastColumn="0" w:noHBand="0" w:noVBand="1"/>
      </w:tblPr>
      <w:tblGrid>
        <w:gridCol w:w="1636"/>
        <w:gridCol w:w="1908"/>
        <w:gridCol w:w="1843"/>
        <w:gridCol w:w="1893"/>
        <w:gridCol w:w="1783"/>
      </w:tblGrid>
      <w:tr w:rsidR="00073C61" w:rsidRPr="00967736" w14:paraId="3ABC61CC" w14:textId="77777777" w:rsidTr="007D6B1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2771F53A" w14:textId="77777777" w:rsidR="00073C61" w:rsidRPr="00967736" w:rsidRDefault="00073C61" w:rsidP="007D6B10">
            <w:pPr>
              <w:rPr>
                <w:rFonts w:ascii="Open Sans" w:hAnsi="Open Sans" w:cs="Open Sans"/>
                <w:bCs w:val="0"/>
                <w:sz w:val="22"/>
                <w:szCs w:val="22"/>
                <w:lang w:val="es-ES"/>
              </w:rPr>
            </w:pPr>
            <w:r w:rsidRPr="00967736">
              <w:rPr>
                <w:rFonts w:ascii="Open Sans" w:hAnsi="Open Sans" w:cs="Open Sans"/>
                <w:bCs w:val="0"/>
                <w:sz w:val="22"/>
                <w:szCs w:val="22"/>
                <w:lang w:val="es-ES"/>
              </w:rPr>
              <w:t>Provincia</w:t>
            </w:r>
          </w:p>
        </w:tc>
        <w:tc>
          <w:tcPr>
            <w:tcW w:w="1908" w:type="dxa"/>
            <w:vAlign w:val="center"/>
          </w:tcPr>
          <w:p w14:paraId="59D98218" w14:textId="77777777" w:rsidR="00073C61" w:rsidRPr="00967736" w:rsidRDefault="00073C61" w:rsidP="007D6B10">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843" w:type="dxa"/>
          </w:tcPr>
          <w:p w14:paraId="0860AC43"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7FBD3C23"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893" w:type="dxa"/>
          </w:tcPr>
          <w:p w14:paraId="19B8F497"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678C11A8"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783" w:type="dxa"/>
          </w:tcPr>
          <w:p w14:paraId="038E3AD8" w14:textId="315540E8" w:rsidR="00073C61" w:rsidRPr="00967736" w:rsidRDefault="008A0A2B"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294EA8">
              <w:rPr>
                <w:rFonts w:ascii="Open Sans" w:hAnsi="Open Sans" w:cs="Open Sans"/>
                <w:bCs w:val="0"/>
                <w:sz w:val="22"/>
                <w:szCs w:val="22"/>
                <w:lang w:val="es-ES"/>
              </w:rPr>
              <w:t>.2020</w:t>
            </w:r>
          </w:p>
          <w:p w14:paraId="027417A9" w14:textId="1D7C2A48"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8A0A2B" w:rsidRPr="00967736" w14:paraId="58F320EE"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80099D0" w14:textId="7BBBB933"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Valencia</w:t>
            </w:r>
          </w:p>
        </w:tc>
        <w:tc>
          <w:tcPr>
            <w:tcW w:w="1908" w:type="dxa"/>
            <w:vAlign w:val="bottom"/>
          </w:tcPr>
          <w:p w14:paraId="7A19B513" w14:textId="47F0E18F"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Alboraya</w:t>
            </w:r>
          </w:p>
        </w:tc>
        <w:tc>
          <w:tcPr>
            <w:tcW w:w="1843" w:type="dxa"/>
            <w:vAlign w:val="bottom"/>
          </w:tcPr>
          <w:p w14:paraId="4744850D" w14:textId="12BAE4E5" w:rsidR="008A0A2B" w:rsidRPr="00967736"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55,1 %</w:t>
            </w:r>
          </w:p>
        </w:tc>
        <w:tc>
          <w:tcPr>
            <w:tcW w:w="1893" w:type="dxa"/>
            <w:vAlign w:val="bottom"/>
          </w:tcPr>
          <w:p w14:paraId="2AB113F9" w14:textId="40992D28" w:rsidR="008A0A2B" w:rsidRPr="00967736"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60,8 %</w:t>
            </w:r>
          </w:p>
        </w:tc>
        <w:tc>
          <w:tcPr>
            <w:tcW w:w="1783" w:type="dxa"/>
            <w:vAlign w:val="bottom"/>
          </w:tcPr>
          <w:p w14:paraId="6657FF89" w14:textId="4D09EAD0" w:rsidR="008A0A2B" w:rsidRPr="00967736"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3.463 € </w:t>
            </w:r>
          </w:p>
        </w:tc>
      </w:tr>
      <w:tr w:rsidR="008A0A2B" w:rsidRPr="00967736" w14:paraId="7F6DF24B"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2433576" w14:textId="3E04CF74"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Valencia</w:t>
            </w:r>
          </w:p>
        </w:tc>
        <w:tc>
          <w:tcPr>
            <w:tcW w:w="1908" w:type="dxa"/>
            <w:vAlign w:val="bottom"/>
          </w:tcPr>
          <w:p w14:paraId="6766B207" w14:textId="1F787CA7"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Puçol</w:t>
            </w:r>
          </w:p>
        </w:tc>
        <w:tc>
          <w:tcPr>
            <w:tcW w:w="1843" w:type="dxa"/>
            <w:vAlign w:val="bottom"/>
          </w:tcPr>
          <w:p w14:paraId="69C89F4B" w14:textId="1D3EE9AC" w:rsidR="008A0A2B" w:rsidRPr="00967736"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28,2 %</w:t>
            </w:r>
          </w:p>
        </w:tc>
        <w:tc>
          <w:tcPr>
            <w:tcW w:w="1893" w:type="dxa"/>
            <w:vAlign w:val="bottom"/>
          </w:tcPr>
          <w:p w14:paraId="5093EE8A" w14:textId="6DA853BE" w:rsidR="008A0A2B" w:rsidRPr="00967736"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35,5 %</w:t>
            </w:r>
          </w:p>
        </w:tc>
        <w:tc>
          <w:tcPr>
            <w:tcW w:w="1783" w:type="dxa"/>
            <w:vAlign w:val="bottom"/>
          </w:tcPr>
          <w:p w14:paraId="56330C5B" w14:textId="65E75D29" w:rsidR="008A0A2B" w:rsidRPr="00967736"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1.533 € </w:t>
            </w:r>
          </w:p>
        </w:tc>
      </w:tr>
      <w:tr w:rsidR="008A0A2B" w:rsidRPr="00967736" w14:paraId="5861626F"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7F53563" w14:textId="42DDD932"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Tarragona</w:t>
            </w:r>
          </w:p>
        </w:tc>
        <w:tc>
          <w:tcPr>
            <w:tcW w:w="1908" w:type="dxa"/>
            <w:vAlign w:val="bottom"/>
          </w:tcPr>
          <w:p w14:paraId="550DE078" w14:textId="2427F098"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El Vendrell</w:t>
            </w:r>
          </w:p>
        </w:tc>
        <w:tc>
          <w:tcPr>
            <w:tcW w:w="1843" w:type="dxa"/>
            <w:vAlign w:val="bottom"/>
          </w:tcPr>
          <w:p w14:paraId="10693CB4" w14:textId="6C0E2881" w:rsidR="008A0A2B" w:rsidRPr="00967736"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24,9 %</w:t>
            </w:r>
          </w:p>
        </w:tc>
        <w:tc>
          <w:tcPr>
            <w:tcW w:w="1893" w:type="dxa"/>
            <w:vAlign w:val="bottom"/>
          </w:tcPr>
          <w:p w14:paraId="304A8874" w14:textId="647C2DA5" w:rsidR="008A0A2B" w:rsidRPr="00967736"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29,3 %</w:t>
            </w:r>
          </w:p>
        </w:tc>
        <w:tc>
          <w:tcPr>
            <w:tcW w:w="1783" w:type="dxa"/>
            <w:vAlign w:val="bottom"/>
          </w:tcPr>
          <w:p w14:paraId="3661936C" w14:textId="790B7DD8" w:rsidR="008A0A2B" w:rsidRPr="00967736"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1.876 € </w:t>
            </w:r>
          </w:p>
        </w:tc>
      </w:tr>
      <w:tr w:rsidR="008A0A2B" w:rsidRPr="00967736" w14:paraId="5584CDFD"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B0A321D" w14:textId="2BD77325"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Las Palmas</w:t>
            </w:r>
          </w:p>
        </w:tc>
        <w:tc>
          <w:tcPr>
            <w:tcW w:w="1908" w:type="dxa"/>
            <w:vAlign w:val="bottom"/>
          </w:tcPr>
          <w:p w14:paraId="41314AB1" w14:textId="750295C2"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San Bartolomé de Tirajana</w:t>
            </w:r>
          </w:p>
        </w:tc>
        <w:tc>
          <w:tcPr>
            <w:tcW w:w="1843" w:type="dxa"/>
            <w:vAlign w:val="bottom"/>
          </w:tcPr>
          <w:p w14:paraId="1B0B3F12" w14:textId="35B6D427" w:rsidR="008A0A2B" w:rsidRPr="00967736"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19,0 %</w:t>
            </w:r>
          </w:p>
        </w:tc>
        <w:tc>
          <w:tcPr>
            <w:tcW w:w="1893" w:type="dxa"/>
            <w:vAlign w:val="bottom"/>
          </w:tcPr>
          <w:p w14:paraId="197F560E" w14:textId="065AAA2F" w:rsidR="008A0A2B" w:rsidRPr="00967736"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44,9 %</w:t>
            </w:r>
          </w:p>
        </w:tc>
        <w:tc>
          <w:tcPr>
            <w:tcW w:w="1783" w:type="dxa"/>
            <w:vAlign w:val="bottom"/>
          </w:tcPr>
          <w:p w14:paraId="4515199F" w14:textId="7D73F3C8" w:rsidR="008A0A2B" w:rsidRPr="00967736"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3.405 € </w:t>
            </w:r>
          </w:p>
        </w:tc>
      </w:tr>
      <w:tr w:rsidR="008A0A2B" w:rsidRPr="00967736" w14:paraId="4A3B40C3"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2DF4BF5" w14:textId="25F05C54"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Girona</w:t>
            </w:r>
          </w:p>
        </w:tc>
        <w:tc>
          <w:tcPr>
            <w:tcW w:w="1908" w:type="dxa"/>
            <w:vAlign w:val="bottom"/>
          </w:tcPr>
          <w:p w14:paraId="2B71E92C" w14:textId="17DC4BEE"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Calonge</w:t>
            </w:r>
          </w:p>
        </w:tc>
        <w:tc>
          <w:tcPr>
            <w:tcW w:w="1843" w:type="dxa"/>
            <w:vAlign w:val="bottom"/>
          </w:tcPr>
          <w:p w14:paraId="4C0AF76E" w14:textId="224A71DD" w:rsidR="008A0A2B" w:rsidRPr="00967736"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18,1 %</w:t>
            </w:r>
          </w:p>
        </w:tc>
        <w:tc>
          <w:tcPr>
            <w:tcW w:w="1893" w:type="dxa"/>
            <w:vAlign w:val="bottom"/>
          </w:tcPr>
          <w:p w14:paraId="5BC30483" w14:textId="797267F9" w:rsidR="008A0A2B" w:rsidRPr="00967736"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15,7 %</w:t>
            </w:r>
          </w:p>
        </w:tc>
        <w:tc>
          <w:tcPr>
            <w:tcW w:w="1783" w:type="dxa"/>
            <w:vAlign w:val="bottom"/>
          </w:tcPr>
          <w:p w14:paraId="6390EF5A" w14:textId="4194D20C" w:rsidR="008A0A2B" w:rsidRPr="00967736"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3.249 € </w:t>
            </w:r>
          </w:p>
        </w:tc>
      </w:tr>
      <w:tr w:rsidR="008A0A2B" w:rsidRPr="00967736" w14:paraId="2533EA4A"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E305659" w14:textId="7D22FDA6"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Madrid</w:t>
            </w:r>
          </w:p>
        </w:tc>
        <w:tc>
          <w:tcPr>
            <w:tcW w:w="1908" w:type="dxa"/>
            <w:vAlign w:val="bottom"/>
          </w:tcPr>
          <w:p w14:paraId="7F6D888B" w14:textId="71193E50"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Pinto</w:t>
            </w:r>
          </w:p>
        </w:tc>
        <w:tc>
          <w:tcPr>
            <w:tcW w:w="1843" w:type="dxa"/>
            <w:vAlign w:val="bottom"/>
          </w:tcPr>
          <w:p w14:paraId="281C3223" w14:textId="1D959ADE" w:rsidR="008A0A2B" w:rsidRPr="00967736"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17,6 %</w:t>
            </w:r>
          </w:p>
        </w:tc>
        <w:tc>
          <w:tcPr>
            <w:tcW w:w="1893" w:type="dxa"/>
            <w:vAlign w:val="bottom"/>
          </w:tcPr>
          <w:p w14:paraId="5CBC2315" w14:textId="65150D3F" w:rsidR="008A0A2B" w:rsidRPr="00967736"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18,2 %</w:t>
            </w:r>
          </w:p>
        </w:tc>
        <w:tc>
          <w:tcPr>
            <w:tcW w:w="1783" w:type="dxa"/>
            <w:vAlign w:val="bottom"/>
          </w:tcPr>
          <w:p w14:paraId="389AC993" w14:textId="2586565E" w:rsidR="008A0A2B" w:rsidRPr="00967736"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2.501 € </w:t>
            </w:r>
          </w:p>
        </w:tc>
      </w:tr>
      <w:tr w:rsidR="008A0A2B" w:rsidRPr="00967736" w14:paraId="699AF817"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8D557E8" w14:textId="5967C400"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Alicante</w:t>
            </w:r>
          </w:p>
        </w:tc>
        <w:tc>
          <w:tcPr>
            <w:tcW w:w="1908" w:type="dxa"/>
            <w:vAlign w:val="bottom"/>
          </w:tcPr>
          <w:p w14:paraId="1B9A3680" w14:textId="618B3F28"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Pilar de la Horadada</w:t>
            </w:r>
          </w:p>
        </w:tc>
        <w:tc>
          <w:tcPr>
            <w:tcW w:w="1843" w:type="dxa"/>
            <w:vAlign w:val="bottom"/>
          </w:tcPr>
          <w:p w14:paraId="06299077" w14:textId="5EC20CB2" w:rsid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14,8 %</w:t>
            </w:r>
          </w:p>
        </w:tc>
        <w:tc>
          <w:tcPr>
            <w:tcW w:w="1893" w:type="dxa"/>
            <w:vAlign w:val="bottom"/>
          </w:tcPr>
          <w:p w14:paraId="0397CF0B" w14:textId="7438394A" w:rsid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19,1 %</w:t>
            </w:r>
          </w:p>
        </w:tc>
        <w:tc>
          <w:tcPr>
            <w:tcW w:w="1783" w:type="dxa"/>
            <w:vAlign w:val="bottom"/>
          </w:tcPr>
          <w:p w14:paraId="71EE9A1B" w14:textId="3E119B40" w:rsid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1.593 € </w:t>
            </w:r>
          </w:p>
        </w:tc>
      </w:tr>
      <w:tr w:rsidR="008A0A2B" w:rsidRPr="00967736" w14:paraId="511E5A7C"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92C74FA" w14:textId="21C3FE38"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Málaga</w:t>
            </w:r>
          </w:p>
        </w:tc>
        <w:tc>
          <w:tcPr>
            <w:tcW w:w="1908" w:type="dxa"/>
            <w:vAlign w:val="bottom"/>
          </w:tcPr>
          <w:p w14:paraId="399086DE" w14:textId="4F879AD5"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Torremolinos</w:t>
            </w:r>
          </w:p>
        </w:tc>
        <w:tc>
          <w:tcPr>
            <w:tcW w:w="1843" w:type="dxa"/>
            <w:vAlign w:val="bottom"/>
          </w:tcPr>
          <w:p w14:paraId="7892C9C9" w14:textId="4F4BFB8D" w:rsid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13,9 %</w:t>
            </w:r>
          </w:p>
        </w:tc>
        <w:tc>
          <w:tcPr>
            <w:tcW w:w="1893" w:type="dxa"/>
            <w:vAlign w:val="bottom"/>
          </w:tcPr>
          <w:p w14:paraId="32542DBD" w14:textId="1FC06F16" w:rsid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22,2 %</w:t>
            </w:r>
          </w:p>
        </w:tc>
        <w:tc>
          <w:tcPr>
            <w:tcW w:w="1783" w:type="dxa"/>
            <w:vAlign w:val="bottom"/>
          </w:tcPr>
          <w:p w14:paraId="626B801A" w14:textId="27DD1CEB" w:rsid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2.626 € </w:t>
            </w:r>
          </w:p>
        </w:tc>
      </w:tr>
      <w:tr w:rsidR="008A0A2B" w:rsidRPr="00967736" w14:paraId="75904C95"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3AFE336" w14:textId="15DD18B5"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Granada</w:t>
            </w:r>
          </w:p>
        </w:tc>
        <w:tc>
          <w:tcPr>
            <w:tcW w:w="1908" w:type="dxa"/>
            <w:vAlign w:val="bottom"/>
          </w:tcPr>
          <w:p w14:paraId="1DAC6FA7" w14:textId="2DFE75D1"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Monachil</w:t>
            </w:r>
          </w:p>
        </w:tc>
        <w:tc>
          <w:tcPr>
            <w:tcW w:w="1843" w:type="dxa"/>
            <w:vAlign w:val="bottom"/>
          </w:tcPr>
          <w:p w14:paraId="7B4415C2" w14:textId="20683C0E" w:rsidR="008A0A2B" w:rsidRPr="00967736"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13,4 %</w:t>
            </w:r>
          </w:p>
        </w:tc>
        <w:tc>
          <w:tcPr>
            <w:tcW w:w="1893" w:type="dxa"/>
            <w:vAlign w:val="bottom"/>
          </w:tcPr>
          <w:p w14:paraId="7E03A73D" w14:textId="4BB70071" w:rsidR="008A0A2B" w:rsidRPr="00967736"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24,2 %</w:t>
            </w:r>
          </w:p>
        </w:tc>
        <w:tc>
          <w:tcPr>
            <w:tcW w:w="1783" w:type="dxa"/>
            <w:vAlign w:val="bottom"/>
          </w:tcPr>
          <w:p w14:paraId="6D33C16C" w14:textId="070E2F35" w:rsidR="008A0A2B" w:rsidRPr="00967736"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1.756 € </w:t>
            </w:r>
          </w:p>
        </w:tc>
      </w:tr>
      <w:tr w:rsidR="008A0A2B" w:rsidRPr="00967736" w14:paraId="206619EB"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D6F62D" w14:textId="492AD642"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Valencia</w:t>
            </w:r>
          </w:p>
        </w:tc>
        <w:tc>
          <w:tcPr>
            <w:tcW w:w="1908" w:type="dxa"/>
            <w:vAlign w:val="bottom"/>
          </w:tcPr>
          <w:p w14:paraId="40AEF48A" w14:textId="11337A8C"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Masalavés</w:t>
            </w:r>
          </w:p>
        </w:tc>
        <w:tc>
          <w:tcPr>
            <w:tcW w:w="1843" w:type="dxa"/>
            <w:vAlign w:val="bottom"/>
          </w:tcPr>
          <w:p w14:paraId="12E823F5" w14:textId="6E8AC28F" w:rsidR="008A0A2B" w:rsidRPr="00967736"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13,1 %</w:t>
            </w:r>
          </w:p>
        </w:tc>
        <w:tc>
          <w:tcPr>
            <w:tcW w:w="1893" w:type="dxa"/>
            <w:vAlign w:val="bottom"/>
          </w:tcPr>
          <w:p w14:paraId="6EB82EF7" w14:textId="194B4BAF" w:rsidR="008A0A2B" w:rsidRPr="00967736"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1783" w:type="dxa"/>
            <w:vAlign w:val="bottom"/>
          </w:tcPr>
          <w:p w14:paraId="2AEEA614" w14:textId="13720E28" w:rsidR="008A0A2B" w:rsidRPr="00967736"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613 € </w:t>
            </w:r>
          </w:p>
        </w:tc>
      </w:tr>
    </w:tbl>
    <w:p w14:paraId="1F9BBFF9" w14:textId="483E7A02" w:rsidR="00073C61" w:rsidRDefault="00073C61" w:rsidP="00073C61">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 xml:space="preserve">Municipios con mayor precio en </w:t>
      </w:r>
      <w:r w:rsidR="008A0A2B">
        <w:rPr>
          <w:rFonts w:ascii="Open Sans Light" w:eastAsiaTheme="minorHAnsi" w:hAnsi="Open Sans Light" w:cs="Open Sans Light"/>
          <w:b/>
          <w:iCs/>
          <w:color w:val="303AB2"/>
          <w:sz w:val="28"/>
          <w:szCs w:val="22"/>
          <w:lang w:eastAsia="en-US"/>
        </w:rPr>
        <w:t>febrero</w:t>
      </w:r>
      <w:r w:rsidR="0036506F">
        <w:rPr>
          <w:rFonts w:ascii="Open Sans Light" w:eastAsiaTheme="minorHAnsi" w:hAnsi="Open Sans Light" w:cs="Open Sans Light"/>
          <w:b/>
          <w:iCs/>
          <w:color w:val="303AB2"/>
          <w:sz w:val="28"/>
          <w:szCs w:val="22"/>
          <w:lang w:eastAsia="en-US"/>
        </w:rPr>
        <w:t xml:space="preserve"> de 2020</w:t>
      </w:r>
    </w:p>
    <w:tbl>
      <w:tblPr>
        <w:tblStyle w:val="Tabladecuadrcula5oscura-nfasis11"/>
        <w:tblW w:w="9081" w:type="dxa"/>
        <w:tblInd w:w="-5" w:type="dxa"/>
        <w:tblLook w:val="04A0" w:firstRow="1" w:lastRow="0" w:firstColumn="1" w:lastColumn="0" w:noHBand="0" w:noVBand="1"/>
      </w:tblPr>
      <w:tblGrid>
        <w:gridCol w:w="1644"/>
        <w:gridCol w:w="1992"/>
        <w:gridCol w:w="1791"/>
        <w:gridCol w:w="1791"/>
        <w:gridCol w:w="1863"/>
      </w:tblGrid>
      <w:tr w:rsidR="005A6BDE" w:rsidRPr="00967736" w14:paraId="6F11E838" w14:textId="77777777" w:rsidTr="005A6BDE">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center"/>
          </w:tcPr>
          <w:p w14:paraId="35207FBC" w14:textId="77777777" w:rsidR="005A6BDE" w:rsidRPr="00967736" w:rsidRDefault="005A6BDE" w:rsidP="005A6BDE">
            <w:pPr>
              <w:rPr>
                <w:rFonts w:ascii="Open Sans" w:hAnsi="Open Sans" w:cs="Open Sans"/>
                <w:bCs w:val="0"/>
                <w:sz w:val="22"/>
                <w:szCs w:val="22"/>
                <w:lang w:val="es-ES"/>
              </w:rPr>
            </w:pPr>
            <w:r w:rsidRPr="00967736">
              <w:rPr>
                <w:rFonts w:ascii="Open Sans" w:hAnsi="Open Sans" w:cs="Open Sans"/>
                <w:bCs w:val="0"/>
                <w:sz w:val="22"/>
                <w:szCs w:val="22"/>
                <w:lang w:val="es-ES"/>
              </w:rPr>
              <w:t>Provincia</w:t>
            </w:r>
          </w:p>
        </w:tc>
        <w:tc>
          <w:tcPr>
            <w:tcW w:w="1992" w:type="dxa"/>
            <w:vAlign w:val="center"/>
          </w:tcPr>
          <w:p w14:paraId="3AD125B1" w14:textId="77777777" w:rsidR="005A6BDE" w:rsidRPr="00967736" w:rsidRDefault="005A6BDE" w:rsidP="005A6BDE">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791" w:type="dxa"/>
          </w:tcPr>
          <w:p w14:paraId="09D7347E" w14:textId="13085590" w:rsidR="00294EA8" w:rsidRPr="00967736" w:rsidRDefault="008A0A2B" w:rsidP="00294EA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w:t>
            </w:r>
            <w:r w:rsidR="00294EA8">
              <w:rPr>
                <w:rFonts w:ascii="Open Sans" w:hAnsi="Open Sans" w:cs="Open Sans"/>
                <w:bCs w:val="0"/>
                <w:sz w:val="22"/>
                <w:szCs w:val="22"/>
                <w:lang w:val="es-ES"/>
              </w:rPr>
              <w:t>.2020</w:t>
            </w:r>
          </w:p>
          <w:p w14:paraId="3EEE2F7E" w14:textId="18BD0460" w:rsidR="005A6BDE" w:rsidRPr="00967736" w:rsidRDefault="00294EA8" w:rsidP="00294EA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 xml:space="preserve"> </w:t>
            </w:r>
            <w:r w:rsidR="005A6BDE"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005A6BDE" w:rsidRPr="00967736">
              <w:rPr>
                <w:rFonts w:ascii="Open Sans" w:hAnsi="Open Sans" w:cs="Open Sans"/>
                <w:bCs w:val="0"/>
                <w:sz w:val="22"/>
                <w:szCs w:val="22"/>
                <w:lang w:val="es-ES"/>
              </w:rPr>
              <w:t>²)</w:t>
            </w:r>
          </w:p>
        </w:tc>
        <w:tc>
          <w:tcPr>
            <w:tcW w:w="1791" w:type="dxa"/>
          </w:tcPr>
          <w:p w14:paraId="049FBB57" w14:textId="25C2D83C" w:rsidR="005A6BDE" w:rsidRPr="00967736" w:rsidRDefault="005A6BDE" w:rsidP="005A6B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7EE2A961" w14:textId="77777777" w:rsidR="005A6BDE" w:rsidRPr="00967736" w:rsidRDefault="005A6BDE" w:rsidP="005A6B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863" w:type="dxa"/>
          </w:tcPr>
          <w:p w14:paraId="5888F7F5" w14:textId="26B6851E" w:rsidR="005A6BDE" w:rsidRPr="00967736" w:rsidRDefault="005A6BDE" w:rsidP="005A6B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199D4673" w14:textId="77777777" w:rsidR="005A6BDE" w:rsidRPr="00967736" w:rsidRDefault="005A6BDE" w:rsidP="005A6B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r>
      <w:tr w:rsidR="008A0A2B" w:rsidRPr="00967736" w14:paraId="420BF249"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D068F7A" w14:textId="4C4B2A39"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Gipuzkoa</w:t>
            </w:r>
          </w:p>
        </w:tc>
        <w:tc>
          <w:tcPr>
            <w:tcW w:w="1992" w:type="dxa"/>
            <w:vAlign w:val="bottom"/>
          </w:tcPr>
          <w:p w14:paraId="1FBAFAC9" w14:textId="593E009C"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Zarautz</w:t>
            </w:r>
          </w:p>
        </w:tc>
        <w:tc>
          <w:tcPr>
            <w:tcW w:w="1791" w:type="dxa"/>
            <w:vAlign w:val="bottom"/>
          </w:tcPr>
          <w:p w14:paraId="7D59F7C2" w14:textId="2FCD02AD"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5.008 € </w:t>
            </w:r>
          </w:p>
        </w:tc>
        <w:tc>
          <w:tcPr>
            <w:tcW w:w="1791" w:type="dxa"/>
            <w:vAlign w:val="bottom"/>
          </w:tcPr>
          <w:p w14:paraId="6333C516" w14:textId="1925FC37"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8A0A2B">
              <w:rPr>
                <w:rFonts w:ascii="Open Sans" w:hAnsi="Open Sans" w:cs="Open Sans"/>
                <w:color w:val="9C0006"/>
                <w:sz w:val="22"/>
                <w:szCs w:val="22"/>
              </w:rPr>
              <w:t>-0,8 %</w:t>
            </w:r>
          </w:p>
        </w:tc>
        <w:tc>
          <w:tcPr>
            <w:tcW w:w="1863" w:type="dxa"/>
            <w:vAlign w:val="bottom"/>
          </w:tcPr>
          <w:p w14:paraId="541CD58D" w14:textId="5FF38E69"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8,9 %</w:t>
            </w:r>
          </w:p>
        </w:tc>
      </w:tr>
      <w:tr w:rsidR="008A0A2B" w:rsidRPr="00967736" w14:paraId="3698C466"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5F5AA8F8" w14:textId="4BAEE99D"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Illes Balears</w:t>
            </w:r>
          </w:p>
        </w:tc>
        <w:tc>
          <w:tcPr>
            <w:tcW w:w="1992" w:type="dxa"/>
            <w:vAlign w:val="bottom"/>
          </w:tcPr>
          <w:p w14:paraId="341112C1" w14:textId="4407A826"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Eivissa</w:t>
            </w:r>
          </w:p>
        </w:tc>
        <w:tc>
          <w:tcPr>
            <w:tcW w:w="1791" w:type="dxa"/>
            <w:vAlign w:val="bottom"/>
          </w:tcPr>
          <w:p w14:paraId="5544FE8C" w14:textId="1B2A2BA2"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4.997 € </w:t>
            </w:r>
          </w:p>
        </w:tc>
        <w:tc>
          <w:tcPr>
            <w:tcW w:w="1791" w:type="dxa"/>
            <w:vAlign w:val="bottom"/>
          </w:tcPr>
          <w:p w14:paraId="0E0935BB" w14:textId="0092F0C7"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A0A2B">
              <w:rPr>
                <w:rFonts w:ascii="Open Sans" w:hAnsi="Open Sans" w:cs="Open Sans"/>
                <w:color w:val="9C0006"/>
                <w:sz w:val="22"/>
                <w:szCs w:val="22"/>
              </w:rPr>
              <w:t>-4,7 %</w:t>
            </w:r>
          </w:p>
        </w:tc>
        <w:tc>
          <w:tcPr>
            <w:tcW w:w="1863" w:type="dxa"/>
            <w:vAlign w:val="bottom"/>
          </w:tcPr>
          <w:p w14:paraId="125F0294" w14:textId="460BEDB5"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A0A2B">
              <w:rPr>
                <w:rFonts w:ascii="Open Sans" w:hAnsi="Open Sans" w:cs="Open Sans"/>
                <w:color w:val="9C0006"/>
                <w:sz w:val="22"/>
                <w:szCs w:val="22"/>
              </w:rPr>
              <w:t>-1,5 %</w:t>
            </w:r>
          </w:p>
        </w:tc>
      </w:tr>
      <w:tr w:rsidR="008A0A2B" w:rsidRPr="00967736" w14:paraId="479028B8"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DB34DC1" w14:textId="08A5EAFA"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Gipuzkoa</w:t>
            </w:r>
          </w:p>
        </w:tc>
        <w:tc>
          <w:tcPr>
            <w:tcW w:w="1992" w:type="dxa"/>
            <w:vAlign w:val="bottom"/>
          </w:tcPr>
          <w:p w14:paraId="02BAB0A5" w14:textId="4F4BD1FC"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Donostia - San Sebastián</w:t>
            </w:r>
          </w:p>
        </w:tc>
        <w:tc>
          <w:tcPr>
            <w:tcW w:w="1791" w:type="dxa"/>
            <w:vAlign w:val="bottom"/>
          </w:tcPr>
          <w:p w14:paraId="61FF86A9" w14:textId="2A954A28"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4.913 € </w:t>
            </w:r>
          </w:p>
        </w:tc>
        <w:tc>
          <w:tcPr>
            <w:tcW w:w="1791" w:type="dxa"/>
            <w:vAlign w:val="bottom"/>
          </w:tcPr>
          <w:p w14:paraId="4F176103" w14:textId="168406BA"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8A0A2B">
              <w:rPr>
                <w:rFonts w:ascii="Open Sans" w:hAnsi="Open Sans" w:cs="Open Sans"/>
                <w:color w:val="9C0006"/>
                <w:sz w:val="22"/>
                <w:szCs w:val="22"/>
              </w:rPr>
              <w:t>-9,4 %</w:t>
            </w:r>
          </w:p>
        </w:tc>
        <w:tc>
          <w:tcPr>
            <w:tcW w:w="1863" w:type="dxa"/>
            <w:vAlign w:val="bottom"/>
          </w:tcPr>
          <w:p w14:paraId="4EF19D56" w14:textId="1EB4BB09"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8A0A2B">
              <w:rPr>
                <w:rFonts w:ascii="Open Sans" w:hAnsi="Open Sans" w:cs="Open Sans"/>
                <w:color w:val="9C0006"/>
                <w:sz w:val="22"/>
                <w:szCs w:val="22"/>
              </w:rPr>
              <w:t>-0,03 %</w:t>
            </w:r>
          </w:p>
        </w:tc>
      </w:tr>
      <w:tr w:rsidR="008A0A2B" w:rsidRPr="00967736" w14:paraId="2635E34C"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0076FE34" w14:textId="13F060D6"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Barcelona</w:t>
            </w:r>
          </w:p>
        </w:tc>
        <w:tc>
          <w:tcPr>
            <w:tcW w:w="1992" w:type="dxa"/>
            <w:vAlign w:val="bottom"/>
          </w:tcPr>
          <w:p w14:paraId="7002BED2" w14:textId="61D57D1D"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Sant Cugat del Vallès</w:t>
            </w:r>
          </w:p>
        </w:tc>
        <w:tc>
          <w:tcPr>
            <w:tcW w:w="1791" w:type="dxa"/>
            <w:vAlign w:val="bottom"/>
          </w:tcPr>
          <w:p w14:paraId="3807723D" w14:textId="2FBCB764"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4.620 € </w:t>
            </w:r>
          </w:p>
        </w:tc>
        <w:tc>
          <w:tcPr>
            <w:tcW w:w="1791" w:type="dxa"/>
            <w:vAlign w:val="bottom"/>
          </w:tcPr>
          <w:p w14:paraId="345F6565" w14:textId="6C99B788"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6,6 %</w:t>
            </w:r>
          </w:p>
        </w:tc>
        <w:tc>
          <w:tcPr>
            <w:tcW w:w="1863" w:type="dxa"/>
            <w:vAlign w:val="bottom"/>
          </w:tcPr>
          <w:p w14:paraId="4AC1904F" w14:textId="34819DE7"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10,7 %</w:t>
            </w:r>
          </w:p>
        </w:tc>
      </w:tr>
      <w:tr w:rsidR="008A0A2B" w:rsidRPr="00967736" w14:paraId="5A0A34DB"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7C5DB040" w14:textId="1341155A"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Gipuzkoa</w:t>
            </w:r>
          </w:p>
        </w:tc>
        <w:tc>
          <w:tcPr>
            <w:tcW w:w="1992" w:type="dxa"/>
            <w:vAlign w:val="bottom"/>
          </w:tcPr>
          <w:p w14:paraId="313F78B1" w14:textId="2DE9844B"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Hondarribia</w:t>
            </w:r>
          </w:p>
        </w:tc>
        <w:tc>
          <w:tcPr>
            <w:tcW w:w="1791" w:type="dxa"/>
            <w:vAlign w:val="bottom"/>
          </w:tcPr>
          <w:p w14:paraId="4230891E" w14:textId="73802E40"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4.432 € </w:t>
            </w:r>
          </w:p>
        </w:tc>
        <w:tc>
          <w:tcPr>
            <w:tcW w:w="1791" w:type="dxa"/>
            <w:vAlign w:val="bottom"/>
          </w:tcPr>
          <w:p w14:paraId="6B05F870" w14:textId="6E0CC744"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8A0A2B">
              <w:rPr>
                <w:rFonts w:ascii="Open Sans" w:hAnsi="Open Sans" w:cs="Open Sans"/>
                <w:color w:val="9C0006"/>
                <w:sz w:val="22"/>
                <w:szCs w:val="22"/>
              </w:rPr>
              <w:t>-2,3 %</w:t>
            </w:r>
          </w:p>
        </w:tc>
        <w:tc>
          <w:tcPr>
            <w:tcW w:w="1863" w:type="dxa"/>
            <w:vAlign w:val="bottom"/>
          </w:tcPr>
          <w:p w14:paraId="5F18CE3B" w14:textId="342ADF8B"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10,9 %</w:t>
            </w:r>
          </w:p>
        </w:tc>
      </w:tr>
      <w:tr w:rsidR="008A0A2B" w:rsidRPr="00967736" w14:paraId="69786A00"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549A9158" w14:textId="71EF1380"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Illes Balears</w:t>
            </w:r>
          </w:p>
        </w:tc>
        <w:tc>
          <w:tcPr>
            <w:tcW w:w="1992" w:type="dxa"/>
            <w:vAlign w:val="bottom"/>
          </w:tcPr>
          <w:p w14:paraId="48C6CA5D" w14:textId="5D1F0685"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Calvià</w:t>
            </w:r>
          </w:p>
        </w:tc>
        <w:tc>
          <w:tcPr>
            <w:tcW w:w="1791" w:type="dxa"/>
            <w:vAlign w:val="bottom"/>
          </w:tcPr>
          <w:p w14:paraId="09255D8F" w14:textId="52F3A883"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4.335 € </w:t>
            </w:r>
          </w:p>
        </w:tc>
        <w:tc>
          <w:tcPr>
            <w:tcW w:w="1791" w:type="dxa"/>
            <w:vAlign w:val="bottom"/>
          </w:tcPr>
          <w:p w14:paraId="0D4E331F" w14:textId="2604134E"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5,8 %</w:t>
            </w:r>
          </w:p>
        </w:tc>
        <w:tc>
          <w:tcPr>
            <w:tcW w:w="1863" w:type="dxa"/>
            <w:vAlign w:val="bottom"/>
          </w:tcPr>
          <w:p w14:paraId="0C0BDDDE" w14:textId="1D5DB7EC"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18,6 %</w:t>
            </w:r>
          </w:p>
        </w:tc>
      </w:tr>
      <w:tr w:rsidR="008A0A2B" w:rsidRPr="00967736" w14:paraId="50EC8157"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4B876D39" w14:textId="67A96F4D"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lastRenderedPageBreak/>
              <w:t>Barcelona</w:t>
            </w:r>
          </w:p>
        </w:tc>
        <w:tc>
          <w:tcPr>
            <w:tcW w:w="1992" w:type="dxa"/>
            <w:vAlign w:val="bottom"/>
          </w:tcPr>
          <w:p w14:paraId="2575FAC7" w14:textId="61E26B20"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Barcelona Capital</w:t>
            </w:r>
          </w:p>
        </w:tc>
        <w:tc>
          <w:tcPr>
            <w:tcW w:w="1791" w:type="dxa"/>
            <w:vAlign w:val="bottom"/>
          </w:tcPr>
          <w:p w14:paraId="2DBBB108" w14:textId="67F2D917"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4.264 € </w:t>
            </w:r>
          </w:p>
        </w:tc>
        <w:tc>
          <w:tcPr>
            <w:tcW w:w="1791" w:type="dxa"/>
            <w:vAlign w:val="bottom"/>
          </w:tcPr>
          <w:p w14:paraId="3A225A51" w14:textId="2CF22CC4"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color w:val="9C0006"/>
                <w:sz w:val="22"/>
                <w:szCs w:val="22"/>
              </w:rPr>
              <w:t>-5,4 %</w:t>
            </w:r>
          </w:p>
        </w:tc>
        <w:tc>
          <w:tcPr>
            <w:tcW w:w="1863" w:type="dxa"/>
            <w:vAlign w:val="bottom"/>
          </w:tcPr>
          <w:p w14:paraId="52EFADD7" w14:textId="22BBA3DD"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color w:val="9C0006"/>
                <w:sz w:val="22"/>
                <w:szCs w:val="22"/>
              </w:rPr>
              <w:t>-4,0 %</w:t>
            </w:r>
          </w:p>
        </w:tc>
      </w:tr>
      <w:tr w:rsidR="008A0A2B" w:rsidRPr="00967736" w14:paraId="2E685008"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C2AD414" w14:textId="367B3918"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Barcelona</w:t>
            </w:r>
          </w:p>
        </w:tc>
        <w:tc>
          <w:tcPr>
            <w:tcW w:w="1992" w:type="dxa"/>
            <w:vAlign w:val="bottom"/>
          </w:tcPr>
          <w:p w14:paraId="3216C534" w14:textId="23CBD970"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Sitges</w:t>
            </w:r>
          </w:p>
        </w:tc>
        <w:tc>
          <w:tcPr>
            <w:tcW w:w="1791" w:type="dxa"/>
            <w:vAlign w:val="bottom"/>
          </w:tcPr>
          <w:p w14:paraId="0ADAEB4F" w14:textId="5B7B4FFE"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4.061 € </w:t>
            </w:r>
          </w:p>
        </w:tc>
        <w:tc>
          <w:tcPr>
            <w:tcW w:w="1791" w:type="dxa"/>
            <w:vAlign w:val="bottom"/>
          </w:tcPr>
          <w:p w14:paraId="2E982FBD" w14:textId="58A6FC42"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color w:val="9C0006"/>
                <w:sz w:val="22"/>
                <w:szCs w:val="22"/>
              </w:rPr>
              <w:t>-3,3 %</w:t>
            </w:r>
          </w:p>
        </w:tc>
        <w:tc>
          <w:tcPr>
            <w:tcW w:w="1863" w:type="dxa"/>
            <w:vAlign w:val="bottom"/>
          </w:tcPr>
          <w:p w14:paraId="1F6C22F4" w14:textId="3C9006F9"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color w:val="9C0006"/>
                <w:sz w:val="22"/>
                <w:szCs w:val="22"/>
              </w:rPr>
              <w:t>-2,8 %</w:t>
            </w:r>
          </w:p>
        </w:tc>
      </w:tr>
      <w:tr w:rsidR="008A0A2B" w:rsidRPr="00967736" w14:paraId="5E89535B"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72D31BD8" w14:textId="4A666967"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Bizkaia</w:t>
            </w:r>
          </w:p>
        </w:tc>
        <w:tc>
          <w:tcPr>
            <w:tcW w:w="1992" w:type="dxa"/>
            <w:vAlign w:val="bottom"/>
          </w:tcPr>
          <w:p w14:paraId="27E01E9D" w14:textId="02C7BB2C" w:rsidR="008A0A2B" w:rsidRPr="008A0A2B" w:rsidRDefault="008A0A2B" w:rsidP="008A0A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Getxo</w:t>
            </w:r>
          </w:p>
        </w:tc>
        <w:tc>
          <w:tcPr>
            <w:tcW w:w="1791" w:type="dxa"/>
            <w:vAlign w:val="bottom"/>
          </w:tcPr>
          <w:p w14:paraId="116DF9F0" w14:textId="76715A8E"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3.708 € </w:t>
            </w:r>
          </w:p>
        </w:tc>
        <w:tc>
          <w:tcPr>
            <w:tcW w:w="1791" w:type="dxa"/>
            <w:vAlign w:val="bottom"/>
          </w:tcPr>
          <w:p w14:paraId="5C032B4D" w14:textId="63079BC7"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0,5 %</w:t>
            </w:r>
          </w:p>
        </w:tc>
        <w:tc>
          <w:tcPr>
            <w:tcW w:w="1863" w:type="dxa"/>
            <w:vAlign w:val="bottom"/>
          </w:tcPr>
          <w:p w14:paraId="00A100A5" w14:textId="569869F3" w:rsidR="008A0A2B" w:rsidRPr="008A0A2B" w:rsidRDefault="008A0A2B" w:rsidP="008A0A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4,2 %</w:t>
            </w:r>
          </w:p>
        </w:tc>
      </w:tr>
      <w:tr w:rsidR="008A0A2B" w:rsidRPr="00967736" w14:paraId="3721D191"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554FBF3F" w14:textId="2597BD13" w:rsidR="008A0A2B" w:rsidRPr="008A0A2B" w:rsidRDefault="008A0A2B" w:rsidP="008A0A2B">
            <w:pPr>
              <w:rPr>
                <w:rFonts w:ascii="Open Sans" w:hAnsi="Open Sans" w:cs="Open Sans"/>
                <w:b w:val="0"/>
                <w:bCs w:val="0"/>
                <w:sz w:val="22"/>
                <w:szCs w:val="22"/>
              </w:rPr>
            </w:pPr>
            <w:r w:rsidRPr="008A0A2B">
              <w:rPr>
                <w:rFonts w:ascii="Open Sans" w:hAnsi="Open Sans" w:cs="Open Sans"/>
                <w:b w:val="0"/>
                <w:bCs w:val="0"/>
                <w:sz w:val="22"/>
                <w:szCs w:val="22"/>
              </w:rPr>
              <w:t>Barcelona</w:t>
            </w:r>
          </w:p>
        </w:tc>
        <w:tc>
          <w:tcPr>
            <w:tcW w:w="1992" w:type="dxa"/>
            <w:vAlign w:val="bottom"/>
          </w:tcPr>
          <w:p w14:paraId="6F68B105" w14:textId="4D778D6D" w:rsidR="008A0A2B" w:rsidRPr="008A0A2B" w:rsidRDefault="008A0A2B" w:rsidP="008A0A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Sant Just Desvern</w:t>
            </w:r>
          </w:p>
        </w:tc>
        <w:tc>
          <w:tcPr>
            <w:tcW w:w="1791" w:type="dxa"/>
            <w:vAlign w:val="bottom"/>
          </w:tcPr>
          <w:p w14:paraId="5CA509C6" w14:textId="12692535"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A0A2B">
              <w:rPr>
                <w:rFonts w:ascii="Open Sans" w:hAnsi="Open Sans" w:cs="Open Sans"/>
                <w:sz w:val="22"/>
                <w:szCs w:val="22"/>
              </w:rPr>
              <w:t xml:space="preserve">     3.686 € </w:t>
            </w:r>
          </w:p>
        </w:tc>
        <w:tc>
          <w:tcPr>
            <w:tcW w:w="1791" w:type="dxa"/>
            <w:vAlign w:val="bottom"/>
          </w:tcPr>
          <w:p w14:paraId="1E5C048E" w14:textId="33E4E154"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A0A2B">
              <w:rPr>
                <w:rFonts w:ascii="Open Sans" w:hAnsi="Open Sans" w:cs="Open Sans"/>
                <w:sz w:val="22"/>
                <w:szCs w:val="22"/>
              </w:rPr>
              <w:t>2,6 %</w:t>
            </w:r>
          </w:p>
        </w:tc>
        <w:tc>
          <w:tcPr>
            <w:tcW w:w="1863" w:type="dxa"/>
            <w:vAlign w:val="bottom"/>
          </w:tcPr>
          <w:p w14:paraId="4B277940" w14:textId="4FCA24C0" w:rsidR="008A0A2B" w:rsidRPr="008A0A2B" w:rsidRDefault="008A0A2B" w:rsidP="008A0A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A0A2B">
              <w:rPr>
                <w:rFonts w:ascii="Open Sans" w:hAnsi="Open Sans" w:cs="Open Sans"/>
                <w:color w:val="9C0006"/>
                <w:sz w:val="22"/>
                <w:szCs w:val="22"/>
              </w:rPr>
              <w:t>-2,5 %</w:t>
            </w:r>
          </w:p>
        </w:tc>
      </w:tr>
    </w:tbl>
    <w:p w14:paraId="037A6377" w14:textId="77777777" w:rsidR="00325EA8" w:rsidRDefault="00325EA8" w:rsidP="00325EA8">
      <w:pPr>
        <w:spacing w:line="276" w:lineRule="auto"/>
        <w:ind w:right="-574"/>
        <w:rPr>
          <w:rFonts w:ascii="Open Sans Light" w:hAnsi="Open Sans Light" w:cs="Open Sans Light"/>
          <w:b/>
          <w:iCs/>
          <w:color w:val="303AB2"/>
          <w:sz w:val="28"/>
          <w:szCs w:val="22"/>
          <w:lang w:val="es-ES"/>
        </w:rPr>
      </w:pPr>
    </w:p>
    <w:p w14:paraId="6538909C" w14:textId="2B772E8F" w:rsidR="00325EA8" w:rsidRDefault="00325EA8" w:rsidP="00325EA8">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Los distritos de Madrid </w:t>
      </w:r>
      <w:r w:rsidR="00803A0C">
        <w:rPr>
          <w:rFonts w:ascii="Open Sans Light" w:hAnsi="Open Sans Light" w:cs="Open Sans Light"/>
          <w:b/>
          <w:iCs/>
          <w:color w:val="303AB2"/>
          <w:sz w:val="28"/>
          <w:szCs w:val="22"/>
          <w:lang w:val="es-ES"/>
        </w:rPr>
        <w:t xml:space="preserve">y Barcelona </w:t>
      </w:r>
      <w:r>
        <w:rPr>
          <w:rFonts w:ascii="Open Sans Light" w:hAnsi="Open Sans Light" w:cs="Open Sans Light"/>
          <w:b/>
          <w:iCs/>
          <w:color w:val="303AB2"/>
          <w:sz w:val="28"/>
          <w:szCs w:val="22"/>
          <w:lang w:val="es-ES"/>
        </w:rPr>
        <w:t xml:space="preserve">tocan techo en </w:t>
      </w:r>
      <w:r w:rsidR="00803A0C">
        <w:rPr>
          <w:rFonts w:ascii="Open Sans Light" w:hAnsi="Open Sans Light" w:cs="Open Sans Light"/>
          <w:b/>
          <w:iCs/>
          <w:color w:val="303AB2"/>
          <w:sz w:val="28"/>
          <w:szCs w:val="22"/>
          <w:lang w:val="es-ES"/>
        </w:rPr>
        <w:t>febrero</w:t>
      </w:r>
    </w:p>
    <w:p w14:paraId="46108E1B" w14:textId="77777777" w:rsidR="00325EA8" w:rsidRDefault="00325EA8" w:rsidP="00325EA8">
      <w:pPr>
        <w:ind w:right="-574"/>
        <w:rPr>
          <w:rFonts w:ascii="Open Sans Light" w:hAnsi="Open Sans Light" w:cs="Open Sans Light"/>
          <w:b/>
          <w:iCs/>
          <w:color w:val="303AB2"/>
          <w:sz w:val="28"/>
          <w:szCs w:val="22"/>
          <w:lang w:val="es-ES"/>
        </w:rPr>
      </w:pPr>
    </w:p>
    <w:p w14:paraId="701ACBC4" w14:textId="77777777" w:rsidR="00803A0C" w:rsidRDefault="00325EA8" w:rsidP="00325EA8">
      <w:pPr>
        <w:spacing w:line="276" w:lineRule="auto"/>
        <w:ind w:right="-574"/>
        <w:jc w:val="both"/>
        <w:rPr>
          <w:rFonts w:ascii="Open Sans" w:hAnsi="Open Sans" w:cs="Open Sans"/>
          <w:color w:val="000000"/>
        </w:rPr>
      </w:pPr>
      <w:r>
        <w:rPr>
          <w:rFonts w:ascii="Open Sans" w:hAnsi="Open Sans" w:cs="Open Sans"/>
          <w:color w:val="000000"/>
        </w:rPr>
        <w:t>El precio de</w:t>
      </w:r>
      <w:r w:rsidR="00803A0C">
        <w:rPr>
          <w:rFonts w:ascii="Open Sans" w:hAnsi="Open Sans" w:cs="Open Sans"/>
          <w:color w:val="000000"/>
        </w:rPr>
        <w:t xml:space="preserve"> </w:t>
      </w:r>
      <w:r>
        <w:rPr>
          <w:rFonts w:ascii="Open Sans" w:hAnsi="Open Sans" w:cs="Open Sans"/>
          <w:color w:val="000000"/>
        </w:rPr>
        <w:t>l</w:t>
      </w:r>
      <w:r w:rsidR="00803A0C">
        <w:rPr>
          <w:rFonts w:ascii="Open Sans" w:hAnsi="Open Sans" w:cs="Open Sans"/>
          <w:color w:val="000000"/>
        </w:rPr>
        <w:t>a vivienda de segunda mano</w:t>
      </w:r>
      <w:r>
        <w:rPr>
          <w:rFonts w:ascii="Open Sans" w:hAnsi="Open Sans" w:cs="Open Sans"/>
          <w:color w:val="000000"/>
        </w:rPr>
        <w:t xml:space="preserve"> por distritos llega a sus máximos valores en Madrid en </w:t>
      </w:r>
      <w:r w:rsidR="00803A0C">
        <w:rPr>
          <w:rFonts w:ascii="Open Sans" w:hAnsi="Open Sans" w:cs="Open Sans"/>
          <w:color w:val="000000"/>
        </w:rPr>
        <w:t>cinco</w:t>
      </w:r>
      <w:r>
        <w:rPr>
          <w:rFonts w:ascii="Open Sans" w:hAnsi="Open Sans" w:cs="Open Sans"/>
          <w:color w:val="000000"/>
        </w:rPr>
        <w:t xml:space="preserve"> de los </w:t>
      </w:r>
      <w:r w:rsidR="00803A0C">
        <w:rPr>
          <w:rFonts w:ascii="Open Sans" w:hAnsi="Open Sans" w:cs="Open Sans"/>
          <w:color w:val="000000"/>
        </w:rPr>
        <w:t>21</w:t>
      </w:r>
      <w:r>
        <w:rPr>
          <w:rFonts w:ascii="Open Sans" w:hAnsi="Open Sans" w:cs="Open Sans"/>
          <w:color w:val="000000"/>
        </w:rPr>
        <w:t xml:space="preserve"> distritos analizados por Fotocasa. Uno de los distritos que ha tocado techo una vez más en la capital es el distrito </w:t>
      </w:r>
      <w:r w:rsidR="00803A0C" w:rsidRPr="00803A0C">
        <w:rPr>
          <w:rFonts w:ascii="Open Sans" w:hAnsi="Open Sans" w:cs="Open Sans"/>
          <w:color w:val="000000"/>
        </w:rPr>
        <w:t>Chamberí</w:t>
      </w:r>
      <w:r>
        <w:rPr>
          <w:rFonts w:ascii="Open Sans" w:hAnsi="Open Sans" w:cs="Open Sans"/>
          <w:color w:val="000000"/>
        </w:rPr>
        <w:t xml:space="preserve">, con un precio medio de </w:t>
      </w:r>
      <w:r w:rsidR="00803A0C">
        <w:rPr>
          <w:rFonts w:ascii="Open Sans" w:hAnsi="Open Sans" w:cs="Open Sans"/>
          <w:color w:val="000000"/>
        </w:rPr>
        <w:t>5.642</w:t>
      </w:r>
      <w:r>
        <w:rPr>
          <w:rFonts w:ascii="Open Sans" w:hAnsi="Open Sans" w:cs="Open Sans"/>
          <w:color w:val="000000"/>
        </w:rPr>
        <w:t xml:space="preserve"> </w:t>
      </w:r>
      <w:r w:rsidR="00803A0C">
        <w:rPr>
          <w:rFonts w:ascii="Open Sans" w:hAnsi="Open Sans" w:cs="Open Sans"/>
          <w:color w:val="000000"/>
        </w:rPr>
        <w:t>euros</w:t>
      </w:r>
      <w:r>
        <w:rPr>
          <w:rFonts w:ascii="Open Sans" w:hAnsi="Open Sans" w:cs="Open Sans"/>
          <w:color w:val="000000"/>
        </w:rPr>
        <w:t>/m</w:t>
      </w:r>
      <w:r w:rsidRPr="00942078">
        <w:rPr>
          <w:rFonts w:ascii="Open Sans" w:hAnsi="Open Sans" w:cs="Open Sans"/>
          <w:color w:val="000000"/>
          <w:vertAlign w:val="superscript"/>
        </w:rPr>
        <w:t>2</w:t>
      </w:r>
      <w:r>
        <w:rPr>
          <w:rFonts w:ascii="Open Sans" w:hAnsi="Open Sans" w:cs="Open Sans"/>
          <w:color w:val="000000"/>
          <w:vertAlign w:val="superscript"/>
        </w:rPr>
        <w:t xml:space="preserve"> </w:t>
      </w:r>
      <w:r>
        <w:rPr>
          <w:rFonts w:ascii="Open Sans" w:hAnsi="Open Sans" w:cs="Open Sans"/>
          <w:color w:val="000000"/>
        </w:rPr>
        <w:t>y con un incremento mensual de 1,</w:t>
      </w:r>
      <w:r w:rsidR="00803A0C">
        <w:rPr>
          <w:rFonts w:ascii="Open Sans" w:hAnsi="Open Sans" w:cs="Open Sans"/>
          <w:color w:val="000000"/>
        </w:rPr>
        <w:t>1</w:t>
      </w:r>
      <w:r>
        <w:rPr>
          <w:rFonts w:ascii="Open Sans" w:hAnsi="Open Sans" w:cs="Open Sans"/>
          <w:color w:val="000000"/>
        </w:rPr>
        <w:t xml:space="preserve">%. </w:t>
      </w:r>
    </w:p>
    <w:p w14:paraId="2304DF7C" w14:textId="77777777" w:rsidR="00325EA8" w:rsidRDefault="00325EA8" w:rsidP="00325EA8">
      <w:pPr>
        <w:spacing w:line="276" w:lineRule="auto"/>
        <w:ind w:right="-574"/>
        <w:jc w:val="both"/>
        <w:rPr>
          <w:rFonts w:ascii="Open Sans" w:hAnsi="Open Sans" w:cs="Open Sans"/>
          <w:color w:val="000000"/>
        </w:rPr>
      </w:pPr>
    </w:p>
    <w:p w14:paraId="2EA2FF7C" w14:textId="2AD34E85" w:rsidR="00803A0C" w:rsidRDefault="00325EA8" w:rsidP="00803A0C">
      <w:pPr>
        <w:spacing w:line="276" w:lineRule="auto"/>
        <w:ind w:right="-574"/>
        <w:jc w:val="both"/>
        <w:rPr>
          <w:rFonts w:ascii="Open Sans" w:hAnsi="Open Sans" w:cs="Open Sans"/>
          <w:color w:val="000000"/>
        </w:rPr>
      </w:pPr>
      <w:r>
        <w:rPr>
          <w:rFonts w:ascii="Open Sans" w:hAnsi="Open Sans" w:cs="Open Sans"/>
          <w:color w:val="000000"/>
        </w:rPr>
        <w:t>Por otro lado,</w:t>
      </w:r>
      <w:r w:rsidR="00803A0C">
        <w:rPr>
          <w:rFonts w:ascii="Open Sans" w:hAnsi="Open Sans" w:cs="Open Sans"/>
          <w:color w:val="000000"/>
        </w:rPr>
        <w:t xml:space="preserve"> el precio de la vivienda de segunda mano por distritos llega a sus máximos valores en Barcelona Capital en seis de los diez distritos analizados en febrero. Uno de los distritos que ha tocado techo una vez más en la ciudad condal es el distrito </w:t>
      </w:r>
      <w:r w:rsidR="00803A0C" w:rsidRPr="00803A0C">
        <w:rPr>
          <w:rFonts w:ascii="Open Sans" w:hAnsi="Open Sans" w:cs="Open Sans"/>
          <w:color w:val="000000"/>
        </w:rPr>
        <w:t>Sarrià - Sant Gervasi</w:t>
      </w:r>
      <w:r w:rsidR="00803A0C">
        <w:rPr>
          <w:rFonts w:ascii="Open Sans" w:hAnsi="Open Sans" w:cs="Open Sans"/>
          <w:color w:val="000000"/>
        </w:rPr>
        <w:t>, con un precio medio de 5.780 euros/m</w:t>
      </w:r>
      <w:r w:rsidR="00803A0C" w:rsidRPr="00942078">
        <w:rPr>
          <w:rFonts w:ascii="Open Sans" w:hAnsi="Open Sans" w:cs="Open Sans"/>
          <w:color w:val="000000"/>
          <w:vertAlign w:val="superscript"/>
        </w:rPr>
        <w:t>2</w:t>
      </w:r>
      <w:r w:rsidR="00803A0C">
        <w:rPr>
          <w:rFonts w:ascii="Open Sans" w:hAnsi="Open Sans" w:cs="Open Sans"/>
          <w:color w:val="000000"/>
          <w:vertAlign w:val="superscript"/>
        </w:rPr>
        <w:t xml:space="preserve"> </w:t>
      </w:r>
      <w:r w:rsidR="00803A0C">
        <w:rPr>
          <w:rFonts w:ascii="Open Sans" w:hAnsi="Open Sans" w:cs="Open Sans"/>
          <w:color w:val="000000"/>
        </w:rPr>
        <w:t xml:space="preserve">y con un incremento mensual de 2,6%. </w:t>
      </w:r>
    </w:p>
    <w:p w14:paraId="277AF256" w14:textId="77777777" w:rsidR="00803A0C" w:rsidRDefault="00803A0C" w:rsidP="00325EA8">
      <w:pPr>
        <w:spacing w:line="276" w:lineRule="auto"/>
        <w:ind w:right="-574"/>
        <w:jc w:val="both"/>
        <w:rPr>
          <w:rFonts w:ascii="Open Sans" w:hAnsi="Open Sans" w:cs="Open Sans"/>
          <w:color w:val="000000"/>
        </w:rPr>
      </w:pPr>
    </w:p>
    <w:p w14:paraId="48251514" w14:textId="77777777" w:rsidR="0056052D" w:rsidRDefault="0056052D" w:rsidP="002C7B33">
      <w:pPr>
        <w:spacing w:line="276" w:lineRule="auto"/>
        <w:jc w:val="right"/>
        <w:rPr>
          <w:rFonts w:ascii="Open Sans Light" w:hAnsi="Open Sans Light" w:cs="Open Sans Light"/>
          <w:b/>
          <w:iCs/>
          <w:color w:val="303AB2"/>
          <w:szCs w:val="20"/>
          <w:lang w:val="es-ES"/>
        </w:rPr>
      </w:pPr>
    </w:p>
    <w:p w14:paraId="70F17A32" w14:textId="43705977" w:rsidR="00684AD7" w:rsidRPr="00B41A97" w:rsidRDefault="00684AD7" w:rsidP="002C7B33">
      <w:pPr>
        <w:spacing w:line="276" w:lineRule="auto"/>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7AE9B1DE" w14:textId="77777777"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72598C74" w14:textId="77777777"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t>Mensualmente elabora el </w:t>
      </w:r>
      <w:hyperlink r:id="rId12"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706E3340" w14:textId="562EC703" w:rsidR="00684AD7" w:rsidRPr="006722A1" w:rsidRDefault="00732D16" w:rsidP="002C7B33">
      <w:pPr>
        <w:pStyle w:val="NormalWeb"/>
        <w:shd w:val="clear" w:color="auto" w:fill="FFFFFF"/>
        <w:spacing w:line="276" w:lineRule="atLeast"/>
        <w:jc w:val="both"/>
        <w:rPr>
          <w:color w:val="222222"/>
          <w:sz w:val="21"/>
          <w:szCs w:val="21"/>
        </w:rPr>
      </w:pPr>
      <w:hyperlink r:id="rId13" w:tgtFrame="_blank" w:history="1">
        <w:r w:rsidR="00684AD7" w:rsidRPr="006722A1">
          <w:rPr>
            <w:rStyle w:val="Hipervnculo"/>
            <w:rFonts w:ascii="Open Sans" w:hAnsi="Open Sans" w:cs="Open Sans"/>
            <w:b/>
            <w:bCs/>
            <w:sz w:val="21"/>
            <w:szCs w:val="21"/>
          </w:rPr>
          <w:t>Fotocasa</w:t>
        </w:r>
      </w:hyperlink>
      <w:r w:rsidR="00684AD7" w:rsidRPr="006722A1">
        <w:rPr>
          <w:rFonts w:ascii="Open Sans" w:hAnsi="Open Sans" w:cs="Open Sans"/>
          <w:color w:val="000000"/>
          <w:sz w:val="21"/>
          <w:szCs w:val="21"/>
        </w:rPr>
        <w:t> pertenece a </w:t>
      </w:r>
      <w:hyperlink r:id="rId14" w:tgtFrame="_blank" w:history="1">
        <w:r w:rsidR="00684AD7" w:rsidRPr="006722A1">
          <w:rPr>
            <w:rStyle w:val="Hipervnculo"/>
            <w:rFonts w:ascii="Open Sans" w:hAnsi="Open Sans" w:cs="Open Sans"/>
            <w:sz w:val="21"/>
            <w:szCs w:val="21"/>
          </w:rPr>
          <w:t>Adevinta</w:t>
        </w:r>
      </w:hyperlink>
      <w:r w:rsidR="00684AD7" w:rsidRPr="006722A1">
        <w:rPr>
          <w:rFonts w:ascii="Open Sans" w:hAnsi="Open Sans" w:cs="Open Sans"/>
          <w:color w:val="000000"/>
          <w:sz w:val="21"/>
          <w:szCs w:val="21"/>
        </w:rPr>
        <w:t xml:space="preserve">, una empresa 100% especializada en </w:t>
      </w:r>
      <w:r w:rsidR="00EF6946" w:rsidRPr="006722A1">
        <w:rPr>
          <w:rFonts w:ascii="Open Sans" w:hAnsi="Open Sans" w:cs="Open Sans"/>
          <w:color w:val="000000"/>
          <w:sz w:val="21"/>
          <w:szCs w:val="21"/>
        </w:rPr>
        <w:t>Marketplace</w:t>
      </w:r>
      <w:r w:rsidR="00684AD7" w:rsidRPr="006722A1">
        <w:rPr>
          <w:rFonts w:ascii="Open Sans" w:hAnsi="Open Sans" w:cs="Open Sans"/>
          <w:color w:val="000000"/>
          <w:sz w:val="21"/>
          <w:szCs w:val="21"/>
        </w:rPr>
        <w:t xml:space="preserve"> digitales y el único “pure player” del sector a nivel mundial. Con presencia en 16 países de Europa, </w:t>
      </w:r>
      <w:r w:rsidR="00684AD7">
        <w:rPr>
          <w:rFonts w:ascii="Open Sans" w:hAnsi="Open Sans" w:cs="Open Sans"/>
          <w:color w:val="000000"/>
          <w:sz w:val="21"/>
          <w:szCs w:val="21"/>
        </w:rPr>
        <w:t>A</w:t>
      </w:r>
      <w:r w:rsidR="00684AD7" w:rsidRPr="006722A1">
        <w:rPr>
          <w:rFonts w:ascii="Open Sans" w:hAnsi="Open Sans" w:cs="Open Sans"/>
          <w:color w:val="000000"/>
          <w:sz w:val="21"/>
          <w:szCs w:val="21"/>
        </w:rPr>
        <w:t>mérica Latina y África del Norte, el conjunto de sus plataformas locales recibe un promedio de 1.500 millones de visitas cada mes.</w:t>
      </w:r>
    </w:p>
    <w:p w14:paraId="4EB11ADB" w14:textId="77777777"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t>En España, </w:t>
      </w:r>
      <w:hyperlink r:id="rId15" w:tgtFrame="_blank" w:history="1">
        <w:r w:rsidRPr="006722A1">
          <w:rPr>
            <w:rStyle w:val="Hipervnculo"/>
            <w:rFonts w:ascii="Open Sans" w:hAnsi="Open Sans" w:cs="Open Sans"/>
            <w:sz w:val="21"/>
            <w:szCs w:val="21"/>
          </w:rPr>
          <w:t>Adevinta</w:t>
        </w:r>
      </w:hyperlink>
      <w:r w:rsidRPr="006722A1">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6"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hyperlink r:id="rId17" w:tgtFrame="_blank" w:history="1">
        <w:r w:rsidRPr="006722A1">
          <w:rPr>
            <w:rStyle w:val="Hipervnculo"/>
            <w:rFonts w:ascii="Open Sans" w:hAnsi="Open Sans" w:cs="Open Sans"/>
            <w:sz w:val="21"/>
            <w:szCs w:val="21"/>
          </w:rPr>
          <w:t>habitaclia</w:t>
        </w:r>
      </w:hyperlink>
      <w:r w:rsidRPr="006722A1">
        <w:rPr>
          <w:rFonts w:ascii="Open Sans" w:hAnsi="Open Sans" w:cs="Open Sans"/>
          <w:color w:val="000000"/>
          <w:sz w:val="21"/>
          <w:szCs w:val="21"/>
        </w:rPr>
        <w:t>), empleo (</w:t>
      </w:r>
      <w:hyperlink r:id="rId18"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9"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0"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hyperlink r:id="rId21" w:tgtFrame="_blank" w:history="1">
        <w:r w:rsidRPr="006722A1">
          <w:rPr>
            <w:rStyle w:val="Hipervnculo"/>
            <w:rFonts w:ascii="Open Sans" w:hAnsi="Open Sans" w:cs="Open Sans"/>
            <w:sz w:val="21"/>
            <w:szCs w:val="21"/>
          </w:rPr>
          <w:t>Milanuncios</w:t>
        </w:r>
      </w:hyperlink>
      <w:r w:rsidRPr="006722A1">
        <w:rPr>
          <w:rFonts w:ascii="Open Sans" w:hAnsi="Open Sans" w:cs="Open Sans"/>
          <w:color w:val="000000"/>
          <w:sz w:val="21"/>
          <w:szCs w:val="21"/>
        </w:rPr>
        <w:t> y </w:t>
      </w:r>
      <w:hyperlink r:id="rId22" w:tgtFrame="_blank" w:history="1">
        <w:r w:rsidRPr="006722A1">
          <w:rPr>
            <w:rStyle w:val="Hipervnculo"/>
            <w:rFonts w:ascii="Open Sans" w:hAnsi="Open Sans" w:cs="Open Sans"/>
            <w:sz w:val="21"/>
            <w:szCs w:val="21"/>
          </w:rPr>
          <w:t>vibbo</w:t>
        </w:r>
      </w:hyperlink>
      <w:r w:rsidRPr="006722A1">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7B602017"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p>
    <w:p w14:paraId="7AC3EE2F" w14:textId="77777777" w:rsidR="0056052D" w:rsidRDefault="0056052D" w:rsidP="002C7B33">
      <w:pPr>
        <w:spacing w:line="276" w:lineRule="auto"/>
        <w:jc w:val="right"/>
        <w:rPr>
          <w:rFonts w:ascii="Open Sans Light" w:hAnsi="Open Sans Light" w:cs="Open Sans Light"/>
          <w:b/>
          <w:iCs/>
          <w:color w:val="303AB2"/>
          <w:szCs w:val="20"/>
          <w:lang w:val="es-ES"/>
        </w:rPr>
      </w:pPr>
    </w:p>
    <w:p w14:paraId="31BC1F12" w14:textId="51A67ADA" w:rsidR="00684AD7" w:rsidRPr="00B41A97" w:rsidRDefault="00684AD7" w:rsidP="002C7B33">
      <w:pPr>
        <w:spacing w:line="276" w:lineRule="auto"/>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900D42D"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408B7609"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bookmarkStart w:id="1" w:name="_GoBack"/>
      <w:bookmarkEnd w:id="1"/>
      <w:r w:rsidRPr="00B41A97">
        <w:rPr>
          <w:rFonts w:ascii="Open Sans" w:hAnsi="Open Sans" w:cs="Open Sans"/>
          <w:color w:val="000000"/>
          <w:sz w:val="21"/>
          <w:szCs w:val="21"/>
        </w:rPr>
        <w:t>Móvil: 620 66 29 26</w:t>
      </w:r>
    </w:p>
    <w:p w14:paraId="413C1D79" w14:textId="77777777" w:rsidR="00684AD7" w:rsidRPr="00B41A97" w:rsidRDefault="00732D16"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hyperlink r:id="rId23" w:history="1">
        <w:r w:rsidR="00684AD7" w:rsidRPr="00B41A97">
          <w:rPr>
            <w:rStyle w:val="Hipervnculo"/>
            <w:rFonts w:ascii="Open Sans" w:hAnsi="Open Sans" w:cs="Open Sans"/>
            <w:sz w:val="21"/>
            <w:szCs w:val="21"/>
          </w:rPr>
          <w:t>comunicacion@fotocasa.es</w:t>
        </w:r>
      </w:hyperlink>
    </w:p>
    <w:p w14:paraId="3A437B81" w14:textId="77777777" w:rsidR="00684AD7" w:rsidRPr="00B41A97" w:rsidRDefault="00732D16"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hyperlink r:id="rId24" w:history="1">
        <w:r w:rsidR="00684AD7" w:rsidRPr="00B41A97">
          <w:rPr>
            <w:rStyle w:val="Hipervnculo"/>
            <w:rFonts w:ascii="Open Sans" w:hAnsi="Open Sans" w:cs="Open Sans"/>
            <w:sz w:val="21"/>
            <w:szCs w:val="21"/>
          </w:rPr>
          <w:t>http://prensa.fotocasa.es</w:t>
        </w:r>
      </w:hyperlink>
    </w:p>
    <w:p w14:paraId="49E5E7D1" w14:textId="77777777" w:rsidR="00684AD7" w:rsidRPr="00010ECE"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r w:rsidRPr="00B41A97">
        <w:rPr>
          <w:rFonts w:ascii="Open Sans" w:hAnsi="Open Sans" w:cs="Open Sans"/>
          <w:color w:val="000000"/>
          <w:sz w:val="21"/>
          <w:szCs w:val="21"/>
        </w:rPr>
        <w:t>twitter: @fotocasa</w:t>
      </w:r>
    </w:p>
    <w:p w14:paraId="13FB229B" w14:textId="77777777" w:rsidR="00684AD7" w:rsidRDefault="00684AD7" w:rsidP="002C7B33">
      <w:pPr>
        <w:pStyle w:val="NormalWeb"/>
        <w:shd w:val="clear" w:color="auto" w:fill="FFFFFF"/>
        <w:spacing w:before="0" w:beforeAutospacing="0" w:after="0" w:afterAutospacing="0" w:line="276" w:lineRule="auto"/>
        <w:jc w:val="both"/>
      </w:pPr>
    </w:p>
    <w:p w14:paraId="24058EDB" w14:textId="68466DDC" w:rsidR="00B41A97" w:rsidRPr="00010ECE" w:rsidRDefault="00B41A97" w:rsidP="002C7B33">
      <w:pPr>
        <w:spacing w:line="276" w:lineRule="auto"/>
        <w:jc w:val="right"/>
        <w:rPr>
          <w:rFonts w:ascii="Open Sans" w:hAnsi="Open Sans" w:cs="Open Sans"/>
          <w:color w:val="000000"/>
          <w:sz w:val="21"/>
          <w:szCs w:val="21"/>
        </w:rPr>
      </w:pPr>
    </w:p>
    <w:sectPr w:rsidR="00B41A97" w:rsidRPr="00010ECE" w:rsidSect="002C7B33">
      <w:footerReference w:type="default" r:id="rId25"/>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363C" w14:textId="77777777" w:rsidR="006D4203" w:rsidRDefault="006D4203" w:rsidP="00DD4CA4">
      <w:r>
        <w:separator/>
      </w:r>
    </w:p>
  </w:endnote>
  <w:endnote w:type="continuationSeparator" w:id="0">
    <w:p w14:paraId="0DB0A71E" w14:textId="77777777" w:rsidR="006D4203" w:rsidRDefault="006D4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297D" w14:textId="77777777" w:rsidR="00732D16" w:rsidRDefault="00732D16">
    <w:pPr>
      <w:pStyle w:val="Piedepgina"/>
    </w:pPr>
    <w:r>
      <w:rPr>
        <w:rFonts w:ascii="Open Sans" w:hAnsi="Open Sans" w:cs="Open Sans"/>
        <w:noProof/>
        <w:color w:val="000000"/>
        <w:sz w:val="21"/>
        <w:szCs w:val="21"/>
        <w:lang w:val="es-ES" w:eastAsia="es-ES" w:bidi="ks-Deva"/>
      </w:rPr>
      <w:drawing>
        <wp:anchor distT="0" distB="0" distL="114300" distR="114300" simplePos="0" relativeHeight="251657216" behindDoc="1" locked="0" layoutInCell="1" allowOverlap="1" wp14:anchorId="10E5C362" wp14:editId="59853308">
          <wp:simplePos x="0" y="0"/>
          <wp:positionH relativeFrom="column">
            <wp:posOffset>-1068070</wp:posOffset>
          </wp:positionH>
          <wp:positionV relativeFrom="paragraph">
            <wp:posOffset>174608</wp:posOffset>
          </wp:positionV>
          <wp:extent cx="7670550" cy="45131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944A" w14:textId="77777777" w:rsidR="006D4203" w:rsidRDefault="006D4203" w:rsidP="00DD4CA4">
      <w:r>
        <w:separator/>
      </w:r>
    </w:p>
  </w:footnote>
  <w:footnote w:type="continuationSeparator" w:id="0">
    <w:p w14:paraId="7FEC27E4" w14:textId="77777777" w:rsidR="006D4203" w:rsidRDefault="006D4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DA0EF850"/>
    <w:lvl w:ilvl="0" w:tplc="E05E34D0">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378B8"/>
    <w:rsid w:val="00056D6F"/>
    <w:rsid w:val="00066953"/>
    <w:rsid w:val="00073C61"/>
    <w:rsid w:val="00076CD0"/>
    <w:rsid w:val="00082A08"/>
    <w:rsid w:val="00086538"/>
    <w:rsid w:val="000B63D3"/>
    <w:rsid w:val="000C0C90"/>
    <w:rsid w:val="000D128D"/>
    <w:rsid w:val="000D3756"/>
    <w:rsid w:val="000E203B"/>
    <w:rsid w:val="000E3988"/>
    <w:rsid w:val="000E6D86"/>
    <w:rsid w:val="000F48F6"/>
    <w:rsid w:val="000F6589"/>
    <w:rsid w:val="00113DA0"/>
    <w:rsid w:val="00122596"/>
    <w:rsid w:val="00127E3F"/>
    <w:rsid w:val="00131611"/>
    <w:rsid w:val="00132773"/>
    <w:rsid w:val="00136E6D"/>
    <w:rsid w:val="001454FC"/>
    <w:rsid w:val="00152FC9"/>
    <w:rsid w:val="00156927"/>
    <w:rsid w:val="00161FF5"/>
    <w:rsid w:val="00177F34"/>
    <w:rsid w:val="00185B69"/>
    <w:rsid w:val="0018778E"/>
    <w:rsid w:val="00193D3E"/>
    <w:rsid w:val="00197D6A"/>
    <w:rsid w:val="001B0D22"/>
    <w:rsid w:val="001E66E5"/>
    <w:rsid w:val="001F1881"/>
    <w:rsid w:val="00204DBA"/>
    <w:rsid w:val="00206D80"/>
    <w:rsid w:val="00233A7F"/>
    <w:rsid w:val="00247090"/>
    <w:rsid w:val="0025153F"/>
    <w:rsid w:val="00254715"/>
    <w:rsid w:val="00254E1C"/>
    <w:rsid w:val="00263488"/>
    <w:rsid w:val="002646E8"/>
    <w:rsid w:val="00276F57"/>
    <w:rsid w:val="0028521F"/>
    <w:rsid w:val="00294EA8"/>
    <w:rsid w:val="002A1E8E"/>
    <w:rsid w:val="002A35C0"/>
    <w:rsid w:val="002A63B8"/>
    <w:rsid w:val="002B6931"/>
    <w:rsid w:val="002C7B33"/>
    <w:rsid w:val="002F0DBD"/>
    <w:rsid w:val="0031003E"/>
    <w:rsid w:val="00323525"/>
    <w:rsid w:val="003236DA"/>
    <w:rsid w:val="00325EA8"/>
    <w:rsid w:val="003424A0"/>
    <w:rsid w:val="00351878"/>
    <w:rsid w:val="0035740F"/>
    <w:rsid w:val="0036506F"/>
    <w:rsid w:val="0039068F"/>
    <w:rsid w:val="0039111F"/>
    <w:rsid w:val="003966AF"/>
    <w:rsid w:val="003B3FA0"/>
    <w:rsid w:val="003B7640"/>
    <w:rsid w:val="003C2D34"/>
    <w:rsid w:val="003D2ED9"/>
    <w:rsid w:val="003D5C3A"/>
    <w:rsid w:val="003F2944"/>
    <w:rsid w:val="003F3FE5"/>
    <w:rsid w:val="003F4BF8"/>
    <w:rsid w:val="004335E1"/>
    <w:rsid w:val="004516E7"/>
    <w:rsid w:val="004577E7"/>
    <w:rsid w:val="00464F4A"/>
    <w:rsid w:val="00467BFA"/>
    <w:rsid w:val="0047103A"/>
    <w:rsid w:val="00472BD0"/>
    <w:rsid w:val="004775A7"/>
    <w:rsid w:val="00477BF4"/>
    <w:rsid w:val="00487E10"/>
    <w:rsid w:val="004909C1"/>
    <w:rsid w:val="004A18E0"/>
    <w:rsid w:val="004A7FAC"/>
    <w:rsid w:val="004B0DEC"/>
    <w:rsid w:val="004B5A24"/>
    <w:rsid w:val="004B72A4"/>
    <w:rsid w:val="004C305C"/>
    <w:rsid w:val="004C6E70"/>
    <w:rsid w:val="004D3A34"/>
    <w:rsid w:val="004D6C33"/>
    <w:rsid w:val="004E2C01"/>
    <w:rsid w:val="004F310E"/>
    <w:rsid w:val="00501D6B"/>
    <w:rsid w:val="005029E9"/>
    <w:rsid w:val="00503F5B"/>
    <w:rsid w:val="00517B6A"/>
    <w:rsid w:val="0052213C"/>
    <w:rsid w:val="00536CAA"/>
    <w:rsid w:val="00540CD7"/>
    <w:rsid w:val="00555343"/>
    <w:rsid w:val="0056052D"/>
    <w:rsid w:val="005664F6"/>
    <w:rsid w:val="005739B8"/>
    <w:rsid w:val="00584027"/>
    <w:rsid w:val="0059074E"/>
    <w:rsid w:val="005A4CB5"/>
    <w:rsid w:val="005A6BDE"/>
    <w:rsid w:val="005B1610"/>
    <w:rsid w:val="005D142F"/>
    <w:rsid w:val="005E723D"/>
    <w:rsid w:val="005F5713"/>
    <w:rsid w:val="005F7BFC"/>
    <w:rsid w:val="0060222B"/>
    <w:rsid w:val="006067A7"/>
    <w:rsid w:val="00610AC0"/>
    <w:rsid w:val="0063578D"/>
    <w:rsid w:val="006443B7"/>
    <w:rsid w:val="00651A15"/>
    <w:rsid w:val="0065523A"/>
    <w:rsid w:val="006722A1"/>
    <w:rsid w:val="00684AD7"/>
    <w:rsid w:val="00686035"/>
    <w:rsid w:val="00693BA0"/>
    <w:rsid w:val="006A173E"/>
    <w:rsid w:val="006B5C7A"/>
    <w:rsid w:val="006B5D54"/>
    <w:rsid w:val="006C66FE"/>
    <w:rsid w:val="006D4203"/>
    <w:rsid w:val="006D4516"/>
    <w:rsid w:val="006E2DF5"/>
    <w:rsid w:val="006E71F0"/>
    <w:rsid w:val="007027AA"/>
    <w:rsid w:val="0071448E"/>
    <w:rsid w:val="00716166"/>
    <w:rsid w:val="00732D16"/>
    <w:rsid w:val="00734DF2"/>
    <w:rsid w:val="00746945"/>
    <w:rsid w:val="00753088"/>
    <w:rsid w:val="007540B5"/>
    <w:rsid w:val="00755FA8"/>
    <w:rsid w:val="00776F95"/>
    <w:rsid w:val="00786C19"/>
    <w:rsid w:val="00793775"/>
    <w:rsid w:val="0079401C"/>
    <w:rsid w:val="007941AF"/>
    <w:rsid w:val="00795038"/>
    <w:rsid w:val="007A361B"/>
    <w:rsid w:val="007A55E0"/>
    <w:rsid w:val="007B5EFA"/>
    <w:rsid w:val="007C2087"/>
    <w:rsid w:val="007C4E1A"/>
    <w:rsid w:val="007D4055"/>
    <w:rsid w:val="007D6B10"/>
    <w:rsid w:val="007F464E"/>
    <w:rsid w:val="00803A0C"/>
    <w:rsid w:val="00815219"/>
    <w:rsid w:val="00833FBC"/>
    <w:rsid w:val="00834656"/>
    <w:rsid w:val="008431EF"/>
    <w:rsid w:val="00847524"/>
    <w:rsid w:val="00850789"/>
    <w:rsid w:val="00852B13"/>
    <w:rsid w:val="00860277"/>
    <w:rsid w:val="00860FEA"/>
    <w:rsid w:val="00863B39"/>
    <w:rsid w:val="008665A4"/>
    <w:rsid w:val="008732A0"/>
    <w:rsid w:val="008736A1"/>
    <w:rsid w:val="00882152"/>
    <w:rsid w:val="00882F87"/>
    <w:rsid w:val="00885132"/>
    <w:rsid w:val="008901C1"/>
    <w:rsid w:val="008A0A2B"/>
    <w:rsid w:val="008C19C8"/>
    <w:rsid w:val="008C5991"/>
    <w:rsid w:val="008D193E"/>
    <w:rsid w:val="008D2BF4"/>
    <w:rsid w:val="008F29C4"/>
    <w:rsid w:val="009002FC"/>
    <w:rsid w:val="009131FF"/>
    <w:rsid w:val="00913218"/>
    <w:rsid w:val="0093735E"/>
    <w:rsid w:val="009414D3"/>
    <w:rsid w:val="009454FF"/>
    <w:rsid w:val="00952FF6"/>
    <w:rsid w:val="009566F1"/>
    <w:rsid w:val="00967736"/>
    <w:rsid w:val="00972380"/>
    <w:rsid w:val="00982455"/>
    <w:rsid w:val="009A35E0"/>
    <w:rsid w:val="009B6594"/>
    <w:rsid w:val="009C081B"/>
    <w:rsid w:val="009E215D"/>
    <w:rsid w:val="009F6A15"/>
    <w:rsid w:val="00A03A74"/>
    <w:rsid w:val="00A045ED"/>
    <w:rsid w:val="00A07E2C"/>
    <w:rsid w:val="00A15E65"/>
    <w:rsid w:val="00A322DC"/>
    <w:rsid w:val="00A32FA8"/>
    <w:rsid w:val="00A8169A"/>
    <w:rsid w:val="00A81883"/>
    <w:rsid w:val="00A84CA7"/>
    <w:rsid w:val="00A97AEA"/>
    <w:rsid w:val="00AD0C78"/>
    <w:rsid w:val="00AD1466"/>
    <w:rsid w:val="00AD62DD"/>
    <w:rsid w:val="00AE2D49"/>
    <w:rsid w:val="00AE518D"/>
    <w:rsid w:val="00AF03F6"/>
    <w:rsid w:val="00AF3D52"/>
    <w:rsid w:val="00AF3DCC"/>
    <w:rsid w:val="00B10769"/>
    <w:rsid w:val="00B11324"/>
    <w:rsid w:val="00B27581"/>
    <w:rsid w:val="00B41A97"/>
    <w:rsid w:val="00B773C7"/>
    <w:rsid w:val="00B863DA"/>
    <w:rsid w:val="00B8731D"/>
    <w:rsid w:val="00BA4514"/>
    <w:rsid w:val="00BA59C0"/>
    <w:rsid w:val="00BC1D19"/>
    <w:rsid w:val="00BF2D38"/>
    <w:rsid w:val="00BF58E4"/>
    <w:rsid w:val="00C32523"/>
    <w:rsid w:val="00C4502E"/>
    <w:rsid w:val="00C54981"/>
    <w:rsid w:val="00C6302C"/>
    <w:rsid w:val="00C73CB5"/>
    <w:rsid w:val="00C774D9"/>
    <w:rsid w:val="00C818B8"/>
    <w:rsid w:val="00CB52C2"/>
    <w:rsid w:val="00CB5F8A"/>
    <w:rsid w:val="00CC17ED"/>
    <w:rsid w:val="00CE64B5"/>
    <w:rsid w:val="00CF0A9F"/>
    <w:rsid w:val="00CF20AE"/>
    <w:rsid w:val="00D03EDB"/>
    <w:rsid w:val="00D04388"/>
    <w:rsid w:val="00D05064"/>
    <w:rsid w:val="00D147F2"/>
    <w:rsid w:val="00D15EC8"/>
    <w:rsid w:val="00D177B7"/>
    <w:rsid w:val="00D249B7"/>
    <w:rsid w:val="00D31A57"/>
    <w:rsid w:val="00D3495E"/>
    <w:rsid w:val="00D43BCD"/>
    <w:rsid w:val="00D4590A"/>
    <w:rsid w:val="00D463F3"/>
    <w:rsid w:val="00D57583"/>
    <w:rsid w:val="00D63321"/>
    <w:rsid w:val="00D847AA"/>
    <w:rsid w:val="00D91C64"/>
    <w:rsid w:val="00DA1DFB"/>
    <w:rsid w:val="00DC7AC3"/>
    <w:rsid w:val="00DD133A"/>
    <w:rsid w:val="00DD4CA4"/>
    <w:rsid w:val="00DE0DCE"/>
    <w:rsid w:val="00DE1605"/>
    <w:rsid w:val="00DF1C50"/>
    <w:rsid w:val="00E064C2"/>
    <w:rsid w:val="00E157B6"/>
    <w:rsid w:val="00E22D4A"/>
    <w:rsid w:val="00E27391"/>
    <w:rsid w:val="00E40AF9"/>
    <w:rsid w:val="00E4654D"/>
    <w:rsid w:val="00E50BA6"/>
    <w:rsid w:val="00E62DE7"/>
    <w:rsid w:val="00E80205"/>
    <w:rsid w:val="00E84E66"/>
    <w:rsid w:val="00E9520C"/>
    <w:rsid w:val="00EA0F49"/>
    <w:rsid w:val="00EA7682"/>
    <w:rsid w:val="00ED6CFA"/>
    <w:rsid w:val="00EE57DC"/>
    <w:rsid w:val="00EF6946"/>
    <w:rsid w:val="00F03EB1"/>
    <w:rsid w:val="00F23A6E"/>
    <w:rsid w:val="00F322E6"/>
    <w:rsid w:val="00F370DE"/>
    <w:rsid w:val="00F469EB"/>
    <w:rsid w:val="00F62446"/>
    <w:rsid w:val="00F63BCC"/>
    <w:rsid w:val="00F6692D"/>
    <w:rsid w:val="00F708B0"/>
    <w:rsid w:val="00F71755"/>
    <w:rsid w:val="00F872D7"/>
    <w:rsid w:val="00F92401"/>
    <w:rsid w:val="00F936D0"/>
    <w:rsid w:val="00FA654A"/>
    <w:rsid w:val="00FB5607"/>
    <w:rsid w:val="00FC4BCC"/>
    <w:rsid w:val="00FD5086"/>
    <w:rsid w:val="00FE2D1C"/>
    <w:rsid w:val="00FE40AF"/>
    <w:rsid w:val="00FE562F"/>
    <w:rsid w:val="00FE6715"/>
    <w:rsid w:val="00FE75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08DB"/>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32996044">
      <w:bodyDiv w:val="1"/>
      <w:marLeft w:val="0"/>
      <w:marRight w:val="0"/>
      <w:marTop w:val="0"/>
      <w:marBottom w:val="0"/>
      <w:divBdr>
        <w:top w:val="none" w:sz="0" w:space="0" w:color="auto"/>
        <w:left w:val="none" w:sz="0" w:space="0" w:color="auto"/>
        <w:bottom w:val="none" w:sz="0" w:space="0" w:color="auto"/>
        <w:right w:val="none" w:sz="0" w:space="0" w:color="auto"/>
      </w:divBdr>
    </w:div>
    <w:div w:id="370960478">
      <w:bodyDiv w:val="1"/>
      <w:marLeft w:val="0"/>
      <w:marRight w:val="0"/>
      <w:marTop w:val="0"/>
      <w:marBottom w:val="0"/>
      <w:divBdr>
        <w:top w:val="none" w:sz="0" w:space="0" w:color="auto"/>
        <w:left w:val="none" w:sz="0" w:space="0" w:color="auto"/>
        <w:bottom w:val="none" w:sz="0" w:space="0" w:color="auto"/>
        <w:right w:val="none" w:sz="0" w:space="0" w:color="auto"/>
      </w:divBdr>
    </w:div>
    <w:div w:id="415133547">
      <w:bodyDiv w:val="1"/>
      <w:marLeft w:val="0"/>
      <w:marRight w:val="0"/>
      <w:marTop w:val="0"/>
      <w:marBottom w:val="0"/>
      <w:divBdr>
        <w:top w:val="none" w:sz="0" w:space="0" w:color="auto"/>
        <w:left w:val="none" w:sz="0" w:space="0" w:color="auto"/>
        <w:bottom w:val="none" w:sz="0" w:space="0" w:color="auto"/>
        <w:right w:val="none" w:sz="0" w:space="0" w:color="auto"/>
      </w:divBdr>
    </w:div>
    <w:div w:id="704597378">
      <w:bodyDiv w:val="1"/>
      <w:marLeft w:val="0"/>
      <w:marRight w:val="0"/>
      <w:marTop w:val="0"/>
      <w:marBottom w:val="0"/>
      <w:divBdr>
        <w:top w:val="none" w:sz="0" w:space="0" w:color="auto"/>
        <w:left w:val="none" w:sz="0" w:space="0" w:color="auto"/>
        <w:bottom w:val="none" w:sz="0" w:space="0" w:color="auto"/>
        <w:right w:val="none" w:sz="0" w:space="0" w:color="auto"/>
      </w:divBdr>
    </w:div>
    <w:div w:id="875235351">
      <w:bodyDiv w:val="1"/>
      <w:marLeft w:val="0"/>
      <w:marRight w:val="0"/>
      <w:marTop w:val="0"/>
      <w:marBottom w:val="0"/>
      <w:divBdr>
        <w:top w:val="none" w:sz="0" w:space="0" w:color="auto"/>
        <w:left w:val="none" w:sz="0" w:space="0" w:color="auto"/>
        <w:bottom w:val="none" w:sz="0" w:space="0" w:color="auto"/>
        <w:right w:val="none" w:sz="0" w:space="0" w:color="auto"/>
      </w:divBdr>
    </w:div>
    <w:div w:id="1218543115">
      <w:bodyDiv w:val="1"/>
      <w:marLeft w:val="0"/>
      <w:marRight w:val="0"/>
      <w:marTop w:val="0"/>
      <w:marBottom w:val="0"/>
      <w:divBdr>
        <w:top w:val="none" w:sz="0" w:space="0" w:color="auto"/>
        <w:left w:val="none" w:sz="0" w:space="0" w:color="auto"/>
        <w:bottom w:val="none" w:sz="0" w:space="0" w:color="auto"/>
        <w:right w:val="none" w:sz="0" w:space="0" w:color="auto"/>
      </w:divBdr>
      <w:divsChild>
        <w:div w:id="1183014168">
          <w:marLeft w:val="0"/>
          <w:marRight w:val="0"/>
          <w:marTop w:val="0"/>
          <w:marBottom w:val="0"/>
          <w:divBdr>
            <w:top w:val="none" w:sz="0" w:space="0" w:color="auto"/>
            <w:left w:val="none" w:sz="0" w:space="0" w:color="auto"/>
            <w:bottom w:val="none" w:sz="0" w:space="0" w:color="auto"/>
            <w:right w:val="none" w:sz="0" w:space="0" w:color="auto"/>
          </w:divBdr>
        </w:div>
      </w:divsChild>
    </w:div>
    <w:div w:id="1460953946">
      <w:bodyDiv w:val="1"/>
      <w:marLeft w:val="0"/>
      <w:marRight w:val="0"/>
      <w:marTop w:val="0"/>
      <w:marBottom w:val="0"/>
      <w:divBdr>
        <w:top w:val="none" w:sz="0" w:space="0" w:color="auto"/>
        <w:left w:val="none" w:sz="0" w:space="0" w:color="auto"/>
        <w:bottom w:val="none" w:sz="0" w:space="0" w:color="auto"/>
        <w:right w:val="none" w:sz="0" w:space="0" w:color="auto"/>
      </w:divBdr>
    </w:div>
    <w:div w:id="1493447741">
      <w:bodyDiv w:val="1"/>
      <w:marLeft w:val="0"/>
      <w:marRight w:val="0"/>
      <w:marTop w:val="0"/>
      <w:marBottom w:val="0"/>
      <w:divBdr>
        <w:top w:val="none" w:sz="0" w:space="0" w:color="auto"/>
        <w:left w:val="none" w:sz="0" w:space="0" w:color="auto"/>
        <w:bottom w:val="none" w:sz="0" w:space="0" w:color="auto"/>
        <w:right w:val="none" w:sz="0" w:space="0" w:color="auto"/>
      </w:divBdr>
    </w:div>
    <w:div w:id="1508978615">
      <w:bodyDiv w:val="1"/>
      <w:marLeft w:val="0"/>
      <w:marRight w:val="0"/>
      <w:marTop w:val="0"/>
      <w:marBottom w:val="0"/>
      <w:divBdr>
        <w:top w:val="none" w:sz="0" w:space="0" w:color="auto"/>
        <w:left w:val="none" w:sz="0" w:space="0" w:color="auto"/>
        <w:bottom w:val="none" w:sz="0" w:space="0" w:color="auto"/>
        <w:right w:val="none" w:sz="0" w:space="0" w:color="auto"/>
      </w:divBdr>
    </w:div>
    <w:div w:id="1544706675">
      <w:bodyDiv w:val="1"/>
      <w:marLeft w:val="0"/>
      <w:marRight w:val="0"/>
      <w:marTop w:val="0"/>
      <w:marBottom w:val="0"/>
      <w:divBdr>
        <w:top w:val="none" w:sz="0" w:space="0" w:color="auto"/>
        <w:left w:val="none" w:sz="0" w:space="0" w:color="auto"/>
        <w:bottom w:val="none" w:sz="0" w:space="0" w:color="auto"/>
        <w:right w:val="none" w:sz="0" w:space="0" w:color="auto"/>
      </w:divBdr>
    </w:div>
    <w:div w:id="1631932813">
      <w:bodyDiv w:val="1"/>
      <w:marLeft w:val="0"/>
      <w:marRight w:val="0"/>
      <w:marTop w:val="0"/>
      <w:marBottom w:val="0"/>
      <w:divBdr>
        <w:top w:val="none" w:sz="0" w:space="0" w:color="auto"/>
        <w:left w:val="none" w:sz="0" w:space="0" w:color="auto"/>
        <w:bottom w:val="none" w:sz="0" w:space="0" w:color="auto"/>
        <w:right w:val="none" w:sz="0" w:space="0" w:color="auto"/>
      </w:divBdr>
    </w:div>
    <w:div w:id="1633247915">
      <w:bodyDiv w:val="1"/>
      <w:marLeft w:val="0"/>
      <w:marRight w:val="0"/>
      <w:marTop w:val="0"/>
      <w:marBottom w:val="0"/>
      <w:divBdr>
        <w:top w:val="none" w:sz="0" w:space="0" w:color="auto"/>
        <w:left w:val="none" w:sz="0" w:space="0" w:color="auto"/>
        <w:bottom w:val="none" w:sz="0" w:space="0" w:color="auto"/>
        <w:right w:val="none" w:sz="0" w:space="0" w:color="auto"/>
      </w:divBdr>
    </w:div>
    <w:div w:id="1691178651">
      <w:bodyDiv w:val="1"/>
      <w:marLeft w:val="0"/>
      <w:marRight w:val="0"/>
      <w:marTop w:val="0"/>
      <w:marBottom w:val="0"/>
      <w:divBdr>
        <w:top w:val="none" w:sz="0" w:space="0" w:color="auto"/>
        <w:left w:val="none" w:sz="0" w:space="0" w:color="auto"/>
        <w:bottom w:val="none" w:sz="0" w:space="0" w:color="auto"/>
        <w:right w:val="none" w:sz="0" w:space="0" w:color="auto"/>
      </w:divBdr>
    </w:div>
    <w:div w:id="187780974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30042113">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094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lanuncios.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file:///\\servidor\Users\Techsales%20Comunicaci&#243;n\CLIENTES\Fotocasa\fotocasa%202018\NP%20&#205;NDICES\10%20Ndp%20&#237;ndices%20Octubre\Venta%20Octubre%202018\comunicacion@fotocasa.es" TargetMode="External"/><Relationship Id="rId10" Type="http://schemas.openxmlformats.org/officeDocument/2006/relationships/hyperlink" Target="https://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adevinta.com/" TargetMode="External"/><Relationship Id="rId22" Type="http://schemas.openxmlformats.org/officeDocument/2006/relationships/hyperlink" Target="https://www.vibbo.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52B0-387E-45C2-A79D-5E07DFB1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2348</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30</cp:revision>
  <dcterms:created xsi:type="dcterms:W3CDTF">2020-01-28T09:06:00Z</dcterms:created>
  <dcterms:modified xsi:type="dcterms:W3CDTF">2020-03-02T09:02:00Z</dcterms:modified>
</cp:coreProperties>
</file>