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6A13" w14:textId="77777777" w:rsidR="00A84CA7" w:rsidRDefault="00A84CA7" w:rsidP="00753088">
      <w:pPr>
        <w:ind w:right="-574"/>
      </w:pPr>
      <w:bookmarkStart w:id="0" w:name="_Hlk1467840"/>
      <w:bookmarkEnd w:id="0"/>
      <w:r>
        <w:rPr>
          <w:rFonts w:ascii="National" w:hAnsi="National"/>
          <w:noProof/>
          <w:color w:val="303AB2"/>
          <w:sz w:val="36"/>
          <w:szCs w:val="36"/>
          <w:lang w:val="es-ES" w:eastAsia="es-ES" w:bidi="ks-Deva"/>
        </w:rPr>
        <w:drawing>
          <wp:anchor distT="0" distB="0" distL="114300" distR="114300" simplePos="0" relativeHeight="251653120" behindDoc="0" locked="0" layoutInCell="1" allowOverlap="1" wp14:anchorId="69A99328" wp14:editId="74E89E0B">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195C2EAD" w14:textId="77777777" w:rsidR="002E43BB" w:rsidRDefault="002E43BB" w:rsidP="00753088">
      <w:pPr>
        <w:ind w:right="-574"/>
        <w:jc w:val="right"/>
        <w:rPr>
          <w:rFonts w:ascii="National" w:hAnsi="National"/>
          <w:color w:val="303AB2"/>
          <w:sz w:val="36"/>
          <w:szCs w:val="36"/>
        </w:rPr>
      </w:pPr>
    </w:p>
    <w:p w14:paraId="0077592D" w14:textId="77777777" w:rsidR="00A84CA7" w:rsidRDefault="00A84CA7" w:rsidP="00753088">
      <w:pPr>
        <w:ind w:right="-574"/>
        <w:jc w:val="right"/>
        <w:rPr>
          <w:rFonts w:ascii="National" w:hAnsi="National"/>
          <w:color w:val="303AB2"/>
          <w:sz w:val="36"/>
          <w:szCs w:val="36"/>
        </w:rPr>
      </w:pPr>
    </w:p>
    <w:p w14:paraId="7DA4BAE8" w14:textId="77777777" w:rsidR="00A84CA7" w:rsidRPr="00766069" w:rsidRDefault="00A84CA7" w:rsidP="00753088">
      <w:pPr>
        <w:ind w:right="-574"/>
        <w:rPr>
          <w:rFonts w:ascii="National" w:hAnsi="National"/>
          <w:color w:val="303AB2"/>
          <w:sz w:val="16"/>
          <w:szCs w:val="16"/>
        </w:rPr>
      </w:pPr>
    </w:p>
    <w:p w14:paraId="33A352E4" w14:textId="4B0E230B" w:rsidR="00753088" w:rsidRPr="000A4242" w:rsidRDefault="004F4D46" w:rsidP="00753088">
      <w:pPr>
        <w:spacing w:line="276" w:lineRule="auto"/>
        <w:ind w:right="-574"/>
        <w:jc w:val="center"/>
        <w:rPr>
          <w:rFonts w:ascii="National" w:hAnsi="National"/>
          <w:b/>
          <w:bCs/>
          <w:iCs/>
          <w:color w:val="1DBDC5"/>
          <w:sz w:val="38"/>
          <w:szCs w:val="40"/>
          <w:lang w:val="es-ES"/>
        </w:rPr>
      </w:pPr>
      <w:bookmarkStart w:id="1" w:name="_Hlk22408489"/>
      <w:r>
        <w:rPr>
          <w:rFonts w:ascii="National" w:hAnsi="National"/>
          <w:b/>
          <w:bCs/>
          <w:iCs/>
          <w:color w:val="1DBDC5"/>
          <w:sz w:val="38"/>
          <w:szCs w:val="40"/>
          <w:lang w:val="es-ES"/>
        </w:rPr>
        <w:t>ANÁLISIS RENTABILIDAD VIVIENDA</w:t>
      </w:r>
      <w:r w:rsidR="00A1628B">
        <w:rPr>
          <w:rFonts w:ascii="National" w:hAnsi="National"/>
          <w:b/>
          <w:bCs/>
          <w:iCs/>
          <w:color w:val="1DBDC5"/>
          <w:sz w:val="38"/>
          <w:szCs w:val="40"/>
          <w:lang w:val="es-ES"/>
        </w:rPr>
        <w:t xml:space="preserve"> </w:t>
      </w:r>
    </w:p>
    <w:p w14:paraId="1BAFB68B" w14:textId="0EAF9A9E" w:rsidR="00516F9C" w:rsidRPr="004F4D46" w:rsidRDefault="004F4D46" w:rsidP="00DD758B">
      <w:pPr>
        <w:ind w:right="-574"/>
        <w:jc w:val="center"/>
        <w:rPr>
          <w:rFonts w:ascii="National" w:hAnsi="National"/>
          <w:b/>
          <w:bCs/>
          <w:iCs/>
          <w:color w:val="303AB2"/>
          <w:sz w:val="46"/>
          <w:szCs w:val="56"/>
          <w:lang w:val="es-ES"/>
        </w:rPr>
      </w:pPr>
      <w:r w:rsidRPr="004F4D46">
        <w:rPr>
          <w:rFonts w:ascii="National" w:hAnsi="National"/>
          <w:b/>
          <w:bCs/>
          <w:iCs/>
          <w:color w:val="303AB2"/>
          <w:sz w:val="46"/>
          <w:szCs w:val="56"/>
          <w:lang w:val="es-ES"/>
        </w:rPr>
        <w:t xml:space="preserve">La rentabilidad de la vivienda en España se sitúa en </w:t>
      </w:r>
      <w:r w:rsidR="006F0E41">
        <w:rPr>
          <w:rFonts w:ascii="National" w:hAnsi="National"/>
          <w:b/>
          <w:bCs/>
          <w:iCs/>
          <w:color w:val="303AB2"/>
          <w:sz w:val="46"/>
          <w:szCs w:val="56"/>
          <w:lang w:val="es-ES"/>
        </w:rPr>
        <w:t xml:space="preserve">un </w:t>
      </w:r>
      <w:r w:rsidR="00DD758B">
        <w:rPr>
          <w:rFonts w:ascii="National" w:hAnsi="National"/>
          <w:b/>
          <w:bCs/>
          <w:iCs/>
          <w:color w:val="303AB2"/>
          <w:sz w:val="46"/>
          <w:szCs w:val="56"/>
          <w:lang w:val="es-ES"/>
        </w:rPr>
        <w:t>6,8</w:t>
      </w:r>
      <w:r w:rsidRPr="004F4D46">
        <w:rPr>
          <w:rFonts w:ascii="National" w:hAnsi="National"/>
          <w:b/>
          <w:bCs/>
          <w:iCs/>
          <w:color w:val="303AB2"/>
          <w:sz w:val="46"/>
          <w:szCs w:val="56"/>
          <w:lang w:val="es-ES"/>
        </w:rPr>
        <w:t xml:space="preserve">% en </w:t>
      </w:r>
      <w:r w:rsidR="00DD758B">
        <w:rPr>
          <w:rFonts w:ascii="National" w:hAnsi="National"/>
          <w:b/>
          <w:bCs/>
          <w:iCs/>
          <w:color w:val="303AB2"/>
          <w:sz w:val="46"/>
          <w:szCs w:val="56"/>
          <w:lang w:val="es-ES"/>
        </w:rPr>
        <w:t>2020</w:t>
      </w:r>
      <w:r w:rsidR="006F0E41">
        <w:rPr>
          <w:rFonts w:ascii="National" w:hAnsi="National"/>
          <w:b/>
          <w:bCs/>
          <w:iCs/>
          <w:color w:val="303AB2"/>
          <w:sz w:val="46"/>
          <w:szCs w:val="56"/>
          <w:lang w:val="es-ES"/>
        </w:rPr>
        <w:t>,</w:t>
      </w:r>
      <w:r w:rsidRPr="004F4D46">
        <w:rPr>
          <w:rFonts w:ascii="National" w:hAnsi="National"/>
          <w:b/>
          <w:bCs/>
          <w:iCs/>
          <w:color w:val="303AB2"/>
          <w:sz w:val="46"/>
          <w:szCs w:val="56"/>
          <w:lang w:val="es-ES"/>
        </w:rPr>
        <w:t xml:space="preserve"> un </w:t>
      </w:r>
      <w:r w:rsidR="00461C69">
        <w:rPr>
          <w:rFonts w:ascii="National" w:hAnsi="National"/>
          <w:b/>
          <w:bCs/>
          <w:iCs/>
          <w:color w:val="303AB2"/>
          <w:sz w:val="46"/>
          <w:szCs w:val="56"/>
          <w:lang w:val="es-ES"/>
        </w:rPr>
        <w:t>1,</w:t>
      </w:r>
      <w:r w:rsidR="002F1B74">
        <w:rPr>
          <w:rFonts w:ascii="National" w:hAnsi="National"/>
          <w:b/>
          <w:bCs/>
          <w:iCs/>
          <w:color w:val="303AB2"/>
          <w:sz w:val="46"/>
          <w:szCs w:val="56"/>
          <w:lang w:val="es-ES"/>
        </w:rPr>
        <w:t>5</w:t>
      </w:r>
      <w:r w:rsidR="00461C69">
        <w:rPr>
          <w:rFonts w:ascii="National" w:hAnsi="National"/>
          <w:b/>
          <w:bCs/>
          <w:iCs/>
          <w:color w:val="303AB2"/>
          <w:sz w:val="46"/>
          <w:szCs w:val="56"/>
          <w:lang w:val="es-ES"/>
        </w:rPr>
        <w:t xml:space="preserve"> punto</w:t>
      </w:r>
      <w:r w:rsidRPr="004F4D46">
        <w:rPr>
          <w:rFonts w:ascii="National" w:hAnsi="National"/>
          <w:b/>
          <w:bCs/>
          <w:iCs/>
          <w:color w:val="303AB2"/>
          <w:sz w:val="46"/>
          <w:szCs w:val="56"/>
          <w:lang w:val="es-ES"/>
        </w:rPr>
        <w:t xml:space="preserve"> </w:t>
      </w:r>
      <w:r w:rsidR="00FE1536">
        <w:rPr>
          <w:rFonts w:ascii="National" w:hAnsi="National"/>
          <w:b/>
          <w:bCs/>
          <w:iCs/>
          <w:color w:val="303AB2"/>
          <w:sz w:val="46"/>
          <w:szCs w:val="56"/>
          <w:lang w:val="es-ES"/>
        </w:rPr>
        <w:t>más</w:t>
      </w:r>
      <w:r w:rsidRPr="004F4D46">
        <w:rPr>
          <w:rFonts w:ascii="National" w:hAnsi="National"/>
          <w:b/>
          <w:bCs/>
          <w:iCs/>
          <w:color w:val="303AB2"/>
          <w:sz w:val="46"/>
          <w:szCs w:val="56"/>
          <w:lang w:val="es-ES"/>
        </w:rPr>
        <w:t xml:space="preserve"> que </w:t>
      </w:r>
      <w:r w:rsidR="00DD758B">
        <w:rPr>
          <w:rFonts w:ascii="National" w:hAnsi="National"/>
          <w:b/>
          <w:bCs/>
          <w:iCs/>
          <w:color w:val="303AB2"/>
          <w:sz w:val="46"/>
          <w:szCs w:val="56"/>
          <w:lang w:val="es-ES"/>
        </w:rPr>
        <w:t>hace cinco años</w:t>
      </w:r>
    </w:p>
    <w:p w14:paraId="3EFAB170" w14:textId="77777777" w:rsidR="00B85F69" w:rsidRPr="00F640A6" w:rsidRDefault="00B85F69" w:rsidP="008D2DD9">
      <w:pPr>
        <w:ind w:right="-574"/>
        <w:rPr>
          <w:rFonts w:ascii="National" w:hAnsi="National"/>
          <w:b/>
          <w:bCs/>
          <w:iCs/>
          <w:color w:val="303AB2"/>
          <w:sz w:val="16"/>
          <w:szCs w:val="16"/>
          <w:lang w:val="es-ES"/>
        </w:rPr>
      </w:pPr>
    </w:p>
    <w:p w14:paraId="3275DF58" w14:textId="034A83B0" w:rsidR="004F4D46" w:rsidRPr="008C51E0" w:rsidRDefault="00DD758B"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sidRPr="008C51E0">
        <w:rPr>
          <w:rFonts w:ascii="Open Sans" w:eastAsia="Times New Roman" w:hAnsi="Open Sans" w:cs="Open Sans"/>
          <w:color w:val="000000"/>
          <w:lang w:val="es-ES" w:eastAsia="es-ES_tradnl"/>
        </w:rPr>
        <w:t>La</w:t>
      </w:r>
      <w:r w:rsidR="004F4D46" w:rsidRPr="008C51E0">
        <w:rPr>
          <w:rFonts w:ascii="Open Sans" w:eastAsia="Times New Roman" w:hAnsi="Open Sans" w:cs="Open Sans"/>
          <w:color w:val="000000"/>
          <w:lang w:val="es-ES" w:eastAsia="es-ES_tradnl"/>
        </w:rPr>
        <w:t xml:space="preserve"> rentabilidad de la vivienda en España </w:t>
      </w:r>
      <w:r w:rsidRPr="008C51E0">
        <w:rPr>
          <w:rFonts w:ascii="Open Sans" w:eastAsia="Times New Roman" w:hAnsi="Open Sans" w:cs="Open Sans"/>
          <w:color w:val="000000"/>
          <w:lang w:val="es-ES" w:eastAsia="es-ES_tradnl"/>
        </w:rPr>
        <w:t>pa</w:t>
      </w:r>
      <w:r w:rsidR="006F0E41" w:rsidRPr="008C51E0">
        <w:rPr>
          <w:rFonts w:ascii="Open Sans" w:eastAsia="Times New Roman" w:hAnsi="Open Sans" w:cs="Open Sans"/>
          <w:color w:val="000000"/>
          <w:lang w:val="es-ES" w:eastAsia="es-ES_tradnl"/>
        </w:rPr>
        <w:t>sa</w:t>
      </w:r>
      <w:r w:rsidRPr="008C51E0">
        <w:rPr>
          <w:rFonts w:ascii="Open Sans" w:eastAsia="Times New Roman" w:hAnsi="Open Sans" w:cs="Open Sans"/>
          <w:color w:val="000000"/>
          <w:lang w:val="es-ES" w:eastAsia="es-ES_tradnl"/>
        </w:rPr>
        <w:t xml:space="preserve"> del </w:t>
      </w:r>
      <w:r w:rsidR="002F1B74" w:rsidRPr="008C51E0">
        <w:rPr>
          <w:rFonts w:ascii="Open Sans" w:eastAsia="Times New Roman" w:hAnsi="Open Sans" w:cs="Open Sans"/>
          <w:color w:val="000000"/>
          <w:lang w:val="es-ES" w:eastAsia="es-ES_tradnl"/>
        </w:rPr>
        <w:t>6,6</w:t>
      </w:r>
      <w:r w:rsidRPr="008C51E0">
        <w:rPr>
          <w:rFonts w:ascii="Open Sans" w:eastAsia="Times New Roman" w:hAnsi="Open Sans" w:cs="Open Sans"/>
          <w:color w:val="000000"/>
          <w:lang w:val="es-ES" w:eastAsia="es-ES_tradnl"/>
        </w:rPr>
        <w:t xml:space="preserve">% registrado en 2019 al 6,8% registrado en 2020 </w:t>
      </w:r>
    </w:p>
    <w:p w14:paraId="6F05FBA6" w14:textId="6EA8ACB1" w:rsidR="004F4D46" w:rsidRPr="008C51E0" w:rsidRDefault="009843CD" w:rsidP="00287080">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Pr>
          <w:rFonts w:ascii="Open Sans" w:eastAsia="Times New Roman" w:hAnsi="Open Sans" w:cs="Open Sans"/>
          <w:color w:val="000000"/>
          <w:lang w:val="es-ES" w:eastAsia="es-ES_tradnl"/>
        </w:rPr>
        <w:t xml:space="preserve">La Comunidad de Navarra pasa de ser la menos rentable (2008) a ser la más rentable en 2020 </w:t>
      </w:r>
    </w:p>
    <w:p w14:paraId="5393F07C" w14:textId="3915C625" w:rsidR="004F4D46" w:rsidRPr="008C51E0" w:rsidRDefault="00287080"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sidRPr="008C51E0">
        <w:rPr>
          <w:rFonts w:ascii="Open Sans" w:eastAsia="Times New Roman" w:hAnsi="Open Sans" w:cs="Open Sans"/>
          <w:color w:val="000000"/>
          <w:lang w:val="es-ES" w:eastAsia="es-ES_tradnl"/>
        </w:rPr>
        <w:t>Hace 10 años la rentabilidad</w:t>
      </w:r>
      <w:r w:rsidR="0014290F" w:rsidRPr="008C51E0">
        <w:rPr>
          <w:rFonts w:ascii="Open Sans" w:eastAsia="Times New Roman" w:hAnsi="Open Sans" w:cs="Open Sans"/>
          <w:color w:val="000000"/>
          <w:lang w:val="es-ES" w:eastAsia="es-ES_tradnl"/>
        </w:rPr>
        <w:t xml:space="preserve"> de la vivienda</w:t>
      </w:r>
      <w:r w:rsidRPr="008C51E0">
        <w:rPr>
          <w:rFonts w:ascii="Open Sans" w:eastAsia="Times New Roman" w:hAnsi="Open Sans" w:cs="Open Sans"/>
          <w:color w:val="000000"/>
          <w:lang w:val="es-ES" w:eastAsia="es-ES_tradnl"/>
        </w:rPr>
        <w:t xml:space="preserve"> p</w:t>
      </w:r>
      <w:r w:rsidR="0019707E" w:rsidRPr="008C51E0">
        <w:rPr>
          <w:rFonts w:ascii="Open Sans" w:eastAsia="Times New Roman" w:hAnsi="Open Sans" w:cs="Open Sans"/>
          <w:color w:val="000000"/>
          <w:lang w:val="es-ES" w:eastAsia="es-ES_tradnl"/>
        </w:rPr>
        <w:t xml:space="preserve">or </w:t>
      </w:r>
      <w:r w:rsidRPr="008C51E0">
        <w:rPr>
          <w:rFonts w:ascii="Open Sans" w:eastAsia="Times New Roman" w:hAnsi="Open Sans" w:cs="Open Sans"/>
          <w:color w:val="000000"/>
          <w:lang w:val="es-ES" w:eastAsia="es-ES_tradnl"/>
        </w:rPr>
        <w:t>capitales de provincia rozaba el 9%, mientras que en 2020 apenas supera el 7%</w:t>
      </w:r>
      <w:r w:rsidR="00F640A6" w:rsidRPr="008C51E0">
        <w:rPr>
          <w:rFonts w:ascii="Open Sans" w:eastAsia="Times New Roman" w:hAnsi="Open Sans" w:cs="Open Sans"/>
          <w:color w:val="000000"/>
          <w:lang w:val="es-ES" w:eastAsia="es-ES_tradnl"/>
        </w:rPr>
        <w:t xml:space="preserve"> </w:t>
      </w:r>
    </w:p>
    <w:p w14:paraId="6D7DB583" w14:textId="120FD3F7" w:rsidR="004F4D46" w:rsidRPr="008C51E0" w:rsidRDefault="0041117A" w:rsidP="00F640A6">
      <w:pPr>
        <w:pStyle w:val="Prrafodelista"/>
        <w:numPr>
          <w:ilvl w:val="0"/>
          <w:numId w:val="7"/>
        </w:numPr>
        <w:spacing w:line="276" w:lineRule="auto"/>
        <w:ind w:right="-574"/>
        <w:jc w:val="both"/>
        <w:rPr>
          <w:rFonts w:ascii="Open Sans" w:eastAsia="Times New Roman" w:hAnsi="Open Sans" w:cs="Open Sans"/>
          <w:color w:val="000000"/>
          <w:lang w:val="es-ES" w:eastAsia="es-ES_tradnl"/>
        </w:rPr>
      </w:pPr>
      <w:r w:rsidRPr="008C51E0">
        <w:rPr>
          <w:rFonts w:ascii="Open Sans" w:eastAsia="Times New Roman" w:hAnsi="Open Sans" w:cs="Open Sans"/>
          <w:color w:val="000000"/>
          <w:lang w:val="es-ES" w:eastAsia="es-ES_tradnl"/>
        </w:rPr>
        <w:t xml:space="preserve">Invertir en vivienda en el </w:t>
      </w:r>
      <w:r w:rsidR="001B1C65" w:rsidRPr="008C51E0">
        <w:rPr>
          <w:rFonts w:ascii="Open Sans" w:eastAsia="Times New Roman" w:hAnsi="Open Sans" w:cs="Open Sans"/>
          <w:color w:val="000000"/>
          <w:lang w:val="es-ES" w:eastAsia="es-ES_tradnl"/>
        </w:rPr>
        <w:t>barrio madrileño de</w:t>
      </w:r>
      <w:r w:rsidRPr="008C51E0">
        <w:rPr>
          <w:rFonts w:ascii="Open Sans" w:eastAsia="Times New Roman" w:hAnsi="Open Sans" w:cs="Open Sans"/>
          <w:color w:val="000000"/>
          <w:lang w:val="es-ES" w:eastAsia="es-ES_tradnl"/>
        </w:rPr>
        <w:t xml:space="preserve"> San Diego</w:t>
      </w:r>
      <w:r w:rsidR="001B1C65" w:rsidRPr="008C51E0">
        <w:rPr>
          <w:rFonts w:ascii="Open Sans" w:eastAsia="Times New Roman" w:hAnsi="Open Sans" w:cs="Open Sans"/>
          <w:color w:val="000000"/>
          <w:lang w:val="es-ES" w:eastAsia="es-ES_tradnl"/>
        </w:rPr>
        <w:t>, en el distrito de</w:t>
      </w:r>
      <w:r w:rsidRPr="008C51E0">
        <w:rPr>
          <w:rFonts w:ascii="Open Sans" w:eastAsia="Times New Roman" w:hAnsi="Open Sans" w:cs="Open Sans"/>
          <w:color w:val="000000"/>
          <w:lang w:val="es-ES" w:eastAsia="es-ES_tradnl"/>
        </w:rPr>
        <w:t xml:space="preserve"> Puente de Vallecas</w:t>
      </w:r>
      <w:r w:rsidR="001B1C65" w:rsidRPr="008C51E0">
        <w:rPr>
          <w:rFonts w:ascii="Open Sans" w:eastAsia="Times New Roman" w:hAnsi="Open Sans" w:cs="Open Sans"/>
          <w:color w:val="000000"/>
          <w:lang w:val="es-ES" w:eastAsia="es-ES_tradnl"/>
        </w:rPr>
        <w:t>,</w:t>
      </w:r>
      <w:r w:rsidRPr="008C51E0">
        <w:rPr>
          <w:rFonts w:ascii="Open Sans" w:eastAsia="Times New Roman" w:hAnsi="Open Sans" w:cs="Open Sans"/>
          <w:color w:val="000000"/>
          <w:lang w:val="es-ES" w:eastAsia="es-ES_tradnl"/>
        </w:rPr>
        <w:t xml:space="preserve"> sigue siendo lo más rentable </w:t>
      </w:r>
      <w:r w:rsidR="00C22F37" w:rsidRPr="008C51E0">
        <w:rPr>
          <w:rFonts w:ascii="Open Sans" w:eastAsia="Times New Roman" w:hAnsi="Open Sans" w:cs="Open Sans"/>
          <w:color w:val="000000"/>
          <w:lang w:val="es-ES" w:eastAsia="es-ES_tradnl"/>
        </w:rPr>
        <w:t>en</w:t>
      </w:r>
      <w:r w:rsidRPr="008C51E0">
        <w:rPr>
          <w:rFonts w:ascii="Open Sans" w:eastAsia="Times New Roman" w:hAnsi="Open Sans" w:cs="Open Sans"/>
          <w:color w:val="000000"/>
          <w:lang w:val="es-ES" w:eastAsia="es-ES_tradnl"/>
        </w:rPr>
        <w:t xml:space="preserve"> España</w:t>
      </w:r>
    </w:p>
    <w:p w14:paraId="0AA95515" w14:textId="77777777" w:rsidR="000A4242" w:rsidRPr="00766069" w:rsidRDefault="000A4242" w:rsidP="00753088">
      <w:pPr>
        <w:spacing w:line="276" w:lineRule="auto"/>
        <w:ind w:right="-574"/>
        <w:rPr>
          <w:rFonts w:ascii="Open Sans Light" w:hAnsi="Open Sans Light" w:cs="Open Sans Light"/>
          <w:b/>
          <w:iCs/>
          <w:color w:val="303AB2"/>
          <w:sz w:val="16"/>
          <w:szCs w:val="16"/>
          <w:lang w:val="es-ES"/>
        </w:rPr>
      </w:pPr>
    </w:p>
    <w:p w14:paraId="1D31CF16" w14:textId="7965935E" w:rsidR="002A35C0" w:rsidRPr="002E43BB" w:rsidRDefault="00753088" w:rsidP="00753088">
      <w:pPr>
        <w:spacing w:line="276" w:lineRule="auto"/>
        <w:ind w:right="-574"/>
        <w:rPr>
          <w:rFonts w:ascii="Open Sans Light" w:hAnsi="Open Sans Light" w:cs="Open Sans Light"/>
          <w:bCs/>
          <w:iCs/>
          <w:color w:val="303AB2"/>
          <w:szCs w:val="20"/>
          <w:lang w:val="es-ES"/>
        </w:rPr>
      </w:pPr>
      <w:r w:rsidRPr="00161485">
        <w:rPr>
          <w:rFonts w:ascii="Open Sans Light" w:hAnsi="Open Sans Light" w:cs="Open Sans Light"/>
          <w:bCs/>
          <w:iCs/>
          <w:color w:val="303AB2"/>
          <w:szCs w:val="20"/>
          <w:lang w:val="es-ES"/>
        </w:rPr>
        <w:t xml:space="preserve">Madrid, </w:t>
      </w:r>
      <w:r w:rsidR="004D7845" w:rsidRPr="00161485">
        <w:rPr>
          <w:rFonts w:ascii="Open Sans Light" w:hAnsi="Open Sans Light" w:cs="Open Sans Light"/>
          <w:bCs/>
          <w:iCs/>
          <w:color w:val="303AB2"/>
          <w:szCs w:val="20"/>
          <w:lang w:val="es-ES"/>
        </w:rPr>
        <w:t>19</w:t>
      </w:r>
      <w:r w:rsidR="001761D6" w:rsidRPr="00161485">
        <w:rPr>
          <w:rFonts w:ascii="Open Sans Light" w:hAnsi="Open Sans Light" w:cs="Open Sans Light"/>
          <w:bCs/>
          <w:iCs/>
          <w:color w:val="303AB2"/>
          <w:szCs w:val="20"/>
          <w:lang w:val="es-ES"/>
        </w:rPr>
        <w:t xml:space="preserve"> de </w:t>
      </w:r>
      <w:r w:rsidR="00161485" w:rsidRPr="00161485">
        <w:rPr>
          <w:rFonts w:ascii="Open Sans Light" w:hAnsi="Open Sans Light" w:cs="Open Sans Light"/>
          <w:bCs/>
          <w:iCs/>
          <w:color w:val="303AB2"/>
          <w:szCs w:val="20"/>
          <w:lang w:val="es-ES"/>
        </w:rPr>
        <w:t>enero</w:t>
      </w:r>
      <w:r w:rsidR="00FD6A4B" w:rsidRPr="00161485">
        <w:rPr>
          <w:rFonts w:ascii="Open Sans Light" w:hAnsi="Open Sans Light" w:cs="Open Sans Light"/>
          <w:bCs/>
          <w:iCs/>
          <w:color w:val="303AB2"/>
          <w:szCs w:val="20"/>
          <w:lang w:val="es-ES"/>
        </w:rPr>
        <w:t xml:space="preserve"> de 20</w:t>
      </w:r>
      <w:r w:rsidR="00161485" w:rsidRPr="00161485">
        <w:rPr>
          <w:rFonts w:ascii="Open Sans Light" w:hAnsi="Open Sans Light" w:cs="Open Sans Light"/>
          <w:bCs/>
          <w:iCs/>
          <w:color w:val="303AB2"/>
          <w:szCs w:val="20"/>
          <w:lang w:val="es-ES"/>
        </w:rPr>
        <w:t>21</w:t>
      </w:r>
    </w:p>
    <w:p w14:paraId="46E89E5B" w14:textId="26AAC51F" w:rsidR="004D4951" w:rsidRDefault="004F4D46" w:rsidP="004D4951">
      <w:pPr>
        <w:pStyle w:val="NormalWeb"/>
        <w:shd w:val="clear" w:color="auto" w:fill="FFFFFF"/>
        <w:spacing w:after="225" w:line="276" w:lineRule="auto"/>
        <w:ind w:right="-574"/>
        <w:jc w:val="both"/>
        <w:rPr>
          <w:rFonts w:ascii="Open Sans" w:hAnsi="Open Sans" w:cs="Open Sans"/>
          <w:color w:val="000000"/>
          <w:sz w:val="22"/>
          <w:szCs w:val="22"/>
        </w:rPr>
      </w:pPr>
      <w:r w:rsidRPr="004F4D46">
        <w:rPr>
          <w:rFonts w:ascii="Open Sans" w:hAnsi="Open Sans" w:cs="Open Sans"/>
          <w:color w:val="000000"/>
          <w:sz w:val="22"/>
          <w:szCs w:val="22"/>
        </w:rPr>
        <w:t xml:space="preserve">La rentabilidad de la vivienda en España se sitúa en un </w:t>
      </w:r>
      <w:r w:rsidR="00DD758B">
        <w:rPr>
          <w:rFonts w:ascii="Open Sans" w:hAnsi="Open Sans" w:cs="Open Sans"/>
          <w:color w:val="000000"/>
          <w:sz w:val="22"/>
          <w:szCs w:val="22"/>
        </w:rPr>
        <w:t>6,8</w:t>
      </w:r>
      <w:r w:rsidRPr="004F4D46">
        <w:rPr>
          <w:rFonts w:ascii="Open Sans" w:hAnsi="Open Sans" w:cs="Open Sans"/>
          <w:color w:val="000000"/>
          <w:sz w:val="22"/>
          <w:szCs w:val="22"/>
        </w:rPr>
        <w:t>%</w:t>
      </w:r>
      <w:r>
        <w:rPr>
          <w:rFonts w:ascii="Open Sans" w:hAnsi="Open Sans" w:cs="Open Sans"/>
          <w:color w:val="000000"/>
          <w:sz w:val="22"/>
          <w:szCs w:val="22"/>
        </w:rPr>
        <w:t xml:space="preserve">, </w:t>
      </w:r>
      <w:r w:rsidR="004D4951">
        <w:rPr>
          <w:rFonts w:ascii="Open Sans" w:hAnsi="Open Sans" w:cs="Open Sans"/>
          <w:color w:val="000000"/>
          <w:sz w:val="22"/>
          <w:szCs w:val="22"/>
        </w:rPr>
        <w:t xml:space="preserve">un </w:t>
      </w:r>
      <w:r w:rsidR="00DD758B">
        <w:rPr>
          <w:rFonts w:ascii="Open Sans" w:hAnsi="Open Sans" w:cs="Open Sans"/>
          <w:color w:val="000000"/>
          <w:sz w:val="22"/>
          <w:szCs w:val="22"/>
        </w:rPr>
        <w:t>0,</w:t>
      </w:r>
      <w:r w:rsidR="002F1B74">
        <w:rPr>
          <w:rFonts w:ascii="Open Sans" w:hAnsi="Open Sans" w:cs="Open Sans"/>
          <w:color w:val="000000"/>
          <w:sz w:val="22"/>
          <w:szCs w:val="22"/>
        </w:rPr>
        <w:t>2</w:t>
      </w:r>
      <w:r w:rsidR="004D4951">
        <w:rPr>
          <w:rFonts w:ascii="Open Sans" w:hAnsi="Open Sans" w:cs="Open Sans"/>
          <w:color w:val="000000"/>
          <w:sz w:val="22"/>
          <w:szCs w:val="22"/>
        </w:rPr>
        <w:t xml:space="preserve"> punto </w:t>
      </w:r>
      <w:r w:rsidR="00DD758B">
        <w:rPr>
          <w:rFonts w:ascii="Open Sans" w:hAnsi="Open Sans" w:cs="Open Sans"/>
          <w:color w:val="000000"/>
          <w:sz w:val="22"/>
          <w:szCs w:val="22"/>
        </w:rPr>
        <w:t>más</w:t>
      </w:r>
      <w:r w:rsidR="004D4951">
        <w:rPr>
          <w:rFonts w:ascii="Open Sans" w:hAnsi="Open Sans" w:cs="Open Sans"/>
          <w:color w:val="000000"/>
          <w:sz w:val="22"/>
          <w:szCs w:val="22"/>
        </w:rPr>
        <w:t xml:space="preserve"> que en 201</w:t>
      </w:r>
      <w:r w:rsidR="00DD758B">
        <w:rPr>
          <w:rFonts w:ascii="Open Sans" w:hAnsi="Open Sans" w:cs="Open Sans"/>
          <w:color w:val="000000"/>
          <w:sz w:val="22"/>
          <w:szCs w:val="22"/>
        </w:rPr>
        <w:t xml:space="preserve">9 </w:t>
      </w:r>
      <w:r w:rsidR="006E7701">
        <w:rPr>
          <w:rFonts w:ascii="Open Sans" w:hAnsi="Open Sans" w:cs="Open Sans"/>
          <w:color w:val="000000"/>
          <w:sz w:val="22"/>
          <w:szCs w:val="22"/>
        </w:rPr>
        <w:t xml:space="preserve">(6,6%) </w:t>
      </w:r>
      <w:r w:rsidR="00DD758B">
        <w:rPr>
          <w:rFonts w:ascii="Open Sans" w:hAnsi="Open Sans" w:cs="Open Sans"/>
          <w:color w:val="000000"/>
          <w:sz w:val="22"/>
          <w:szCs w:val="22"/>
        </w:rPr>
        <w:t>y un 1,</w:t>
      </w:r>
      <w:r w:rsidR="002F1B74">
        <w:rPr>
          <w:rFonts w:ascii="Open Sans" w:hAnsi="Open Sans" w:cs="Open Sans"/>
          <w:color w:val="000000"/>
          <w:sz w:val="22"/>
          <w:szCs w:val="22"/>
        </w:rPr>
        <w:t>5</w:t>
      </w:r>
      <w:r w:rsidR="00DD758B">
        <w:rPr>
          <w:rFonts w:ascii="Open Sans" w:hAnsi="Open Sans" w:cs="Open Sans"/>
          <w:color w:val="000000"/>
          <w:sz w:val="22"/>
          <w:szCs w:val="22"/>
        </w:rPr>
        <w:t xml:space="preserve"> punto más que hace cinco años (</w:t>
      </w:r>
      <w:r w:rsidR="002F1B74">
        <w:rPr>
          <w:rFonts w:ascii="Open Sans" w:hAnsi="Open Sans" w:cs="Open Sans"/>
          <w:color w:val="000000"/>
          <w:sz w:val="22"/>
          <w:szCs w:val="22"/>
        </w:rPr>
        <w:t>5,3%</w:t>
      </w:r>
      <w:r w:rsidR="00DD758B">
        <w:rPr>
          <w:rFonts w:ascii="Open Sans" w:hAnsi="Open Sans" w:cs="Open Sans"/>
          <w:color w:val="000000"/>
          <w:sz w:val="22"/>
          <w:szCs w:val="22"/>
        </w:rPr>
        <w:t>)</w:t>
      </w:r>
      <w:r w:rsidR="004D4951">
        <w:rPr>
          <w:rFonts w:ascii="Open Sans" w:hAnsi="Open Sans" w:cs="Open Sans"/>
          <w:color w:val="000000"/>
          <w:sz w:val="22"/>
          <w:szCs w:val="22"/>
        </w:rPr>
        <w:t xml:space="preserve">, </w:t>
      </w:r>
      <w:r w:rsidRPr="004F4D46">
        <w:rPr>
          <w:rFonts w:ascii="Open Sans" w:hAnsi="Open Sans" w:cs="Open Sans"/>
          <w:color w:val="000000"/>
          <w:sz w:val="22"/>
          <w:szCs w:val="22"/>
        </w:rPr>
        <w:t xml:space="preserve">según </w:t>
      </w:r>
      <w:r w:rsidR="00DD758B">
        <w:rPr>
          <w:rFonts w:ascii="Open Sans" w:hAnsi="Open Sans" w:cs="Open Sans"/>
          <w:color w:val="000000"/>
          <w:sz w:val="22"/>
          <w:szCs w:val="22"/>
        </w:rPr>
        <w:t xml:space="preserve">el estudio </w:t>
      </w:r>
      <w:r w:rsidR="00DD758B" w:rsidRPr="00DD758B">
        <w:rPr>
          <w:rFonts w:ascii="Open Sans" w:hAnsi="Open Sans" w:cs="Open Sans"/>
          <w:b/>
          <w:bCs/>
          <w:color w:val="000000"/>
          <w:sz w:val="22"/>
          <w:szCs w:val="22"/>
        </w:rPr>
        <w:t>“</w:t>
      </w:r>
      <w:r w:rsidR="00DD758B" w:rsidRPr="00DD758B">
        <w:rPr>
          <w:rFonts w:ascii="Open Sans" w:hAnsi="Open Sans" w:cs="Open Sans"/>
          <w:b/>
          <w:bCs/>
          <w:i/>
          <w:iCs/>
          <w:color w:val="000000"/>
          <w:sz w:val="22"/>
          <w:szCs w:val="22"/>
        </w:rPr>
        <w:t xml:space="preserve">La rentabilidad de la vivienda en </w:t>
      </w:r>
      <w:r w:rsidR="00FA3CB8">
        <w:rPr>
          <w:rFonts w:ascii="Open Sans" w:hAnsi="Open Sans" w:cs="Open Sans"/>
          <w:b/>
          <w:bCs/>
          <w:i/>
          <w:iCs/>
          <w:color w:val="000000"/>
          <w:sz w:val="22"/>
          <w:szCs w:val="22"/>
        </w:rPr>
        <w:t xml:space="preserve">España en </w:t>
      </w:r>
      <w:r w:rsidR="00DD758B" w:rsidRPr="00DD758B">
        <w:rPr>
          <w:rFonts w:ascii="Open Sans" w:hAnsi="Open Sans" w:cs="Open Sans"/>
          <w:b/>
          <w:bCs/>
          <w:i/>
          <w:iCs/>
          <w:color w:val="000000"/>
          <w:sz w:val="22"/>
          <w:szCs w:val="22"/>
        </w:rPr>
        <w:t>2020</w:t>
      </w:r>
      <w:r w:rsidR="00DD758B">
        <w:rPr>
          <w:rFonts w:ascii="Open Sans" w:hAnsi="Open Sans" w:cs="Open Sans"/>
          <w:b/>
          <w:bCs/>
          <w:i/>
          <w:iCs/>
          <w:color w:val="000000"/>
          <w:sz w:val="22"/>
          <w:szCs w:val="22"/>
        </w:rPr>
        <w:t>”</w:t>
      </w:r>
      <w:r w:rsidR="006F0E41">
        <w:rPr>
          <w:rFonts w:ascii="Open Sans" w:hAnsi="Open Sans" w:cs="Open Sans"/>
          <w:b/>
          <w:bCs/>
          <w:i/>
          <w:iCs/>
          <w:color w:val="000000"/>
          <w:sz w:val="22"/>
          <w:szCs w:val="22"/>
        </w:rPr>
        <w:t>,</w:t>
      </w:r>
      <w:r w:rsidR="00DD758B">
        <w:rPr>
          <w:rFonts w:ascii="Open Sans" w:hAnsi="Open Sans" w:cs="Open Sans"/>
          <w:color w:val="000000"/>
          <w:sz w:val="22"/>
          <w:szCs w:val="22"/>
        </w:rPr>
        <w:t xml:space="preserve"> basado en el</w:t>
      </w:r>
      <w:r w:rsidRPr="004F4D46">
        <w:rPr>
          <w:rFonts w:ascii="Open Sans" w:hAnsi="Open Sans" w:cs="Open Sans"/>
          <w:color w:val="000000"/>
          <w:sz w:val="22"/>
          <w:szCs w:val="22"/>
        </w:rPr>
        <w:t xml:space="preserve"> análisis </w:t>
      </w:r>
      <w:r w:rsidR="00DD758B" w:rsidRPr="004F4D46">
        <w:rPr>
          <w:rFonts w:ascii="Open Sans" w:hAnsi="Open Sans" w:cs="Open Sans"/>
          <w:color w:val="000000"/>
          <w:sz w:val="22"/>
          <w:szCs w:val="22"/>
        </w:rPr>
        <w:t>de los precios de la vivienda en venta y alquiler</w:t>
      </w:r>
      <w:r w:rsidR="004E2F96">
        <w:rPr>
          <w:rFonts w:ascii="Open Sans" w:hAnsi="Open Sans" w:cs="Open Sans"/>
          <w:color w:val="000000"/>
          <w:sz w:val="22"/>
          <w:szCs w:val="22"/>
        </w:rPr>
        <w:t xml:space="preserve"> de diciembre de 2020 por el </w:t>
      </w:r>
      <w:r w:rsidRPr="004F4D46">
        <w:rPr>
          <w:rFonts w:ascii="Open Sans" w:hAnsi="Open Sans" w:cs="Open Sans"/>
          <w:color w:val="000000"/>
          <w:sz w:val="22"/>
          <w:szCs w:val="22"/>
        </w:rPr>
        <w:t xml:space="preserve">portal inmobiliario </w:t>
      </w:r>
      <w:hyperlink r:id="rId9" w:history="1">
        <w:r w:rsidRPr="000A4242">
          <w:rPr>
            <w:rStyle w:val="Hipervnculo"/>
            <w:rFonts w:ascii="Open Sans" w:hAnsi="Open Sans" w:cs="Open Sans"/>
            <w:sz w:val="22"/>
            <w:szCs w:val="22"/>
          </w:rPr>
          <w:t>Fotocasa</w:t>
        </w:r>
      </w:hyperlink>
      <w:r w:rsidR="004E2F96">
        <w:rPr>
          <w:rFonts w:ascii="Open Sans" w:hAnsi="Open Sans" w:cs="Open Sans"/>
          <w:color w:val="000000"/>
          <w:sz w:val="22"/>
          <w:szCs w:val="22"/>
        </w:rPr>
        <w:t xml:space="preserve">. </w:t>
      </w:r>
      <w:r w:rsidR="004D4951" w:rsidRPr="004D4951">
        <w:rPr>
          <w:rFonts w:ascii="Open Sans" w:hAnsi="Open Sans" w:cs="Open Sans"/>
          <w:color w:val="000000"/>
          <w:sz w:val="22"/>
          <w:szCs w:val="22"/>
        </w:rPr>
        <w:t xml:space="preserve">Los datos </w:t>
      </w:r>
      <w:r w:rsidR="004E2F96">
        <w:rPr>
          <w:rFonts w:ascii="Open Sans" w:hAnsi="Open Sans" w:cs="Open Sans"/>
          <w:color w:val="000000"/>
          <w:sz w:val="22"/>
          <w:szCs w:val="22"/>
        </w:rPr>
        <w:t xml:space="preserve">también indican </w:t>
      </w:r>
      <w:r w:rsidR="004D4951" w:rsidRPr="004D4951">
        <w:rPr>
          <w:rFonts w:ascii="Open Sans" w:hAnsi="Open Sans" w:cs="Open Sans"/>
          <w:color w:val="000000"/>
          <w:sz w:val="22"/>
          <w:szCs w:val="22"/>
        </w:rPr>
        <w:t xml:space="preserve">que adquirir una propiedad para ponerla en alquiler en </w:t>
      </w:r>
      <w:r w:rsidR="004E2F96">
        <w:rPr>
          <w:rFonts w:ascii="Open Sans" w:hAnsi="Open Sans" w:cs="Open Sans"/>
          <w:color w:val="000000"/>
          <w:sz w:val="22"/>
          <w:szCs w:val="22"/>
        </w:rPr>
        <w:t xml:space="preserve">2020 </w:t>
      </w:r>
      <w:r w:rsidR="004D4951" w:rsidRPr="004D4951">
        <w:rPr>
          <w:rFonts w:ascii="Open Sans" w:hAnsi="Open Sans" w:cs="Open Sans"/>
          <w:color w:val="000000"/>
          <w:sz w:val="22"/>
          <w:szCs w:val="22"/>
        </w:rPr>
        <w:t xml:space="preserve">es </w:t>
      </w:r>
      <w:r w:rsidR="004E2F96">
        <w:rPr>
          <w:rFonts w:ascii="Open Sans" w:hAnsi="Open Sans" w:cs="Open Sans"/>
          <w:color w:val="000000"/>
          <w:sz w:val="22"/>
          <w:szCs w:val="22"/>
        </w:rPr>
        <w:t>2,5</w:t>
      </w:r>
      <w:r w:rsidR="004D4951" w:rsidRPr="004D4951">
        <w:rPr>
          <w:rFonts w:ascii="Open Sans" w:hAnsi="Open Sans" w:cs="Open Sans"/>
          <w:color w:val="000000"/>
          <w:sz w:val="22"/>
          <w:szCs w:val="22"/>
        </w:rPr>
        <w:t xml:space="preserve"> punto</w:t>
      </w:r>
      <w:r w:rsidR="004E2F96">
        <w:rPr>
          <w:rFonts w:ascii="Open Sans" w:hAnsi="Open Sans" w:cs="Open Sans"/>
          <w:color w:val="000000"/>
          <w:sz w:val="22"/>
          <w:szCs w:val="22"/>
        </w:rPr>
        <w:t>s</w:t>
      </w:r>
      <w:r w:rsidR="004D4951" w:rsidRPr="004D4951">
        <w:rPr>
          <w:rFonts w:ascii="Open Sans" w:hAnsi="Open Sans" w:cs="Open Sans"/>
          <w:color w:val="000000"/>
          <w:sz w:val="22"/>
          <w:szCs w:val="22"/>
        </w:rPr>
        <w:t xml:space="preserve"> más rentable que </w:t>
      </w:r>
      <w:r w:rsidR="004E2F96">
        <w:rPr>
          <w:rFonts w:ascii="Open Sans" w:hAnsi="Open Sans" w:cs="Open Sans"/>
          <w:color w:val="000000"/>
          <w:sz w:val="22"/>
          <w:szCs w:val="22"/>
        </w:rPr>
        <w:t>hace 10 años (</w:t>
      </w:r>
      <w:r w:rsidR="002F1B74">
        <w:rPr>
          <w:rFonts w:ascii="Open Sans" w:hAnsi="Open Sans" w:cs="Open Sans"/>
          <w:color w:val="000000"/>
          <w:sz w:val="22"/>
          <w:szCs w:val="22"/>
        </w:rPr>
        <w:t>4,3</w:t>
      </w:r>
      <w:r w:rsidR="005505BC">
        <w:rPr>
          <w:rFonts w:ascii="Open Sans" w:hAnsi="Open Sans" w:cs="Open Sans"/>
          <w:color w:val="000000"/>
          <w:sz w:val="22"/>
          <w:szCs w:val="22"/>
        </w:rPr>
        <w:t>%</w:t>
      </w:r>
      <w:r w:rsidR="004E2F96">
        <w:rPr>
          <w:rFonts w:ascii="Open Sans" w:hAnsi="Open Sans" w:cs="Open Sans"/>
          <w:color w:val="000000"/>
          <w:sz w:val="22"/>
          <w:szCs w:val="22"/>
        </w:rPr>
        <w:t>)</w:t>
      </w:r>
      <w:r w:rsidR="004D4951" w:rsidRPr="004D4951">
        <w:rPr>
          <w:rFonts w:ascii="Open Sans" w:hAnsi="Open Sans" w:cs="Open Sans"/>
          <w:color w:val="000000"/>
          <w:sz w:val="22"/>
          <w:szCs w:val="22"/>
        </w:rPr>
        <w:t>.</w:t>
      </w:r>
    </w:p>
    <w:p w14:paraId="1705668F" w14:textId="4843D383" w:rsidR="00165125" w:rsidRPr="004F4D46" w:rsidRDefault="004F4D46" w:rsidP="004F4D46">
      <w:pPr>
        <w:pStyle w:val="NormalWeb"/>
        <w:shd w:val="clear" w:color="auto" w:fill="FFFFFF"/>
        <w:spacing w:after="225" w:line="276" w:lineRule="auto"/>
        <w:ind w:right="-574"/>
        <w:jc w:val="center"/>
        <w:rPr>
          <w:rFonts w:ascii="Open Sans Light" w:hAnsi="Open Sans Light" w:cs="Open Sans Light"/>
          <w:b/>
          <w:iCs/>
          <w:color w:val="303AB2"/>
          <w:sz w:val="30"/>
          <w:szCs w:val="20"/>
        </w:rPr>
      </w:pPr>
      <w:r w:rsidRPr="004F4D46">
        <w:rPr>
          <w:rFonts w:ascii="Open Sans Light" w:hAnsi="Open Sans Light" w:cs="Open Sans Light"/>
          <w:b/>
          <w:iCs/>
          <w:color w:val="303AB2"/>
          <w:sz w:val="30"/>
          <w:szCs w:val="20"/>
        </w:rPr>
        <w:t>Rentabilidad de la vivienda en España</w:t>
      </w:r>
      <w:bookmarkEnd w:id="1"/>
      <w:r w:rsidR="00756208">
        <w:rPr>
          <w:noProof/>
        </w:rPr>
        <w:drawing>
          <wp:inline distT="0" distB="0" distL="0" distR="0" wp14:anchorId="313EC2B9" wp14:editId="2439B2C6">
            <wp:extent cx="5396230" cy="2234565"/>
            <wp:effectExtent l="0" t="0" r="0" b="0"/>
            <wp:docPr id="248" name="Gráfico 248">
              <a:extLst xmlns:a="http://schemas.openxmlformats.org/drawingml/2006/main">
                <a:ext uri="{FF2B5EF4-FFF2-40B4-BE49-F238E27FC236}">
                  <a16:creationId xmlns:a16="http://schemas.microsoft.com/office/drawing/2014/main" id="{CA382CFD-2CB8-4C7F-8B2B-ED2610CC8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1BF6BD" w14:textId="3A7B75FA" w:rsidR="005A003F" w:rsidRDefault="00410D15" w:rsidP="00410D15">
      <w:pPr>
        <w:pStyle w:val="NormalWeb"/>
        <w:shd w:val="clear" w:color="auto" w:fill="FFFFFF"/>
        <w:spacing w:after="225" w:line="276" w:lineRule="auto"/>
        <w:ind w:right="-574"/>
        <w:jc w:val="both"/>
        <w:rPr>
          <w:rFonts w:ascii="Open Sans" w:hAnsi="Open Sans" w:cs="Open Sans"/>
          <w:color w:val="000000"/>
          <w:sz w:val="22"/>
          <w:szCs w:val="22"/>
        </w:rPr>
      </w:pPr>
      <w:r w:rsidRPr="00410D15">
        <w:rPr>
          <w:rFonts w:ascii="Open Sans" w:hAnsi="Open Sans" w:cs="Open Sans"/>
          <w:color w:val="000000"/>
          <w:sz w:val="22"/>
          <w:szCs w:val="22"/>
        </w:rPr>
        <w:lastRenderedPageBreak/>
        <w:t>“</w:t>
      </w:r>
      <w:r w:rsidR="005A003F">
        <w:rPr>
          <w:rFonts w:ascii="Open Sans" w:hAnsi="Open Sans" w:cs="Open Sans"/>
          <w:color w:val="000000"/>
          <w:sz w:val="22"/>
          <w:szCs w:val="22"/>
        </w:rPr>
        <w:t xml:space="preserve">En 2020 la rentabilidad de la vivienda ha alcanzado la cota más alta de los últimos 10 años, en concreto se sitúa en un 6,8%. Esto es debido a que el precio del alquiler ha subido </w:t>
      </w:r>
      <w:r w:rsidR="004B5861">
        <w:rPr>
          <w:rFonts w:ascii="Open Sans" w:hAnsi="Open Sans" w:cs="Open Sans"/>
          <w:color w:val="000000"/>
          <w:sz w:val="22"/>
          <w:szCs w:val="22"/>
        </w:rPr>
        <w:t xml:space="preserve">con fuerza en los últimos años y hace que comprar una vivienda para ponerla en alquiler sea altamente rentable. De hecho, es casi imposible encontrar ahora mismo en el mercado productos financieros que den estas rentabilidades cercanas al 7%. No obstante, la moderación del precio de la vivienda en 2020 ha hecho que en un año tan sólo suba dos décimas la rentabilidad”, explica Anaïs López, directora de comunicación de </w:t>
      </w:r>
      <w:hyperlink r:id="rId11" w:history="1">
        <w:r w:rsidR="004B5861" w:rsidRPr="000A4242">
          <w:rPr>
            <w:rStyle w:val="Hipervnculo"/>
            <w:rFonts w:ascii="Open Sans" w:hAnsi="Open Sans" w:cs="Open Sans"/>
            <w:sz w:val="22"/>
            <w:szCs w:val="22"/>
          </w:rPr>
          <w:t>Fotocasa</w:t>
        </w:r>
      </w:hyperlink>
      <w:r w:rsidR="004B5861">
        <w:rPr>
          <w:rFonts w:ascii="Open Sans" w:hAnsi="Open Sans" w:cs="Open Sans"/>
          <w:color w:val="000000"/>
          <w:sz w:val="22"/>
          <w:szCs w:val="22"/>
        </w:rPr>
        <w:t xml:space="preserve">. </w:t>
      </w:r>
    </w:p>
    <w:p w14:paraId="724441CD" w14:textId="137E3AB0" w:rsidR="004F4D46" w:rsidRPr="002F1AD6" w:rsidRDefault="004E2F96" w:rsidP="00E84EE3">
      <w:pPr>
        <w:pStyle w:val="NormalWeb"/>
        <w:shd w:val="clear" w:color="auto" w:fill="FFFFFF"/>
        <w:spacing w:after="225" w:line="276" w:lineRule="auto"/>
        <w:ind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Por Comunidad Autónoma</w:t>
      </w:r>
    </w:p>
    <w:p w14:paraId="1FEFBFF6" w14:textId="76726479" w:rsidR="001452AE" w:rsidRDefault="00420DED" w:rsidP="004E2F96">
      <w:pPr>
        <w:pStyle w:val="NormalWeb"/>
        <w:shd w:val="clear" w:color="auto" w:fill="FFFFFF"/>
        <w:spacing w:after="225" w:line="276" w:lineRule="auto"/>
        <w:ind w:right="-574"/>
        <w:jc w:val="both"/>
        <w:rPr>
          <w:rFonts w:ascii="Open Sans" w:hAnsi="Open Sans" w:cs="Open Sans"/>
          <w:color w:val="000000"/>
          <w:sz w:val="22"/>
          <w:szCs w:val="22"/>
        </w:rPr>
      </w:pPr>
      <w:r>
        <w:rPr>
          <w:rFonts w:ascii="Open Sans" w:hAnsi="Open Sans" w:cs="Open Sans"/>
          <w:color w:val="000000"/>
          <w:sz w:val="22"/>
          <w:szCs w:val="22"/>
        </w:rPr>
        <w:t>Cuatro de las comunidades tienen una rentabilidad</w:t>
      </w:r>
      <w:r w:rsidR="00E44D12">
        <w:rPr>
          <w:rFonts w:ascii="Open Sans" w:hAnsi="Open Sans" w:cs="Open Sans"/>
          <w:color w:val="000000"/>
          <w:sz w:val="22"/>
          <w:szCs w:val="22"/>
        </w:rPr>
        <w:t xml:space="preserve"> igual o </w:t>
      </w:r>
      <w:r>
        <w:rPr>
          <w:rFonts w:ascii="Open Sans" w:hAnsi="Open Sans" w:cs="Open Sans"/>
          <w:color w:val="000000"/>
          <w:sz w:val="22"/>
          <w:szCs w:val="22"/>
        </w:rPr>
        <w:t xml:space="preserve">por encima de la media española (6,8%) y son: </w:t>
      </w:r>
      <w:r w:rsidR="004E2F96" w:rsidRPr="004E2F96">
        <w:rPr>
          <w:rFonts w:ascii="Open Sans" w:hAnsi="Open Sans" w:cs="Open Sans"/>
          <w:color w:val="000000"/>
          <w:sz w:val="22"/>
          <w:szCs w:val="22"/>
        </w:rPr>
        <w:t>Navarra</w:t>
      </w:r>
      <w:r w:rsidR="004E2F96">
        <w:rPr>
          <w:rFonts w:ascii="Open Sans" w:hAnsi="Open Sans" w:cs="Open Sans"/>
          <w:color w:val="000000"/>
          <w:sz w:val="22"/>
          <w:szCs w:val="22"/>
        </w:rPr>
        <w:t xml:space="preserve"> (7,1%), </w:t>
      </w:r>
      <w:r w:rsidR="004E2F96" w:rsidRPr="004E2F96">
        <w:rPr>
          <w:rFonts w:ascii="Open Sans" w:hAnsi="Open Sans" w:cs="Open Sans"/>
          <w:color w:val="000000"/>
          <w:sz w:val="22"/>
          <w:szCs w:val="22"/>
        </w:rPr>
        <w:t>Región de Murcia</w:t>
      </w:r>
      <w:r w:rsidR="004E2F96">
        <w:rPr>
          <w:rFonts w:ascii="Open Sans" w:hAnsi="Open Sans" w:cs="Open Sans"/>
          <w:color w:val="000000"/>
          <w:sz w:val="22"/>
          <w:szCs w:val="22"/>
        </w:rPr>
        <w:t xml:space="preserve"> (7%),</w:t>
      </w:r>
      <w:r w:rsidR="00E44D12">
        <w:rPr>
          <w:rFonts w:ascii="Open Sans" w:hAnsi="Open Sans" w:cs="Open Sans"/>
          <w:color w:val="000000"/>
          <w:sz w:val="22"/>
          <w:szCs w:val="22"/>
        </w:rPr>
        <w:t xml:space="preserve"> </w:t>
      </w:r>
      <w:r w:rsidR="004E2F96" w:rsidRPr="004E2F96">
        <w:rPr>
          <w:rFonts w:ascii="Open Sans" w:hAnsi="Open Sans" w:cs="Open Sans"/>
          <w:color w:val="000000"/>
          <w:sz w:val="22"/>
          <w:szCs w:val="22"/>
        </w:rPr>
        <w:t>Comunitat Valenciana</w:t>
      </w:r>
      <w:r w:rsidR="004E2F96">
        <w:rPr>
          <w:rFonts w:ascii="Open Sans" w:hAnsi="Open Sans" w:cs="Open Sans"/>
          <w:color w:val="000000"/>
          <w:sz w:val="22"/>
          <w:szCs w:val="22"/>
        </w:rPr>
        <w:t xml:space="preserve"> (6,9%), </w:t>
      </w:r>
      <w:r w:rsidR="004E2F96" w:rsidRPr="004E2F96">
        <w:rPr>
          <w:rFonts w:ascii="Open Sans" w:hAnsi="Open Sans" w:cs="Open Sans"/>
          <w:color w:val="000000"/>
          <w:sz w:val="22"/>
          <w:szCs w:val="22"/>
        </w:rPr>
        <w:t>Cataluña</w:t>
      </w:r>
      <w:r w:rsidR="004E2F96">
        <w:rPr>
          <w:rFonts w:ascii="Open Sans" w:hAnsi="Open Sans" w:cs="Open Sans"/>
          <w:color w:val="000000"/>
          <w:sz w:val="22"/>
          <w:szCs w:val="22"/>
        </w:rPr>
        <w:t xml:space="preserve"> (6,8%)</w:t>
      </w:r>
      <w:r w:rsidR="001847B0">
        <w:rPr>
          <w:rFonts w:ascii="Open Sans" w:hAnsi="Open Sans" w:cs="Open Sans"/>
          <w:color w:val="000000"/>
          <w:sz w:val="22"/>
          <w:szCs w:val="22"/>
        </w:rPr>
        <w:t xml:space="preserve">. Por debajo de la rentabilidad media se encuentran las comunidades de </w:t>
      </w:r>
      <w:r w:rsidR="004E2F96" w:rsidRPr="004E2F96">
        <w:rPr>
          <w:rFonts w:ascii="Open Sans" w:hAnsi="Open Sans" w:cs="Open Sans"/>
          <w:color w:val="000000"/>
          <w:sz w:val="22"/>
          <w:szCs w:val="22"/>
        </w:rPr>
        <w:t>Aragón</w:t>
      </w:r>
      <w:r w:rsidR="004E2F96">
        <w:rPr>
          <w:rFonts w:ascii="Open Sans" w:hAnsi="Open Sans" w:cs="Open Sans"/>
          <w:color w:val="000000"/>
          <w:sz w:val="22"/>
          <w:szCs w:val="22"/>
        </w:rPr>
        <w:t xml:space="preserve"> (6,5%), </w:t>
      </w:r>
      <w:r w:rsidR="004E2F96" w:rsidRPr="004E2F96">
        <w:rPr>
          <w:rFonts w:ascii="Open Sans" w:hAnsi="Open Sans" w:cs="Open Sans"/>
          <w:color w:val="000000"/>
          <w:sz w:val="22"/>
          <w:szCs w:val="22"/>
        </w:rPr>
        <w:t>Canarias</w:t>
      </w:r>
      <w:r w:rsidR="004E2F96">
        <w:rPr>
          <w:rFonts w:ascii="Open Sans" w:hAnsi="Open Sans" w:cs="Open Sans"/>
          <w:color w:val="000000"/>
          <w:sz w:val="22"/>
          <w:szCs w:val="22"/>
        </w:rPr>
        <w:t xml:space="preserve"> (6,4%), </w:t>
      </w:r>
      <w:r w:rsidR="004E2F96" w:rsidRPr="004E2F96">
        <w:rPr>
          <w:rFonts w:ascii="Open Sans" w:hAnsi="Open Sans" w:cs="Open Sans"/>
          <w:color w:val="000000"/>
          <w:sz w:val="22"/>
          <w:szCs w:val="22"/>
        </w:rPr>
        <w:t>Castilla-La Mancha</w:t>
      </w:r>
      <w:r w:rsidR="004E2F96">
        <w:rPr>
          <w:rFonts w:ascii="Open Sans" w:hAnsi="Open Sans" w:cs="Open Sans"/>
          <w:color w:val="000000"/>
          <w:sz w:val="22"/>
          <w:szCs w:val="22"/>
        </w:rPr>
        <w:t xml:space="preserve"> (6,3%), </w:t>
      </w:r>
      <w:r w:rsidR="004E2F96" w:rsidRPr="004E2F96">
        <w:rPr>
          <w:rFonts w:ascii="Open Sans" w:hAnsi="Open Sans" w:cs="Open Sans"/>
          <w:color w:val="000000"/>
          <w:sz w:val="22"/>
          <w:szCs w:val="22"/>
        </w:rPr>
        <w:t>Andalucía</w:t>
      </w:r>
      <w:r w:rsidR="004E2F96">
        <w:rPr>
          <w:rFonts w:ascii="Open Sans" w:hAnsi="Open Sans" w:cs="Open Sans"/>
          <w:color w:val="000000"/>
          <w:sz w:val="22"/>
          <w:szCs w:val="22"/>
        </w:rPr>
        <w:t xml:space="preserve"> (6,3%), </w:t>
      </w:r>
      <w:r w:rsidR="004E2F96" w:rsidRPr="004E2F96">
        <w:rPr>
          <w:rFonts w:ascii="Open Sans" w:hAnsi="Open Sans" w:cs="Open Sans"/>
          <w:color w:val="000000"/>
          <w:sz w:val="22"/>
          <w:szCs w:val="22"/>
        </w:rPr>
        <w:t>Cantabria</w:t>
      </w:r>
      <w:r w:rsidR="004E2F96">
        <w:rPr>
          <w:rFonts w:ascii="Open Sans" w:hAnsi="Open Sans" w:cs="Open Sans"/>
          <w:color w:val="000000"/>
          <w:sz w:val="22"/>
          <w:szCs w:val="22"/>
        </w:rPr>
        <w:t xml:space="preserve"> (6%), </w:t>
      </w:r>
      <w:r w:rsidR="004E2F96" w:rsidRPr="004E2F96">
        <w:rPr>
          <w:rFonts w:ascii="Open Sans" w:hAnsi="Open Sans" w:cs="Open Sans"/>
          <w:color w:val="000000"/>
          <w:sz w:val="22"/>
          <w:szCs w:val="22"/>
        </w:rPr>
        <w:t>Asturias</w:t>
      </w:r>
      <w:r w:rsidR="004E2F96">
        <w:rPr>
          <w:rFonts w:ascii="Open Sans" w:hAnsi="Open Sans" w:cs="Open Sans"/>
          <w:color w:val="000000"/>
          <w:sz w:val="22"/>
          <w:szCs w:val="22"/>
        </w:rPr>
        <w:t xml:space="preserve"> (6%), </w:t>
      </w:r>
      <w:r w:rsidR="004E2F96" w:rsidRPr="004E2F96">
        <w:rPr>
          <w:rFonts w:ascii="Open Sans" w:hAnsi="Open Sans" w:cs="Open Sans"/>
          <w:color w:val="000000"/>
          <w:sz w:val="22"/>
          <w:szCs w:val="22"/>
        </w:rPr>
        <w:t>Castilla y León</w:t>
      </w:r>
      <w:r w:rsidR="004E2F96">
        <w:rPr>
          <w:rFonts w:ascii="Open Sans" w:hAnsi="Open Sans" w:cs="Open Sans"/>
          <w:color w:val="000000"/>
          <w:sz w:val="22"/>
          <w:szCs w:val="22"/>
        </w:rPr>
        <w:t xml:space="preserve"> (</w:t>
      </w:r>
      <w:r w:rsidR="000B6CBA">
        <w:rPr>
          <w:rFonts w:ascii="Open Sans" w:hAnsi="Open Sans" w:cs="Open Sans"/>
          <w:color w:val="000000"/>
          <w:sz w:val="22"/>
          <w:szCs w:val="22"/>
        </w:rPr>
        <w:t>5,9</w:t>
      </w:r>
      <w:r w:rsidR="004E2F96">
        <w:rPr>
          <w:rFonts w:ascii="Open Sans" w:hAnsi="Open Sans" w:cs="Open Sans"/>
          <w:color w:val="000000"/>
          <w:sz w:val="22"/>
          <w:szCs w:val="22"/>
        </w:rPr>
        <w:t xml:space="preserve">%), </w:t>
      </w:r>
      <w:r w:rsidR="004E2F96" w:rsidRPr="004E2F96">
        <w:rPr>
          <w:rFonts w:ascii="Open Sans" w:hAnsi="Open Sans" w:cs="Open Sans"/>
          <w:color w:val="000000"/>
          <w:sz w:val="22"/>
          <w:szCs w:val="22"/>
        </w:rPr>
        <w:t>La Rioja</w:t>
      </w:r>
      <w:r w:rsidR="004E2F96">
        <w:rPr>
          <w:rFonts w:ascii="Open Sans" w:hAnsi="Open Sans" w:cs="Open Sans"/>
          <w:color w:val="000000"/>
          <w:sz w:val="22"/>
          <w:szCs w:val="22"/>
        </w:rPr>
        <w:t xml:space="preserve"> (</w:t>
      </w:r>
      <w:r w:rsidR="000B6CBA">
        <w:rPr>
          <w:rFonts w:ascii="Open Sans" w:hAnsi="Open Sans" w:cs="Open Sans"/>
          <w:color w:val="000000"/>
          <w:sz w:val="22"/>
          <w:szCs w:val="22"/>
        </w:rPr>
        <w:t>5,9</w:t>
      </w:r>
      <w:r w:rsidR="004E2F96">
        <w:rPr>
          <w:rFonts w:ascii="Open Sans" w:hAnsi="Open Sans" w:cs="Open Sans"/>
          <w:color w:val="000000"/>
          <w:sz w:val="22"/>
          <w:szCs w:val="22"/>
        </w:rPr>
        <w:t xml:space="preserve">%), </w:t>
      </w:r>
      <w:r w:rsidR="004E2F96" w:rsidRPr="004E2F96">
        <w:rPr>
          <w:rFonts w:ascii="Open Sans" w:hAnsi="Open Sans" w:cs="Open Sans"/>
          <w:color w:val="000000"/>
          <w:sz w:val="22"/>
          <w:szCs w:val="22"/>
        </w:rPr>
        <w:t>Madrid</w:t>
      </w:r>
      <w:r w:rsidR="004E2F96">
        <w:rPr>
          <w:rFonts w:ascii="Open Sans" w:hAnsi="Open Sans" w:cs="Open Sans"/>
          <w:color w:val="000000"/>
          <w:sz w:val="22"/>
          <w:szCs w:val="22"/>
        </w:rPr>
        <w:t xml:space="preserve"> (</w:t>
      </w:r>
      <w:r w:rsidR="000B6CBA">
        <w:rPr>
          <w:rFonts w:ascii="Open Sans" w:hAnsi="Open Sans" w:cs="Open Sans"/>
          <w:color w:val="000000"/>
          <w:sz w:val="22"/>
          <w:szCs w:val="22"/>
        </w:rPr>
        <w:t>5,5</w:t>
      </w:r>
      <w:r w:rsidR="004E2F96">
        <w:rPr>
          <w:rFonts w:ascii="Open Sans" w:hAnsi="Open Sans" w:cs="Open Sans"/>
          <w:color w:val="000000"/>
          <w:sz w:val="22"/>
          <w:szCs w:val="22"/>
        </w:rPr>
        <w:t xml:space="preserve">%), </w:t>
      </w:r>
      <w:r w:rsidR="004E2F96" w:rsidRPr="004E2F96">
        <w:rPr>
          <w:rFonts w:ascii="Open Sans" w:hAnsi="Open Sans" w:cs="Open Sans"/>
          <w:color w:val="000000"/>
          <w:sz w:val="22"/>
          <w:szCs w:val="22"/>
        </w:rPr>
        <w:t>Extremadura</w:t>
      </w:r>
      <w:r w:rsidR="004E2F96">
        <w:rPr>
          <w:rFonts w:ascii="Open Sans" w:hAnsi="Open Sans" w:cs="Open Sans"/>
          <w:color w:val="000000"/>
          <w:sz w:val="22"/>
          <w:szCs w:val="22"/>
        </w:rPr>
        <w:t xml:space="preserve"> (</w:t>
      </w:r>
      <w:r w:rsidR="000B6CBA">
        <w:rPr>
          <w:rFonts w:ascii="Open Sans" w:hAnsi="Open Sans" w:cs="Open Sans"/>
          <w:color w:val="000000"/>
          <w:sz w:val="22"/>
          <w:szCs w:val="22"/>
        </w:rPr>
        <w:t>5,5</w:t>
      </w:r>
      <w:r w:rsidR="004E2F96">
        <w:rPr>
          <w:rFonts w:ascii="Open Sans" w:hAnsi="Open Sans" w:cs="Open Sans"/>
          <w:color w:val="000000"/>
          <w:sz w:val="22"/>
          <w:szCs w:val="22"/>
        </w:rPr>
        <w:t>%)</w:t>
      </w:r>
      <w:r w:rsidR="000B6CBA">
        <w:rPr>
          <w:rFonts w:ascii="Open Sans" w:hAnsi="Open Sans" w:cs="Open Sans"/>
          <w:color w:val="000000"/>
          <w:sz w:val="22"/>
          <w:szCs w:val="22"/>
        </w:rPr>
        <w:t xml:space="preserve">, </w:t>
      </w:r>
      <w:r w:rsidR="004E2F96" w:rsidRPr="004E2F96">
        <w:rPr>
          <w:rFonts w:ascii="Open Sans" w:hAnsi="Open Sans" w:cs="Open Sans"/>
          <w:color w:val="000000"/>
          <w:sz w:val="22"/>
          <w:szCs w:val="22"/>
        </w:rPr>
        <w:t>País Vasco</w:t>
      </w:r>
      <w:r w:rsidR="004E2F96">
        <w:rPr>
          <w:rFonts w:ascii="Open Sans" w:hAnsi="Open Sans" w:cs="Open Sans"/>
          <w:color w:val="000000"/>
          <w:sz w:val="22"/>
          <w:szCs w:val="22"/>
        </w:rPr>
        <w:t xml:space="preserve"> (</w:t>
      </w:r>
      <w:r w:rsidR="000B6CBA">
        <w:rPr>
          <w:rFonts w:ascii="Open Sans" w:hAnsi="Open Sans" w:cs="Open Sans"/>
          <w:color w:val="000000"/>
          <w:sz w:val="22"/>
          <w:szCs w:val="22"/>
        </w:rPr>
        <w:t>5,5</w:t>
      </w:r>
      <w:r w:rsidR="004E2F96">
        <w:rPr>
          <w:rFonts w:ascii="Open Sans" w:hAnsi="Open Sans" w:cs="Open Sans"/>
          <w:color w:val="000000"/>
          <w:sz w:val="22"/>
          <w:szCs w:val="22"/>
        </w:rPr>
        <w:t>%)</w:t>
      </w:r>
      <w:r w:rsidR="00E44D12">
        <w:rPr>
          <w:rFonts w:ascii="Open Sans" w:hAnsi="Open Sans" w:cs="Open Sans"/>
          <w:color w:val="000000"/>
          <w:sz w:val="22"/>
          <w:szCs w:val="22"/>
        </w:rPr>
        <w:t xml:space="preserve">, </w:t>
      </w:r>
      <w:r w:rsidR="000B6CBA">
        <w:rPr>
          <w:rFonts w:ascii="Open Sans" w:hAnsi="Open Sans" w:cs="Open Sans"/>
          <w:color w:val="000000"/>
          <w:sz w:val="22"/>
          <w:szCs w:val="22"/>
        </w:rPr>
        <w:t>Galicia (5,4%)</w:t>
      </w:r>
      <w:r w:rsidR="001847B0">
        <w:rPr>
          <w:rFonts w:ascii="Open Sans" w:hAnsi="Open Sans" w:cs="Open Sans"/>
          <w:color w:val="000000"/>
          <w:sz w:val="22"/>
          <w:szCs w:val="22"/>
        </w:rPr>
        <w:t xml:space="preserve"> y Baleares (4,8%).</w:t>
      </w:r>
    </w:p>
    <w:p w14:paraId="7A2AE701" w14:textId="1239AC5F" w:rsidR="004E2F96" w:rsidRDefault="001847B0" w:rsidP="004E2F96">
      <w:pPr>
        <w:pStyle w:val="NormalWeb"/>
        <w:shd w:val="clear" w:color="auto" w:fill="FFFFFF"/>
        <w:spacing w:after="225" w:line="276" w:lineRule="auto"/>
        <w:ind w:right="-574"/>
        <w:jc w:val="both"/>
        <w:rPr>
          <w:rFonts w:ascii="Open Sans" w:hAnsi="Open Sans" w:cs="Open Sans"/>
          <w:color w:val="000000"/>
          <w:sz w:val="22"/>
          <w:szCs w:val="22"/>
        </w:rPr>
      </w:pPr>
      <w:r>
        <w:rPr>
          <w:rFonts w:ascii="Open Sans" w:hAnsi="Open Sans" w:cs="Open Sans"/>
          <w:color w:val="000000"/>
          <w:sz w:val="22"/>
          <w:szCs w:val="22"/>
        </w:rPr>
        <w:t xml:space="preserve">La comunidad de Navarra, la más rentable en 2020, ha pasado al primer lugar del ranking después de encontrarse en el </w:t>
      </w:r>
      <w:r w:rsidR="00376709">
        <w:rPr>
          <w:rFonts w:ascii="Open Sans" w:hAnsi="Open Sans" w:cs="Open Sans"/>
          <w:color w:val="000000"/>
          <w:sz w:val="22"/>
          <w:szCs w:val="22"/>
        </w:rPr>
        <w:t>décimo quinto</w:t>
      </w:r>
      <w:r>
        <w:rPr>
          <w:rFonts w:ascii="Open Sans" w:hAnsi="Open Sans" w:cs="Open Sans"/>
          <w:color w:val="000000"/>
          <w:sz w:val="22"/>
          <w:szCs w:val="22"/>
        </w:rPr>
        <w:t xml:space="preserve"> lugar en </w:t>
      </w:r>
      <w:r w:rsidR="00376709">
        <w:rPr>
          <w:rFonts w:ascii="Open Sans" w:hAnsi="Open Sans" w:cs="Open Sans"/>
          <w:color w:val="000000"/>
          <w:sz w:val="22"/>
          <w:szCs w:val="22"/>
        </w:rPr>
        <w:t xml:space="preserve">2008 (3,6%), en el décimo en </w:t>
      </w:r>
      <w:r>
        <w:rPr>
          <w:rFonts w:ascii="Open Sans" w:hAnsi="Open Sans" w:cs="Open Sans"/>
          <w:color w:val="000000"/>
          <w:sz w:val="22"/>
          <w:szCs w:val="22"/>
        </w:rPr>
        <w:t xml:space="preserve">2010 (3,9%), en el octavo lugar en 2015 (5,1%) y en el quinto lugar en 2019 (6,3%).  </w:t>
      </w:r>
      <w:r w:rsidR="000B6CBA">
        <w:rPr>
          <w:rFonts w:ascii="Open Sans" w:hAnsi="Open Sans" w:cs="Open Sans"/>
          <w:color w:val="000000"/>
          <w:sz w:val="22"/>
          <w:szCs w:val="22"/>
        </w:rPr>
        <w:t xml:space="preserve">Por otro lado, la comunidad </w:t>
      </w:r>
      <w:r w:rsidR="00D70E0A">
        <w:rPr>
          <w:rFonts w:ascii="Open Sans" w:hAnsi="Open Sans" w:cs="Open Sans"/>
          <w:color w:val="000000"/>
          <w:sz w:val="22"/>
          <w:szCs w:val="22"/>
        </w:rPr>
        <w:t>menos</w:t>
      </w:r>
      <w:r w:rsidR="000B6CBA">
        <w:rPr>
          <w:rFonts w:ascii="Open Sans" w:hAnsi="Open Sans" w:cs="Open Sans"/>
          <w:color w:val="000000"/>
          <w:sz w:val="22"/>
          <w:szCs w:val="22"/>
        </w:rPr>
        <w:t xml:space="preserve"> </w:t>
      </w:r>
      <w:r w:rsidR="00D70E0A">
        <w:rPr>
          <w:rFonts w:ascii="Open Sans" w:hAnsi="Open Sans" w:cs="Open Sans"/>
          <w:color w:val="000000"/>
          <w:sz w:val="22"/>
          <w:szCs w:val="22"/>
        </w:rPr>
        <w:t>rentable</w:t>
      </w:r>
      <w:r w:rsidR="000B6CBA">
        <w:rPr>
          <w:rFonts w:ascii="Open Sans" w:hAnsi="Open Sans" w:cs="Open Sans"/>
          <w:color w:val="000000"/>
          <w:sz w:val="22"/>
          <w:szCs w:val="22"/>
        </w:rPr>
        <w:t xml:space="preserve"> en 2020 es Baleares (4,8%).</w:t>
      </w:r>
      <w:r w:rsidR="001452AE">
        <w:rPr>
          <w:rFonts w:ascii="Open Sans" w:hAnsi="Open Sans" w:cs="Open Sans"/>
          <w:color w:val="000000"/>
          <w:sz w:val="22"/>
          <w:szCs w:val="22"/>
        </w:rPr>
        <w:t xml:space="preserve"> La comunidad balear ha pasado de ser la segunda más rentable de los años 2007, 2008, 2009 y 2016; a descender en 2017 al cuarto lugar, en 2018 al octavo, en 2019 al decimosexto y en 2020 al último lugar.</w:t>
      </w:r>
    </w:p>
    <w:p w14:paraId="3834A603" w14:textId="0DE27C04" w:rsidR="008B1219" w:rsidRPr="004F4D46" w:rsidRDefault="00B52C33" w:rsidP="008B1219">
      <w:pPr>
        <w:pStyle w:val="NormalWeb"/>
        <w:shd w:val="clear" w:color="auto" w:fill="FFFFFF"/>
        <w:spacing w:after="225" w:line="276" w:lineRule="auto"/>
        <w:ind w:right="-574"/>
        <w:jc w:val="center"/>
        <w:rPr>
          <w:rFonts w:ascii="Open Sans Light" w:hAnsi="Open Sans Light" w:cs="Open Sans Light"/>
          <w:b/>
          <w:iCs/>
          <w:color w:val="303AB2"/>
          <w:sz w:val="30"/>
          <w:szCs w:val="20"/>
        </w:rPr>
      </w:pPr>
      <w:r>
        <w:rPr>
          <w:rFonts w:ascii="Open Sans Light" w:hAnsi="Open Sans Light" w:cs="Open Sans Light"/>
          <w:b/>
          <w:iCs/>
          <w:color w:val="303AB2"/>
          <w:sz w:val="30"/>
          <w:szCs w:val="20"/>
        </w:rPr>
        <w:t xml:space="preserve">Gráfica - </w:t>
      </w:r>
      <w:r w:rsidR="008B1219" w:rsidRPr="004F4D46">
        <w:rPr>
          <w:rFonts w:ascii="Open Sans Light" w:hAnsi="Open Sans Light" w:cs="Open Sans Light"/>
          <w:b/>
          <w:iCs/>
          <w:color w:val="303AB2"/>
          <w:sz w:val="30"/>
          <w:szCs w:val="20"/>
        </w:rPr>
        <w:t xml:space="preserve">Rentabilidad </w:t>
      </w:r>
      <w:r w:rsidR="001452AE">
        <w:rPr>
          <w:rFonts w:ascii="Open Sans Light" w:hAnsi="Open Sans Light" w:cs="Open Sans Light"/>
          <w:b/>
          <w:iCs/>
          <w:color w:val="303AB2"/>
          <w:sz w:val="30"/>
          <w:szCs w:val="20"/>
        </w:rPr>
        <w:t xml:space="preserve">2020 </w:t>
      </w:r>
      <w:r w:rsidR="008B1219" w:rsidRPr="004F4D46">
        <w:rPr>
          <w:rFonts w:ascii="Open Sans Light" w:hAnsi="Open Sans Light" w:cs="Open Sans Light"/>
          <w:b/>
          <w:iCs/>
          <w:color w:val="303AB2"/>
          <w:sz w:val="30"/>
          <w:szCs w:val="20"/>
        </w:rPr>
        <w:t xml:space="preserve">por comunidades </w:t>
      </w:r>
      <w:r w:rsidR="00045CCC" w:rsidRPr="004F4D46">
        <w:rPr>
          <w:rFonts w:ascii="Open Sans Light" w:hAnsi="Open Sans Light" w:cs="Open Sans Light"/>
          <w:b/>
          <w:iCs/>
          <w:color w:val="303AB2"/>
          <w:sz w:val="30"/>
          <w:szCs w:val="20"/>
        </w:rPr>
        <w:t>autónomas</w:t>
      </w:r>
      <w:r w:rsidR="001452AE">
        <w:rPr>
          <w:noProof/>
        </w:rPr>
        <w:drawing>
          <wp:inline distT="0" distB="0" distL="0" distR="0" wp14:anchorId="130339CF" wp14:editId="217B0C98">
            <wp:extent cx="5523230" cy="3030279"/>
            <wp:effectExtent l="0" t="0" r="1270" b="0"/>
            <wp:docPr id="9" name="Gráfico 9">
              <a:extLst xmlns:a="http://schemas.openxmlformats.org/drawingml/2006/main">
                <a:ext uri="{FF2B5EF4-FFF2-40B4-BE49-F238E27FC236}">
                  <a16:creationId xmlns:a16="http://schemas.microsoft.com/office/drawing/2014/main" id="{2A999C8E-58D5-4B57-9045-AC4494A25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B1EB44" w14:textId="77777777" w:rsidR="009F4539" w:rsidRDefault="009F4539" w:rsidP="00347D68">
      <w:pPr>
        <w:pStyle w:val="NormalWeb"/>
        <w:shd w:val="clear" w:color="auto" w:fill="FFFFFF"/>
        <w:spacing w:after="225" w:line="276" w:lineRule="auto"/>
        <w:ind w:right="-574"/>
        <w:jc w:val="center"/>
        <w:rPr>
          <w:rFonts w:ascii="Open Sans Light" w:hAnsi="Open Sans Light" w:cs="Open Sans Light"/>
          <w:b/>
          <w:iCs/>
          <w:color w:val="303AB2"/>
          <w:sz w:val="30"/>
          <w:szCs w:val="20"/>
        </w:rPr>
      </w:pPr>
    </w:p>
    <w:p w14:paraId="1142981E" w14:textId="269B6520" w:rsidR="009F4539" w:rsidRDefault="00347D68" w:rsidP="00347D68">
      <w:pPr>
        <w:pStyle w:val="NormalWeb"/>
        <w:shd w:val="clear" w:color="auto" w:fill="FFFFFF"/>
        <w:spacing w:after="225" w:line="276" w:lineRule="auto"/>
        <w:ind w:right="-574"/>
        <w:jc w:val="center"/>
        <w:rPr>
          <w:rFonts w:ascii="Open Sans" w:hAnsi="Open Sans" w:cs="Open Sans"/>
          <w:color w:val="000000"/>
          <w:sz w:val="22"/>
          <w:szCs w:val="22"/>
        </w:rPr>
      </w:pPr>
      <w:r>
        <w:rPr>
          <w:rFonts w:ascii="Open Sans Light" w:hAnsi="Open Sans Light" w:cs="Open Sans Light"/>
          <w:b/>
          <w:iCs/>
          <w:color w:val="303AB2"/>
          <w:sz w:val="30"/>
          <w:szCs w:val="20"/>
        </w:rPr>
        <w:lastRenderedPageBreak/>
        <w:t xml:space="preserve">Mapa - </w:t>
      </w:r>
      <w:r w:rsidRPr="004F4D46">
        <w:rPr>
          <w:rFonts w:ascii="Open Sans Light" w:hAnsi="Open Sans Light" w:cs="Open Sans Light"/>
          <w:b/>
          <w:iCs/>
          <w:color w:val="303AB2"/>
          <w:sz w:val="30"/>
          <w:szCs w:val="20"/>
        </w:rPr>
        <w:t xml:space="preserve">Rentabilidad </w:t>
      </w:r>
      <w:r>
        <w:rPr>
          <w:rFonts w:ascii="Open Sans Light" w:hAnsi="Open Sans Light" w:cs="Open Sans Light"/>
          <w:b/>
          <w:iCs/>
          <w:color w:val="303AB2"/>
          <w:sz w:val="30"/>
          <w:szCs w:val="20"/>
        </w:rPr>
        <w:t xml:space="preserve">2020 </w:t>
      </w:r>
      <w:r w:rsidRPr="004F4D46">
        <w:rPr>
          <w:rFonts w:ascii="Open Sans Light" w:hAnsi="Open Sans Light" w:cs="Open Sans Light"/>
          <w:b/>
          <w:iCs/>
          <w:color w:val="303AB2"/>
          <w:sz w:val="30"/>
          <w:szCs w:val="20"/>
        </w:rPr>
        <w:t>por comunidades autónomas</w:t>
      </w:r>
      <w:r>
        <w:rPr>
          <w:rFonts w:ascii="Open Sans Light" w:hAnsi="Open Sans Light" w:cs="Open Sans Light"/>
          <w:b/>
          <w:iCs/>
          <w:color w:val="303AB2"/>
          <w:sz w:val="30"/>
          <w:szCs w:val="20"/>
        </w:rPr>
        <w:t xml:space="preserve"> </w:t>
      </w:r>
    </w:p>
    <w:p w14:paraId="74D137F1" w14:textId="0C530D19" w:rsidR="00347D68" w:rsidRDefault="009F4539" w:rsidP="00CA516A">
      <w:pPr>
        <w:pStyle w:val="NormalWeb"/>
        <w:shd w:val="clear" w:color="auto" w:fill="FFFFFF"/>
        <w:spacing w:after="225" w:line="276" w:lineRule="auto"/>
        <w:ind w:right="-574"/>
        <w:jc w:val="center"/>
        <w:rPr>
          <w:rFonts w:ascii="Open Sans" w:hAnsi="Open Sans" w:cs="Open Sans"/>
          <w:color w:val="000000"/>
          <w:sz w:val="22"/>
          <w:szCs w:val="22"/>
        </w:rPr>
      </w:pPr>
      <w:r>
        <w:rPr>
          <w:noProof/>
        </w:rPr>
        <w:drawing>
          <wp:inline distT="0" distB="0" distL="0" distR="0" wp14:anchorId="4222399F" wp14:editId="36097316">
            <wp:extent cx="5362575" cy="219075"/>
            <wp:effectExtent l="0" t="0" r="9525" b="9525"/>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19075"/>
                    </a:xfrm>
                    <a:prstGeom prst="rect">
                      <a:avLst/>
                    </a:prstGeom>
                  </pic:spPr>
                </pic:pic>
              </a:graphicData>
            </a:graphic>
          </wp:inline>
        </w:drawing>
      </w:r>
      <w:r w:rsidR="00347D68">
        <w:rPr>
          <w:noProof/>
        </w:rPr>
        <w:drawing>
          <wp:inline distT="0" distB="0" distL="0" distR="0" wp14:anchorId="7D429507" wp14:editId="7E5C1E62">
            <wp:extent cx="5396230" cy="38385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6230" cy="3838575"/>
                    </a:xfrm>
                    <a:prstGeom prst="rect">
                      <a:avLst/>
                    </a:prstGeom>
                  </pic:spPr>
                </pic:pic>
              </a:graphicData>
            </a:graphic>
          </wp:inline>
        </w:drawing>
      </w:r>
    </w:p>
    <w:p w14:paraId="62CB12FA" w14:textId="5AA7FD8B" w:rsidR="00347D68" w:rsidRDefault="00207B71" w:rsidP="00207B71">
      <w:pPr>
        <w:pStyle w:val="NormalWeb"/>
        <w:shd w:val="clear" w:color="auto" w:fill="FFFFFF"/>
        <w:spacing w:after="225" w:line="276" w:lineRule="auto"/>
        <w:ind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Mapa comparativo de la rentabilidad en España</w:t>
      </w:r>
      <w:r w:rsidR="001C6F88">
        <w:rPr>
          <w:rFonts w:ascii="Open Sans Light" w:hAnsi="Open Sans Light" w:cs="Open Sans Light"/>
          <w:b/>
          <w:iCs/>
          <w:color w:val="303AB2"/>
          <w:sz w:val="28"/>
          <w:szCs w:val="20"/>
        </w:rPr>
        <w:t xml:space="preserve"> por CCAA</w:t>
      </w:r>
      <w:r>
        <w:rPr>
          <w:rFonts w:ascii="Open Sans Light" w:hAnsi="Open Sans Light" w:cs="Open Sans Light"/>
          <w:b/>
          <w:iCs/>
          <w:color w:val="303AB2"/>
          <w:sz w:val="28"/>
          <w:szCs w:val="20"/>
        </w:rPr>
        <w:t xml:space="preserve"> (20</w:t>
      </w:r>
      <w:r w:rsidR="00420DED">
        <w:rPr>
          <w:rFonts w:ascii="Open Sans Light" w:hAnsi="Open Sans Light" w:cs="Open Sans Light"/>
          <w:b/>
          <w:iCs/>
          <w:color w:val="303AB2"/>
          <w:sz w:val="28"/>
          <w:szCs w:val="20"/>
        </w:rPr>
        <w:t>10</w:t>
      </w:r>
      <w:r>
        <w:rPr>
          <w:rFonts w:ascii="Open Sans Light" w:hAnsi="Open Sans Light" w:cs="Open Sans Light"/>
          <w:b/>
          <w:iCs/>
          <w:color w:val="303AB2"/>
          <w:sz w:val="28"/>
          <w:szCs w:val="20"/>
        </w:rPr>
        <w:t>, 201</w:t>
      </w:r>
      <w:r w:rsidR="00420DED">
        <w:rPr>
          <w:rFonts w:ascii="Open Sans Light" w:hAnsi="Open Sans Light" w:cs="Open Sans Light"/>
          <w:b/>
          <w:iCs/>
          <w:color w:val="303AB2"/>
          <w:sz w:val="28"/>
          <w:szCs w:val="20"/>
        </w:rPr>
        <w:t>5</w:t>
      </w:r>
      <w:r w:rsidR="00347D68">
        <w:rPr>
          <w:rFonts w:ascii="Open Sans Light" w:hAnsi="Open Sans Light" w:cs="Open Sans Light"/>
          <w:b/>
          <w:iCs/>
          <w:color w:val="303AB2"/>
          <w:sz w:val="28"/>
          <w:szCs w:val="20"/>
        </w:rPr>
        <w:t xml:space="preserve">, 2019 </w:t>
      </w:r>
      <w:r>
        <w:rPr>
          <w:rFonts w:ascii="Open Sans Light" w:hAnsi="Open Sans Light" w:cs="Open Sans Light"/>
          <w:b/>
          <w:iCs/>
          <w:color w:val="303AB2"/>
          <w:sz w:val="28"/>
          <w:szCs w:val="20"/>
        </w:rPr>
        <w:t>y 20</w:t>
      </w:r>
      <w:r w:rsidR="00420DED">
        <w:rPr>
          <w:rFonts w:ascii="Open Sans Light" w:hAnsi="Open Sans Light" w:cs="Open Sans Light"/>
          <w:b/>
          <w:iCs/>
          <w:color w:val="303AB2"/>
          <w:sz w:val="28"/>
          <w:szCs w:val="20"/>
        </w:rPr>
        <w:t>20</w:t>
      </w:r>
      <w:r>
        <w:rPr>
          <w:rFonts w:ascii="Open Sans Light" w:hAnsi="Open Sans Light" w:cs="Open Sans Light"/>
          <w:b/>
          <w:iCs/>
          <w:color w:val="303AB2"/>
          <w:sz w:val="28"/>
          <w:szCs w:val="20"/>
        </w:rPr>
        <w:t>)</w:t>
      </w:r>
    </w:p>
    <w:p w14:paraId="7C0C3C67" w14:textId="1078FB72" w:rsidR="00B45F97" w:rsidRDefault="009F4539" w:rsidP="00347D68">
      <w:pPr>
        <w:pStyle w:val="NormalWeb"/>
        <w:shd w:val="clear" w:color="auto" w:fill="FFFFFF"/>
        <w:spacing w:after="225" w:line="276" w:lineRule="auto"/>
        <w:ind w:right="-574"/>
        <w:jc w:val="center"/>
        <w:rPr>
          <w:noProof/>
        </w:rPr>
      </w:pPr>
      <w:r>
        <w:rPr>
          <w:noProof/>
        </w:rPr>
        <w:drawing>
          <wp:inline distT="0" distB="0" distL="0" distR="0" wp14:anchorId="72C496AE" wp14:editId="7AD597C7">
            <wp:extent cx="5362575" cy="219075"/>
            <wp:effectExtent l="0" t="0" r="9525" b="9525"/>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19075"/>
                    </a:xfrm>
                    <a:prstGeom prst="rect">
                      <a:avLst/>
                    </a:prstGeom>
                  </pic:spPr>
                </pic:pic>
              </a:graphicData>
            </a:graphic>
          </wp:inline>
        </w:drawing>
      </w:r>
      <w:r w:rsidR="00CA516A">
        <w:rPr>
          <w:noProof/>
        </w:rPr>
        <w:drawing>
          <wp:inline distT="0" distB="0" distL="0" distR="0" wp14:anchorId="6D44BFD4" wp14:editId="644BE24E">
            <wp:extent cx="5925820" cy="2364783"/>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039" cy="2382828"/>
                    </a:xfrm>
                    <a:prstGeom prst="rect">
                      <a:avLst/>
                    </a:prstGeom>
                    <a:noFill/>
                  </pic:spPr>
                </pic:pic>
              </a:graphicData>
            </a:graphic>
          </wp:inline>
        </w:drawing>
      </w:r>
    </w:p>
    <w:p w14:paraId="6346AF42" w14:textId="72814E91" w:rsidR="00CF684D" w:rsidRDefault="00CA516A" w:rsidP="00347D68">
      <w:pPr>
        <w:pStyle w:val="NormalWeb"/>
        <w:shd w:val="clear" w:color="auto" w:fill="FFFFFF"/>
        <w:spacing w:after="225" w:line="276" w:lineRule="auto"/>
        <w:ind w:right="-574"/>
        <w:jc w:val="center"/>
        <w:rPr>
          <w:noProof/>
        </w:rPr>
      </w:pPr>
      <w:r>
        <w:rPr>
          <w:noProof/>
        </w:rPr>
        <w:lastRenderedPageBreak/>
        <w:drawing>
          <wp:inline distT="0" distB="0" distL="0" distR="0" wp14:anchorId="7ACE452E" wp14:editId="4CB6F74D">
            <wp:extent cx="5810137" cy="2271395"/>
            <wp:effectExtent l="0" t="0" r="63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435" cy="2294186"/>
                    </a:xfrm>
                    <a:prstGeom prst="rect">
                      <a:avLst/>
                    </a:prstGeom>
                    <a:noFill/>
                  </pic:spPr>
                </pic:pic>
              </a:graphicData>
            </a:graphic>
          </wp:inline>
        </w:drawing>
      </w:r>
    </w:p>
    <w:p w14:paraId="364B6DFE" w14:textId="5B78D21F" w:rsidR="00E33B18" w:rsidRDefault="00420DED" w:rsidP="00A56319">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 xml:space="preserve">Por provincias </w:t>
      </w:r>
    </w:p>
    <w:p w14:paraId="348B187A" w14:textId="7F4AF2FE" w:rsidR="00AA49C9" w:rsidRPr="0014290F" w:rsidRDefault="00AE43A5" w:rsidP="00AA49C9">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El </w:t>
      </w:r>
      <w:r w:rsidR="00FC278D">
        <w:rPr>
          <w:rFonts w:ascii="Open Sans" w:hAnsi="Open Sans" w:cs="Open Sans"/>
          <w:color w:val="000000"/>
          <w:sz w:val="22"/>
          <w:szCs w:val="22"/>
        </w:rPr>
        <w:t>21% de las 48 provincias analizadas tienen una rentabilidad superior a la media española (6,8%).</w:t>
      </w:r>
      <w:r>
        <w:rPr>
          <w:rFonts w:ascii="Open Sans" w:hAnsi="Open Sans" w:cs="Open Sans"/>
          <w:color w:val="000000"/>
          <w:sz w:val="22"/>
          <w:szCs w:val="22"/>
        </w:rPr>
        <w:t xml:space="preserve"> L</w:t>
      </w:r>
      <w:r w:rsidR="004A22D3">
        <w:rPr>
          <w:rFonts w:ascii="Open Sans" w:hAnsi="Open Sans" w:cs="Open Sans"/>
          <w:color w:val="000000"/>
          <w:sz w:val="22"/>
          <w:szCs w:val="22"/>
        </w:rPr>
        <w:t>a</w:t>
      </w:r>
      <w:r w:rsidR="00AA49C9">
        <w:rPr>
          <w:rFonts w:ascii="Open Sans" w:hAnsi="Open Sans" w:cs="Open Sans"/>
          <w:color w:val="000000"/>
          <w:sz w:val="22"/>
          <w:szCs w:val="22"/>
        </w:rPr>
        <w:t>s</w:t>
      </w:r>
      <w:r w:rsidR="004A22D3">
        <w:rPr>
          <w:rFonts w:ascii="Open Sans" w:hAnsi="Open Sans" w:cs="Open Sans"/>
          <w:color w:val="000000"/>
          <w:sz w:val="22"/>
          <w:szCs w:val="22"/>
        </w:rPr>
        <w:t xml:space="preserve"> </w:t>
      </w:r>
      <w:r>
        <w:rPr>
          <w:rFonts w:ascii="Open Sans" w:hAnsi="Open Sans" w:cs="Open Sans"/>
          <w:color w:val="000000"/>
          <w:sz w:val="22"/>
          <w:szCs w:val="22"/>
        </w:rPr>
        <w:t>provincia</w:t>
      </w:r>
      <w:r w:rsidR="00AA49C9">
        <w:rPr>
          <w:rFonts w:ascii="Open Sans" w:hAnsi="Open Sans" w:cs="Open Sans"/>
          <w:color w:val="000000"/>
          <w:sz w:val="22"/>
          <w:szCs w:val="22"/>
        </w:rPr>
        <w:t>s</w:t>
      </w:r>
      <w:r>
        <w:rPr>
          <w:rFonts w:ascii="Open Sans" w:hAnsi="Open Sans" w:cs="Open Sans"/>
          <w:color w:val="000000"/>
          <w:sz w:val="22"/>
          <w:szCs w:val="22"/>
        </w:rPr>
        <w:t xml:space="preserve"> </w:t>
      </w:r>
      <w:r w:rsidR="004A22D3">
        <w:rPr>
          <w:rFonts w:ascii="Open Sans" w:hAnsi="Open Sans" w:cs="Open Sans"/>
          <w:color w:val="000000"/>
          <w:sz w:val="22"/>
          <w:szCs w:val="22"/>
        </w:rPr>
        <w:t>más rentable</w:t>
      </w:r>
      <w:r w:rsidR="00AA49C9">
        <w:rPr>
          <w:rFonts w:ascii="Open Sans" w:hAnsi="Open Sans" w:cs="Open Sans"/>
          <w:color w:val="000000"/>
          <w:sz w:val="22"/>
          <w:szCs w:val="22"/>
        </w:rPr>
        <w:t>s</w:t>
      </w:r>
      <w:r w:rsidR="004A22D3">
        <w:rPr>
          <w:rFonts w:ascii="Open Sans" w:hAnsi="Open Sans" w:cs="Open Sans"/>
          <w:color w:val="000000"/>
          <w:sz w:val="22"/>
          <w:szCs w:val="22"/>
        </w:rPr>
        <w:t xml:space="preserve"> en </w:t>
      </w:r>
      <w:r w:rsidR="00FC278D">
        <w:rPr>
          <w:rFonts w:ascii="Open Sans" w:hAnsi="Open Sans" w:cs="Open Sans"/>
          <w:color w:val="000000"/>
          <w:sz w:val="22"/>
          <w:szCs w:val="22"/>
        </w:rPr>
        <w:t>2020</w:t>
      </w:r>
      <w:r w:rsidR="00DC238D">
        <w:rPr>
          <w:rFonts w:ascii="Open Sans" w:hAnsi="Open Sans" w:cs="Open Sans"/>
          <w:color w:val="000000"/>
          <w:sz w:val="22"/>
          <w:szCs w:val="22"/>
        </w:rPr>
        <w:t>,</w:t>
      </w:r>
      <w:r w:rsidR="004A22D3">
        <w:rPr>
          <w:rFonts w:ascii="Open Sans" w:hAnsi="Open Sans" w:cs="Open Sans"/>
          <w:color w:val="000000"/>
          <w:sz w:val="22"/>
          <w:szCs w:val="22"/>
        </w:rPr>
        <w:t xml:space="preserve"> </w:t>
      </w:r>
      <w:r w:rsidR="00AA49C9">
        <w:rPr>
          <w:rFonts w:ascii="Open Sans" w:hAnsi="Open Sans" w:cs="Open Sans"/>
          <w:color w:val="000000"/>
          <w:sz w:val="22"/>
          <w:szCs w:val="22"/>
        </w:rPr>
        <w:t>y que están por encima de la media son:</w:t>
      </w:r>
      <w:r w:rsidR="004A22D3">
        <w:rPr>
          <w:rFonts w:ascii="Open Sans" w:hAnsi="Open Sans" w:cs="Open Sans"/>
          <w:color w:val="000000"/>
          <w:sz w:val="22"/>
          <w:szCs w:val="22"/>
        </w:rPr>
        <w:t xml:space="preserve"> Toledo</w:t>
      </w:r>
      <w:r w:rsidR="00AA49C9">
        <w:rPr>
          <w:rFonts w:ascii="Open Sans" w:hAnsi="Open Sans" w:cs="Open Sans"/>
          <w:color w:val="000000"/>
          <w:sz w:val="22"/>
          <w:szCs w:val="22"/>
        </w:rPr>
        <w:t xml:space="preserve">  (8%), </w:t>
      </w:r>
      <w:r w:rsidR="00AA49C9" w:rsidRPr="00AA49C9">
        <w:rPr>
          <w:rFonts w:ascii="Open Sans" w:hAnsi="Open Sans" w:cs="Open Sans"/>
          <w:color w:val="000000"/>
          <w:sz w:val="22"/>
          <w:szCs w:val="22"/>
        </w:rPr>
        <w:t>Valencia</w:t>
      </w:r>
      <w:r w:rsidR="00AA49C9">
        <w:rPr>
          <w:rFonts w:ascii="Open Sans" w:hAnsi="Open Sans" w:cs="Open Sans"/>
          <w:color w:val="000000"/>
          <w:sz w:val="22"/>
          <w:szCs w:val="22"/>
        </w:rPr>
        <w:t xml:space="preserve"> (7,4%), </w:t>
      </w:r>
      <w:r w:rsidR="00AA49C9" w:rsidRPr="00AA49C9">
        <w:rPr>
          <w:rFonts w:ascii="Open Sans" w:hAnsi="Open Sans" w:cs="Open Sans"/>
          <w:color w:val="000000"/>
          <w:sz w:val="22"/>
          <w:szCs w:val="22"/>
        </w:rPr>
        <w:t>Sevilla</w:t>
      </w:r>
      <w:r w:rsidR="00AA49C9">
        <w:rPr>
          <w:rFonts w:ascii="Open Sans" w:hAnsi="Open Sans" w:cs="Open Sans"/>
          <w:color w:val="000000"/>
          <w:sz w:val="22"/>
          <w:szCs w:val="22"/>
        </w:rPr>
        <w:t xml:space="preserve"> (7,3%), </w:t>
      </w:r>
      <w:r w:rsidR="00AA49C9" w:rsidRPr="00AA49C9">
        <w:rPr>
          <w:rFonts w:ascii="Open Sans" w:hAnsi="Open Sans" w:cs="Open Sans"/>
          <w:color w:val="000000"/>
          <w:sz w:val="22"/>
          <w:szCs w:val="22"/>
        </w:rPr>
        <w:t>Lleida</w:t>
      </w:r>
      <w:r w:rsidR="00AA49C9">
        <w:rPr>
          <w:rFonts w:ascii="Open Sans" w:hAnsi="Open Sans" w:cs="Open Sans"/>
          <w:color w:val="000000"/>
          <w:sz w:val="22"/>
          <w:szCs w:val="22"/>
        </w:rPr>
        <w:t xml:space="preserve"> (7,2%), </w:t>
      </w:r>
      <w:r w:rsidR="00AA49C9" w:rsidRPr="00AA49C9">
        <w:rPr>
          <w:rFonts w:ascii="Open Sans" w:hAnsi="Open Sans" w:cs="Open Sans"/>
          <w:color w:val="000000"/>
          <w:sz w:val="22"/>
          <w:szCs w:val="22"/>
        </w:rPr>
        <w:t>Navarra</w:t>
      </w:r>
      <w:r w:rsidR="00AA49C9">
        <w:rPr>
          <w:rFonts w:ascii="Open Sans" w:hAnsi="Open Sans" w:cs="Open Sans"/>
          <w:color w:val="000000"/>
          <w:sz w:val="22"/>
          <w:szCs w:val="22"/>
        </w:rPr>
        <w:t xml:space="preserve"> (7,1%), </w:t>
      </w:r>
      <w:r w:rsidR="00AA49C9" w:rsidRPr="00AA49C9">
        <w:rPr>
          <w:rFonts w:ascii="Open Sans" w:hAnsi="Open Sans" w:cs="Open Sans"/>
          <w:color w:val="000000"/>
          <w:sz w:val="22"/>
          <w:szCs w:val="22"/>
        </w:rPr>
        <w:t>Huelva</w:t>
      </w:r>
      <w:r w:rsidR="00AA49C9">
        <w:rPr>
          <w:rFonts w:ascii="Open Sans" w:hAnsi="Open Sans" w:cs="Open Sans"/>
          <w:color w:val="000000"/>
          <w:sz w:val="22"/>
          <w:szCs w:val="22"/>
        </w:rPr>
        <w:t xml:space="preserve"> (7,1%), </w:t>
      </w:r>
      <w:r w:rsidR="00AA49C9" w:rsidRPr="00AA49C9">
        <w:rPr>
          <w:rFonts w:ascii="Open Sans" w:hAnsi="Open Sans" w:cs="Open Sans"/>
          <w:color w:val="000000"/>
          <w:sz w:val="22"/>
          <w:szCs w:val="22"/>
        </w:rPr>
        <w:t>Castellón</w:t>
      </w:r>
      <w:r w:rsidR="00AA49C9">
        <w:rPr>
          <w:rFonts w:ascii="Open Sans" w:hAnsi="Open Sans" w:cs="Open Sans"/>
          <w:color w:val="000000"/>
          <w:sz w:val="22"/>
          <w:szCs w:val="22"/>
        </w:rPr>
        <w:t xml:space="preserve"> (7,1%), </w:t>
      </w:r>
      <w:r w:rsidR="00AA49C9" w:rsidRPr="0014290F">
        <w:rPr>
          <w:rFonts w:ascii="Open Sans" w:hAnsi="Open Sans" w:cs="Open Sans"/>
          <w:color w:val="000000"/>
          <w:sz w:val="22"/>
          <w:szCs w:val="22"/>
        </w:rPr>
        <w:t>Murcia (7%), Segovia (7%) y Almería (6,9%).</w:t>
      </w:r>
    </w:p>
    <w:p w14:paraId="4D4FC280" w14:textId="7F2D10E1" w:rsidR="00AA49C9" w:rsidRDefault="00D42D4B" w:rsidP="003828C7">
      <w:pPr>
        <w:pStyle w:val="NormalWeb"/>
        <w:shd w:val="clear" w:color="auto" w:fill="FFFFFF"/>
        <w:spacing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El resto de</w:t>
      </w:r>
      <w:r w:rsidR="00AA49C9" w:rsidRPr="0014290F">
        <w:rPr>
          <w:rFonts w:ascii="Open Sans" w:hAnsi="Open Sans" w:cs="Open Sans"/>
          <w:color w:val="000000"/>
          <w:sz w:val="22"/>
          <w:szCs w:val="22"/>
        </w:rPr>
        <w:t xml:space="preserve"> </w:t>
      </w:r>
      <w:r w:rsidR="000747F5" w:rsidRPr="0014290F">
        <w:rPr>
          <w:rFonts w:ascii="Open Sans" w:hAnsi="Open Sans" w:cs="Open Sans"/>
          <w:color w:val="000000"/>
          <w:sz w:val="22"/>
          <w:szCs w:val="22"/>
        </w:rPr>
        <w:t>las provincias</w:t>
      </w:r>
      <w:r w:rsidR="00261537" w:rsidRPr="0014290F">
        <w:rPr>
          <w:rFonts w:ascii="Open Sans" w:hAnsi="Open Sans" w:cs="Open Sans"/>
          <w:color w:val="000000"/>
          <w:sz w:val="22"/>
          <w:szCs w:val="22"/>
        </w:rPr>
        <w:t xml:space="preserve"> </w:t>
      </w:r>
      <w:r w:rsidR="00AA49C9" w:rsidRPr="0014290F">
        <w:rPr>
          <w:rFonts w:ascii="Open Sans" w:hAnsi="Open Sans" w:cs="Open Sans"/>
          <w:color w:val="000000"/>
          <w:sz w:val="22"/>
          <w:szCs w:val="22"/>
        </w:rPr>
        <w:t>que se encuentran por debajo de la rentabilidad de la media de</w:t>
      </w:r>
      <w:r w:rsidR="00AA49C9">
        <w:rPr>
          <w:rFonts w:ascii="Open Sans" w:hAnsi="Open Sans" w:cs="Open Sans"/>
          <w:color w:val="000000"/>
          <w:sz w:val="22"/>
          <w:szCs w:val="22"/>
        </w:rPr>
        <w:t xml:space="preserve"> España son:</w:t>
      </w:r>
      <w:r w:rsidR="00AA49C9" w:rsidRPr="00AA49C9">
        <w:t xml:space="preserve"> </w:t>
      </w:r>
      <w:r w:rsidR="00AA49C9" w:rsidRPr="00AA49C9">
        <w:rPr>
          <w:rFonts w:ascii="Open Sans" w:hAnsi="Open Sans" w:cs="Open Sans"/>
          <w:color w:val="000000"/>
          <w:sz w:val="22"/>
          <w:szCs w:val="22"/>
        </w:rPr>
        <w:t>Guadalajara</w:t>
      </w:r>
      <w:r w:rsidR="00AA49C9">
        <w:rPr>
          <w:rFonts w:ascii="Open Sans" w:hAnsi="Open Sans" w:cs="Open Sans"/>
          <w:color w:val="000000"/>
          <w:sz w:val="22"/>
          <w:szCs w:val="22"/>
        </w:rPr>
        <w:t xml:space="preserve"> (6,7%), </w:t>
      </w:r>
      <w:r w:rsidR="00AA49C9" w:rsidRPr="00AA49C9">
        <w:rPr>
          <w:rFonts w:ascii="Open Sans" w:hAnsi="Open Sans" w:cs="Open Sans"/>
          <w:color w:val="000000"/>
          <w:sz w:val="22"/>
          <w:szCs w:val="22"/>
        </w:rPr>
        <w:t>Ávila</w:t>
      </w:r>
      <w:r w:rsidR="00AA49C9">
        <w:rPr>
          <w:rFonts w:ascii="Open Sans" w:hAnsi="Open Sans" w:cs="Open Sans"/>
          <w:color w:val="000000"/>
          <w:sz w:val="22"/>
          <w:szCs w:val="22"/>
        </w:rPr>
        <w:t xml:space="preserve"> (6,7%), </w:t>
      </w:r>
      <w:r w:rsidR="00AA49C9" w:rsidRPr="00AA49C9">
        <w:rPr>
          <w:rFonts w:ascii="Open Sans" w:hAnsi="Open Sans" w:cs="Open Sans"/>
          <w:color w:val="000000"/>
          <w:sz w:val="22"/>
          <w:szCs w:val="22"/>
        </w:rPr>
        <w:t>Las Palmas</w:t>
      </w:r>
      <w:r w:rsidR="00AA49C9">
        <w:rPr>
          <w:rFonts w:ascii="Open Sans" w:hAnsi="Open Sans" w:cs="Open Sans"/>
          <w:color w:val="000000"/>
          <w:sz w:val="22"/>
          <w:szCs w:val="22"/>
        </w:rPr>
        <w:t xml:space="preserve"> (6,6%), </w:t>
      </w:r>
      <w:r w:rsidR="00AA49C9" w:rsidRPr="00AA49C9">
        <w:rPr>
          <w:rFonts w:ascii="Open Sans" w:hAnsi="Open Sans" w:cs="Open Sans"/>
          <w:color w:val="000000"/>
          <w:sz w:val="22"/>
          <w:szCs w:val="22"/>
        </w:rPr>
        <w:t>Tarragona</w:t>
      </w:r>
      <w:r w:rsidR="00AA49C9">
        <w:rPr>
          <w:rFonts w:ascii="Open Sans" w:hAnsi="Open Sans" w:cs="Open Sans"/>
          <w:color w:val="000000"/>
          <w:sz w:val="22"/>
          <w:szCs w:val="22"/>
        </w:rPr>
        <w:t xml:space="preserve"> (6,6%), </w:t>
      </w:r>
      <w:r w:rsidR="00AA49C9" w:rsidRPr="00AA49C9">
        <w:rPr>
          <w:rFonts w:ascii="Open Sans" w:hAnsi="Open Sans" w:cs="Open Sans"/>
          <w:color w:val="000000"/>
          <w:sz w:val="22"/>
          <w:szCs w:val="22"/>
        </w:rPr>
        <w:t>Huesca</w:t>
      </w:r>
      <w:r w:rsidR="00AA49C9">
        <w:rPr>
          <w:rFonts w:ascii="Open Sans" w:hAnsi="Open Sans" w:cs="Open Sans"/>
          <w:color w:val="000000"/>
          <w:sz w:val="22"/>
          <w:szCs w:val="22"/>
        </w:rPr>
        <w:t xml:space="preserve"> (6,5%), </w:t>
      </w:r>
      <w:r w:rsidR="00AA49C9" w:rsidRPr="00AA49C9">
        <w:rPr>
          <w:rFonts w:ascii="Open Sans" w:hAnsi="Open Sans" w:cs="Open Sans"/>
          <w:color w:val="000000"/>
          <w:sz w:val="22"/>
          <w:szCs w:val="22"/>
        </w:rPr>
        <w:t>Ciudad Real</w:t>
      </w:r>
      <w:r w:rsidR="00AA49C9">
        <w:rPr>
          <w:rFonts w:ascii="Open Sans" w:hAnsi="Open Sans" w:cs="Open Sans"/>
          <w:color w:val="000000"/>
          <w:sz w:val="22"/>
          <w:szCs w:val="22"/>
        </w:rPr>
        <w:t xml:space="preserve"> (6,5%), </w:t>
      </w:r>
      <w:r w:rsidR="00AA49C9" w:rsidRPr="00AA49C9">
        <w:rPr>
          <w:rFonts w:ascii="Open Sans" w:hAnsi="Open Sans" w:cs="Open Sans"/>
          <w:color w:val="000000"/>
          <w:sz w:val="22"/>
          <w:szCs w:val="22"/>
        </w:rPr>
        <w:t>Zaragoza</w:t>
      </w:r>
      <w:r w:rsidR="00AA49C9">
        <w:rPr>
          <w:rFonts w:ascii="Open Sans" w:hAnsi="Open Sans" w:cs="Open Sans"/>
          <w:color w:val="000000"/>
          <w:sz w:val="22"/>
          <w:szCs w:val="22"/>
        </w:rPr>
        <w:t xml:space="preserve"> (6,4%), </w:t>
      </w:r>
      <w:r w:rsidR="00AA49C9" w:rsidRPr="00AA49C9">
        <w:rPr>
          <w:rFonts w:ascii="Open Sans" w:hAnsi="Open Sans" w:cs="Open Sans"/>
          <w:color w:val="000000"/>
          <w:sz w:val="22"/>
          <w:szCs w:val="22"/>
        </w:rPr>
        <w:t>Lugo</w:t>
      </w:r>
      <w:r w:rsidR="00AA49C9">
        <w:rPr>
          <w:rFonts w:ascii="Open Sans" w:hAnsi="Open Sans" w:cs="Open Sans"/>
          <w:color w:val="000000"/>
          <w:sz w:val="22"/>
          <w:szCs w:val="22"/>
        </w:rPr>
        <w:t xml:space="preserve"> (6,3%), </w:t>
      </w:r>
      <w:r w:rsidR="00AA49C9" w:rsidRPr="00AA49C9">
        <w:rPr>
          <w:rFonts w:ascii="Open Sans" w:hAnsi="Open Sans" w:cs="Open Sans"/>
          <w:color w:val="000000"/>
          <w:sz w:val="22"/>
          <w:szCs w:val="22"/>
        </w:rPr>
        <w:t>Santa Cruz de Tenerife</w:t>
      </w:r>
      <w:r w:rsidR="00AA49C9">
        <w:rPr>
          <w:rFonts w:ascii="Open Sans" w:hAnsi="Open Sans" w:cs="Open Sans"/>
          <w:color w:val="000000"/>
          <w:sz w:val="22"/>
          <w:szCs w:val="22"/>
        </w:rPr>
        <w:t xml:space="preserve"> (6,2%) y </w:t>
      </w:r>
      <w:r w:rsidR="00AA49C9" w:rsidRPr="00AA49C9">
        <w:rPr>
          <w:rFonts w:ascii="Open Sans" w:hAnsi="Open Sans" w:cs="Open Sans"/>
          <w:color w:val="000000"/>
          <w:sz w:val="22"/>
          <w:szCs w:val="22"/>
        </w:rPr>
        <w:t>Córdoba</w:t>
      </w:r>
      <w:r w:rsidR="00AA49C9">
        <w:rPr>
          <w:rFonts w:ascii="Open Sans" w:hAnsi="Open Sans" w:cs="Open Sans"/>
          <w:color w:val="000000"/>
          <w:sz w:val="22"/>
          <w:szCs w:val="22"/>
        </w:rPr>
        <w:t xml:space="preserve"> (6,2%)</w:t>
      </w:r>
      <w:r>
        <w:rPr>
          <w:rFonts w:ascii="Open Sans" w:hAnsi="Open Sans" w:cs="Open Sans"/>
          <w:color w:val="000000"/>
          <w:sz w:val="22"/>
          <w:szCs w:val="22"/>
        </w:rPr>
        <w:t>, entre otras</w:t>
      </w:r>
      <w:r w:rsidR="00AA49C9">
        <w:rPr>
          <w:rFonts w:ascii="Open Sans" w:hAnsi="Open Sans" w:cs="Open Sans"/>
          <w:color w:val="000000"/>
          <w:sz w:val="22"/>
          <w:szCs w:val="22"/>
        </w:rPr>
        <w:t xml:space="preserve">. Por otro lado, las dos provincias menos rentables son </w:t>
      </w:r>
      <w:r w:rsidR="00AA49C9" w:rsidRPr="00AA49C9">
        <w:rPr>
          <w:rFonts w:ascii="Open Sans" w:hAnsi="Open Sans" w:cs="Open Sans"/>
          <w:color w:val="000000"/>
          <w:sz w:val="22"/>
          <w:szCs w:val="22"/>
        </w:rPr>
        <w:t>Illes Balears</w:t>
      </w:r>
      <w:r w:rsidR="00AA49C9">
        <w:rPr>
          <w:rFonts w:ascii="Open Sans" w:hAnsi="Open Sans" w:cs="Open Sans"/>
          <w:color w:val="000000"/>
          <w:sz w:val="22"/>
          <w:szCs w:val="22"/>
        </w:rPr>
        <w:t xml:space="preserve"> y </w:t>
      </w:r>
      <w:r w:rsidR="00AA49C9" w:rsidRPr="00AA49C9">
        <w:rPr>
          <w:rFonts w:ascii="Open Sans" w:hAnsi="Open Sans" w:cs="Open Sans"/>
          <w:color w:val="000000"/>
          <w:sz w:val="22"/>
          <w:szCs w:val="22"/>
        </w:rPr>
        <w:t>Ourense</w:t>
      </w:r>
      <w:r w:rsidR="00AA49C9">
        <w:rPr>
          <w:rFonts w:ascii="Open Sans" w:hAnsi="Open Sans" w:cs="Open Sans"/>
          <w:color w:val="000000"/>
          <w:sz w:val="22"/>
          <w:szCs w:val="22"/>
        </w:rPr>
        <w:t xml:space="preserve"> con un 4,8% y un 4,9%, respectivamente.</w:t>
      </w:r>
    </w:p>
    <w:p w14:paraId="63994623" w14:textId="4722D99A" w:rsidR="00924A99" w:rsidRDefault="00DE6516" w:rsidP="009F4539">
      <w:pPr>
        <w:pStyle w:val="NormalWeb"/>
        <w:shd w:val="clear" w:color="auto" w:fill="FFFFFF"/>
        <w:spacing w:after="225" w:line="276" w:lineRule="auto"/>
        <w:ind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Mapa comparativo de la rentabilidad en España por provincias (20</w:t>
      </w:r>
      <w:r w:rsidR="00A300F0">
        <w:rPr>
          <w:rFonts w:ascii="Open Sans Light" w:hAnsi="Open Sans Light" w:cs="Open Sans Light"/>
          <w:b/>
          <w:iCs/>
          <w:color w:val="303AB2"/>
          <w:sz w:val="28"/>
          <w:szCs w:val="20"/>
        </w:rPr>
        <w:t>10</w:t>
      </w:r>
      <w:r>
        <w:rPr>
          <w:rFonts w:ascii="Open Sans Light" w:hAnsi="Open Sans Light" w:cs="Open Sans Light"/>
          <w:b/>
          <w:iCs/>
          <w:color w:val="303AB2"/>
          <w:sz w:val="28"/>
          <w:szCs w:val="20"/>
        </w:rPr>
        <w:t>, 201</w:t>
      </w:r>
      <w:r w:rsidR="00A300F0">
        <w:rPr>
          <w:rFonts w:ascii="Open Sans Light" w:hAnsi="Open Sans Light" w:cs="Open Sans Light"/>
          <w:b/>
          <w:iCs/>
          <w:color w:val="303AB2"/>
          <w:sz w:val="28"/>
          <w:szCs w:val="20"/>
        </w:rPr>
        <w:t>5</w:t>
      </w:r>
      <w:r w:rsidR="00AA23C7">
        <w:rPr>
          <w:rFonts w:ascii="Open Sans Light" w:hAnsi="Open Sans Light" w:cs="Open Sans Light"/>
          <w:b/>
          <w:iCs/>
          <w:color w:val="303AB2"/>
          <w:sz w:val="28"/>
          <w:szCs w:val="20"/>
        </w:rPr>
        <w:t>, 2019</w:t>
      </w:r>
      <w:r>
        <w:rPr>
          <w:rFonts w:ascii="Open Sans Light" w:hAnsi="Open Sans Light" w:cs="Open Sans Light"/>
          <w:b/>
          <w:iCs/>
          <w:color w:val="303AB2"/>
          <w:sz w:val="28"/>
          <w:szCs w:val="20"/>
        </w:rPr>
        <w:t xml:space="preserve"> y 20</w:t>
      </w:r>
      <w:r w:rsidR="00A300F0">
        <w:rPr>
          <w:rFonts w:ascii="Open Sans Light" w:hAnsi="Open Sans Light" w:cs="Open Sans Light"/>
          <w:b/>
          <w:iCs/>
          <w:color w:val="303AB2"/>
          <w:sz w:val="28"/>
          <w:szCs w:val="20"/>
        </w:rPr>
        <w:t>20</w:t>
      </w:r>
      <w:r>
        <w:rPr>
          <w:rFonts w:ascii="Open Sans Light" w:hAnsi="Open Sans Light" w:cs="Open Sans Light"/>
          <w:b/>
          <w:iCs/>
          <w:color w:val="303AB2"/>
          <w:sz w:val="28"/>
          <w:szCs w:val="20"/>
        </w:rPr>
        <w:t>)</w:t>
      </w:r>
    </w:p>
    <w:p w14:paraId="2D3D6285" w14:textId="08110853" w:rsidR="00924A99" w:rsidRDefault="009F4539" w:rsidP="00CA516A">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Pr>
          <w:noProof/>
        </w:rPr>
        <w:drawing>
          <wp:inline distT="0" distB="0" distL="0" distR="0" wp14:anchorId="3F3CFB40" wp14:editId="217F8CC2">
            <wp:extent cx="5362575" cy="219075"/>
            <wp:effectExtent l="0" t="0" r="9525" b="9525"/>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19075"/>
                    </a:xfrm>
                    <a:prstGeom prst="rect">
                      <a:avLst/>
                    </a:prstGeom>
                  </pic:spPr>
                </pic:pic>
              </a:graphicData>
            </a:graphic>
          </wp:inline>
        </w:drawing>
      </w:r>
      <w:r>
        <w:rPr>
          <w:rFonts w:ascii="Open Sans Light" w:hAnsi="Open Sans Light" w:cs="Open Sans Light"/>
          <w:b/>
          <w:iCs/>
          <w:noProof/>
          <w:color w:val="303AB2"/>
          <w:sz w:val="28"/>
          <w:szCs w:val="20"/>
        </w:rPr>
        <w:t xml:space="preserve"> </w:t>
      </w:r>
      <w:r w:rsidR="00CA516A">
        <w:rPr>
          <w:rFonts w:ascii="Open Sans Light" w:hAnsi="Open Sans Light" w:cs="Open Sans Light"/>
          <w:b/>
          <w:iCs/>
          <w:noProof/>
          <w:color w:val="303AB2"/>
          <w:sz w:val="28"/>
          <w:szCs w:val="20"/>
        </w:rPr>
        <w:drawing>
          <wp:inline distT="0" distB="0" distL="0" distR="0" wp14:anchorId="5C8E320C" wp14:editId="230CF8E5">
            <wp:extent cx="5858510" cy="2286818"/>
            <wp:effectExtent l="0" t="0" r="889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74085" cy="2292897"/>
                    </a:xfrm>
                    <a:prstGeom prst="rect">
                      <a:avLst/>
                    </a:prstGeom>
                    <a:noFill/>
                  </pic:spPr>
                </pic:pic>
              </a:graphicData>
            </a:graphic>
          </wp:inline>
        </w:drawing>
      </w:r>
    </w:p>
    <w:p w14:paraId="1B15E460" w14:textId="5D29D388" w:rsidR="00CA516A" w:rsidRDefault="00CA516A" w:rsidP="00A56319">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noProof/>
          <w:color w:val="303AB2"/>
          <w:sz w:val="28"/>
          <w:szCs w:val="20"/>
        </w:rPr>
        <w:lastRenderedPageBreak/>
        <w:drawing>
          <wp:inline distT="0" distB="0" distL="0" distR="0" wp14:anchorId="10A20987" wp14:editId="5E2D54AF">
            <wp:extent cx="5877560" cy="2294254"/>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2892" cy="2311949"/>
                    </a:xfrm>
                    <a:prstGeom prst="rect">
                      <a:avLst/>
                    </a:prstGeom>
                    <a:noFill/>
                  </pic:spPr>
                </pic:pic>
              </a:graphicData>
            </a:graphic>
          </wp:inline>
        </w:drawing>
      </w:r>
    </w:p>
    <w:p w14:paraId="760C2A68" w14:textId="77777777" w:rsidR="004B5861" w:rsidRDefault="004B5861" w:rsidP="00AE43A5">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p>
    <w:p w14:paraId="5FE1C7EA" w14:textId="34F354E2" w:rsidR="0014415E" w:rsidRPr="00A56319" w:rsidRDefault="00A300F0" w:rsidP="00AE43A5">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r>
        <w:rPr>
          <w:rFonts w:ascii="Open Sans Light" w:hAnsi="Open Sans Light" w:cs="Open Sans Light"/>
          <w:b/>
          <w:iCs/>
          <w:color w:val="303AB2"/>
          <w:sz w:val="28"/>
          <w:szCs w:val="20"/>
        </w:rPr>
        <w:t>Por municipios</w:t>
      </w:r>
    </w:p>
    <w:p w14:paraId="6A746DA3" w14:textId="4649F093" w:rsidR="007F25F1" w:rsidRDefault="0014415E" w:rsidP="002136F0">
      <w:pPr>
        <w:pStyle w:val="NormalWeb"/>
        <w:shd w:val="clear" w:color="auto" w:fill="FFFFFF"/>
        <w:spacing w:after="225" w:line="276" w:lineRule="auto"/>
        <w:ind w:left="-142" w:right="-574"/>
        <w:jc w:val="both"/>
        <w:rPr>
          <w:rFonts w:ascii="Open Sans" w:hAnsi="Open Sans" w:cs="Open Sans"/>
          <w:color w:val="000000"/>
          <w:sz w:val="22"/>
          <w:szCs w:val="22"/>
        </w:rPr>
      </w:pPr>
      <w:r w:rsidRPr="00A56319">
        <w:rPr>
          <w:rFonts w:ascii="Open Sans" w:hAnsi="Open Sans" w:cs="Open Sans"/>
          <w:color w:val="000000"/>
          <w:sz w:val="22"/>
          <w:szCs w:val="22"/>
        </w:rPr>
        <w:t xml:space="preserve">El análisis de </w:t>
      </w:r>
      <w:hyperlink r:id="rId19" w:history="1">
        <w:r w:rsidR="00A56319" w:rsidRPr="000A4242">
          <w:rPr>
            <w:rStyle w:val="Hipervnculo"/>
            <w:rFonts w:ascii="Open Sans" w:hAnsi="Open Sans" w:cs="Open Sans"/>
            <w:sz w:val="22"/>
            <w:szCs w:val="22"/>
          </w:rPr>
          <w:t>Fotocasa</w:t>
        </w:r>
      </w:hyperlink>
      <w:r w:rsidRPr="00A56319">
        <w:rPr>
          <w:rFonts w:ascii="Open Sans" w:hAnsi="Open Sans" w:cs="Open Sans"/>
          <w:color w:val="000000"/>
          <w:sz w:val="22"/>
          <w:szCs w:val="22"/>
        </w:rPr>
        <w:t xml:space="preserve"> también ofrece datos de rentabilidad </w:t>
      </w:r>
      <w:r w:rsidR="00637AA1">
        <w:rPr>
          <w:rFonts w:ascii="Open Sans" w:hAnsi="Open Sans" w:cs="Open Sans"/>
          <w:color w:val="000000"/>
          <w:sz w:val="22"/>
          <w:szCs w:val="22"/>
        </w:rPr>
        <w:t>por</w:t>
      </w:r>
      <w:r w:rsidRPr="00A56319">
        <w:rPr>
          <w:rFonts w:ascii="Open Sans" w:hAnsi="Open Sans" w:cs="Open Sans"/>
          <w:color w:val="000000"/>
          <w:sz w:val="22"/>
          <w:szCs w:val="22"/>
        </w:rPr>
        <w:t xml:space="preserve"> municipios</w:t>
      </w:r>
      <w:r w:rsidR="00637AA1">
        <w:rPr>
          <w:rFonts w:ascii="Open Sans" w:hAnsi="Open Sans" w:cs="Open Sans"/>
          <w:color w:val="000000"/>
          <w:sz w:val="22"/>
          <w:szCs w:val="22"/>
        </w:rPr>
        <w:t>.</w:t>
      </w:r>
      <w:r w:rsidRPr="00A56319">
        <w:rPr>
          <w:rFonts w:ascii="Open Sans" w:hAnsi="Open Sans" w:cs="Open Sans"/>
          <w:color w:val="000000"/>
          <w:sz w:val="22"/>
          <w:szCs w:val="22"/>
        </w:rPr>
        <w:t xml:space="preserve"> Así, del análisis se desprende que </w:t>
      </w:r>
      <w:r w:rsidR="00410D15">
        <w:rPr>
          <w:rFonts w:ascii="Open Sans" w:hAnsi="Open Sans" w:cs="Open Sans"/>
          <w:color w:val="000000"/>
          <w:sz w:val="22"/>
          <w:szCs w:val="22"/>
        </w:rPr>
        <w:t>el</w:t>
      </w:r>
      <w:r w:rsidR="006D417B">
        <w:rPr>
          <w:rFonts w:ascii="Open Sans" w:hAnsi="Open Sans" w:cs="Open Sans"/>
          <w:color w:val="000000"/>
          <w:sz w:val="22"/>
          <w:szCs w:val="22"/>
        </w:rPr>
        <w:t xml:space="preserve"> 7,6% de los </w:t>
      </w:r>
      <w:r w:rsidR="00410D15">
        <w:rPr>
          <w:rFonts w:ascii="Open Sans" w:hAnsi="Open Sans" w:cs="Open Sans"/>
          <w:color w:val="000000"/>
          <w:sz w:val="22"/>
          <w:szCs w:val="22"/>
        </w:rPr>
        <w:t>municipio</w:t>
      </w:r>
      <w:r w:rsidR="006D417B">
        <w:rPr>
          <w:rFonts w:ascii="Open Sans" w:hAnsi="Open Sans" w:cs="Open Sans"/>
          <w:color w:val="000000"/>
          <w:sz w:val="22"/>
          <w:szCs w:val="22"/>
        </w:rPr>
        <w:t>s estudiados (119 municipios</w:t>
      </w:r>
      <w:r w:rsidR="00D42D4B">
        <w:rPr>
          <w:rFonts w:ascii="Open Sans" w:hAnsi="Open Sans" w:cs="Open Sans"/>
          <w:color w:val="000000"/>
          <w:sz w:val="22"/>
          <w:szCs w:val="22"/>
        </w:rPr>
        <w:t xml:space="preserve"> en total</w:t>
      </w:r>
      <w:r w:rsidR="006D417B">
        <w:rPr>
          <w:rFonts w:ascii="Open Sans" w:hAnsi="Open Sans" w:cs="Open Sans"/>
          <w:color w:val="000000"/>
          <w:sz w:val="22"/>
          <w:szCs w:val="22"/>
        </w:rPr>
        <w:t>)</w:t>
      </w:r>
      <w:r w:rsidR="007F25F1">
        <w:rPr>
          <w:rFonts w:ascii="Open Sans" w:hAnsi="Open Sans" w:cs="Open Sans"/>
          <w:color w:val="000000"/>
          <w:sz w:val="22"/>
          <w:szCs w:val="22"/>
        </w:rPr>
        <w:t xml:space="preserve"> tienen una rentabilidad igual o por encima de la media de España (6,8%). </w:t>
      </w:r>
      <w:r w:rsidR="006D417B">
        <w:rPr>
          <w:rFonts w:ascii="Open Sans" w:hAnsi="Open Sans" w:cs="Open Sans"/>
          <w:color w:val="000000"/>
          <w:sz w:val="22"/>
          <w:szCs w:val="22"/>
        </w:rPr>
        <w:t xml:space="preserve"> </w:t>
      </w:r>
      <w:r w:rsidR="007F25F1">
        <w:rPr>
          <w:rFonts w:ascii="Open Sans" w:hAnsi="Open Sans" w:cs="Open Sans"/>
          <w:color w:val="000000"/>
          <w:sz w:val="22"/>
          <w:szCs w:val="22"/>
        </w:rPr>
        <w:t xml:space="preserve">La ciudad más rentable de España en 2020 ha sido </w:t>
      </w:r>
      <w:r w:rsidR="007F25F1" w:rsidRPr="007F25F1">
        <w:rPr>
          <w:rFonts w:ascii="Open Sans" w:hAnsi="Open Sans" w:cs="Open Sans"/>
          <w:color w:val="000000"/>
          <w:sz w:val="22"/>
          <w:szCs w:val="22"/>
        </w:rPr>
        <w:t>San Cristóbal de la Laguna</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Santa Cruz de Tenerife</w:t>
      </w:r>
      <w:r w:rsidR="007F25F1">
        <w:rPr>
          <w:rFonts w:ascii="Open Sans" w:hAnsi="Open Sans" w:cs="Open Sans"/>
          <w:color w:val="000000"/>
          <w:sz w:val="22"/>
          <w:szCs w:val="22"/>
        </w:rPr>
        <w:t xml:space="preserve">) con un 7,5% de rentabilidad. Le siguen, </w:t>
      </w:r>
      <w:r w:rsidR="007F25F1" w:rsidRPr="007F25F1">
        <w:rPr>
          <w:rFonts w:ascii="Open Sans" w:hAnsi="Open Sans" w:cs="Open Sans"/>
          <w:color w:val="000000"/>
          <w:sz w:val="22"/>
          <w:szCs w:val="22"/>
        </w:rPr>
        <w:t>Santa Lucía de Tirajana</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Las Palmas</w:t>
      </w:r>
      <w:r w:rsidR="007F25F1">
        <w:rPr>
          <w:rFonts w:ascii="Open Sans" w:hAnsi="Open Sans" w:cs="Open Sans"/>
          <w:color w:val="000000"/>
          <w:sz w:val="22"/>
          <w:szCs w:val="22"/>
        </w:rPr>
        <w:t xml:space="preserve">) con 7,4%, </w:t>
      </w:r>
      <w:r w:rsidR="007F25F1" w:rsidRPr="007F25F1">
        <w:rPr>
          <w:rFonts w:ascii="Open Sans" w:hAnsi="Open Sans" w:cs="Open Sans"/>
          <w:color w:val="000000"/>
          <w:sz w:val="22"/>
          <w:szCs w:val="22"/>
        </w:rPr>
        <w:t>Algeciras</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Cádiz</w:t>
      </w:r>
      <w:r w:rsidR="007F25F1">
        <w:rPr>
          <w:rFonts w:ascii="Open Sans" w:hAnsi="Open Sans" w:cs="Open Sans"/>
          <w:color w:val="000000"/>
          <w:sz w:val="22"/>
          <w:szCs w:val="22"/>
        </w:rPr>
        <w:t xml:space="preserve">) con 7,2%, </w:t>
      </w:r>
      <w:r w:rsidR="007F25F1" w:rsidRPr="007F25F1">
        <w:rPr>
          <w:rFonts w:ascii="Open Sans" w:hAnsi="Open Sans" w:cs="Open Sans"/>
          <w:color w:val="000000"/>
          <w:sz w:val="22"/>
          <w:szCs w:val="22"/>
        </w:rPr>
        <w:t>Lleida capital</w:t>
      </w:r>
      <w:r w:rsidR="007F25F1">
        <w:rPr>
          <w:rFonts w:ascii="Open Sans" w:hAnsi="Open Sans" w:cs="Open Sans"/>
          <w:color w:val="000000"/>
          <w:sz w:val="22"/>
          <w:szCs w:val="22"/>
        </w:rPr>
        <w:t xml:space="preserve"> con 7,2%, </w:t>
      </w:r>
      <w:r w:rsidR="007F25F1" w:rsidRPr="007F25F1">
        <w:rPr>
          <w:rFonts w:ascii="Open Sans" w:hAnsi="Open Sans" w:cs="Open Sans"/>
          <w:color w:val="000000"/>
          <w:sz w:val="22"/>
          <w:szCs w:val="22"/>
        </w:rPr>
        <w:t>Jerez de la Frontera</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Cádiz</w:t>
      </w:r>
      <w:r w:rsidR="007F25F1">
        <w:rPr>
          <w:rFonts w:ascii="Open Sans" w:hAnsi="Open Sans" w:cs="Open Sans"/>
          <w:color w:val="000000"/>
          <w:sz w:val="22"/>
          <w:szCs w:val="22"/>
        </w:rPr>
        <w:t xml:space="preserve">) con 6,9%, </w:t>
      </w:r>
      <w:r w:rsidR="007F25F1" w:rsidRPr="007F25F1">
        <w:rPr>
          <w:rFonts w:ascii="Open Sans" w:hAnsi="Open Sans" w:cs="Open Sans"/>
          <w:color w:val="000000"/>
          <w:sz w:val="22"/>
          <w:szCs w:val="22"/>
        </w:rPr>
        <w:t>Reus</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Tarragona</w:t>
      </w:r>
      <w:r w:rsidR="007F25F1">
        <w:rPr>
          <w:rFonts w:ascii="Open Sans" w:hAnsi="Open Sans" w:cs="Open Sans"/>
          <w:color w:val="000000"/>
          <w:sz w:val="22"/>
          <w:szCs w:val="22"/>
        </w:rPr>
        <w:t xml:space="preserve">) con 6,8%, </w:t>
      </w:r>
      <w:r w:rsidR="007F25F1" w:rsidRPr="007F25F1">
        <w:rPr>
          <w:rFonts w:ascii="Open Sans" w:hAnsi="Open Sans" w:cs="Open Sans"/>
          <w:color w:val="000000"/>
          <w:sz w:val="22"/>
          <w:szCs w:val="22"/>
        </w:rPr>
        <w:t>Telde</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Las Palmas</w:t>
      </w:r>
      <w:r w:rsidR="007F25F1">
        <w:rPr>
          <w:rFonts w:ascii="Open Sans" w:hAnsi="Open Sans" w:cs="Open Sans"/>
          <w:color w:val="000000"/>
          <w:sz w:val="22"/>
          <w:szCs w:val="22"/>
        </w:rPr>
        <w:t xml:space="preserve">) con 6,8%, </w:t>
      </w:r>
      <w:r w:rsidR="007F25F1" w:rsidRPr="007F25F1">
        <w:rPr>
          <w:rFonts w:ascii="Open Sans" w:hAnsi="Open Sans" w:cs="Open Sans"/>
          <w:color w:val="000000"/>
          <w:sz w:val="22"/>
          <w:szCs w:val="22"/>
        </w:rPr>
        <w:t>Dos Hermanas</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Sevilla</w:t>
      </w:r>
      <w:r w:rsidR="007F25F1">
        <w:rPr>
          <w:rFonts w:ascii="Open Sans" w:hAnsi="Open Sans" w:cs="Open Sans"/>
          <w:color w:val="000000"/>
          <w:sz w:val="22"/>
          <w:szCs w:val="22"/>
        </w:rPr>
        <w:t xml:space="preserve">) con 6,8% y </w:t>
      </w:r>
      <w:r w:rsidR="007F25F1" w:rsidRPr="007F25F1">
        <w:rPr>
          <w:rFonts w:ascii="Open Sans" w:hAnsi="Open Sans" w:cs="Open Sans"/>
          <w:color w:val="000000"/>
          <w:sz w:val="22"/>
          <w:szCs w:val="22"/>
        </w:rPr>
        <w:t>Puerto de la Cruz</w:t>
      </w:r>
      <w:r w:rsidR="007F25F1">
        <w:rPr>
          <w:rFonts w:ascii="Open Sans" w:hAnsi="Open Sans" w:cs="Open Sans"/>
          <w:color w:val="000000"/>
          <w:sz w:val="22"/>
          <w:szCs w:val="22"/>
        </w:rPr>
        <w:t xml:space="preserve"> (</w:t>
      </w:r>
      <w:r w:rsidR="007F25F1" w:rsidRPr="007F25F1">
        <w:rPr>
          <w:rFonts w:ascii="Open Sans" w:hAnsi="Open Sans" w:cs="Open Sans"/>
          <w:color w:val="000000"/>
          <w:sz w:val="22"/>
          <w:szCs w:val="22"/>
        </w:rPr>
        <w:t>Santa Cruz de Tenerife</w:t>
      </w:r>
      <w:r w:rsidR="007F25F1">
        <w:rPr>
          <w:rFonts w:ascii="Open Sans" w:hAnsi="Open Sans" w:cs="Open Sans"/>
          <w:color w:val="000000"/>
          <w:sz w:val="22"/>
          <w:szCs w:val="22"/>
        </w:rPr>
        <w:t>) con 6,8%.</w:t>
      </w:r>
    </w:p>
    <w:p w14:paraId="34A69474" w14:textId="77777777" w:rsidR="009E75F5" w:rsidRDefault="002B55AA" w:rsidP="009E75F5">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Por otro lado, </w:t>
      </w:r>
      <w:r w:rsidR="007F25F1">
        <w:rPr>
          <w:rFonts w:ascii="Open Sans" w:hAnsi="Open Sans" w:cs="Open Sans"/>
          <w:color w:val="000000"/>
          <w:sz w:val="22"/>
          <w:szCs w:val="22"/>
        </w:rPr>
        <w:t xml:space="preserve">las 10 ciudades menos rentables </w:t>
      </w:r>
      <w:r w:rsidR="00D42D4B">
        <w:rPr>
          <w:rFonts w:ascii="Open Sans" w:hAnsi="Open Sans" w:cs="Open Sans"/>
          <w:color w:val="000000"/>
          <w:sz w:val="22"/>
          <w:szCs w:val="22"/>
        </w:rPr>
        <w:t xml:space="preserve">del país </w:t>
      </w:r>
      <w:r w:rsidR="007F25F1">
        <w:rPr>
          <w:rFonts w:ascii="Open Sans" w:hAnsi="Open Sans" w:cs="Open Sans"/>
          <w:color w:val="000000"/>
          <w:sz w:val="22"/>
          <w:szCs w:val="22"/>
        </w:rPr>
        <w:t>son:</w:t>
      </w:r>
      <w:r w:rsidR="007F25F1" w:rsidRPr="007F25F1">
        <w:t xml:space="preserve"> </w:t>
      </w:r>
      <w:r w:rsidR="007F25F1" w:rsidRPr="007F25F1">
        <w:rPr>
          <w:rFonts w:ascii="Open Sans" w:hAnsi="Open Sans" w:cs="Open Sans"/>
          <w:color w:val="000000"/>
          <w:sz w:val="22"/>
          <w:szCs w:val="22"/>
        </w:rPr>
        <w:t>Donostia - San Sebastián</w:t>
      </w:r>
      <w:r w:rsidR="00D625D8">
        <w:rPr>
          <w:rFonts w:ascii="Open Sans" w:hAnsi="Open Sans" w:cs="Open Sans"/>
          <w:color w:val="000000"/>
          <w:sz w:val="22"/>
          <w:szCs w:val="22"/>
        </w:rPr>
        <w:t xml:space="preserve"> (3,4%), </w:t>
      </w:r>
      <w:r w:rsidR="007F25F1" w:rsidRPr="007F25F1">
        <w:rPr>
          <w:rFonts w:ascii="Open Sans" w:hAnsi="Open Sans" w:cs="Open Sans"/>
          <w:color w:val="000000"/>
          <w:sz w:val="22"/>
          <w:szCs w:val="22"/>
        </w:rPr>
        <w:t>Eivissa</w:t>
      </w:r>
      <w:r w:rsidR="00D625D8">
        <w:rPr>
          <w:rFonts w:ascii="Open Sans" w:hAnsi="Open Sans" w:cs="Open Sans"/>
          <w:color w:val="000000"/>
          <w:sz w:val="22"/>
          <w:szCs w:val="22"/>
        </w:rPr>
        <w:t xml:space="preserve"> (3,6%), </w:t>
      </w:r>
      <w:r w:rsidR="007F25F1" w:rsidRPr="007F25F1">
        <w:rPr>
          <w:rFonts w:ascii="Open Sans" w:hAnsi="Open Sans" w:cs="Open Sans"/>
          <w:color w:val="000000"/>
          <w:sz w:val="22"/>
          <w:szCs w:val="22"/>
        </w:rPr>
        <w:t>Pozuelo de Alarcón</w:t>
      </w:r>
      <w:r w:rsidR="00D625D8">
        <w:rPr>
          <w:rFonts w:ascii="Open Sans" w:hAnsi="Open Sans" w:cs="Open Sans"/>
          <w:color w:val="000000"/>
          <w:sz w:val="22"/>
          <w:szCs w:val="22"/>
        </w:rPr>
        <w:t xml:space="preserve"> (4%), G</w:t>
      </w:r>
      <w:r w:rsidR="007F25F1" w:rsidRPr="007F25F1">
        <w:rPr>
          <w:rFonts w:ascii="Open Sans" w:hAnsi="Open Sans" w:cs="Open Sans"/>
          <w:color w:val="000000"/>
          <w:sz w:val="22"/>
          <w:szCs w:val="22"/>
        </w:rPr>
        <w:t>etxo</w:t>
      </w:r>
      <w:r w:rsidR="00D625D8">
        <w:rPr>
          <w:rFonts w:ascii="Open Sans" w:hAnsi="Open Sans" w:cs="Open Sans"/>
          <w:color w:val="000000"/>
          <w:sz w:val="22"/>
          <w:szCs w:val="22"/>
        </w:rPr>
        <w:t xml:space="preserve"> (4%), </w:t>
      </w:r>
      <w:r w:rsidR="007F25F1" w:rsidRPr="007F25F1">
        <w:rPr>
          <w:rFonts w:ascii="Open Sans" w:hAnsi="Open Sans" w:cs="Open Sans"/>
          <w:color w:val="000000"/>
          <w:sz w:val="22"/>
          <w:szCs w:val="22"/>
        </w:rPr>
        <w:t>Sant Cugat del Vallès</w:t>
      </w:r>
      <w:r w:rsidR="00D625D8">
        <w:rPr>
          <w:rFonts w:ascii="Open Sans" w:hAnsi="Open Sans" w:cs="Open Sans"/>
          <w:color w:val="000000"/>
          <w:sz w:val="22"/>
          <w:szCs w:val="22"/>
        </w:rPr>
        <w:t xml:space="preserve"> (4,1%), </w:t>
      </w:r>
      <w:r w:rsidR="007F25F1" w:rsidRPr="007F25F1">
        <w:rPr>
          <w:rFonts w:ascii="Open Sans" w:hAnsi="Open Sans" w:cs="Open Sans"/>
          <w:color w:val="000000"/>
          <w:sz w:val="22"/>
          <w:szCs w:val="22"/>
        </w:rPr>
        <w:t>Santiago de Compostela</w:t>
      </w:r>
      <w:r w:rsidR="00D625D8">
        <w:rPr>
          <w:rFonts w:ascii="Open Sans" w:hAnsi="Open Sans" w:cs="Open Sans"/>
          <w:color w:val="000000"/>
          <w:sz w:val="22"/>
          <w:szCs w:val="22"/>
        </w:rPr>
        <w:t xml:space="preserve"> (4,1%), </w:t>
      </w:r>
      <w:r w:rsidR="007F25F1" w:rsidRPr="007F25F1">
        <w:rPr>
          <w:rFonts w:ascii="Open Sans" w:hAnsi="Open Sans" w:cs="Open Sans"/>
          <w:color w:val="000000"/>
          <w:sz w:val="22"/>
          <w:szCs w:val="22"/>
        </w:rPr>
        <w:t>Boadilla del Monte</w:t>
      </w:r>
      <w:r w:rsidR="00D625D8">
        <w:rPr>
          <w:rFonts w:ascii="Open Sans" w:hAnsi="Open Sans" w:cs="Open Sans"/>
          <w:color w:val="000000"/>
          <w:sz w:val="22"/>
          <w:szCs w:val="22"/>
        </w:rPr>
        <w:t xml:space="preserve"> (4,1%), </w:t>
      </w:r>
      <w:r w:rsidR="007F25F1" w:rsidRPr="007F25F1">
        <w:rPr>
          <w:rFonts w:ascii="Open Sans" w:hAnsi="Open Sans" w:cs="Open Sans"/>
          <w:color w:val="000000"/>
          <w:sz w:val="22"/>
          <w:szCs w:val="22"/>
        </w:rPr>
        <w:t>Sitges</w:t>
      </w:r>
      <w:r w:rsidR="007F25F1">
        <w:rPr>
          <w:rFonts w:ascii="Open Sans" w:hAnsi="Open Sans" w:cs="Open Sans"/>
          <w:color w:val="000000"/>
          <w:sz w:val="22"/>
          <w:szCs w:val="22"/>
        </w:rPr>
        <w:t xml:space="preserve"> (</w:t>
      </w:r>
      <w:r w:rsidR="00D625D8">
        <w:rPr>
          <w:rFonts w:ascii="Open Sans" w:hAnsi="Open Sans" w:cs="Open Sans"/>
          <w:color w:val="000000"/>
          <w:sz w:val="22"/>
          <w:szCs w:val="22"/>
        </w:rPr>
        <w:t>4,1</w:t>
      </w:r>
      <w:r w:rsidR="007F25F1">
        <w:rPr>
          <w:rFonts w:ascii="Open Sans" w:hAnsi="Open Sans" w:cs="Open Sans"/>
          <w:color w:val="000000"/>
          <w:sz w:val="22"/>
          <w:szCs w:val="22"/>
        </w:rPr>
        <w:t>%),</w:t>
      </w:r>
      <w:r w:rsidR="00D625D8">
        <w:rPr>
          <w:rFonts w:ascii="Open Sans" w:hAnsi="Open Sans" w:cs="Open Sans"/>
          <w:color w:val="000000"/>
          <w:sz w:val="22"/>
          <w:szCs w:val="22"/>
        </w:rPr>
        <w:t xml:space="preserve"> </w:t>
      </w:r>
      <w:r w:rsidR="007F25F1" w:rsidRPr="007F25F1">
        <w:rPr>
          <w:rFonts w:ascii="Open Sans" w:hAnsi="Open Sans" w:cs="Open Sans"/>
          <w:color w:val="000000"/>
          <w:sz w:val="22"/>
          <w:szCs w:val="22"/>
        </w:rPr>
        <w:t>Tres Cantos</w:t>
      </w:r>
      <w:r w:rsidR="007F25F1">
        <w:rPr>
          <w:rFonts w:ascii="Open Sans" w:hAnsi="Open Sans" w:cs="Open Sans"/>
          <w:color w:val="000000"/>
          <w:sz w:val="22"/>
          <w:szCs w:val="22"/>
        </w:rPr>
        <w:t xml:space="preserve"> (</w:t>
      </w:r>
      <w:r w:rsidR="00D625D8">
        <w:rPr>
          <w:rFonts w:ascii="Open Sans" w:hAnsi="Open Sans" w:cs="Open Sans"/>
          <w:color w:val="000000"/>
          <w:sz w:val="22"/>
          <w:szCs w:val="22"/>
        </w:rPr>
        <w:t>4,1</w:t>
      </w:r>
      <w:r w:rsidR="007F25F1">
        <w:rPr>
          <w:rFonts w:ascii="Open Sans" w:hAnsi="Open Sans" w:cs="Open Sans"/>
          <w:color w:val="000000"/>
          <w:sz w:val="22"/>
          <w:szCs w:val="22"/>
        </w:rPr>
        <w:t>%)</w:t>
      </w:r>
      <w:r w:rsidR="00D625D8">
        <w:rPr>
          <w:rFonts w:ascii="Open Sans" w:hAnsi="Open Sans" w:cs="Open Sans"/>
          <w:color w:val="000000"/>
          <w:sz w:val="22"/>
          <w:szCs w:val="22"/>
        </w:rPr>
        <w:t xml:space="preserve"> y C</w:t>
      </w:r>
      <w:r w:rsidR="007F25F1" w:rsidRPr="007F25F1">
        <w:rPr>
          <w:rFonts w:ascii="Open Sans" w:hAnsi="Open Sans" w:cs="Open Sans"/>
          <w:color w:val="000000"/>
          <w:sz w:val="22"/>
          <w:szCs w:val="22"/>
        </w:rPr>
        <w:t>alvià</w:t>
      </w:r>
      <w:r w:rsidR="007F25F1">
        <w:rPr>
          <w:rFonts w:ascii="Open Sans" w:hAnsi="Open Sans" w:cs="Open Sans"/>
          <w:color w:val="000000"/>
          <w:sz w:val="22"/>
          <w:szCs w:val="22"/>
        </w:rPr>
        <w:t xml:space="preserve"> (</w:t>
      </w:r>
      <w:r w:rsidR="00D625D8">
        <w:rPr>
          <w:rFonts w:ascii="Open Sans" w:hAnsi="Open Sans" w:cs="Open Sans"/>
          <w:color w:val="000000"/>
          <w:sz w:val="22"/>
          <w:szCs w:val="22"/>
        </w:rPr>
        <w:t>4,2</w:t>
      </w:r>
      <w:r w:rsidR="007F25F1">
        <w:rPr>
          <w:rFonts w:ascii="Open Sans" w:hAnsi="Open Sans" w:cs="Open Sans"/>
          <w:color w:val="000000"/>
          <w:sz w:val="22"/>
          <w:szCs w:val="22"/>
        </w:rPr>
        <w:t>%)</w:t>
      </w:r>
      <w:r w:rsidR="00D625D8">
        <w:rPr>
          <w:rFonts w:ascii="Open Sans" w:hAnsi="Open Sans" w:cs="Open Sans"/>
          <w:color w:val="000000"/>
          <w:sz w:val="22"/>
          <w:szCs w:val="22"/>
        </w:rPr>
        <w:t>.</w:t>
      </w:r>
    </w:p>
    <w:p w14:paraId="2F8B1708" w14:textId="77777777" w:rsidR="009E75F5" w:rsidRDefault="009E75F5" w:rsidP="009E75F5">
      <w:pPr>
        <w:pStyle w:val="NormalWeb"/>
        <w:shd w:val="clear" w:color="auto" w:fill="FFFFFF"/>
        <w:spacing w:after="225" w:line="276" w:lineRule="auto"/>
        <w:ind w:left="-142" w:right="-574"/>
        <w:jc w:val="both"/>
        <w:rPr>
          <w:rFonts w:ascii="Open Sans" w:hAnsi="Open Sans" w:cs="Open Sans"/>
          <w:color w:val="000000"/>
          <w:sz w:val="22"/>
          <w:szCs w:val="22"/>
        </w:rPr>
      </w:pPr>
    </w:p>
    <w:p w14:paraId="7EDCA2BA" w14:textId="7599FCFB" w:rsidR="0014415E" w:rsidRPr="009E75F5" w:rsidRDefault="00D625D8" w:rsidP="009E75F5">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Light" w:hAnsi="Open Sans Light" w:cs="Open Sans Light"/>
          <w:b/>
          <w:iCs/>
          <w:color w:val="303AB2"/>
          <w:sz w:val="28"/>
          <w:szCs w:val="20"/>
        </w:rPr>
        <w:t>Por distritos</w:t>
      </w:r>
    </w:p>
    <w:p w14:paraId="0698B5A9" w14:textId="67B5AEA0" w:rsidR="00D625D8" w:rsidRDefault="0014415E" w:rsidP="00E17B06">
      <w:pPr>
        <w:pStyle w:val="NormalWeb"/>
        <w:shd w:val="clear" w:color="auto" w:fill="FFFFFF"/>
        <w:spacing w:after="225" w:line="276" w:lineRule="auto"/>
        <w:ind w:left="-142" w:right="-574"/>
        <w:jc w:val="both"/>
        <w:rPr>
          <w:rFonts w:ascii="Open Sans" w:hAnsi="Open Sans" w:cs="Open Sans"/>
          <w:color w:val="000000"/>
          <w:sz w:val="22"/>
          <w:szCs w:val="22"/>
        </w:rPr>
      </w:pPr>
      <w:r w:rsidRPr="00E17B06">
        <w:rPr>
          <w:rFonts w:ascii="Open Sans" w:hAnsi="Open Sans" w:cs="Open Sans"/>
          <w:color w:val="000000"/>
          <w:sz w:val="22"/>
          <w:szCs w:val="22"/>
        </w:rPr>
        <w:t xml:space="preserve">El análisis de </w:t>
      </w:r>
      <w:hyperlink r:id="rId20" w:history="1">
        <w:r w:rsidR="00E17B06" w:rsidRPr="000A4242">
          <w:rPr>
            <w:rStyle w:val="Hipervnculo"/>
            <w:rFonts w:ascii="Open Sans" w:hAnsi="Open Sans" w:cs="Open Sans"/>
            <w:sz w:val="22"/>
            <w:szCs w:val="22"/>
          </w:rPr>
          <w:t>Fotocasa</w:t>
        </w:r>
      </w:hyperlink>
      <w:r w:rsidRPr="00E17B06">
        <w:rPr>
          <w:rFonts w:ascii="Open Sans" w:hAnsi="Open Sans" w:cs="Open Sans"/>
          <w:color w:val="000000"/>
          <w:sz w:val="22"/>
          <w:szCs w:val="22"/>
        </w:rPr>
        <w:t xml:space="preserve"> también ofrece datos de los distritos más rentables para comprar una vivienda y ponerla en alquiler en </w:t>
      </w:r>
      <w:r w:rsidR="00D625D8">
        <w:rPr>
          <w:rFonts w:ascii="Open Sans" w:hAnsi="Open Sans" w:cs="Open Sans"/>
          <w:color w:val="000000"/>
          <w:sz w:val="22"/>
          <w:szCs w:val="22"/>
        </w:rPr>
        <w:t>España</w:t>
      </w:r>
      <w:r w:rsidRPr="00E17B06">
        <w:rPr>
          <w:rFonts w:ascii="Open Sans" w:hAnsi="Open Sans" w:cs="Open Sans"/>
          <w:color w:val="000000"/>
          <w:sz w:val="22"/>
          <w:szCs w:val="22"/>
        </w:rPr>
        <w:t xml:space="preserve">. Así, del análisis se desprende que el distrito más rentable del país </w:t>
      </w:r>
      <w:r w:rsidR="00D625D8">
        <w:rPr>
          <w:rFonts w:ascii="Open Sans" w:hAnsi="Open Sans" w:cs="Open Sans"/>
          <w:color w:val="000000"/>
          <w:sz w:val="22"/>
          <w:szCs w:val="22"/>
        </w:rPr>
        <w:t>en 2020</w:t>
      </w:r>
      <w:r w:rsidR="00EA70F6">
        <w:rPr>
          <w:rFonts w:ascii="Open Sans" w:hAnsi="Open Sans" w:cs="Open Sans"/>
          <w:color w:val="000000"/>
          <w:sz w:val="22"/>
          <w:szCs w:val="22"/>
        </w:rPr>
        <w:t xml:space="preserve"> </w:t>
      </w:r>
      <w:r w:rsidRPr="00E17B06">
        <w:rPr>
          <w:rFonts w:ascii="Open Sans" w:hAnsi="Open Sans" w:cs="Open Sans"/>
          <w:color w:val="000000"/>
          <w:sz w:val="22"/>
          <w:szCs w:val="22"/>
        </w:rPr>
        <w:t xml:space="preserve">es el distrito </w:t>
      </w:r>
      <w:r w:rsidR="00D625D8">
        <w:rPr>
          <w:rFonts w:ascii="Open Sans" w:hAnsi="Open Sans" w:cs="Open Sans"/>
          <w:color w:val="000000"/>
          <w:sz w:val="22"/>
          <w:szCs w:val="22"/>
        </w:rPr>
        <w:t>alicantino</w:t>
      </w:r>
      <w:r w:rsidRPr="00E17B06">
        <w:rPr>
          <w:rFonts w:ascii="Open Sans" w:hAnsi="Open Sans" w:cs="Open Sans"/>
          <w:color w:val="000000"/>
          <w:sz w:val="22"/>
          <w:szCs w:val="22"/>
        </w:rPr>
        <w:t xml:space="preserve"> </w:t>
      </w:r>
      <w:r w:rsidR="00EA70F6">
        <w:rPr>
          <w:rFonts w:ascii="Open Sans" w:hAnsi="Open Sans" w:cs="Open Sans"/>
          <w:color w:val="000000"/>
          <w:sz w:val="22"/>
          <w:szCs w:val="22"/>
        </w:rPr>
        <w:t xml:space="preserve">de </w:t>
      </w:r>
      <w:r w:rsidR="00D625D8" w:rsidRPr="00D625D8">
        <w:rPr>
          <w:rFonts w:ascii="Open Sans" w:hAnsi="Open Sans" w:cs="Open Sans"/>
          <w:color w:val="000000"/>
          <w:sz w:val="22"/>
          <w:szCs w:val="22"/>
        </w:rPr>
        <w:t xml:space="preserve">Pla </w:t>
      </w:r>
      <w:r w:rsidR="00D625D8">
        <w:rPr>
          <w:rFonts w:ascii="Open Sans" w:hAnsi="Open Sans" w:cs="Open Sans"/>
          <w:color w:val="000000"/>
          <w:sz w:val="22"/>
          <w:szCs w:val="22"/>
        </w:rPr>
        <w:t>–</w:t>
      </w:r>
      <w:r w:rsidR="00D625D8" w:rsidRPr="00D625D8">
        <w:rPr>
          <w:rFonts w:ascii="Open Sans" w:hAnsi="Open Sans" w:cs="Open Sans"/>
          <w:color w:val="000000"/>
          <w:sz w:val="22"/>
          <w:szCs w:val="22"/>
        </w:rPr>
        <w:t xml:space="preserve"> Carolinas</w:t>
      </w:r>
      <w:r w:rsidR="00D625D8">
        <w:rPr>
          <w:rFonts w:ascii="Open Sans" w:hAnsi="Open Sans" w:cs="Open Sans"/>
          <w:color w:val="000000"/>
          <w:sz w:val="22"/>
          <w:szCs w:val="22"/>
        </w:rPr>
        <w:t>,</w:t>
      </w:r>
      <w:r w:rsidRPr="00E17B06">
        <w:rPr>
          <w:rFonts w:ascii="Open Sans" w:hAnsi="Open Sans" w:cs="Open Sans"/>
          <w:color w:val="000000"/>
          <w:sz w:val="22"/>
          <w:szCs w:val="22"/>
        </w:rPr>
        <w:t xml:space="preserve"> que alcanza </w:t>
      </w:r>
      <w:r w:rsidR="00560E7C">
        <w:rPr>
          <w:rFonts w:ascii="Open Sans" w:hAnsi="Open Sans" w:cs="Open Sans"/>
          <w:color w:val="000000"/>
          <w:sz w:val="22"/>
          <w:szCs w:val="22"/>
        </w:rPr>
        <w:t>un</w:t>
      </w:r>
      <w:r w:rsidRPr="00E17B06">
        <w:rPr>
          <w:rFonts w:ascii="Open Sans" w:hAnsi="Open Sans" w:cs="Open Sans"/>
          <w:color w:val="000000"/>
          <w:sz w:val="22"/>
          <w:szCs w:val="22"/>
        </w:rPr>
        <w:t xml:space="preserve"> </w:t>
      </w:r>
      <w:r w:rsidR="00D625D8">
        <w:rPr>
          <w:rFonts w:ascii="Open Sans" w:hAnsi="Open Sans" w:cs="Open Sans"/>
          <w:color w:val="000000"/>
          <w:sz w:val="22"/>
          <w:szCs w:val="22"/>
        </w:rPr>
        <w:t>8</w:t>
      </w:r>
      <w:r w:rsidRPr="00E17B06">
        <w:rPr>
          <w:rFonts w:ascii="Open Sans" w:hAnsi="Open Sans" w:cs="Open Sans"/>
          <w:color w:val="000000"/>
          <w:sz w:val="22"/>
          <w:szCs w:val="22"/>
        </w:rPr>
        <w:t>% de rentabilidad.</w:t>
      </w:r>
      <w:r w:rsidR="00D625D8">
        <w:rPr>
          <w:rFonts w:ascii="Open Sans" w:hAnsi="Open Sans" w:cs="Open Sans"/>
          <w:color w:val="000000"/>
          <w:sz w:val="22"/>
          <w:szCs w:val="22"/>
        </w:rPr>
        <w:t xml:space="preserve"> Le siguen, los distritos madrileños de </w:t>
      </w:r>
      <w:r w:rsidR="00D625D8" w:rsidRPr="00D625D8">
        <w:rPr>
          <w:rFonts w:ascii="Open Sans" w:hAnsi="Open Sans" w:cs="Open Sans"/>
          <w:color w:val="000000"/>
          <w:sz w:val="22"/>
          <w:szCs w:val="22"/>
        </w:rPr>
        <w:t>Puente de Vallecas</w:t>
      </w:r>
      <w:r w:rsidR="00D625D8">
        <w:rPr>
          <w:rFonts w:ascii="Open Sans" w:hAnsi="Open Sans" w:cs="Open Sans"/>
          <w:color w:val="000000"/>
          <w:sz w:val="22"/>
          <w:szCs w:val="22"/>
        </w:rPr>
        <w:t xml:space="preserve"> </w:t>
      </w:r>
      <w:r w:rsidR="00C50C0E">
        <w:rPr>
          <w:rFonts w:ascii="Open Sans" w:hAnsi="Open Sans" w:cs="Open Sans"/>
          <w:color w:val="000000"/>
          <w:sz w:val="22"/>
          <w:szCs w:val="22"/>
        </w:rPr>
        <w:t xml:space="preserve">y </w:t>
      </w:r>
      <w:r w:rsidR="00C50C0E" w:rsidRPr="00C50C0E">
        <w:rPr>
          <w:rFonts w:ascii="Open Sans" w:hAnsi="Open Sans" w:cs="Open Sans"/>
          <w:color w:val="000000"/>
          <w:sz w:val="22"/>
          <w:szCs w:val="22"/>
        </w:rPr>
        <w:t>Villaverde</w:t>
      </w:r>
      <w:r w:rsidR="00C50C0E">
        <w:rPr>
          <w:rFonts w:ascii="Open Sans" w:hAnsi="Open Sans" w:cs="Open Sans"/>
          <w:color w:val="000000"/>
          <w:sz w:val="22"/>
          <w:szCs w:val="22"/>
        </w:rPr>
        <w:t xml:space="preserve"> </w:t>
      </w:r>
      <w:r w:rsidR="00D625D8">
        <w:rPr>
          <w:rFonts w:ascii="Open Sans" w:hAnsi="Open Sans" w:cs="Open Sans"/>
          <w:color w:val="000000"/>
          <w:sz w:val="22"/>
          <w:szCs w:val="22"/>
        </w:rPr>
        <w:t>con un 7,3% y un 7%, respectivamente.</w:t>
      </w:r>
    </w:p>
    <w:p w14:paraId="405A0EE7" w14:textId="20C2316D" w:rsidR="00D625D8" w:rsidRDefault="00D625D8" w:rsidP="00C50C0E">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Por otro lado, los </w:t>
      </w:r>
      <w:r w:rsidR="00C50C0E">
        <w:rPr>
          <w:rFonts w:ascii="Open Sans" w:hAnsi="Open Sans" w:cs="Open Sans"/>
          <w:color w:val="000000"/>
          <w:sz w:val="22"/>
          <w:szCs w:val="22"/>
        </w:rPr>
        <w:t>1</w:t>
      </w:r>
      <w:r>
        <w:rPr>
          <w:rFonts w:ascii="Open Sans" w:hAnsi="Open Sans" w:cs="Open Sans"/>
          <w:color w:val="000000"/>
          <w:sz w:val="22"/>
          <w:szCs w:val="22"/>
        </w:rPr>
        <w:t xml:space="preserve">0 distritos con menor rentabilidad </w:t>
      </w:r>
      <w:r w:rsidR="00D42D4B">
        <w:rPr>
          <w:rFonts w:ascii="Open Sans" w:hAnsi="Open Sans" w:cs="Open Sans"/>
          <w:color w:val="000000"/>
          <w:sz w:val="22"/>
          <w:szCs w:val="22"/>
        </w:rPr>
        <w:t xml:space="preserve">de España </w:t>
      </w:r>
      <w:r w:rsidR="00C50C0E">
        <w:rPr>
          <w:rFonts w:ascii="Open Sans" w:hAnsi="Open Sans" w:cs="Open Sans"/>
          <w:color w:val="000000"/>
          <w:sz w:val="22"/>
          <w:szCs w:val="22"/>
        </w:rPr>
        <w:t xml:space="preserve">son: </w:t>
      </w:r>
      <w:r w:rsidR="00C50C0E" w:rsidRPr="00C50C0E">
        <w:rPr>
          <w:rFonts w:ascii="Open Sans" w:hAnsi="Open Sans" w:cs="Open Sans"/>
          <w:color w:val="000000"/>
          <w:sz w:val="22"/>
          <w:szCs w:val="22"/>
        </w:rPr>
        <w:t>Centro</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Donostia - San Sebastián</w:t>
      </w:r>
      <w:r w:rsidR="00C50C0E">
        <w:rPr>
          <w:rFonts w:ascii="Open Sans" w:hAnsi="Open Sans" w:cs="Open Sans"/>
          <w:color w:val="000000"/>
          <w:sz w:val="22"/>
          <w:szCs w:val="22"/>
        </w:rPr>
        <w:t xml:space="preserve">) con un 2,7%, </w:t>
      </w:r>
      <w:r w:rsidR="00C50C0E" w:rsidRPr="00C50C0E">
        <w:rPr>
          <w:rFonts w:ascii="Open Sans" w:hAnsi="Open Sans" w:cs="Open Sans"/>
          <w:color w:val="000000"/>
          <w:sz w:val="22"/>
          <w:szCs w:val="22"/>
        </w:rPr>
        <w:t>Gros</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Donostia - San Sebastián</w:t>
      </w:r>
      <w:r w:rsidR="00C50C0E">
        <w:rPr>
          <w:rFonts w:ascii="Open Sans" w:hAnsi="Open Sans" w:cs="Open Sans"/>
          <w:color w:val="000000"/>
          <w:sz w:val="22"/>
          <w:szCs w:val="22"/>
        </w:rPr>
        <w:t xml:space="preserve">) con un 3,1%, </w:t>
      </w:r>
      <w:r w:rsidR="00C50C0E" w:rsidRPr="00C50C0E">
        <w:rPr>
          <w:rFonts w:ascii="Open Sans" w:hAnsi="Open Sans" w:cs="Open Sans"/>
          <w:color w:val="000000"/>
          <w:sz w:val="22"/>
          <w:szCs w:val="22"/>
        </w:rPr>
        <w:t>Centre</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Palma de Mallorca</w:t>
      </w:r>
      <w:r w:rsidR="00C50C0E">
        <w:rPr>
          <w:rFonts w:ascii="Open Sans" w:hAnsi="Open Sans" w:cs="Open Sans"/>
          <w:color w:val="000000"/>
          <w:sz w:val="22"/>
          <w:szCs w:val="22"/>
        </w:rPr>
        <w:t xml:space="preserve">) con un 3,2%, </w:t>
      </w:r>
      <w:r w:rsidR="00C50C0E" w:rsidRPr="00C50C0E">
        <w:rPr>
          <w:rFonts w:ascii="Open Sans" w:hAnsi="Open Sans" w:cs="Open Sans"/>
          <w:color w:val="000000"/>
          <w:sz w:val="22"/>
          <w:szCs w:val="22"/>
        </w:rPr>
        <w:t>Sarrià - Sant Gervasi</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Barcelona Capital</w:t>
      </w:r>
      <w:r w:rsidR="00C50C0E">
        <w:rPr>
          <w:rFonts w:ascii="Open Sans" w:hAnsi="Open Sans" w:cs="Open Sans"/>
          <w:color w:val="000000"/>
          <w:sz w:val="22"/>
          <w:szCs w:val="22"/>
        </w:rPr>
        <w:t xml:space="preserve">) con un 3,4%, </w:t>
      </w:r>
      <w:r w:rsidR="00C50C0E" w:rsidRPr="00C50C0E">
        <w:rPr>
          <w:rFonts w:ascii="Open Sans" w:hAnsi="Open Sans" w:cs="Open Sans"/>
          <w:color w:val="000000"/>
          <w:sz w:val="22"/>
          <w:szCs w:val="22"/>
        </w:rPr>
        <w:t xml:space="preserve">Centro - Juan Flórez - Plaza </w:t>
      </w:r>
      <w:r w:rsidR="00C50C0E" w:rsidRPr="00C50C0E">
        <w:rPr>
          <w:rFonts w:ascii="Open Sans" w:hAnsi="Open Sans" w:cs="Open Sans"/>
          <w:color w:val="000000"/>
          <w:sz w:val="22"/>
          <w:szCs w:val="22"/>
        </w:rPr>
        <w:lastRenderedPageBreak/>
        <w:t>Pontevedra</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 xml:space="preserve">A Coruña </w:t>
      </w:r>
      <w:r w:rsidR="00C50C0E">
        <w:rPr>
          <w:rFonts w:ascii="Open Sans" w:hAnsi="Open Sans" w:cs="Open Sans"/>
          <w:color w:val="000000"/>
          <w:sz w:val="22"/>
          <w:szCs w:val="22"/>
        </w:rPr>
        <w:t>c</w:t>
      </w:r>
      <w:r w:rsidR="00C50C0E" w:rsidRPr="00C50C0E">
        <w:rPr>
          <w:rFonts w:ascii="Open Sans" w:hAnsi="Open Sans" w:cs="Open Sans"/>
          <w:color w:val="000000"/>
          <w:sz w:val="22"/>
          <w:szCs w:val="22"/>
        </w:rPr>
        <w:t>apital</w:t>
      </w:r>
      <w:r w:rsidR="00C50C0E">
        <w:rPr>
          <w:rFonts w:ascii="Open Sans" w:hAnsi="Open Sans" w:cs="Open Sans"/>
          <w:color w:val="000000"/>
          <w:sz w:val="22"/>
          <w:szCs w:val="22"/>
        </w:rPr>
        <w:t xml:space="preserve">) con un 3,4%, </w:t>
      </w:r>
      <w:r w:rsidR="00C50C0E" w:rsidRPr="00C50C0E">
        <w:rPr>
          <w:rFonts w:ascii="Open Sans" w:hAnsi="Open Sans" w:cs="Open Sans"/>
          <w:color w:val="000000"/>
          <w:sz w:val="22"/>
          <w:szCs w:val="22"/>
        </w:rPr>
        <w:t>Les Corts</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 xml:space="preserve">Barcelona </w:t>
      </w:r>
      <w:r w:rsidR="00D42D4B">
        <w:rPr>
          <w:rFonts w:ascii="Open Sans" w:hAnsi="Open Sans" w:cs="Open Sans"/>
          <w:color w:val="000000"/>
          <w:sz w:val="22"/>
          <w:szCs w:val="22"/>
        </w:rPr>
        <w:t>c</w:t>
      </w:r>
      <w:r w:rsidR="00C50C0E" w:rsidRPr="00C50C0E">
        <w:rPr>
          <w:rFonts w:ascii="Open Sans" w:hAnsi="Open Sans" w:cs="Open Sans"/>
          <w:color w:val="000000"/>
          <w:sz w:val="22"/>
          <w:szCs w:val="22"/>
        </w:rPr>
        <w:t>apital</w:t>
      </w:r>
      <w:r w:rsidR="00C50C0E">
        <w:rPr>
          <w:rFonts w:ascii="Open Sans" w:hAnsi="Open Sans" w:cs="Open Sans"/>
          <w:color w:val="000000"/>
          <w:sz w:val="22"/>
          <w:szCs w:val="22"/>
        </w:rPr>
        <w:t xml:space="preserve">) con un 3,4%, </w:t>
      </w:r>
      <w:r w:rsidR="00C50C0E" w:rsidRPr="00C50C0E">
        <w:rPr>
          <w:rFonts w:ascii="Open Sans" w:hAnsi="Open Sans" w:cs="Open Sans"/>
          <w:color w:val="000000"/>
          <w:sz w:val="22"/>
          <w:szCs w:val="22"/>
        </w:rPr>
        <w:t>Salamanca</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Madrid capital</w:t>
      </w:r>
      <w:r w:rsidR="00C50C0E">
        <w:rPr>
          <w:rFonts w:ascii="Open Sans" w:hAnsi="Open Sans" w:cs="Open Sans"/>
          <w:color w:val="000000"/>
          <w:sz w:val="22"/>
          <w:szCs w:val="22"/>
        </w:rPr>
        <w:t xml:space="preserve">) con un 3,4%, </w:t>
      </w:r>
      <w:r w:rsidR="00C50C0E" w:rsidRPr="00C50C0E">
        <w:rPr>
          <w:rFonts w:ascii="Open Sans" w:hAnsi="Open Sans" w:cs="Open Sans"/>
          <w:color w:val="000000"/>
          <w:sz w:val="22"/>
          <w:szCs w:val="22"/>
        </w:rPr>
        <w:t>Chamartín</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Madrid capital</w:t>
      </w:r>
      <w:r w:rsidR="00C50C0E">
        <w:rPr>
          <w:rFonts w:ascii="Open Sans" w:hAnsi="Open Sans" w:cs="Open Sans"/>
          <w:color w:val="000000"/>
          <w:sz w:val="22"/>
          <w:szCs w:val="22"/>
        </w:rPr>
        <w:t xml:space="preserve">) con un 3,6%, </w:t>
      </w:r>
      <w:r w:rsidR="00C50C0E" w:rsidRPr="00C50C0E">
        <w:rPr>
          <w:rFonts w:ascii="Open Sans" w:hAnsi="Open Sans" w:cs="Open Sans"/>
          <w:color w:val="000000"/>
          <w:sz w:val="22"/>
          <w:szCs w:val="22"/>
        </w:rPr>
        <w:t>Puerto Chico</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Santander</w:t>
      </w:r>
      <w:r w:rsidR="00C50C0E">
        <w:rPr>
          <w:rFonts w:ascii="Open Sans" w:hAnsi="Open Sans" w:cs="Open Sans"/>
          <w:color w:val="000000"/>
          <w:sz w:val="22"/>
          <w:szCs w:val="22"/>
        </w:rPr>
        <w:t xml:space="preserve">) con un 3,7% y </w:t>
      </w:r>
      <w:r w:rsidR="00C50C0E" w:rsidRPr="00C50C0E">
        <w:rPr>
          <w:rFonts w:ascii="Open Sans" w:hAnsi="Open Sans" w:cs="Open Sans"/>
          <w:color w:val="000000"/>
          <w:sz w:val="22"/>
          <w:szCs w:val="22"/>
        </w:rPr>
        <w:t>Chamberí</w:t>
      </w:r>
      <w:r w:rsidR="00C50C0E">
        <w:rPr>
          <w:rFonts w:ascii="Open Sans" w:hAnsi="Open Sans" w:cs="Open Sans"/>
          <w:color w:val="000000"/>
          <w:sz w:val="22"/>
          <w:szCs w:val="22"/>
        </w:rPr>
        <w:t xml:space="preserve"> (</w:t>
      </w:r>
      <w:r w:rsidR="00C50C0E" w:rsidRPr="00C50C0E">
        <w:rPr>
          <w:rFonts w:ascii="Open Sans" w:hAnsi="Open Sans" w:cs="Open Sans"/>
          <w:color w:val="000000"/>
          <w:sz w:val="22"/>
          <w:szCs w:val="22"/>
        </w:rPr>
        <w:t>Madrid capital</w:t>
      </w:r>
      <w:r w:rsidR="00C50C0E">
        <w:rPr>
          <w:rFonts w:ascii="Open Sans" w:hAnsi="Open Sans" w:cs="Open Sans"/>
          <w:color w:val="000000"/>
          <w:sz w:val="22"/>
          <w:szCs w:val="22"/>
        </w:rPr>
        <w:t>) con un 3,7%.</w:t>
      </w:r>
    </w:p>
    <w:p w14:paraId="5EC921AD" w14:textId="77777777" w:rsidR="009E75F5" w:rsidRDefault="009E75F5" w:rsidP="00C50C0E">
      <w:pPr>
        <w:pStyle w:val="NormalWeb"/>
        <w:shd w:val="clear" w:color="auto" w:fill="FFFFFF"/>
        <w:spacing w:after="225" w:line="276" w:lineRule="auto"/>
        <w:ind w:left="-142" w:right="-574"/>
        <w:jc w:val="both"/>
        <w:rPr>
          <w:rFonts w:ascii="Open Sans" w:hAnsi="Open Sans" w:cs="Open Sans"/>
          <w:b/>
          <w:bCs/>
          <w:color w:val="000000"/>
          <w:sz w:val="22"/>
          <w:szCs w:val="22"/>
        </w:rPr>
      </w:pPr>
    </w:p>
    <w:p w14:paraId="5B24E552" w14:textId="0C6A22E3" w:rsidR="00BD0E86" w:rsidRDefault="00BD0E86" w:rsidP="00C50C0E">
      <w:pPr>
        <w:pStyle w:val="NormalWeb"/>
        <w:shd w:val="clear" w:color="auto" w:fill="FFFFFF"/>
        <w:spacing w:after="225" w:line="276" w:lineRule="auto"/>
        <w:ind w:left="-142" w:right="-574"/>
        <w:jc w:val="both"/>
        <w:rPr>
          <w:rFonts w:ascii="Open Sans" w:hAnsi="Open Sans" w:cs="Open Sans"/>
          <w:color w:val="000000"/>
          <w:sz w:val="22"/>
          <w:szCs w:val="22"/>
        </w:rPr>
      </w:pPr>
      <w:r w:rsidRPr="005E2D99">
        <w:rPr>
          <w:rFonts w:ascii="Open Sans" w:hAnsi="Open Sans" w:cs="Open Sans"/>
          <w:b/>
          <w:bCs/>
          <w:color w:val="000000"/>
          <w:sz w:val="22"/>
          <w:szCs w:val="22"/>
        </w:rPr>
        <w:t>E</w:t>
      </w:r>
      <w:r w:rsidR="005E2D99" w:rsidRPr="005E2D99">
        <w:rPr>
          <w:rFonts w:ascii="Open Sans" w:hAnsi="Open Sans" w:cs="Open Sans"/>
          <w:b/>
          <w:bCs/>
          <w:color w:val="000000"/>
          <w:sz w:val="22"/>
          <w:szCs w:val="22"/>
        </w:rPr>
        <w:t>n cuanto a Madrid</w:t>
      </w:r>
      <w:r w:rsidR="005E2D99">
        <w:rPr>
          <w:rFonts w:ascii="Open Sans" w:hAnsi="Open Sans" w:cs="Open Sans"/>
          <w:b/>
          <w:bCs/>
          <w:color w:val="000000"/>
          <w:sz w:val="22"/>
          <w:szCs w:val="22"/>
        </w:rPr>
        <w:t xml:space="preserve"> capital</w:t>
      </w:r>
      <w:r w:rsidR="005E2D99">
        <w:rPr>
          <w:rFonts w:ascii="Open Sans" w:hAnsi="Open Sans" w:cs="Open Sans"/>
          <w:color w:val="000000"/>
          <w:sz w:val="22"/>
          <w:szCs w:val="22"/>
        </w:rPr>
        <w:t>,</w:t>
      </w:r>
      <w:r>
        <w:rPr>
          <w:rFonts w:ascii="Open Sans" w:hAnsi="Open Sans" w:cs="Open Sans"/>
          <w:color w:val="000000"/>
          <w:sz w:val="22"/>
          <w:szCs w:val="22"/>
        </w:rPr>
        <w:t xml:space="preserve"> </w:t>
      </w:r>
      <w:r w:rsidR="005E2D99">
        <w:rPr>
          <w:rFonts w:ascii="Open Sans" w:hAnsi="Open Sans" w:cs="Open Sans"/>
          <w:color w:val="000000"/>
          <w:sz w:val="22"/>
          <w:szCs w:val="22"/>
        </w:rPr>
        <w:t xml:space="preserve">el distrito más rentable en 2020 es </w:t>
      </w:r>
      <w:r w:rsidRPr="00BD0E86">
        <w:rPr>
          <w:rFonts w:ascii="Open Sans" w:hAnsi="Open Sans" w:cs="Open Sans"/>
          <w:color w:val="000000"/>
          <w:sz w:val="22"/>
          <w:szCs w:val="22"/>
        </w:rPr>
        <w:t>Puente de Vallecas</w:t>
      </w:r>
      <w:r>
        <w:rPr>
          <w:rFonts w:ascii="Open Sans" w:hAnsi="Open Sans" w:cs="Open Sans"/>
          <w:color w:val="000000"/>
          <w:sz w:val="22"/>
          <w:szCs w:val="22"/>
        </w:rPr>
        <w:t xml:space="preserve"> con un 7,3% de rentabilidad (la misma que en 2015). Le siguen, </w:t>
      </w:r>
      <w:r w:rsidRPr="00BD0E86">
        <w:rPr>
          <w:rFonts w:ascii="Open Sans" w:hAnsi="Open Sans" w:cs="Open Sans"/>
          <w:color w:val="000000"/>
          <w:sz w:val="22"/>
          <w:szCs w:val="22"/>
        </w:rPr>
        <w:t>Villaverde</w:t>
      </w:r>
      <w:r>
        <w:rPr>
          <w:rFonts w:ascii="Open Sans" w:hAnsi="Open Sans" w:cs="Open Sans"/>
          <w:color w:val="000000"/>
          <w:sz w:val="22"/>
          <w:szCs w:val="22"/>
        </w:rPr>
        <w:t xml:space="preserve"> (</w:t>
      </w:r>
      <w:r w:rsidR="005E2D99">
        <w:rPr>
          <w:rFonts w:ascii="Open Sans" w:hAnsi="Open Sans" w:cs="Open Sans"/>
          <w:color w:val="000000"/>
          <w:sz w:val="22"/>
          <w:szCs w:val="22"/>
        </w:rPr>
        <w:t>7</w:t>
      </w:r>
      <w:r>
        <w:rPr>
          <w:rFonts w:ascii="Open Sans" w:hAnsi="Open Sans" w:cs="Open Sans"/>
          <w:color w:val="000000"/>
          <w:sz w:val="22"/>
          <w:szCs w:val="22"/>
        </w:rPr>
        <w:t xml:space="preserve">%), </w:t>
      </w:r>
      <w:r w:rsidRPr="00BD0E86">
        <w:rPr>
          <w:rFonts w:ascii="Open Sans" w:hAnsi="Open Sans" w:cs="Open Sans"/>
          <w:color w:val="000000"/>
          <w:sz w:val="22"/>
          <w:szCs w:val="22"/>
        </w:rPr>
        <w:t>Usera</w:t>
      </w:r>
      <w:r>
        <w:rPr>
          <w:rFonts w:ascii="Open Sans" w:hAnsi="Open Sans" w:cs="Open Sans"/>
          <w:color w:val="000000"/>
          <w:sz w:val="22"/>
          <w:szCs w:val="22"/>
        </w:rPr>
        <w:t xml:space="preserve"> (6,</w:t>
      </w:r>
      <w:r w:rsidR="005E2D99">
        <w:rPr>
          <w:rFonts w:ascii="Open Sans" w:hAnsi="Open Sans" w:cs="Open Sans"/>
          <w:color w:val="000000"/>
          <w:sz w:val="22"/>
          <w:szCs w:val="22"/>
        </w:rPr>
        <w:t>6</w:t>
      </w:r>
      <w:r>
        <w:rPr>
          <w:rFonts w:ascii="Open Sans" w:hAnsi="Open Sans" w:cs="Open Sans"/>
          <w:color w:val="000000"/>
          <w:sz w:val="22"/>
          <w:szCs w:val="22"/>
        </w:rPr>
        <w:t xml:space="preserve">%), </w:t>
      </w:r>
      <w:r w:rsidRPr="00BD0E86">
        <w:rPr>
          <w:rFonts w:ascii="Open Sans" w:hAnsi="Open Sans" w:cs="Open Sans"/>
          <w:color w:val="000000"/>
          <w:sz w:val="22"/>
          <w:szCs w:val="22"/>
        </w:rPr>
        <w:t>Carabanchel</w:t>
      </w:r>
      <w:r>
        <w:rPr>
          <w:rFonts w:ascii="Open Sans" w:hAnsi="Open Sans" w:cs="Open Sans"/>
          <w:color w:val="000000"/>
          <w:sz w:val="22"/>
          <w:szCs w:val="22"/>
        </w:rPr>
        <w:t xml:space="preserve"> (6,</w:t>
      </w:r>
      <w:r w:rsidR="005E2D99">
        <w:rPr>
          <w:rFonts w:ascii="Open Sans" w:hAnsi="Open Sans" w:cs="Open Sans"/>
          <w:color w:val="000000"/>
          <w:sz w:val="22"/>
          <w:szCs w:val="22"/>
        </w:rPr>
        <w:t>2</w:t>
      </w:r>
      <w:r>
        <w:rPr>
          <w:rFonts w:ascii="Open Sans" w:hAnsi="Open Sans" w:cs="Open Sans"/>
          <w:color w:val="000000"/>
          <w:sz w:val="22"/>
          <w:szCs w:val="22"/>
        </w:rPr>
        <w:t xml:space="preserve">%), </w:t>
      </w:r>
      <w:r w:rsidRPr="00BD0E86">
        <w:rPr>
          <w:rFonts w:ascii="Open Sans" w:hAnsi="Open Sans" w:cs="Open Sans"/>
          <w:color w:val="000000"/>
          <w:sz w:val="22"/>
          <w:szCs w:val="22"/>
        </w:rPr>
        <w:t>Latina</w:t>
      </w:r>
      <w:r>
        <w:rPr>
          <w:rFonts w:ascii="Open Sans" w:hAnsi="Open Sans" w:cs="Open Sans"/>
          <w:color w:val="000000"/>
          <w:sz w:val="22"/>
          <w:szCs w:val="22"/>
        </w:rPr>
        <w:t xml:space="preserve"> (6,</w:t>
      </w:r>
      <w:r w:rsidR="005E2D99">
        <w:rPr>
          <w:rFonts w:ascii="Open Sans" w:hAnsi="Open Sans" w:cs="Open Sans"/>
          <w:color w:val="000000"/>
          <w:sz w:val="22"/>
          <w:szCs w:val="22"/>
        </w:rPr>
        <w:t>1</w:t>
      </w:r>
      <w:r>
        <w:rPr>
          <w:rFonts w:ascii="Open Sans" w:hAnsi="Open Sans" w:cs="Open Sans"/>
          <w:color w:val="000000"/>
          <w:sz w:val="22"/>
          <w:szCs w:val="22"/>
        </w:rPr>
        <w:t xml:space="preserve">%), </w:t>
      </w:r>
      <w:r w:rsidRPr="00BD0E86">
        <w:rPr>
          <w:rFonts w:ascii="Open Sans" w:hAnsi="Open Sans" w:cs="Open Sans"/>
          <w:color w:val="000000"/>
          <w:sz w:val="22"/>
          <w:szCs w:val="22"/>
        </w:rPr>
        <w:t>Villa de Vallecas</w:t>
      </w:r>
      <w:r>
        <w:rPr>
          <w:rFonts w:ascii="Open Sans" w:hAnsi="Open Sans" w:cs="Open Sans"/>
          <w:color w:val="000000"/>
          <w:sz w:val="22"/>
          <w:szCs w:val="22"/>
        </w:rPr>
        <w:t xml:space="preserve"> (</w:t>
      </w:r>
      <w:r w:rsidR="005E2D99">
        <w:rPr>
          <w:rFonts w:ascii="Open Sans" w:hAnsi="Open Sans" w:cs="Open Sans"/>
          <w:color w:val="000000"/>
          <w:sz w:val="22"/>
          <w:szCs w:val="22"/>
        </w:rPr>
        <w:t>5,8</w:t>
      </w:r>
      <w:r>
        <w:rPr>
          <w:rFonts w:ascii="Open Sans" w:hAnsi="Open Sans" w:cs="Open Sans"/>
          <w:color w:val="000000"/>
          <w:sz w:val="22"/>
          <w:szCs w:val="22"/>
        </w:rPr>
        <w:t>%), Vicálvaro (</w:t>
      </w:r>
      <w:r w:rsidR="005E2D99">
        <w:rPr>
          <w:rFonts w:ascii="Open Sans" w:hAnsi="Open Sans" w:cs="Open Sans"/>
          <w:color w:val="000000"/>
          <w:sz w:val="22"/>
          <w:szCs w:val="22"/>
        </w:rPr>
        <w:t>5,4</w:t>
      </w:r>
      <w:r>
        <w:rPr>
          <w:rFonts w:ascii="Open Sans" w:hAnsi="Open Sans" w:cs="Open Sans"/>
          <w:color w:val="000000"/>
          <w:sz w:val="22"/>
          <w:szCs w:val="22"/>
        </w:rPr>
        <w:t>%), San Blas (</w:t>
      </w:r>
      <w:r w:rsidR="005E2D99">
        <w:rPr>
          <w:rFonts w:ascii="Open Sans" w:hAnsi="Open Sans" w:cs="Open Sans"/>
          <w:color w:val="000000"/>
          <w:sz w:val="22"/>
          <w:szCs w:val="22"/>
        </w:rPr>
        <w:t>5,1</w:t>
      </w:r>
      <w:r>
        <w:rPr>
          <w:rFonts w:ascii="Open Sans" w:hAnsi="Open Sans" w:cs="Open Sans"/>
          <w:color w:val="000000"/>
          <w:sz w:val="22"/>
          <w:szCs w:val="22"/>
        </w:rPr>
        <w:t xml:space="preserve">%), </w:t>
      </w:r>
      <w:r w:rsidRPr="00BD0E86">
        <w:rPr>
          <w:rFonts w:ascii="Open Sans" w:hAnsi="Open Sans" w:cs="Open Sans"/>
          <w:color w:val="000000"/>
          <w:sz w:val="22"/>
          <w:szCs w:val="22"/>
        </w:rPr>
        <w:t>Ciudad Lineal</w:t>
      </w:r>
      <w:r>
        <w:rPr>
          <w:rFonts w:ascii="Open Sans" w:hAnsi="Open Sans" w:cs="Open Sans"/>
          <w:color w:val="000000"/>
          <w:sz w:val="22"/>
          <w:szCs w:val="22"/>
        </w:rPr>
        <w:t xml:space="preserve"> (</w:t>
      </w:r>
      <w:r w:rsidR="005E2D99">
        <w:rPr>
          <w:rFonts w:ascii="Open Sans" w:hAnsi="Open Sans" w:cs="Open Sans"/>
          <w:color w:val="000000"/>
          <w:sz w:val="22"/>
          <w:szCs w:val="22"/>
        </w:rPr>
        <w:t>4,9</w:t>
      </w:r>
      <w:r>
        <w:rPr>
          <w:rFonts w:ascii="Open Sans" w:hAnsi="Open Sans" w:cs="Open Sans"/>
          <w:color w:val="000000"/>
          <w:sz w:val="22"/>
          <w:szCs w:val="22"/>
        </w:rPr>
        <w:t xml:space="preserve">%), </w:t>
      </w:r>
      <w:r w:rsidRPr="00BD0E86">
        <w:rPr>
          <w:rFonts w:ascii="Open Sans" w:hAnsi="Open Sans" w:cs="Open Sans"/>
          <w:color w:val="000000"/>
          <w:sz w:val="22"/>
          <w:szCs w:val="22"/>
        </w:rPr>
        <w:t>Tetuán</w:t>
      </w:r>
      <w:r>
        <w:rPr>
          <w:rFonts w:ascii="Open Sans" w:hAnsi="Open Sans" w:cs="Open Sans"/>
          <w:color w:val="000000"/>
          <w:sz w:val="22"/>
          <w:szCs w:val="22"/>
        </w:rPr>
        <w:t xml:space="preserve"> (</w:t>
      </w:r>
      <w:r w:rsidR="005E2D99">
        <w:rPr>
          <w:rFonts w:ascii="Open Sans" w:hAnsi="Open Sans" w:cs="Open Sans"/>
          <w:color w:val="000000"/>
          <w:sz w:val="22"/>
          <w:szCs w:val="22"/>
        </w:rPr>
        <w:t>4,7</w:t>
      </w:r>
      <w:r>
        <w:rPr>
          <w:rFonts w:ascii="Open Sans" w:hAnsi="Open Sans" w:cs="Open Sans"/>
          <w:color w:val="000000"/>
          <w:sz w:val="22"/>
          <w:szCs w:val="22"/>
        </w:rPr>
        <w:t xml:space="preserve">%), </w:t>
      </w:r>
      <w:r w:rsidRPr="00BD0E86">
        <w:rPr>
          <w:rFonts w:ascii="Open Sans" w:hAnsi="Open Sans" w:cs="Open Sans"/>
          <w:color w:val="000000"/>
          <w:sz w:val="22"/>
          <w:szCs w:val="22"/>
        </w:rPr>
        <w:t>Barajas</w:t>
      </w:r>
      <w:r>
        <w:rPr>
          <w:rFonts w:ascii="Open Sans" w:hAnsi="Open Sans" w:cs="Open Sans"/>
          <w:color w:val="000000"/>
          <w:sz w:val="22"/>
          <w:szCs w:val="22"/>
        </w:rPr>
        <w:t xml:space="preserve"> (</w:t>
      </w:r>
      <w:r w:rsidR="005E2D99">
        <w:rPr>
          <w:rFonts w:ascii="Open Sans" w:hAnsi="Open Sans" w:cs="Open Sans"/>
          <w:color w:val="000000"/>
          <w:sz w:val="22"/>
          <w:szCs w:val="22"/>
        </w:rPr>
        <w:t>4,3</w:t>
      </w:r>
      <w:r>
        <w:rPr>
          <w:rFonts w:ascii="Open Sans" w:hAnsi="Open Sans" w:cs="Open Sans"/>
          <w:color w:val="000000"/>
          <w:sz w:val="22"/>
          <w:szCs w:val="22"/>
        </w:rPr>
        <w:t xml:space="preserve">%), </w:t>
      </w:r>
      <w:r w:rsidRPr="00BD0E86">
        <w:rPr>
          <w:rFonts w:ascii="Open Sans" w:hAnsi="Open Sans" w:cs="Open Sans"/>
          <w:color w:val="000000"/>
          <w:sz w:val="22"/>
          <w:szCs w:val="22"/>
        </w:rPr>
        <w:t>Arganzuela</w:t>
      </w:r>
      <w:r>
        <w:rPr>
          <w:rFonts w:ascii="Open Sans" w:hAnsi="Open Sans" w:cs="Open Sans"/>
          <w:color w:val="000000"/>
          <w:sz w:val="22"/>
          <w:szCs w:val="22"/>
        </w:rPr>
        <w:t xml:space="preserve"> (</w:t>
      </w:r>
      <w:r w:rsidR="005E2D99">
        <w:rPr>
          <w:rFonts w:ascii="Open Sans" w:hAnsi="Open Sans" w:cs="Open Sans"/>
          <w:color w:val="000000"/>
          <w:sz w:val="22"/>
          <w:szCs w:val="22"/>
        </w:rPr>
        <w:t>4,2</w:t>
      </w:r>
      <w:r>
        <w:rPr>
          <w:rFonts w:ascii="Open Sans" w:hAnsi="Open Sans" w:cs="Open Sans"/>
          <w:color w:val="000000"/>
          <w:sz w:val="22"/>
          <w:szCs w:val="22"/>
        </w:rPr>
        <w:t xml:space="preserve">%), </w:t>
      </w:r>
      <w:r w:rsidRPr="00BD0E86">
        <w:rPr>
          <w:rFonts w:ascii="Open Sans" w:hAnsi="Open Sans" w:cs="Open Sans"/>
          <w:color w:val="000000"/>
          <w:sz w:val="22"/>
          <w:szCs w:val="22"/>
        </w:rPr>
        <w:t>Fuencarral</w:t>
      </w:r>
      <w:r>
        <w:rPr>
          <w:rFonts w:ascii="Open Sans" w:hAnsi="Open Sans" w:cs="Open Sans"/>
          <w:color w:val="000000"/>
          <w:sz w:val="22"/>
          <w:szCs w:val="22"/>
        </w:rPr>
        <w:t xml:space="preserve"> (</w:t>
      </w:r>
      <w:r w:rsidR="005E2D99">
        <w:rPr>
          <w:rFonts w:ascii="Open Sans" w:hAnsi="Open Sans" w:cs="Open Sans"/>
          <w:color w:val="000000"/>
          <w:sz w:val="22"/>
          <w:szCs w:val="22"/>
        </w:rPr>
        <w:t>4,2</w:t>
      </w:r>
      <w:r>
        <w:rPr>
          <w:rFonts w:ascii="Open Sans" w:hAnsi="Open Sans" w:cs="Open Sans"/>
          <w:color w:val="000000"/>
          <w:sz w:val="22"/>
          <w:szCs w:val="22"/>
        </w:rPr>
        <w:t xml:space="preserve">%), </w:t>
      </w:r>
      <w:r w:rsidRPr="00BD0E86">
        <w:rPr>
          <w:rFonts w:ascii="Open Sans" w:hAnsi="Open Sans" w:cs="Open Sans"/>
          <w:color w:val="000000"/>
          <w:sz w:val="22"/>
          <w:szCs w:val="22"/>
        </w:rPr>
        <w:t>Hortaleza</w:t>
      </w:r>
      <w:r>
        <w:rPr>
          <w:rFonts w:ascii="Open Sans" w:hAnsi="Open Sans" w:cs="Open Sans"/>
          <w:color w:val="000000"/>
          <w:sz w:val="22"/>
          <w:szCs w:val="22"/>
        </w:rPr>
        <w:t xml:space="preserve"> (</w:t>
      </w:r>
      <w:r w:rsidR="005E2D99">
        <w:rPr>
          <w:rFonts w:ascii="Open Sans" w:hAnsi="Open Sans" w:cs="Open Sans"/>
          <w:color w:val="000000"/>
          <w:sz w:val="22"/>
          <w:szCs w:val="22"/>
        </w:rPr>
        <w:t>4,1</w:t>
      </w:r>
      <w:r>
        <w:rPr>
          <w:rFonts w:ascii="Open Sans" w:hAnsi="Open Sans" w:cs="Open Sans"/>
          <w:color w:val="000000"/>
          <w:sz w:val="22"/>
          <w:szCs w:val="22"/>
        </w:rPr>
        <w:t xml:space="preserve">%), </w:t>
      </w:r>
      <w:r w:rsidR="005E2D99">
        <w:rPr>
          <w:rFonts w:ascii="Open Sans" w:hAnsi="Open Sans" w:cs="Open Sans"/>
          <w:color w:val="000000"/>
          <w:sz w:val="22"/>
          <w:szCs w:val="22"/>
        </w:rPr>
        <w:t xml:space="preserve">Moncloa (3,9%), </w:t>
      </w:r>
      <w:r w:rsidRPr="00BD0E86">
        <w:rPr>
          <w:rFonts w:ascii="Open Sans" w:hAnsi="Open Sans" w:cs="Open Sans"/>
          <w:color w:val="000000"/>
          <w:sz w:val="22"/>
          <w:szCs w:val="22"/>
        </w:rPr>
        <w:t>Centro</w:t>
      </w:r>
      <w:r>
        <w:rPr>
          <w:rFonts w:ascii="Open Sans" w:hAnsi="Open Sans" w:cs="Open Sans"/>
          <w:color w:val="000000"/>
          <w:sz w:val="22"/>
          <w:szCs w:val="22"/>
        </w:rPr>
        <w:t xml:space="preserve"> (</w:t>
      </w:r>
      <w:r w:rsidR="005E2D99">
        <w:rPr>
          <w:rFonts w:ascii="Open Sans" w:hAnsi="Open Sans" w:cs="Open Sans"/>
          <w:color w:val="000000"/>
          <w:sz w:val="22"/>
          <w:szCs w:val="22"/>
        </w:rPr>
        <w:t>3,8</w:t>
      </w:r>
      <w:r>
        <w:rPr>
          <w:rFonts w:ascii="Open Sans" w:hAnsi="Open Sans" w:cs="Open Sans"/>
          <w:color w:val="000000"/>
          <w:sz w:val="22"/>
          <w:szCs w:val="22"/>
        </w:rPr>
        <w:t xml:space="preserve">%), </w:t>
      </w:r>
      <w:r w:rsidRPr="00BD0E86">
        <w:rPr>
          <w:rFonts w:ascii="Open Sans" w:hAnsi="Open Sans" w:cs="Open Sans"/>
          <w:color w:val="000000"/>
          <w:sz w:val="22"/>
          <w:szCs w:val="22"/>
        </w:rPr>
        <w:t>Retiro</w:t>
      </w:r>
      <w:r>
        <w:rPr>
          <w:rFonts w:ascii="Open Sans" w:hAnsi="Open Sans" w:cs="Open Sans"/>
          <w:color w:val="000000"/>
          <w:sz w:val="22"/>
          <w:szCs w:val="22"/>
        </w:rPr>
        <w:t xml:space="preserve"> (</w:t>
      </w:r>
      <w:r w:rsidR="005E2D99">
        <w:rPr>
          <w:rFonts w:ascii="Open Sans" w:hAnsi="Open Sans" w:cs="Open Sans"/>
          <w:color w:val="000000"/>
          <w:sz w:val="22"/>
          <w:szCs w:val="22"/>
        </w:rPr>
        <w:t>3,8</w:t>
      </w:r>
      <w:r>
        <w:rPr>
          <w:rFonts w:ascii="Open Sans" w:hAnsi="Open Sans" w:cs="Open Sans"/>
          <w:color w:val="000000"/>
          <w:sz w:val="22"/>
          <w:szCs w:val="22"/>
        </w:rPr>
        <w:t xml:space="preserve">%), </w:t>
      </w:r>
      <w:r w:rsidRPr="00BD0E86">
        <w:rPr>
          <w:rFonts w:ascii="Open Sans" w:hAnsi="Open Sans" w:cs="Open Sans"/>
          <w:color w:val="000000"/>
          <w:sz w:val="22"/>
          <w:szCs w:val="22"/>
        </w:rPr>
        <w:t>Chamberí</w:t>
      </w:r>
      <w:r>
        <w:rPr>
          <w:rFonts w:ascii="Open Sans" w:hAnsi="Open Sans" w:cs="Open Sans"/>
          <w:color w:val="000000"/>
          <w:sz w:val="22"/>
          <w:szCs w:val="22"/>
        </w:rPr>
        <w:t xml:space="preserve"> (</w:t>
      </w:r>
      <w:r w:rsidR="005E2D99">
        <w:rPr>
          <w:rFonts w:ascii="Open Sans" w:hAnsi="Open Sans" w:cs="Open Sans"/>
          <w:color w:val="000000"/>
          <w:sz w:val="22"/>
          <w:szCs w:val="22"/>
        </w:rPr>
        <w:t>3,7</w:t>
      </w:r>
      <w:r>
        <w:rPr>
          <w:rFonts w:ascii="Open Sans" w:hAnsi="Open Sans" w:cs="Open Sans"/>
          <w:color w:val="000000"/>
          <w:sz w:val="22"/>
          <w:szCs w:val="22"/>
        </w:rPr>
        <w:t>%),</w:t>
      </w:r>
      <w:r w:rsidR="00D42D4B">
        <w:rPr>
          <w:rFonts w:ascii="Open Sans" w:hAnsi="Open Sans" w:cs="Open Sans"/>
          <w:color w:val="000000"/>
          <w:sz w:val="22"/>
          <w:szCs w:val="22"/>
        </w:rPr>
        <w:t xml:space="preserve"> </w:t>
      </w:r>
      <w:r w:rsidRPr="00BD0E86">
        <w:rPr>
          <w:rFonts w:ascii="Open Sans" w:hAnsi="Open Sans" w:cs="Open Sans"/>
          <w:color w:val="000000"/>
          <w:sz w:val="22"/>
          <w:szCs w:val="22"/>
        </w:rPr>
        <w:t>Chamartín</w:t>
      </w:r>
      <w:r>
        <w:rPr>
          <w:rFonts w:ascii="Open Sans" w:hAnsi="Open Sans" w:cs="Open Sans"/>
          <w:color w:val="000000"/>
          <w:sz w:val="22"/>
          <w:szCs w:val="22"/>
        </w:rPr>
        <w:t xml:space="preserve"> (</w:t>
      </w:r>
      <w:r w:rsidR="005E2D99">
        <w:rPr>
          <w:rFonts w:ascii="Open Sans" w:hAnsi="Open Sans" w:cs="Open Sans"/>
          <w:color w:val="000000"/>
          <w:sz w:val="22"/>
          <w:szCs w:val="22"/>
        </w:rPr>
        <w:t>3,6</w:t>
      </w:r>
      <w:r>
        <w:rPr>
          <w:rFonts w:ascii="Open Sans" w:hAnsi="Open Sans" w:cs="Open Sans"/>
          <w:color w:val="000000"/>
          <w:sz w:val="22"/>
          <w:szCs w:val="22"/>
        </w:rPr>
        <w:t xml:space="preserve">%) y </w:t>
      </w:r>
      <w:r w:rsidR="005E2D99" w:rsidRPr="00BD0E86">
        <w:rPr>
          <w:rFonts w:ascii="Open Sans" w:hAnsi="Open Sans" w:cs="Open Sans"/>
          <w:color w:val="000000"/>
          <w:sz w:val="22"/>
          <w:szCs w:val="22"/>
        </w:rPr>
        <w:t>Salamanca</w:t>
      </w:r>
      <w:r w:rsidR="005E2D99">
        <w:rPr>
          <w:rFonts w:ascii="Open Sans" w:hAnsi="Open Sans" w:cs="Open Sans"/>
          <w:color w:val="000000"/>
          <w:sz w:val="22"/>
          <w:szCs w:val="22"/>
        </w:rPr>
        <w:t xml:space="preserve"> </w:t>
      </w:r>
      <w:r>
        <w:rPr>
          <w:rFonts w:ascii="Open Sans" w:hAnsi="Open Sans" w:cs="Open Sans"/>
          <w:color w:val="000000"/>
          <w:sz w:val="22"/>
          <w:szCs w:val="22"/>
        </w:rPr>
        <w:t>(</w:t>
      </w:r>
      <w:r w:rsidR="005E2D99">
        <w:rPr>
          <w:rFonts w:ascii="Open Sans" w:hAnsi="Open Sans" w:cs="Open Sans"/>
          <w:color w:val="000000"/>
          <w:sz w:val="22"/>
          <w:szCs w:val="22"/>
        </w:rPr>
        <w:t>3,4</w:t>
      </w:r>
      <w:r>
        <w:rPr>
          <w:rFonts w:ascii="Open Sans" w:hAnsi="Open Sans" w:cs="Open Sans"/>
          <w:color w:val="000000"/>
          <w:sz w:val="22"/>
          <w:szCs w:val="22"/>
        </w:rPr>
        <w:t>%).</w:t>
      </w:r>
    </w:p>
    <w:p w14:paraId="1B43A052" w14:textId="77777777" w:rsidR="009E75F5" w:rsidRDefault="009E75F5" w:rsidP="00D42D4B">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p>
    <w:p w14:paraId="2A0409C2" w14:textId="43227086" w:rsidR="0014415E" w:rsidRPr="00CA0C1F" w:rsidRDefault="00871389" w:rsidP="00D42D4B">
      <w:pPr>
        <w:pStyle w:val="NormalWeb"/>
        <w:shd w:val="clear" w:color="auto" w:fill="FFFFFF"/>
        <w:spacing w:after="225" w:line="276" w:lineRule="auto"/>
        <w:ind w:left="-142" w:right="-574"/>
        <w:jc w:val="both"/>
        <w:rPr>
          <w:rFonts w:ascii="Open Sans Light" w:hAnsi="Open Sans Light"/>
          <w:color w:val="404040"/>
        </w:rPr>
      </w:pPr>
      <w:r>
        <w:rPr>
          <w:rFonts w:ascii="Open Sans Light" w:hAnsi="Open Sans Light" w:cs="Open Sans Light"/>
          <w:b/>
          <w:iCs/>
          <w:color w:val="303AB2"/>
          <w:sz w:val="28"/>
          <w:szCs w:val="20"/>
        </w:rPr>
        <w:t>Mapas comparativos de la rentabilidad de los distritos de Madrid (20</w:t>
      </w:r>
      <w:r w:rsidR="0004274E">
        <w:rPr>
          <w:rFonts w:ascii="Open Sans Light" w:hAnsi="Open Sans Light" w:cs="Open Sans Light"/>
          <w:b/>
          <w:iCs/>
          <w:color w:val="303AB2"/>
          <w:sz w:val="28"/>
          <w:szCs w:val="20"/>
        </w:rPr>
        <w:t>1</w:t>
      </w:r>
      <w:r w:rsidR="00D42D4B">
        <w:rPr>
          <w:rFonts w:ascii="Open Sans Light" w:hAnsi="Open Sans Light" w:cs="Open Sans Light"/>
          <w:b/>
          <w:iCs/>
          <w:color w:val="303AB2"/>
          <w:sz w:val="28"/>
          <w:szCs w:val="20"/>
        </w:rPr>
        <w:t>5</w:t>
      </w:r>
      <w:r>
        <w:rPr>
          <w:rFonts w:ascii="Open Sans Light" w:hAnsi="Open Sans Light" w:cs="Open Sans Light"/>
          <w:b/>
          <w:iCs/>
          <w:color w:val="303AB2"/>
          <w:sz w:val="28"/>
          <w:szCs w:val="20"/>
        </w:rPr>
        <w:t>, 201</w:t>
      </w:r>
      <w:r w:rsidR="00D42D4B">
        <w:rPr>
          <w:rFonts w:ascii="Open Sans Light" w:hAnsi="Open Sans Light" w:cs="Open Sans Light"/>
          <w:b/>
          <w:iCs/>
          <w:color w:val="303AB2"/>
          <w:sz w:val="28"/>
          <w:szCs w:val="20"/>
        </w:rPr>
        <w:t>9</w:t>
      </w:r>
      <w:r>
        <w:rPr>
          <w:rFonts w:ascii="Open Sans Light" w:hAnsi="Open Sans Light" w:cs="Open Sans Light"/>
          <w:b/>
          <w:iCs/>
          <w:color w:val="303AB2"/>
          <w:sz w:val="28"/>
          <w:szCs w:val="20"/>
        </w:rPr>
        <w:t xml:space="preserve"> y 20</w:t>
      </w:r>
      <w:r w:rsidR="00D42D4B">
        <w:rPr>
          <w:rFonts w:ascii="Open Sans Light" w:hAnsi="Open Sans Light" w:cs="Open Sans Light"/>
          <w:b/>
          <w:iCs/>
          <w:color w:val="303AB2"/>
          <w:sz w:val="28"/>
          <w:szCs w:val="20"/>
        </w:rPr>
        <w:t>20</w:t>
      </w:r>
      <w:r>
        <w:rPr>
          <w:rFonts w:ascii="Open Sans Light" w:hAnsi="Open Sans Light" w:cs="Open Sans Light"/>
          <w:b/>
          <w:iCs/>
          <w:color w:val="303AB2"/>
          <w:sz w:val="28"/>
          <w:szCs w:val="20"/>
        </w:rPr>
        <w:t>)</w:t>
      </w:r>
    </w:p>
    <w:p w14:paraId="03AE9EF7" w14:textId="37F60D73" w:rsidR="004B44D0" w:rsidRPr="00CA0C1F" w:rsidRDefault="009F4539" w:rsidP="004B44D0">
      <w:pPr>
        <w:jc w:val="center"/>
        <w:rPr>
          <w:rFonts w:ascii="Open Sans Light" w:hAnsi="Open Sans Light"/>
          <w:color w:val="404040"/>
          <w:lang w:val="es-ES"/>
        </w:rPr>
      </w:pPr>
      <w:r>
        <w:rPr>
          <w:noProof/>
        </w:rPr>
        <w:drawing>
          <wp:inline distT="0" distB="0" distL="0" distR="0" wp14:anchorId="10E2BE92" wp14:editId="65B59724">
            <wp:extent cx="5362575" cy="219075"/>
            <wp:effectExtent l="0" t="0" r="9525" b="952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19075"/>
                    </a:xfrm>
                    <a:prstGeom prst="rect">
                      <a:avLst/>
                    </a:prstGeom>
                  </pic:spPr>
                </pic:pic>
              </a:graphicData>
            </a:graphic>
          </wp:inline>
        </w:drawing>
      </w:r>
    </w:p>
    <w:p w14:paraId="6ADD005A" w14:textId="4E4C4C08" w:rsidR="00871389" w:rsidRPr="00CA0C1F" w:rsidRDefault="00871389" w:rsidP="0014415E">
      <w:pPr>
        <w:jc w:val="both"/>
        <w:rPr>
          <w:rFonts w:ascii="Open Sans Light" w:hAnsi="Open Sans Light"/>
          <w:color w:val="404040"/>
          <w:lang w:val="es-ES"/>
        </w:rPr>
      </w:pPr>
    </w:p>
    <w:p w14:paraId="7A7E232B" w14:textId="3CDFAA90" w:rsidR="00871389" w:rsidRPr="00CA0C1F" w:rsidRDefault="006A69C9" w:rsidP="0014415E">
      <w:pPr>
        <w:jc w:val="both"/>
        <w:rPr>
          <w:rFonts w:ascii="Open Sans Light" w:hAnsi="Open Sans Light"/>
          <w:color w:val="404040"/>
          <w:lang w:val="es-ES"/>
        </w:rPr>
      </w:pPr>
      <w:r>
        <w:rPr>
          <w:rFonts w:ascii="Open Sans Light" w:hAnsi="Open Sans Light"/>
          <w:noProof/>
          <w:color w:val="404040"/>
          <w:lang w:val="es-ES"/>
        </w:rPr>
        <w:drawing>
          <wp:inline distT="0" distB="0" distL="0" distR="0" wp14:anchorId="06E73ADF" wp14:editId="112E4ABE">
            <wp:extent cx="5799409" cy="2448567"/>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0444" cy="2457448"/>
                    </a:xfrm>
                    <a:prstGeom prst="rect">
                      <a:avLst/>
                    </a:prstGeom>
                    <a:noFill/>
                  </pic:spPr>
                </pic:pic>
              </a:graphicData>
            </a:graphic>
          </wp:inline>
        </w:drawing>
      </w:r>
    </w:p>
    <w:p w14:paraId="715774A2" w14:textId="77777777" w:rsidR="009E75F5" w:rsidRDefault="009E75F5" w:rsidP="005E2D99">
      <w:pPr>
        <w:pStyle w:val="NormalWeb"/>
        <w:shd w:val="clear" w:color="auto" w:fill="FFFFFF"/>
        <w:spacing w:after="225" w:line="276" w:lineRule="auto"/>
        <w:ind w:left="-142" w:right="-574"/>
        <w:jc w:val="both"/>
        <w:rPr>
          <w:rFonts w:ascii="Open Sans" w:hAnsi="Open Sans" w:cs="Open Sans"/>
          <w:b/>
          <w:bCs/>
          <w:color w:val="000000"/>
          <w:sz w:val="22"/>
          <w:szCs w:val="22"/>
        </w:rPr>
      </w:pPr>
    </w:p>
    <w:p w14:paraId="69F002D4" w14:textId="2E258B22" w:rsidR="005E2D99" w:rsidRDefault="005E2D99" w:rsidP="005E2D99">
      <w:pPr>
        <w:pStyle w:val="NormalWeb"/>
        <w:shd w:val="clear" w:color="auto" w:fill="FFFFFF"/>
        <w:spacing w:after="225" w:line="276" w:lineRule="auto"/>
        <w:ind w:left="-142" w:right="-574"/>
        <w:jc w:val="both"/>
        <w:rPr>
          <w:rFonts w:ascii="Open Sans" w:hAnsi="Open Sans" w:cs="Open Sans"/>
          <w:color w:val="000000"/>
          <w:sz w:val="22"/>
          <w:szCs w:val="22"/>
        </w:rPr>
      </w:pPr>
      <w:r w:rsidRPr="005E2D99">
        <w:rPr>
          <w:rFonts w:ascii="Open Sans" w:hAnsi="Open Sans" w:cs="Open Sans"/>
          <w:b/>
          <w:bCs/>
          <w:color w:val="000000"/>
          <w:sz w:val="22"/>
          <w:szCs w:val="22"/>
        </w:rPr>
        <w:t xml:space="preserve">En cuanto a </w:t>
      </w:r>
      <w:r>
        <w:rPr>
          <w:rFonts w:ascii="Open Sans" w:hAnsi="Open Sans" w:cs="Open Sans"/>
          <w:b/>
          <w:bCs/>
          <w:color w:val="000000"/>
          <w:sz w:val="22"/>
          <w:szCs w:val="22"/>
        </w:rPr>
        <w:t>Barcelona capital</w:t>
      </w:r>
      <w:r>
        <w:rPr>
          <w:rFonts w:ascii="Open Sans" w:hAnsi="Open Sans" w:cs="Open Sans"/>
          <w:color w:val="000000"/>
          <w:sz w:val="22"/>
          <w:szCs w:val="22"/>
        </w:rPr>
        <w:t xml:space="preserve">, el distrito más rentable en 2020 es </w:t>
      </w:r>
      <w:r w:rsidRPr="005E2D99">
        <w:rPr>
          <w:rFonts w:ascii="Open Sans" w:hAnsi="Open Sans" w:cs="Open Sans"/>
          <w:color w:val="000000"/>
          <w:sz w:val="22"/>
          <w:szCs w:val="22"/>
        </w:rPr>
        <w:t>Nou Barris</w:t>
      </w:r>
      <w:r>
        <w:rPr>
          <w:rFonts w:ascii="Open Sans" w:hAnsi="Open Sans" w:cs="Open Sans"/>
          <w:color w:val="000000"/>
          <w:sz w:val="22"/>
          <w:szCs w:val="22"/>
        </w:rPr>
        <w:t xml:space="preserve"> con un 5,9%. Le siguen, </w:t>
      </w:r>
      <w:r w:rsidRPr="005E2D99">
        <w:rPr>
          <w:rFonts w:ascii="Open Sans" w:hAnsi="Open Sans" w:cs="Open Sans"/>
          <w:color w:val="000000"/>
          <w:sz w:val="22"/>
          <w:szCs w:val="22"/>
        </w:rPr>
        <w:t>Sant Andreu</w:t>
      </w:r>
      <w:r>
        <w:rPr>
          <w:rFonts w:ascii="Open Sans" w:hAnsi="Open Sans" w:cs="Open Sans"/>
          <w:color w:val="000000"/>
          <w:sz w:val="22"/>
          <w:szCs w:val="22"/>
        </w:rPr>
        <w:t xml:space="preserve"> (5,1%), </w:t>
      </w:r>
      <w:r w:rsidRPr="005E2D99">
        <w:rPr>
          <w:rFonts w:ascii="Open Sans" w:hAnsi="Open Sans" w:cs="Open Sans"/>
          <w:color w:val="000000"/>
          <w:sz w:val="22"/>
          <w:szCs w:val="22"/>
        </w:rPr>
        <w:t>Sants - Montjuïc</w:t>
      </w:r>
      <w:r>
        <w:rPr>
          <w:rFonts w:ascii="Open Sans" w:hAnsi="Open Sans" w:cs="Open Sans"/>
          <w:color w:val="000000"/>
          <w:sz w:val="22"/>
          <w:szCs w:val="22"/>
        </w:rPr>
        <w:t xml:space="preserve"> (4,7%), </w:t>
      </w:r>
      <w:r w:rsidRPr="005E2D99">
        <w:rPr>
          <w:rFonts w:ascii="Open Sans" w:hAnsi="Open Sans" w:cs="Open Sans"/>
          <w:color w:val="000000"/>
          <w:sz w:val="22"/>
          <w:szCs w:val="22"/>
        </w:rPr>
        <w:t>Horta - Guinardó</w:t>
      </w:r>
      <w:r>
        <w:rPr>
          <w:rFonts w:ascii="Open Sans" w:hAnsi="Open Sans" w:cs="Open Sans"/>
          <w:color w:val="000000"/>
          <w:sz w:val="22"/>
          <w:szCs w:val="22"/>
        </w:rPr>
        <w:t xml:space="preserve"> (4,7%), </w:t>
      </w:r>
      <w:r w:rsidRPr="005E2D99">
        <w:rPr>
          <w:rFonts w:ascii="Open Sans" w:hAnsi="Open Sans" w:cs="Open Sans"/>
          <w:color w:val="000000"/>
          <w:sz w:val="22"/>
          <w:szCs w:val="22"/>
        </w:rPr>
        <w:t>Sant Martí</w:t>
      </w:r>
      <w:r>
        <w:rPr>
          <w:rFonts w:ascii="Open Sans" w:hAnsi="Open Sans" w:cs="Open Sans"/>
          <w:color w:val="000000"/>
          <w:sz w:val="22"/>
          <w:szCs w:val="22"/>
        </w:rPr>
        <w:t xml:space="preserve"> (4,2%), </w:t>
      </w:r>
      <w:r w:rsidRPr="005E2D99">
        <w:rPr>
          <w:rFonts w:ascii="Open Sans" w:hAnsi="Open Sans" w:cs="Open Sans"/>
          <w:color w:val="000000"/>
          <w:sz w:val="22"/>
          <w:szCs w:val="22"/>
        </w:rPr>
        <w:t>Ciutat Vella</w:t>
      </w:r>
      <w:r>
        <w:rPr>
          <w:rFonts w:ascii="Open Sans" w:hAnsi="Open Sans" w:cs="Open Sans"/>
          <w:color w:val="000000"/>
          <w:sz w:val="22"/>
          <w:szCs w:val="22"/>
        </w:rPr>
        <w:t xml:space="preserve"> (4,2%), </w:t>
      </w:r>
      <w:r w:rsidRPr="005E2D99">
        <w:rPr>
          <w:rFonts w:ascii="Open Sans" w:hAnsi="Open Sans" w:cs="Open Sans"/>
          <w:color w:val="000000"/>
          <w:sz w:val="22"/>
          <w:szCs w:val="22"/>
        </w:rPr>
        <w:t>Gràcia</w:t>
      </w:r>
      <w:r>
        <w:rPr>
          <w:rFonts w:ascii="Open Sans" w:hAnsi="Open Sans" w:cs="Open Sans"/>
          <w:color w:val="000000"/>
          <w:sz w:val="22"/>
          <w:szCs w:val="22"/>
        </w:rPr>
        <w:t xml:space="preserve"> (4,2%), </w:t>
      </w:r>
      <w:r w:rsidRPr="005E2D99">
        <w:rPr>
          <w:rFonts w:ascii="Open Sans" w:hAnsi="Open Sans" w:cs="Open Sans"/>
          <w:color w:val="000000"/>
          <w:sz w:val="22"/>
          <w:szCs w:val="22"/>
        </w:rPr>
        <w:t>Eixample</w:t>
      </w:r>
      <w:r>
        <w:rPr>
          <w:rFonts w:ascii="Open Sans" w:hAnsi="Open Sans" w:cs="Open Sans"/>
          <w:color w:val="000000"/>
          <w:sz w:val="22"/>
          <w:szCs w:val="22"/>
        </w:rPr>
        <w:t xml:space="preserve"> (3,7%), </w:t>
      </w:r>
      <w:r w:rsidRPr="005E2D99">
        <w:rPr>
          <w:rFonts w:ascii="Open Sans" w:hAnsi="Open Sans" w:cs="Open Sans"/>
          <w:color w:val="000000"/>
          <w:sz w:val="22"/>
          <w:szCs w:val="22"/>
        </w:rPr>
        <w:t>Les Corts</w:t>
      </w:r>
      <w:r>
        <w:rPr>
          <w:rFonts w:ascii="Open Sans" w:hAnsi="Open Sans" w:cs="Open Sans"/>
          <w:color w:val="000000"/>
          <w:sz w:val="22"/>
          <w:szCs w:val="22"/>
        </w:rPr>
        <w:t xml:space="preserve"> (3,4%) y </w:t>
      </w:r>
      <w:r w:rsidRPr="005E2D99">
        <w:rPr>
          <w:rFonts w:ascii="Open Sans" w:hAnsi="Open Sans" w:cs="Open Sans"/>
          <w:color w:val="000000"/>
          <w:sz w:val="22"/>
          <w:szCs w:val="22"/>
        </w:rPr>
        <w:t>Sarrià - Sant Gervasi</w:t>
      </w:r>
      <w:r>
        <w:rPr>
          <w:rFonts w:ascii="Open Sans" w:hAnsi="Open Sans" w:cs="Open Sans"/>
          <w:color w:val="000000"/>
          <w:sz w:val="22"/>
          <w:szCs w:val="22"/>
        </w:rPr>
        <w:t xml:space="preserve"> (3,4%).</w:t>
      </w:r>
    </w:p>
    <w:p w14:paraId="07520C45" w14:textId="77777777" w:rsidR="004B5861" w:rsidRDefault="004B5861" w:rsidP="00401217">
      <w:pPr>
        <w:pStyle w:val="NormalWeb"/>
        <w:shd w:val="clear" w:color="auto" w:fill="FFFFFF"/>
        <w:spacing w:after="225" w:line="276" w:lineRule="auto"/>
        <w:ind w:left="-142" w:right="-574"/>
        <w:rPr>
          <w:rFonts w:ascii="Open Sans Light" w:hAnsi="Open Sans Light" w:cs="Open Sans Light"/>
          <w:b/>
          <w:iCs/>
          <w:color w:val="303AB2"/>
          <w:sz w:val="28"/>
          <w:szCs w:val="20"/>
        </w:rPr>
      </w:pPr>
    </w:p>
    <w:p w14:paraId="25C202F8" w14:textId="77777777" w:rsidR="004B5861" w:rsidRDefault="004B5861" w:rsidP="00401217">
      <w:pPr>
        <w:pStyle w:val="NormalWeb"/>
        <w:shd w:val="clear" w:color="auto" w:fill="FFFFFF"/>
        <w:spacing w:after="225" w:line="276" w:lineRule="auto"/>
        <w:ind w:left="-142" w:right="-574"/>
        <w:rPr>
          <w:rFonts w:ascii="Open Sans Light" w:hAnsi="Open Sans Light" w:cs="Open Sans Light"/>
          <w:b/>
          <w:iCs/>
          <w:color w:val="303AB2"/>
          <w:sz w:val="28"/>
          <w:szCs w:val="20"/>
        </w:rPr>
      </w:pPr>
    </w:p>
    <w:p w14:paraId="4C79819E" w14:textId="31DD4126" w:rsidR="00470ED1" w:rsidRDefault="00401217" w:rsidP="00401217">
      <w:pPr>
        <w:pStyle w:val="NormalWeb"/>
        <w:shd w:val="clear" w:color="auto" w:fill="FFFFFF"/>
        <w:spacing w:after="225" w:line="276" w:lineRule="auto"/>
        <w:ind w:left="-142" w:right="-574"/>
        <w:rPr>
          <w:rFonts w:ascii="Open Sans Light" w:hAnsi="Open Sans Light" w:cs="Open Sans Light"/>
          <w:b/>
          <w:iCs/>
          <w:color w:val="303AB2"/>
          <w:sz w:val="28"/>
          <w:szCs w:val="20"/>
        </w:rPr>
      </w:pPr>
      <w:bookmarkStart w:id="2" w:name="_GoBack"/>
      <w:bookmarkEnd w:id="2"/>
      <w:r>
        <w:rPr>
          <w:rFonts w:ascii="Open Sans Light" w:hAnsi="Open Sans Light" w:cs="Open Sans Light"/>
          <w:b/>
          <w:iCs/>
          <w:color w:val="303AB2"/>
          <w:sz w:val="28"/>
          <w:szCs w:val="20"/>
        </w:rPr>
        <w:lastRenderedPageBreak/>
        <w:t xml:space="preserve">Mapas comparativos de la rentabilidad de los distritos de Barcelona  </w:t>
      </w:r>
      <w:r w:rsidR="00D42D4B">
        <w:rPr>
          <w:rFonts w:ascii="Open Sans Light" w:hAnsi="Open Sans Light" w:cs="Open Sans Light"/>
          <w:b/>
          <w:iCs/>
          <w:color w:val="303AB2"/>
          <w:sz w:val="28"/>
          <w:szCs w:val="20"/>
        </w:rPr>
        <w:t>(2015, 2019 y 2020)</w:t>
      </w:r>
    </w:p>
    <w:p w14:paraId="0EB0BDAF" w14:textId="240C43A7" w:rsidR="009A056F" w:rsidRDefault="009F4539" w:rsidP="004B44D0">
      <w:pPr>
        <w:pStyle w:val="NormalWeb"/>
        <w:shd w:val="clear" w:color="auto" w:fill="FFFFFF"/>
        <w:spacing w:after="225" w:line="276" w:lineRule="auto"/>
        <w:ind w:left="-142" w:right="-574"/>
        <w:jc w:val="center"/>
        <w:rPr>
          <w:rFonts w:ascii="Open Sans Light" w:hAnsi="Open Sans Light" w:cs="Open Sans Light"/>
          <w:b/>
          <w:iCs/>
          <w:color w:val="303AB2"/>
          <w:sz w:val="28"/>
          <w:szCs w:val="20"/>
        </w:rPr>
      </w:pPr>
      <w:r>
        <w:rPr>
          <w:noProof/>
        </w:rPr>
        <w:drawing>
          <wp:inline distT="0" distB="0" distL="0" distR="0" wp14:anchorId="058C1425" wp14:editId="69ED84F0">
            <wp:extent cx="5362575" cy="219075"/>
            <wp:effectExtent l="0" t="0" r="9525" b="9525"/>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2575" cy="219075"/>
                    </a:xfrm>
                    <a:prstGeom prst="rect">
                      <a:avLst/>
                    </a:prstGeom>
                  </pic:spPr>
                </pic:pic>
              </a:graphicData>
            </a:graphic>
          </wp:inline>
        </w:drawing>
      </w:r>
      <w:r>
        <w:rPr>
          <w:noProof/>
        </w:rPr>
        <w:t xml:space="preserve"> </w:t>
      </w:r>
    </w:p>
    <w:p w14:paraId="67165306" w14:textId="5BB343AB" w:rsidR="00F05452" w:rsidRPr="00E17B06" w:rsidRDefault="001F7ECF" w:rsidP="00401217">
      <w:pPr>
        <w:pStyle w:val="NormalWeb"/>
        <w:shd w:val="clear" w:color="auto" w:fill="FFFFFF"/>
        <w:spacing w:after="225" w:line="276" w:lineRule="auto"/>
        <w:ind w:left="-142" w:right="-574"/>
        <w:rPr>
          <w:rFonts w:ascii="Open Sans Light" w:hAnsi="Open Sans Light" w:cs="Open Sans Light"/>
          <w:b/>
          <w:iCs/>
          <w:color w:val="303AB2"/>
          <w:sz w:val="28"/>
          <w:szCs w:val="20"/>
        </w:rPr>
      </w:pPr>
      <w:r>
        <w:rPr>
          <w:rFonts w:ascii="Open Sans Light" w:hAnsi="Open Sans Light" w:cs="Open Sans Light"/>
          <w:b/>
          <w:iCs/>
          <w:noProof/>
          <w:color w:val="303AB2"/>
          <w:sz w:val="28"/>
          <w:szCs w:val="20"/>
        </w:rPr>
        <w:drawing>
          <wp:inline distT="0" distB="0" distL="0" distR="0" wp14:anchorId="518471C0" wp14:editId="1D9A8820">
            <wp:extent cx="5857875" cy="20027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98347" cy="2016550"/>
                    </a:xfrm>
                    <a:prstGeom prst="rect">
                      <a:avLst/>
                    </a:prstGeom>
                    <a:noFill/>
                  </pic:spPr>
                </pic:pic>
              </a:graphicData>
            </a:graphic>
          </wp:inline>
        </w:drawing>
      </w:r>
    </w:p>
    <w:p w14:paraId="7FA6EFA4" w14:textId="3069017B" w:rsidR="00EA6D87" w:rsidRPr="00E17B06" w:rsidRDefault="00EA6D87" w:rsidP="00EA6D87">
      <w:pPr>
        <w:pStyle w:val="NormalWeb"/>
        <w:shd w:val="clear" w:color="auto" w:fill="FFFFFF"/>
        <w:spacing w:after="225" w:line="276" w:lineRule="auto"/>
        <w:ind w:left="-142" w:right="-574"/>
        <w:jc w:val="both"/>
        <w:rPr>
          <w:rFonts w:ascii="Open Sans Light" w:hAnsi="Open Sans Light" w:cs="Open Sans Light"/>
          <w:b/>
          <w:iCs/>
          <w:color w:val="303AB2"/>
          <w:sz w:val="28"/>
          <w:szCs w:val="20"/>
        </w:rPr>
      </w:pPr>
      <w:bookmarkStart w:id="3" w:name="_Hlk1469128"/>
      <w:r>
        <w:rPr>
          <w:rFonts w:ascii="Open Sans Light" w:hAnsi="Open Sans Light" w:cs="Open Sans Light"/>
          <w:b/>
          <w:iCs/>
          <w:color w:val="303AB2"/>
          <w:sz w:val="28"/>
          <w:szCs w:val="20"/>
        </w:rPr>
        <w:t>Por barrios</w:t>
      </w:r>
    </w:p>
    <w:p w14:paraId="42445C84" w14:textId="64013DEA" w:rsidR="00EA6D87" w:rsidRDefault="00EA6D87" w:rsidP="008D1CEE">
      <w:pPr>
        <w:pStyle w:val="NormalWeb"/>
        <w:shd w:val="clear" w:color="auto" w:fill="FFFFFF"/>
        <w:spacing w:after="225" w:line="276" w:lineRule="auto"/>
        <w:ind w:left="-142" w:right="-574"/>
        <w:jc w:val="both"/>
        <w:rPr>
          <w:rFonts w:ascii="Open Sans" w:hAnsi="Open Sans" w:cs="Open Sans"/>
          <w:color w:val="000000"/>
          <w:sz w:val="22"/>
          <w:szCs w:val="22"/>
        </w:rPr>
      </w:pPr>
      <w:r w:rsidRPr="00E17B06">
        <w:rPr>
          <w:rFonts w:ascii="Open Sans" w:hAnsi="Open Sans" w:cs="Open Sans"/>
          <w:color w:val="000000"/>
          <w:sz w:val="22"/>
          <w:szCs w:val="22"/>
        </w:rPr>
        <w:t xml:space="preserve">El análisis de </w:t>
      </w:r>
      <w:hyperlink r:id="rId23" w:history="1">
        <w:r w:rsidRPr="000A4242">
          <w:rPr>
            <w:rStyle w:val="Hipervnculo"/>
            <w:rFonts w:ascii="Open Sans" w:hAnsi="Open Sans" w:cs="Open Sans"/>
            <w:sz w:val="22"/>
            <w:szCs w:val="22"/>
          </w:rPr>
          <w:t>Fotocasa</w:t>
        </w:r>
      </w:hyperlink>
      <w:r w:rsidRPr="00E17B06">
        <w:rPr>
          <w:rFonts w:ascii="Open Sans" w:hAnsi="Open Sans" w:cs="Open Sans"/>
          <w:color w:val="000000"/>
          <w:sz w:val="22"/>
          <w:szCs w:val="22"/>
        </w:rPr>
        <w:t xml:space="preserve"> también ofrece datos de </w:t>
      </w:r>
      <w:r>
        <w:rPr>
          <w:rFonts w:ascii="Open Sans" w:hAnsi="Open Sans" w:cs="Open Sans"/>
          <w:color w:val="000000"/>
          <w:sz w:val="22"/>
          <w:szCs w:val="22"/>
        </w:rPr>
        <w:t xml:space="preserve">los barrios </w:t>
      </w:r>
      <w:r w:rsidRPr="00E17B06">
        <w:rPr>
          <w:rFonts w:ascii="Open Sans" w:hAnsi="Open Sans" w:cs="Open Sans"/>
          <w:color w:val="000000"/>
          <w:sz w:val="22"/>
          <w:szCs w:val="22"/>
        </w:rPr>
        <w:t xml:space="preserve">más rentables para comprar una vivienda y ponerla en alquiler en </w:t>
      </w:r>
      <w:r>
        <w:rPr>
          <w:rFonts w:ascii="Open Sans" w:hAnsi="Open Sans" w:cs="Open Sans"/>
          <w:color w:val="000000"/>
          <w:sz w:val="22"/>
          <w:szCs w:val="22"/>
        </w:rPr>
        <w:t>España</w:t>
      </w:r>
      <w:r w:rsidRPr="00E17B06">
        <w:rPr>
          <w:rFonts w:ascii="Open Sans" w:hAnsi="Open Sans" w:cs="Open Sans"/>
          <w:color w:val="000000"/>
          <w:sz w:val="22"/>
          <w:szCs w:val="22"/>
        </w:rPr>
        <w:t xml:space="preserve">. Así, del análisis se desprende que el </w:t>
      </w:r>
      <w:r w:rsidR="008D1CEE">
        <w:rPr>
          <w:rFonts w:ascii="Open Sans" w:hAnsi="Open Sans" w:cs="Open Sans"/>
          <w:color w:val="000000"/>
          <w:sz w:val="22"/>
          <w:szCs w:val="22"/>
        </w:rPr>
        <w:t>barrio</w:t>
      </w:r>
      <w:r w:rsidRPr="00E17B06">
        <w:rPr>
          <w:rFonts w:ascii="Open Sans" w:hAnsi="Open Sans" w:cs="Open Sans"/>
          <w:color w:val="000000"/>
          <w:sz w:val="22"/>
          <w:szCs w:val="22"/>
        </w:rPr>
        <w:t xml:space="preserve"> más rentable del país </w:t>
      </w:r>
      <w:r>
        <w:rPr>
          <w:rFonts w:ascii="Open Sans" w:hAnsi="Open Sans" w:cs="Open Sans"/>
          <w:color w:val="000000"/>
          <w:sz w:val="22"/>
          <w:szCs w:val="22"/>
        </w:rPr>
        <w:t xml:space="preserve">en 2020 </w:t>
      </w:r>
      <w:r w:rsidRPr="00E17B06">
        <w:rPr>
          <w:rFonts w:ascii="Open Sans" w:hAnsi="Open Sans" w:cs="Open Sans"/>
          <w:color w:val="000000"/>
          <w:sz w:val="22"/>
          <w:szCs w:val="22"/>
        </w:rPr>
        <w:t>es el</w:t>
      </w:r>
      <w:r w:rsidR="008D1CEE">
        <w:rPr>
          <w:rFonts w:ascii="Open Sans" w:hAnsi="Open Sans" w:cs="Open Sans"/>
          <w:color w:val="000000"/>
          <w:sz w:val="22"/>
          <w:szCs w:val="22"/>
        </w:rPr>
        <w:t xml:space="preserve"> barrio madrileño de </w:t>
      </w:r>
      <w:r w:rsidR="008D1CEE" w:rsidRPr="008D1CEE">
        <w:rPr>
          <w:rFonts w:ascii="Open Sans" w:hAnsi="Open Sans" w:cs="Open Sans"/>
          <w:color w:val="000000"/>
          <w:sz w:val="22"/>
          <w:szCs w:val="22"/>
        </w:rPr>
        <w:t>San Diego</w:t>
      </w:r>
      <w:r w:rsidR="008D1CEE">
        <w:rPr>
          <w:rFonts w:ascii="Open Sans" w:hAnsi="Open Sans" w:cs="Open Sans"/>
          <w:color w:val="000000"/>
          <w:sz w:val="22"/>
          <w:szCs w:val="22"/>
        </w:rPr>
        <w:t xml:space="preserve"> (distrito de </w:t>
      </w:r>
      <w:r w:rsidR="008D1CEE" w:rsidRPr="008D1CEE">
        <w:rPr>
          <w:rFonts w:ascii="Open Sans" w:hAnsi="Open Sans" w:cs="Open Sans"/>
          <w:color w:val="000000"/>
          <w:sz w:val="22"/>
          <w:szCs w:val="22"/>
        </w:rPr>
        <w:t>Puente de Vallecas</w:t>
      </w:r>
      <w:r w:rsidR="008D1CEE">
        <w:rPr>
          <w:rFonts w:ascii="Open Sans" w:hAnsi="Open Sans" w:cs="Open Sans"/>
          <w:color w:val="000000"/>
          <w:sz w:val="22"/>
          <w:szCs w:val="22"/>
        </w:rPr>
        <w:t>)</w:t>
      </w:r>
      <w:r>
        <w:rPr>
          <w:rFonts w:ascii="Open Sans" w:hAnsi="Open Sans" w:cs="Open Sans"/>
          <w:color w:val="000000"/>
          <w:sz w:val="22"/>
          <w:szCs w:val="22"/>
        </w:rPr>
        <w:t>,</w:t>
      </w:r>
      <w:r w:rsidRPr="00E17B06">
        <w:rPr>
          <w:rFonts w:ascii="Open Sans" w:hAnsi="Open Sans" w:cs="Open Sans"/>
          <w:color w:val="000000"/>
          <w:sz w:val="22"/>
          <w:szCs w:val="22"/>
        </w:rPr>
        <w:t xml:space="preserve"> que alcanza </w:t>
      </w:r>
      <w:r>
        <w:rPr>
          <w:rFonts w:ascii="Open Sans" w:hAnsi="Open Sans" w:cs="Open Sans"/>
          <w:color w:val="000000"/>
          <w:sz w:val="22"/>
          <w:szCs w:val="22"/>
        </w:rPr>
        <w:t>un</w:t>
      </w:r>
      <w:r w:rsidRPr="00E17B06">
        <w:rPr>
          <w:rFonts w:ascii="Open Sans" w:hAnsi="Open Sans" w:cs="Open Sans"/>
          <w:color w:val="000000"/>
          <w:sz w:val="22"/>
          <w:szCs w:val="22"/>
        </w:rPr>
        <w:t xml:space="preserve"> </w:t>
      </w:r>
      <w:r w:rsidR="008D1CEE">
        <w:rPr>
          <w:rFonts w:ascii="Open Sans" w:hAnsi="Open Sans" w:cs="Open Sans"/>
          <w:color w:val="000000"/>
          <w:sz w:val="22"/>
          <w:szCs w:val="22"/>
        </w:rPr>
        <w:t>7,82</w:t>
      </w:r>
      <w:r w:rsidRPr="00E17B06">
        <w:rPr>
          <w:rFonts w:ascii="Open Sans" w:hAnsi="Open Sans" w:cs="Open Sans"/>
          <w:color w:val="000000"/>
          <w:sz w:val="22"/>
          <w:szCs w:val="22"/>
        </w:rPr>
        <w:t>% de rentabilidad.</w:t>
      </w:r>
      <w:r>
        <w:rPr>
          <w:rFonts w:ascii="Open Sans" w:hAnsi="Open Sans" w:cs="Open Sans"/>
          <w:color w:val="000000"/>
          <w:sz w:val="22"/>
          <w:szCs w:val="22"/>
        </w:rPr>
        <w:t xml:space="preserve"> Le siguen, </w:t>
      </w:r>
      <w:r w:rsidR="008D1CEE">
        <w:rPr>
          <w:rFonts w:ascii="Open Sans" w:hAnsi="Open Sans" w:cs="Open Sans"/>
          <w:color w:val="000000"/>
          <w:sz w:val="22"/>
          <w:szCs w:val="22"/>
        </w:rPr>
        <w:t xml:space="preserve">el barrio alicantino de Carolinas Bajas (distrito de </w:t>
      </w:r>
      <w:r w:rsidR="008D1CEE" w:rsidRPr="008D1CEE">
        <w:rPr>
          <w:rFonts w:ascii="Open Sans" w:hAnsi="Open Sans" w:cs="Open Sans"/>
          <w:color w:val="000000"/>
          <w:sz w:val="22"/>
          <w:szCs w:val="22"/>
        </w:rPr>
        <w:t xml:space="preserve">Pla </w:t>
      </w:r>
      <w:r w:rsidR="008D1CEE">
        <w:rPr>
          <w:rFonts w:ascii="Open Sans" w:hAnsi="Open Sans" w:cs="Open Sans"/>
          <w:color w:val="000000"/>
          <w:sz w:val="22"/>
          <w:szCs w:val="22"/>
        </w:rPr>
        <w:t>–</w:t>
      </w:r>
      <w:r w:rsidR="008D1CEE" w:rsidRPr="008D1CEE">
        <w:rPr>
          <w:rFonts w:ascii="Open Sans" w:hAnsi="Open Sans" w:cs="Open Sans"/>
          <w:color w:val="000000"/>
          <w:sz w:val="22"/>
          <w:szCs w:val="22"/>
        </w:rPr>
        <w:t xml:space="preserve"> Carolinas</w:t>
      </w:r>
      <w:r w:rsidR="008D1CEE">
        <w:rPr>
          <w:rFonts w:ascii="Open Sans" w:hAnsi="Open Sans" w:cs="Open Sans"/>
          <w:color w:val="000000"/>
          <w:sz w:val="22"/>
          <w:szCs w:val="22"/>
        </w:rPr>
        <w:t xml:space="preserve">) con un 7,77% de rentabilidad y el barrio sevillano de </w:t>
      </w:r>
      <w:r w:rsidR="008D1CEE" w:rsidRPr="008D1CEE">
        <w:rPr>
          <w:rFonts w:ascii="Open Sans" w:hAnsi="Open Sans" w:cs="Open Sans"/>
          <w:color w:val="000000"/>
          <w:sz w:val="22"/>
          <w:szCs w:val="22"/>
        </w:rPr>
        <w:t xml:space="preserve">El Torrejón - El Cerezo </w:t>
      </w:r>
      <w:r w:rsidR="008D1CEE">
        <w:rPr>
          <w:rFonts w:ascii="Open Sans" w:hAnsi="Open Sans" w:cs="Open Sans"/>
          <w:color w:val="000000"/>
          <w:sz w:val="22"/>
          <w:szCs w:val="22"/>
        </w:rPr>
        <w:t>(distrito de la Macarena) con 7,69% de rentabilidad.</w:t>
      </w:r>
    </w:p>
    <w:p w14:paraId="71F20045" w14:textId="6A82D6D9" w:rsidR="008D1CEE" w:rsidRDefault="00EA6D87" w:rsidP="008D1CEE">
      <w:pPr>
        <w:pStyle w:val="NormalWeb"/>
        <w:shd w:val="clear" w:color="auto" w:fill="FFFFFF"/>
        <w:spacing w:after="225" w:line="276" w:lineRule="auto"/>
        <w:ind w:left="-142" w:right="-574"/>
        <w:jc w:val="both"/>
        <w:rPr>
          <w:rFonts w:ascii="Open Sans" w:hAnsi="Open Sans" w:cs="Open Sans"/>
          <w:color w:val="000000"/>
          <w:sz w:val="22"/>
          <w:szCs w:val="22"/>
        </w:rPr>
      </w:pPr>
      <w:r>
        <w:rPr>
          <w:rFonts w:ascii="Open Sans" w:hAnsi="Open Sans" w:cs="Open Sans"/>
          <w:color w:val="000000"/>
          <w:sz w:val="22"/>
          <w:szCs w:val="22"/>
        </w:rPr>
        <w:t xml:space="preserve">Por otro lado, los </w:t>
      </w:r>
      <w:r w:rsidR="008D1CEE">
        <w:rPr>
          <w:rFonts w:ascii="Open Sans" w:hAnsi="Open Sans" w:cs="Open Sans"/>
          <w:color w:val="000000"/>
          <w:sz w:val="22"/>
          <w:szCs w:val="22"/>
        </w:rPr>
        <w:t>tres</w:t>
      </w:r>
      <w:r>
        <w:rPr>
          <w:rFonts w:ascii="Open Sans" w:hAnsi="Open Sans" w:cs="Open Sans"/>
          <w:color w:val="000000"/>
          <w:sz w:val="22"/>
          <w:szCs w:val="22"/>
        </w:rPr>
        <w:t xml:space="preserve"> </w:t>
      </w:r>
      <w:r w:rsidR="008D1CEE">
        <w:rPr>
          <w:rFonts w:ascii="Open Sans" w:hAnsi="Open Sans" w:cs="Open Sans"/>
          <w:color w:val="000000"/>
          <w:sz w:val="22"/>
          <w:szCs w:val="22"/>
        </w:rPr>
        <w:t>barrios</w:t>
      </w:r>
      <w:r>
        <w:rPr>
          <w:rFonts w:ascii="Open Sans" w:hAnsi="Open Sans" w:cs="Open Sans"/>
          <w:color w:val="000000"/>
          <w:sz w:val="22"/>
          <w:szCs w:val="22"/>
        </w:rPr>
        <w:t xml:space="preserve"> con menor rentabilidad son: </w:t>
      </w:r>
      <w:r w:rsidR="008D1CEE" w:rsidRPr="008D1CEE">
        <w:rPr>
          <w:rFonts w:ascii="Open Sans" w:hAnsi="Open Sans" w:cs="Open Sans"/>
          <w:color w:val="000000"/>
          <w:sz w:val="22"/>
          <w:szCs w:val="22"/>
        </w:rPr>
        <w:t>Área Romántica</w:t>
      </w:r>
      <w:r w:rsidR="008D1CEE">
        <w:rPr>
          <w:rFonts w:ascii="Open Sans" w:hAnsi="Open Sans" w:cs="Open Sans"/>
          <w:color w:val="000000"/>
          <w:sz w:val="22"/>
          <w:szCs w:val="22"/>
        </w:rPr>
        <w:t xml:space="preserve"> (</w:t>
      </w:r>
      <w:r w:rsidR="008D1CEE" w:rsidRPr="008D1CEE">
        <w:rPr>
          <w:rFonts w:ascii="Open Sans" w:hAnsi="Open Sans" w:cs="Open Sans"/>
          <w:color w:val="000000"/>
          <w:sz w:val="22"/>
          <w:szCs w:val="22"/>
        </w:rPr>
        <w:t>Donostia - San Sebastián</w:t>
      </w:r>
      <w:r w:rsidR="008D1CEE">
        <w:rPr>
          <w:rFonts w:ascii="Open Sans" w:hAnsi="Open Sans" w:cs="Open Sans"/>
          <w:color w:val="000000"/>
          <w:sz w:val="22"/>
          <w:szCs w:val="22"/>
        </w:rPr>
        <w:t xml:space="preserve">) con 2,67%, </w:t>
      </w:r>
      <w:r w:rsidR="008D1CEE" w:rsidRPr="008D1CEE">
        <w:rPr>
          <w:rFonts w:ascii="Open Sans" w:hAnsi="Open Sans" w:cs="Open Sans"/>
          <w:color w:val="000000"/>
          <w:sz w:val="22"/>
          <w:szCs w:val="22"/>
        </w:rPr>
        <w:t>Recoletos</w:t>
      </w:r>
      <w:r w:rsidR="008D1CEE">
        <w:rPr>
          <w:rFonts w:ascii="Open Sans" w:hAnsi="Open Sans" w:cs="Open Sans"/>
          <w:color w:val="000000"/>
          <w:sz w:val="22"/>
          <w:szCs w:val="22"/>
        </w:rPr>
        <w:t xml:space="preserve"> (</w:t>
      </w:r>
      <w:r w:rsidR="008D1CEE" w:rsidRPr="008D1CEE">
        <w:rPr>
          <w:rFonts w:ascii="Open Sans" w:hAnsi="Open Sans" w:cs="Open Sans"/>
          <w:color w:val="000000"/>
          <w:sz w:val="22"/>
          <w:szCs w:val="22"/>
        </w:rPr>
        <w:t xml:space="preserve">Madrid </w:t>
      </w:r>
      <w:r w:rsidR="008D1CEE">
        <w:rPr>
          <w:rFonts w:ascii="Open Sans" w:hAnsi="Open Sans" w:cs="Open Sans"/>
          <w:color w:val="000000"/>
          <w:sz w:val="22"/>
          <w:szCs w:val="22"/>
        </w:rPr>
        <w:t>c</w:t>
      </w:r>
      <w:r w:rsidR="008D1CEE" w:rsidRPr="008D1CEE">
        <w:rPr>
          <w:rFonts w:ascii="Open Sans" w:hAnsi="Open Sans" w:cs="Open Sans"/>
          <w:color w:val="000000"/>
          <w:sz w:val="22"/>
          <w:szCs w:val="22"/>
        </w:rPr>
        <w:t>apital</w:t>
      </w:r>
      <w:r w:rsidR="008D1CEE">
        <w:rPr>
          <w:rFonts w:ascii="Open Sans" w:hAnsi="Open Sans" w:cs="Open Sans"/>
          <w:color w:val="000000"/>
          <w:sz w:val="22"/>
          <w:szCs w:val="22"/>
        </w:rPr>
        <w:t xml:space="preserve">) con 2,68% y </w:t>
      </w:r>
      <w:r w:rsidR="008D1CEE" w:rsidRPr="008D1CEE">
        <w:rPr>
          <w:rFonts w:ascii="Open Sans" w:hAnsi="Open Sans" w:cs="Open Sans"/>
          <w:color w:val="000000"/>
          <w:sz w:val="22"/>
          <w:szCs w:val="22"/>
        </w:rPr>
        <w:t>Sarrià</w:t>
      </w:r>
      <w:r w:rsidR="008D1CEE">
        <w:rPr>
          <w:rFonts w:ascii="Open Sans" w:hAnsi="Open Sans" w:cs="Open Sans"/>
          <w:color w:val="000000"/>
          <w:sz w:val="22"/>
          <w:szCs w:val="22"/>
        </w:rPr>
        <w:t xml:space="preserve"> (</w:t>
      </w:r>
      <w:r w:rsidR="008D1CEE" w:rsidRPr="008D1CEE">
        <w:rPr>
          <w:rFonts w:ascii="Open Sans" w:hAnsi="Open Sans" w:cs="Open Sans"/>
          <w:color w:val="000000"/>
          <w:sz w:val="22"/>
          <w:szCs w:val="22"/>
        </w:rPr>
        <w:t xml:space="preserve">Barcelona </w:t>
      </w:r>
      <w:r w:rsidR="008D1CEE">
        <w:rPr>
          <w:rFonts w:ascii="Open Sans" w:hAnsi="Open Sans" w:cs="Open Sans"/>
          <w:color w:val="000000"/>
          <w:sz w:val="22"/>
          <w:szCs w:val="22"/>
        </w:rPr>
        <w:t>c</w:t>
      </w:r>
      <w:r w:rsidR="008D1CEE" w:rsidRPr="008D1CEE">
        <w:rPr>
          <w:rFonts w:ascii="Open Sans" w:hAnsi="Open Sans" w:cs="Open Sans"/>
          <w:color w:val="000000"/>
          <w:sz w:val="22"/>
          <w:szCs w:val="22"/>
        </w:rPr>
        <w:t>apital</w:t>
      </w:r>
      <w:r w:rsidR="008D1CEE">
        <w:rPr>
          <w:rFonts w:ascii="Open Sans" w:hAnsi="Open Sans" w:cs="Open Sans"/>
          <w:color w:val="000000"/>
          <w:sz w:val="22"/>
          <w:szCs w:val="22"/>
        </w:rPr>
        <w:t>)</w:t>
      </w:r>
      <w:r w:rsidR="00D3252E">
        <w:rPr>
          <w:rFonts w:ascii="Open Sans" w:hAnsi="Open Sans" w:cs="Open Sans"/>
          <w:color w:val="000000"/>
          <w:sz w:val="22"/>
          <w:szCs w:val="22"/>
        </w:rPr>
        <w:t xml:space="preserve"> con 2,82%.</w:t>
      </w:r>
    </w:p>
    <w:p w14:paraId="41A5C402" w14:textId="1400E1DD" w:rsidR="00D3252E" w:rsidRPr="0014290F" w:rsidRDefault="00EA6D87" w:rsidP="00D3252E">
      <w:pPr>
        <w:pStyle w:val="NormalWeb"/>
        <w:shd w:val="clear" w:color="auto" w:fill="FFFFFF"/>
        <w:spacing w:after="225" w:line="276" w:lineRule="auto"/>
        <w:ind w:left="-142" w:right="-574"/>
        <w:jc w:val="both"/>
        <w:rPr>
          <w:rFonts w:ascii="Open Sans" w:hAnsi="Open Sans" w:cs="Open Sans"/>
          <w:color w:val="000000"/>
          <w:sz w:val="22"/>
          <w:szCs w:val="22"/>
        </w:rPr>
      </w:pPr>
      <w:r w:rsidRPr="005E2D99">
        <w:rPr>
          <w:rFonts w:ascii="Open Sans" w:hAnsi="Open Sans" w:cs="Open Sans"/>
          <w:b/>
          <w:bCs/>
          <w:color w:val="000000"/>
          <w:sz w:val="22"/>
          <w:szCs w:val="22"/>
        </w:rPr>
        <w:t>En cuanto a Madrid</w:t>
      </w:r>
      <w:r>
        <w:rPr>
          <w:rFonts w:ascii="Open Sans" w:hAnsi="Open Sans" w:cs="Open Sans"/>
          <w:b/>
          <w:bCs/>
          <w:color w:val="000000"/>
          <w:sz w:val="22"/>
          <w:szCs w:val="22"/>
        </w:rPr>
        <w:t xml:space="preserve"> capital</w:t>
      </w:r>
      <w:r>
        <w:rPr>
          <w:rFonts w:ascii="Open Sans" w:hAnsi="Open Sans" w:cs="Open Sans"/>
          <w:color w:val="000000"/>
          <w:sz w:val="22"/>
          <w:szCs w:val="22"/>
        </w:rPr>
        <w:t xml:space="preserve">, </w:t>
      </w:r>
      <w:r w:rsidRPr="0014290F">
        <w:rPr>
          <w:rFonts w:ascii="Open Sans" w:hAnsi="Open Sans" w:cs="Open Sans"/>
          <w:color w:val="000000"/>
          <w:sz w:val="22"/>
          <w:szCs w:val="22"/>
        </w:rPr>
        <w:t xml:space="preserve">el </w:t>
      </w:r>
      <w:r w:rsidR="00D3252E" w:rsidRPr="0014290F">
        <w:rPr>
          <w:rFonts w:ascii="Open Sans" w:hAnsi="Open Sans" w:cs="Open Sans"/>
          <w:color w:val="000000"/>
          <w:sz w:val="22"/>
          <w:szCs w:val="22"/>
        </w:rPr>
        <w:t>barrio</w:t>
      </w:r>
      <w:r w:rsidRPr="0014290F">
        <w:rPr>
          <w:rFonts w:ascii="Open Sans" w:hAnsi="Open Sans" w:cs="Open Sans"/>
          <w:color w:val="000000"/>
          <w:sz w:val="22"/>
          <w:szCs w:val="22"/>
        </w:rPr>
        <w:t xml:space="preserve"> más rentable en 2020 es </w:t>
      </w:r>
      <w:r w:rsidR="00D3252E" w:rsidRPr="0014290F">
        <w:rPr>
          <w:rFonts w:ascii="Open Sans" w:hAnsi="Open Sans" w:cs="Open Sans"/>
          <w:color w:val="000000"/>
          <w:sz w:val="22"/>
          <w:szCs w:val="22"/>
        </w:rPr>
        <w:t xml:space="preserve">San Diego </w:t>
      </w:r>
      <w:r w:rsidRPr="0014290F">
        <w:rPr>
          <w:rFonts w:ascii="Open Sans" w:hAnsi="Open Sans" w:cs="Open Sans"/>
          <w:color w:val="000000"/>
          <w:sz w:val="22"/>
          <w:szCs w:val="22"/>
        </w:rPr>
        <w:t>con un 7,</w:t>
      </w:r>
      <w:r w:rsidR="00D3252E" w:rsidRPr="0014290F">
        <w:rPr>
          <w:rFonts w:ascii="Open Sans" w:hAnsi="Open Sans" w:cs="Open Sans"/>
          <w:color w:val="000000"/>
          <w:sz w:val="22"/>
          <w:szCs w:val="22"/>
        </w:rPr>
        <w:t>8</w:t>
      </w:r>
      <w:r w:rsidRPr="0014290F">
        <w:rPr>
          <w:rFonts w:ascii="Open Sans" w:hAnsi="Open Sans" w:cs="Open Sans"/>
          <w:color w:val="000000"/>
          <w:sz w:val="22"/>
          <w:szCs w:val="22"/>
        </w:rPr>
        <w:t xml:space="preserve">% de rentabilidad (la misma que en 2015). Le siguen, </w:t>
      </w:r>
      <w:r w:rsidR="00D3252E" w:rsidRPr="0014290F">
        <w:rPr>
          <w:rFonts w:ascii="Open Sans" w:hAnsi="Open Sans" w:cs="Open Sans"/>
          <w:color w:val="000000"/>
          <w:sz w:val="22"/>
          <w:szCs w:val="22"/>
        </w:rPr>
        <w:t>Numancia (7,1%), San Isidro (6%), Opañel (5,9%), Puerta del Ángel (5,8%), Pueblo Nuevo (5,6%), Ventas (5,3%), Bellas Vistas (5,6%), Berruguete (5,2%) y Valdeacederas (5,2%), entre otros. El barrio menos rentable es Recoletos con un 2,7% de rentabilidad.</w:t>
      </w:r>
    </w:p>
    <w:p w14:paraId="00C84292" w14:textId="18B24EB5" w:rsidR="009F36EA" w:rsidRDefault="009F36EA" w:rsidP="006D13CC">
      <w:pPr>
        <w:pStyle w:val="NormalWeb"/>
        <w:shd w:val="clear" w:color="auto" w:fill="FFFFFF"/>
        <w:spacing w:line="276" w:lineRule="auto"/>
        <w:ind w:left="-142" w:right="-574"/>
        <w:jc w:val="both"/>
        <w:rPr>
          <w:rFonts w:ascii="Open Sans" w:hAnsi="Open Sans" w:cs="Open Sans"/>
          <w:color w:val="000000"/>
          <w:sz w:val="22"/>
          <w:szCs w:val="22"/>
        </w:rPr>
      </w:pPr>
      <w:r w:rsidRPr="0014290F">
        <w:rPr>
          <w:rFonts w:ascii="Open Sans" w:hAnsi="Open Sans" w:cs="Open Sans"/>
          <w:b/>
          <w:bCs/>
          <w:color w:val="000000"/>
          <w:sz w:val="22"/>
          <w:szCs w:val="22"/>
        </w:rPr>
        <w:t>En cuanto a Barcelona capital</w:t>
      </w:r>
      <w:r w:rsidRPr="0014290F">
        <w:rPr>
          <w:rFonts w:ascii="Open Sans" w:hAnsi="Open Sans" w:cs="Open Sans"/>
          <w:color w:val="000000"/>
          <w:sz w:val="22"/>
          <w:szCs w:val="22"/>
        </w:rPr>
        <w:t xml:space="preserve">, el </w:t>
      </w:r>
      <w:r w:rsidR="0014290F" w:rsidRPr="0014290F">
        <w:rPr>
          <w:rFonts w:ascii="Open Sans" w:hAnsi="Open Sans" w:cs="Open Sans"/>
          <w:color w:val="000000"/>
          <w:sz w:val="22"/>
          <w:szCs w:val="22"/>
        </w:rPr>
        <w:t xml:space="preserve">barrio </w:t>
      </w:r>
      <w:r w:rsidRPr="0014290F">
        <w:rPr>
          <w:rFonts w:ascii="Open Sans" w:hAnsi="Open Sans" w:cs="Open Sans"/>
          <w:color w:val="000000"/>
          <w:sz w:val="22"/>
          <w:szCs w:val="22"/>
        </w:rPr>
        <w:t>más</w:t>
      </w:r>
      <w:r>
        <w:rPr>
          <w:rFonts w:ascii="Open Sans" w:hAnsi="Open Sans" w:cs="Open Sans"/>
          <w:color w:val="000000"/>
          <w:sz w:val="22"/>
          <w:szCs w:val="22"/>
        </w:rPr>
        <w:t xml:space="preserve"> rentable en 2020 es </w:t>
      </w:r>
      <w:r w:rsidRPr="009F36EA">
        <w:rPr>
          <w:rFonts w:ascii="Open Sans" w:hAnsi="Open Sans" w:cs="Open Sans"/>
          <w:color w:val="000000"/>
          <w:sz w:val="22"/>
          <w:szCs w:val="22"/>
        </w:rPr>
        <w:t>El Raval</w:t>
      </w:r>
      <w:r>
        <w:rPr>
          <w:rFonts w:ascii="Open Sans" w:hAnsi="Open Sans" w:cs="Open Sans"/>
          <w:color w:val="000000"/>
          <w:sz w:val="22"/>
          <w:szCs w:val="22"/>
        </w:rPr>
        <w:t xml:space="preserve"> con un 5%. Le siguen, </w:t>
      </w:r>
      <w:r w:rsidRPr="009F36EA">
        <w:rPr>
          <w:rFonts w:ascii="Open Sans" w:hAnsi="Open Sans" w:cs="Open Sans"/>
          <w:color w:val="000000"/>
          <w:sz w:val="22"/>
          <w:szCs w:val="22"/>
        </w:rPr>
        <w:t xml:space="preserve">Provençals del Poblenou </w:t>
      </w:r>
      <w:r>
        <w:rPr>
          <w:rFonts w:ascii="Open Sans" w:hAnsi="Open Sans" w:cs="Open Sans"/>
          <w:color w:val="000000"/>
          <w:sz w:val="22"/>
          <w:szCs w:val="22"/>
        </w:rPr>
        <w:t xml:space="preserve">(4,9%), </w:t>
      </w:r>
      <w:r w:rsidRPr="009F36EA">
        <w:rPr>
          <w:rFonts w:ascii="Open Sans" w:hAnsi="Open Sans" w:cs="Open Sans"/>
          <w:color w:val="000000"/>
          <w:sz w:val="22"/>
          <w:szCs w:val="22"/>
        </w:rPr>
        <w:t>La Bordeta</w:t>
      </w:r>
      <w:r>
        <w:rPr>
          <w:rFonts w:ascii="Open Sans" w:hAnsi="Open Sans" w:cs="Open Sans"/>
          <w:color w:val="000000"/>
          <w:sz w:val="22"/>
          <w:szCs w:val="22"/>
        </w:rPr>
        <w:t xml:space="preserve"> (4,9%), </w:t>
      </w:r>
      <w:r w:rsidRPr="009F36EA">
        <w:rPr>
          <w:rFonts w:ascii="Open Sans" w:hAnsi="Open Sans" w:cs="Open Sans"/>
          <w:color w:val="000000"/>
          <w:sz w:val="22"/>
          <w:szCs w:val="22"/>
        </w:rPr>
        <w:t>Sants-Badal</w:t>
      </w:r>
      <w:r>
        <w:rPr>
          <w:rFonts w:ascii="Open Sans" w:hAnsi="Open Sans" w:cs="Open Sans"/>
          <w:color w:val="000000"/>
          <w:sz w:val="22"/>
          <w:szCs w:val="22"/>
        </w:rPr>
        <w:t xml:space="preserve"> (4,9%), </w:t>
      </w:r>
      <w:r w:rsidRPr="009F36EA">
        <w:rPr>
          <w:rFonts w:ascii="Open Sans" w:hAnsi="Open Sans" w:cs="Open Sans"/>
          <w:color w:val="000000"/>
          <w:sz w:val="22"/>
          <w:szCs w:val="22"/>
        </w:rPr>
        <w:t>Sant Andreu del Palomar</w:t>
      </w:r>
      <w:r>
        <w:rPr>
          <w:rFonts w:ascii="Open Sans" w:hAnsi="Open Sans" w:cs="Open Sans"/>
          <w:color w:val="000000"/>
          <w:sz w:val="22"/>
          <w:szCs w:val="22"/>
        </w:rPr>
        <w:t xml:space="preserve"> (4,8%), </w:t>
      </w:r>
      <w:r w:rsidRPr="009F36EA">
        <w:rPr>
          <w:rFonts w:ascii="Open Sans" w:hAnsi="Open Sans" w:cs="Open Sans"/>
          <w:color w:val="000000"/>
          <w:sz w:val="22"/>
          <w:szCs w:val="22"/>
        </w:rPr>
        <w:t>El Poble Sec - Parc de Montjuïc</w:t>
      </w:r>
      <w:r>
        <w:rPr>
          <w:rFonts w:ascii="Open Sans" w:hAnsi="Open Sans" w:cs="Open Sans"/>
          <w:color w:val="000000"/>
          <w:sz w:val="22"/>
          <w:szCs w:val="22"/>
        </w:rPr>
        <w:t xml:space="preserve"> (4,8%), </w:t>
      </w:r>
      <w:r w:rsidRPr="009F36EA">
        <w:rPr>
          <w:rFonts w:ascii="Open Sans" w:hAnsi="Open Sans" w:cs="Open Sans"/>
          <w:color w:val="000000"/>
          <w:sz w:val="22"/>
          <w:szCs w:val="22"/>
        </w:rPr>
        <w:t>La Barceloneta</w:t>
      </w:r>
      <w:r>
        <w:rPr>
          <w:rFonts w:ascii="Open Sans" w:hAnsi="Open Sans" w:cs="Open Sans"/>
          <w:color w:val="000000"/>
          <w:sz w:val="22"/>
          <w:szCs w:val="22"/>
        </w:rPr>
        <w:t xml:space="preserve"> (4,7%), </w:t>
      </w:r>
      <w:r w:rsidRPr="009F36EA">
        <w:rPr>
          <w:rFonts w:ascii="Open Sans" w:hAnsi="Open Sans" w:cs="Open Sans"/>
          <w:color w:val="000000"/>
          <w:sz w:val="22"/>
          <w:szCs w:val="22"/>
        </w:rPr>
        <w:t>Hostafrancs</w:t>
      </w:r>
      <w:r>
        <w:rPr>
          <w:rFonts w:ascii="Open Sans" w:hAnsi="Open Sans" w:cs="Open Sans"/>
          <w:color w:val="000000"/>
          <w:sz w:val="22"/>
          <w:szCs w:val="22"/>
        </w:rPr>
        <w:t xml:space="preserve"> (4,7%), </w:t>
      </w:r>
      <w:r w:rsidRPr="009F36EA">
        <w:rPr>
          <w:rFonts w:ascii="Open Sans" w:hAnsi="Open Sans" w:cs="Open Sans"/>
          <w:color w:val="000000"/>
          <w:sz w:val="22"/>
          <w:szCs w:val="22"/>
        </w:rPr>
        <w:t>El Guinardó</w:t>
      </w:r>
      <w:r>
        <w:rPr>
          <w:rFonts w:ascii="Open Sans" w:hAnsi="Open Sans" w:cs="Open Sans"/>
          <w:color w:val="000000"/>
          <w:sz w:val="22"/>
          <w:szCs w:val="22"/>
        </w:rPr>
        <w:t xml:space="preserve"> (4,4%) y </w:t>
      </w:r>
      <w:r w:rsidRPr="009F36EA">
        <w:rPr>
          <w:rFonts w:ascii="Open Sans" w:hAnsi="Open Sans" w:cs="Open Sans"/>
          <w:color w:val="000000"/>
          <w:sz w:val="22"/>
          <w:szCs w:val="22"/>
        </w:rPr>
        <w:t>Sants</w:t>
      </w:r>
      <w:r>
        <w:rPr>
          <w:rFonts w:ascii="Open Sans" w:hAnsi="Open Sans" w:cs="Open Sans"/>
          <w:color w:val="000000"/>
          <w:sz w:val="22"/>
          <w:szCs w:val="22"/>
        </w:rPr>
        <w:t xml:space="preserve"> (4,4%),</w:t>
      </w:r>
      <w:r w:rsidRPr="009F36EA">
        <w:rPr>
          <w:rFonts w:ascii="Open Sans" w:hAnsi="Open Sans" w:cs="Open Sans"/>
          <w:color w:val="000000"/>
          <w:sz w:val="22"/>
          <w:szCs w:val="22"/>
        </w:rPr>
        <w:t xml:space="preserve"> </w:t>
      </w:r>
      <w:r>
        <w:rPr>
          <w:rFonts w:ascii="Open Sans" w:hAnsi="Open Sans" w:cs="Open Sans"/>
          <w:color w:val="000000"/>
          <w:sz w:val="22"/>
          <w:szCs w:val="22"/>
        </w:rPr>
        <w:t xml:space="preserve">entre otros. El barrio menos rentable es </w:t>
      </w:r>
      <w:r w:rsidRPr="009F36EA">
        <w:rPr>
          <w:rFonts w:ascii="Open Sans" w:hAnsi="Open Sans" w:cs="Open Sans"/>
          <w:color w:val="000000"/>
          <w:sz w:val="22"/>
          <w:szCs w:val="22"/>
        </w:rPr>
        <w:t>Sarrià</w:t>
      </w:r>
      <w:r>
        <w:rPr>
          <w:rFonts w:ascii="Open Sans" w:hAnsi="Open Sans" w:cs="Open Sans"/>
          <w:color w:val="000000"/>
          <w:sz w:val="22"/>
          <w:szCs w:val="22"/>
        </w:rPr>
        <w:t xml:space="preserve"> con un 2,8% de rentabilidad.</w:t>
      </w:r>
    </w:p>
    <w:p w14:paraId="7FD9957C" w14:textId="77777777" w:rsidR="004B5861" w:rsidRDefault="004B5861" w:rsidP="00F05452">
      <w:pPr>
        <w:pStyle w:val="NormalWeb"/>
        <w:shd w:val="clear" w:color="auto" w:fill="FFFFFF"/>
        <w:spacing w:line="276" w:lineRule="auto"/>
        <w:ind w:right="-574"/>
        <w:rPr>
          <w:rFonts w:ascii="Open Sans Light" w:hAnsi="Open Sans Light" w:cs="Open Sans Light"/>
          <w:b/>
          <w:iCs/>
          <w:color w:val="303AB2"/>
        </w:rPr>
      </w:pPr>
    </w:p>
    <w:p w14:paraId="5B335F22" w14:textId="2BB2A7BC" w:rsidR="007E5768" w:rsidRPr="007E5768" w:rsidRDefault="007E5768" w:rsidP="00F05452">
      <w:pPr>
        <w:pStyle w:val="NormalWeb"/>
        <w:shd w:val="clear" w:color="auto" w:fill="FFFFFF"/>
        <w:spacing w:line="276" w:lineRule="auto"/>
        <w:ind w:right="-574"/>
        <w:rPr>
          <w:rFonts w:ascii="Open Sans Light" w:hAnsi="Open Sans Light" w:cs="Open Sans Light"/>
          <w:b/>
          <w:iCs/>
          <w:color w:val="303AB2"/>
        </w:rPr>
      </w:pPr>
      <w:r w:rsidRPr="007E5768">
        <w:rPr>
          <w:rFonts w:ascii="Open Sans Light" w:hAnsi="Open Sans Light" w:cs="Open Sans Light"/>
          <w:b/>
          <w:iCs/>
          <w:color w:val="303AB2"/>
        </w:rPr>
        <w:lastRenderedPageBreak/>
        <w:t>Tablas:</w:t>
      </w:r>
    </w:p>
    <w:p w14:paraId="249CBC25" w14:textId="445F0CC1" w:rsidR="00871389" w:rsidRPr="00CA0C1F" w:rsidRDefault="007E5768" w:rsidP="007E5768">
      <w:pPr>
        <w:pStyle w:val="NormalWeb"/>
        <w:shd w:val="clear" w:color="auto" w:fill="FFFFFF"/>
        <w:spacing w:after="225" w:line="276" w:lineRule="auto"/>
        <w:ind w:right="-574"/>
        <w:rPr>
          <w:rFonts w:ascii="Open Sans Light" w:hAnsi="Open Sans Light"/>
          <w:color w:val="404040"/>
        </w:rPr>
      </w:pPr>
      <w:r w:rsidRPr="007E5768">
        <w:rPr>
          <w:rFonts w:ascii="Open Sans Light" w:hAnsi="Open Sans Light" w:cs="Open Sans Light"/>
          <w:b/>
          <w:iCs/>
          <w:color w:val="303AB2"/>
        </w:rPr>
        <w:t xml:space="preserve">Tabla 1. </w:t>
      </w:r>
      <w:r>
        <w:rPr>
          <w:rFonts w:ascii="Open Sans Light" w:hAnsi="Open Sans Light" w:cs="Open Sans Light"/>
          <w:b/>
          <w:iCs/>
          <w:color w:val="303AB2"/>
        </w:rPr>
        <w:t xml:space="preserve">Rentabilidad </w:t>
      </w:r>
      <w:r w:rsidR="000B6B0A">
        <w:rPr>
          <w:rFonts w:ascii="Open Sans Light" w:hAnsi="Open Sans Light" w:cs="Open Sans Light"/>
          <w:b/>
          <w:iCs/>
          <w:color w:val="303AB2"/>
        </w:rPr>
        <w:t xml:space="preserve">de la vivienda </w:t>
      </w:r>
      <w:r>
        <w:rPr>
          <w:rFonts w:ascii="Open Sans Light" w:hAnsi="Open Sans Light" w:cs="Open Sans Light"/>
          <w:b/>
          <w:iCs/>
          <w:color w:val="303AB2"/>
        </w:rPr>
        <w:t>por CCAA</w:t>
      </w:r>
      <w:r w:rsidRPr="007E5768">
        <w:rPr>
          <w:rFonts w:ascii="Open Sans Light" w:hAnsi="Open Sans Light" w:cs="Open Sans Light"/>
          <w:b/>
          <w:iCs/>
          <w:color w:val="303AB2"/>
        </w:rPr>
        <w:t xml:space="preserve"> (comparativa 20</w:t>
      </w:r>
      <w:r w:rsidR="000D5041">
        <w:rPr>
          <w:rFonts w:ascii="Open Sans Light" w:hAnsi="Open Sans Light" w:cs="Open Sans Light"/>
          <w:b/>
          <w:iCs/>
          <w:color w:val="303AB2"/>
        </w:rPr>
        <w:t xml:space="preserve">10, 2015, 2019 y 2020) </w:t>
      </w:r>
      <w:r w:rsidRPr="007E5768">
        <w:rPr>
          <w:rFonts w:ascii="Open Sans Light" w:hAnsi="Open Sans Light" w:cs="Open Sans Light"/>
          <w:b/>
          <w:iCs/>
          <w:color w:val="303AB2"/>
        </w:rPr>
        <w:t xml:space="preserve"> </w:t>
      </w:r>
    </w:p>
    <w:tbl>
      <w:tblPr>
        <w:tblW w:w="90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0"/>
        <w:gridCol w:w="1843"/>
        <w:gridCol w:w="1842"/>
        <w:gridCol w:w="1701"/>
        <w:gridCol w:w="1653"/>
      </w:tblGrid>
      <w:tr w:rsidR="000D5041" w:rsidRPr="000D5041" w14:paraId="35CC8BD4" w14:textId="45D52ABF" w:rsidTr="000D5041">
        <w:trPr>
          <w:trHeight w:val="549"/>
        </w:trPr>
        <w:tc>
          <w:tcPr>
            <w:tcW w:w="1980" w:type="dxa"/>
            <w:tcBorders>
              <w:top w:val="single" w:sz="4" w:space="0" w:color="FFFFFF"/>
              <w:left w:val="single" w:sz="4" w:space="0" w:color="FFFFFF"/>
              <w:right w:val="nil"/>
            </w:tcBorders>
            <w:shd w:val="clear" w:color="auto" w:fill="4472C4"/>
            <w:vAlign w:val="center"/>
          </w:tcPr>
          <w:p w14:paraId="08AC548C" w14:textId="77777777" w:rsidR="000D5041" w:rsidRPr="000D5041" w:rsidRDefault="000D5041" w:rsidP="00856420">
            <w:pPr>
              <w:rPr>
                <w:rFonts w:ascii="Open Sans" w:hAnsi="Open Sans" w:cs="Open Sans"/>
                <w:b/>
                <w:bCs/>
                <w:color w:val="FFFFFF" w:themeColor="background1"/>
                <w:sz w:val="18"/>
                <w:szCs w:val="18"/>
              </w:rPr>
            </w:pPr>
            <w:r w:rsidRPr="000D5041">
              <w:rPr>
                <w:rFonts w:ascii="Open Sans" w:hAnsi="Open Sans" w:cs="Open Sans"/>
                <w:b/>
                <w:bCs/>
                <w:color w:val="FFFFFF" w:themeColor="background1"/>
                <w:sz w:val="18"/>
                <w:szCs w:val="18"/>
              </w:rPr>
              <w:t>Comunidades Autónomas</w:t>
            </w:r>
          </w:p>
        </w:tc>
        <w:tc>
          <w:tcPr>
            <w:tcW w:w="1843" w:type="dxa"/>
            <w:tcBorders>
              <w:top w:val="single" w:sz="4" w:space="0" w:color="FFFFFF"/>
              <w:left w:val="nil"/>
              <w:right w:val="nil"/>
            </w:tcBorders>
            <w:shd w:val="clear" w:color="auto" w:fill="4472C4"/>
            <w:vAlign w:val="center"/>
          </w:tcPr>
          <w:p w14:paraId="563439C1" w14:textId="4B2DB47D" w:rsidR="000D5041" w:rsidRPr="000D5041" w:rsidRDefault="000D5041" w:rsidP="00CA0C1F">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Rentabilidad</w:t>
            </w:r>
          </w:p>
          <w:p w14:paraId="5A08D41E" w14:textId="77777777" w:rsidR="000D5041" w:rsidRDefault="000D5041" w:rsidP="00CA0C1F">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2010</w:t>
            </w:r>
          </w:p>
          <w:p w14:paraId="2C98721D" w14:textId="6230D230" w:rsidR="000D5041" w:rsidRPr="000D5041" w:rsidRDefault="000D5041" w:rsidP="00CA0C1F">
            <w:pPr>
              <w:pStyle w:val="Listavistosa-nfasis11"/>
              <w:ind w:left="0"/>
              <w:jc w:val="center"/>
              <w:rPr>
                <w:rStyle w:val="nfasis"/>
                <w:rFonts w:ascii="Open Sans" w:hAnsi="Open Sans" w:cs="Open Sans"/>
                <w:b/>
                <w:bCs/>
                <w:i w:val="0"/>
                <w:iCs w:val="0"/>
                <w:color w:val="FFFFFF"/>
                <w:sz w:val="18"/>
                <w:szCs w:val="18"/>
              </w:rPr>
            </w:pPr>
            <w:r>
              <w:rPr>
                <w:rStyle w:val="nfasis"/>
                <w:rFonts w:ascii="Open Sans" w:hAnsi="Open Sans" w:cs="Open Sans"/>
                <w:b/>
                <w:bCs/>
                <w:i w:val="0"/>
                <w:iCs w:val="0"/>
                <w:color w:val="FFFFFF"/>
                <w:sz w:val="18"/>
                <w:szCs w:val="18"/>
              </w:rPr>
              <w:t>(10 años)</w:t>
            </w:r>
          </w:p>
        </w:tc>
        <w:tc>
          <w:tcPr>
            <w:tcW w:w="1842" w:type="dxa"/>
            <w:tcBorders>
              <w:top w:val="single" w:sz="4" w:space="0" w:color="FFFFFF"/>
              <w:left w:val="nil"/>
              <w:right w:val="nil"/>
            </w:tcBorders>
            <w:shd w:val="clear" w:color="auto" w:fill="4472C4"/>
            <w:vAlign w:val="center"/>
          </w:tcPr>
          <w:p w14:paraId="6F5E8392" w14:textId="77777777" w:rsidR="000D5041" w:rsidRPr="000D5041" w:rsidRDefault="000D5041" w:rsidP="00CA0C1F">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Rentabilidad</w:t>
            </w:r>
          </w:p>
          <w:p w14:paraId="621D86D7" w14:textId="77777777" w:rsidR="000D5041" w:rsidRDefault="000D5041" w:rsidP="00CA0C1F">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2015</w:t>
            </w:r>
          </w:p>
          <w:p w14:paraId="17EA6B5B" w14:textId="5B1EDA16" w:rsidR="000D5041" w:rsidRPr="000D5041" w:rsidRDefault="000D5041" w:rsidP="00CA0C1F">
            <w:pPr>
              <w:pStyle w:val="Listavistosa-nfasis11"/>
              <w:ind w:left="0"/>
              <w:jc w:val="center"/>
              <w:rPr>
                <w:rStyle w:val="nfasis"/>
                <w:rFonts w:ascii="Open Sans" w:hAnsi="Open Sans" w:cs="Open Sans"/>
                <w:b/>
                <w:bCs/>
                <w:i w:val="0"/>
                <w:iCs w:val="0"/>
                <w:color w:val="FFFFFF"/>
                <w:sz w:val="18"/>
                <w:szCs w:val="18"/>
              </w:rPr>
            </w:pPr>
            <w:r>
              <w:rPr>
                <w:rStyle w:val="nfasis"/>
                <w:rFonts w:ascii="Open Sans" w:hAnsi="Open Sans" w:cs="Open Sans"/>
                <w:b/>
                <w:bCs/>
                <w:i w:val="0"/>
                <w:iCs w:val="0"/>
                <w:color w:val="FFFFFF"/>
                <w:sz w:val="18"/>
                <w:szCs w:val="18"/>
              </w:rPr>
              <w:t>(5 años)</w:t>
            </w:r>
          </w:p>
        </w:tc>
        <w:tc>
          <w:tcPr>
            <w:tcW w:w="1701" w:type="dxa"/>
            <w:tcBorders>
              <w:top w:val="single" w:sz="4" w:space="0" w:color="FFFFFF"/>
              <w:left w:val="nil"/>
              <w:right w:val="nil"/>
            </w:tcBorders>
            <w:shd w:val="clear" w:color="auto" w:fill="4472C4"/>
            <w:vAlign w:val="center"/>
          </w:tcPr>
          <w:p w14:paraId="17254A84" w14:textId="77777777" w:rsidR="000D5041" w:rsidRPr="000D5041" w:rsidRDefault="000D5041" w:rsidP="00CA0C1F">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Rentabilidad</w:t>
            </w:r>
          </w:p>
          <w:p w14:paraId="50B00CA7" w14:textId="77777777" w:rsidR="000D5041" w:rsidRDefault="000D5041" w:rsidP="00CA0C1F">
            <w:pPr>
              <w:pStyle w:val="Texto"/>
              <w:jc w:val="center"/>
              <w:rPr>
                <w:rStyle w:val="nfasis"/>
                <w:rFonts w:ascii="Open Sans" w:hAnsi="Open Sans" w:cs="Open Sans"/>
                <w:b/>
                <w:bCs/>
                <w:i w:val="0"/>
                <w:iCs w:val="0"/>
                <w:color w:val="FFFFFF"/>
                <w:sz w:val="18"/>
                <w:szCs w:val="18"/>
                <w:lang w:val="es-ES"/>
              </w:rPr>
            </w:pPr>
            <w:r w:rsidRPr="000D5041">
              <w:rPr>
                <w:rStyle w:val="nfasis"/>
                <w:rFonts w:ascii="Open Sans" w:hAnsi="Open Sans" w:cs="Open Sans"/>
                <w:b/>
                <w:bCs/>
                <w:i w:val="0"/>
                <w:iCs w:val="0"/>
                <w:color w:val="FFFFFF"/>
                <w:sz w:val="18"/>
                <w:szCs w:val="18"/>
                <w:lang w:val="es-ES"/>
              </w:rPr>
              <w:t>2019</w:t>
            </w:r>
          </w:p>
          <w:p w14:paraId="0CA8763C" w14:textId="07049EBE" w:rsidR="000D5041" w:rsidRPr="000D5041" w:rsidRDefault="000D5041" w:rsidP="00CA0C1F">
            <w:pPr>
              <w:pStyle w:val="Texto"/>
              <w:jc w:val="center"/>
              <w:rPr>
                <w:rStyle w:val="nfasis"/>
                <w:rFonts w:ascii="Open Sans" w:hAnsi="Open Sans" w:cs="Open Sans"/>
                <w:b/>
                <w:bCs/>
                <w:color w:val="FFFFFF"/>
                <w:sz w:val="18"/>
                <w:szCs w:val="18"/>
                <w:lang w:val="es-ES"/>
              </w:rPr>
            </w:pPr>
            <w:r>
              <w:rPr>
                <w:rStyle w:val="nfasis"/>
                <w:rFonts w:ascii="Open Sans" w:hAnsi="Open Sans" w:cs="Open Sans"/>
                <w:b/>
                <w:bCs/>
                <w:i w:val="0"/>
                <w:iCs w:val="0"/>
                <w:color w:val="FFFFFF"/>
                <w:sz w:val="18"/>
                <w:szCs w:val="18"/>
                <w:lang w:val="es-ES"/>
              </w:rPr>
              <w:t>(1 año)</w:t>
            </w:r>
          </w:p>
        </w:tc>
        <w:tc>
          <w:tcPr>
            <w:tcW w:w="1653" w:type="dxa"/>
            <w:tcBorders>
              <w:top w:val="single" w:sz="4" w:space="0" w:color="FFFFFF"/>
              <w:left w:val="nil"/>
              <w:right w:val="nil"/>
            </w:tcBorders>
            <w:shd w:val="clear" w:color="auto" w:fill="4472C4"/>
            <w:vAlign w:val="center"/>
          </w:tcPr>
          <w:p w14:paraId="3E380F54" w14:textId="77777777" w:rsidR="000D5041" w:rsidRPr="000D5041" w:rsidRDefault="000D5041" w:rsidP="000D5041">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Rentabilidad</w:t>
            </w:r>
          </w:p>
          <w:p w14:paraId="7017D914" w14:textId="16CC5FF5" w:rsidR="000D5041" w:rsidRPr="000D5041" w:rsidRDefault="000D5041" w:rsidP="000D5041">
            <w:pPr>
              <w:pStyle w:val="Listavistosa-nfasis11"/>
              <w:ind w:left="0"/>
              <w:jc w:val="center"/>
              <w:rPr>
                <w:rStyle w:val="nfasis"/>
                <w:rFonts w:ascii="Open Sans" w:hAnsi="Open Sans" w:cs="Open Sans"/>
                <w:b/>
                <w:bCs/>
                <w:i w:val="0"/>
                <w:iCs w:val="0"/>
                <w:color w:val="FFFFFF"/>
                <w:sz w:val="18"/>
                <w:szCs w:val="18"/>
              </w:rPr>
            </w:pPr>
            <w:r w:rsidRPr="000D5041">
              <w:rPr>
                <w:rStyle w:val="nfasis"/>
                <w:rFonts w:ascii="Open Sans" w:hAnsi="Open Sans" w:cs="Open Sans"/>
                <w:b/>
                <w:bCs/>
                <w:i w:val="0"/>
                <w:iCs w:val="0"/>
                <w:color w:val="FFFFFF"/>
                <w:sz w:val="18"/>
                <w:szCs w:val="18"/>
              </w:rPr>
              <w:t>2020</w:t>
            </w:r>
          </w:p>
        </w:tc>
      </w:tr>
      <w:tr w:rsidR="000D5041" w:rsidRPr="000D5041" w14:paraId="0D9A178D" w14:textId="2BDE2D59" w:rsidTr="000D5041">
        <w:trPr>
          <w:trHeight w:val="273"/>
        </w:trPr>
        <w:tc>
          <w:tcPr>
            <w:tcW w:w="1980" w:type="dxa"/>
            <w:tcBorders>
              <w:left w:val="single" w:sz="4" w:space="0" w:color="FFFFFF"/>
            </w:tcBorders>
            <w:shd w:val="clear" w:color="auto" w:fill="4472C4"/>
            <w:vAlign w:val="bottom"/>
          </w:tcPr>
          <w:p w14:paraId="031D080E" w14:textId="77723CAA"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Navarra</w:t>
            </w:r>
          </w:p>
        </w:tc>
        <w:tc>
          <w:tcPr>
            <w:tcW w:w="1843" w:type="dxa"/>
            <w:shd w:val="clear" w:color="auto" w:fill="B4C6E7"/>
            <w:vAlign w:val="bottom"/>
          </w:tcPr>
          <w:p w14:paraId="0BCAB1DE" w14:textId="10164C04"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3,9%</w:t>
            </w:r>
          </w:p>
        </w:tc>
        <w:tc>
          <w:tcPr>
            <w:tcW w:w="1842" w:type="dxa"/>
            <w:shd w:val="clear" w:color="auto" w:fill="B4C6E7"/>
            <w:vAlign w:val="bottom"/>
          </w:tcPr>
          <w:p w14:paraId="7A164EA4" w14:textId="343B4083"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5,1%</w:t>
            </w:r>
          </w:p>
        </w:tc>
        <w:tc>
          <w:tcPr>
            <w:tcW w:w="1701" w:type="dxa"/>
            <w:shd w:val="clear" w:color="auto" w:fill="B4C6E7"/>
            <w:vAlign w:val="bottom"/>
          </w:tcPr>
          <w:p w14:paraId="44D3D4DE" w14:textId="48D47DED"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6,3%</w:t>
            </w:r>
          </w:p>
        </w:tc>
        <w:tc>
          <w:tcPr>
            <w:tcW w:w="1653" w:type="dxa"/>
            <w:shd w:val="clear" w:color="auto" w:fill="B4C6E7"/>
            <w:vAlign w:val="bottom"/>
          </w:tcPr>
          <w:p w14:paraId="530A84AF" w14:textId="1AEFC956"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7,1%</w:t>
            </w:r>
          </w:p>
        </w:tc>
      </w:tr>
      <w:tr w:rsidR="000D5041" w:rsidRPr="000D5041" w14:paraId="784BF06D" w14:textId="5E8FDAA0" w:rsidTr="000D5041">
        <w:trPr>
          <w:trHeight w:val="273"/>
        </w:trPr>
        <w:tc>
          <w:tcPr>
            <w:tcW w:w="1980" w:type="dxa"/>
            <w:tcBorders>
              <w:left w:val="single" w:sz="4" w:space="0" w:color="FFFFFF"/>
            </w:tcBorders>
            <w:shd w:val="clear" w:color="auto" w:fill="4472C4"/>
            <w:vAlign w:val="bottom"/>
          </w:tcPr>
          <w:p w14:paraId="6B8639F6" w14:textId="413E1450"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Región de Murcia</w:t>
            </w:r>
          </w:p>
        </w:tc>
        <w:tc>
          <w:tcPr>
            <w:tcW w:w="1843" w:type="dxa"/>
            <w:shd w:val="clear" w:color="auto" w:fill="D9E2F3"/>
            <w:vAlign w:val="bottom"/>
          </w:tcPr>
          <w:p w14:paraId="176A85FC" w14:textId="1F74CAD5"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4,2%</w:t>
            </w:r>
          </w:p>
        </w:tc>
        <w:tc>
          <w:tcPr>
            <w:tcW w:w="1842" w:type="dxa"/>
            <w:shd w:val="clear" w:color="auto" w:fill="D9E2F3"/>
            <w:vAlign w:val="bottom"/>
          </w:tcPr>
          <w:p w14:paraId="6CA2D283" w14:textId="3C245DCD"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5,2%</w:t>
            </w:r>
          </w:p>
        </w:tc>
        <w:tc>
          <w:tcPr>
            <w:tcW w:w="1701" w:type="dxa"/>
            <w:shd w:val="clear" w:color="auto" w:fill="D9E2F3"/>
            <w:vAlign w:val="bottom"/>
          </w:tcPr>
          <w:p w14:paraId="3D72CDBF" w14:textId="62CC8064"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6,4%</w:t>
            </w:r>
          </w:p>
        </w:tc>
        <w:tc>
          <w:tcPr>
            <w:tcW w:w="1653" w:type="dxa"/>
            <w:shd w:val="clear" w:color="auto" w:fill="D9E2F3"/>
            <w:vAlign w:val="bottom"/>
          </w:tcPr>
          <w:p w14:paraId="39E44784" w14:textId="5A6673FD"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7,0%</w:t>
            </w:r>
          </w:p>
        </w:tc>
      </w:tr>
      <w:tr w:rsidR="000D5041" w:rsidRPr="000D5041" w14:paraId="1BFC275A" w14:textId="0AB9C486" w:rsidTr="000D5041">
        <w:trPr>
          <w:trHeight w:val="288"/>
        </w:trPr>
        <w:tc>
          <w:tcPr>
            <w:tcW w:w="1980" w:type="dxa"/>
            <w:tcBorders>
              <w:left w:val="single" w:sz="4" w:space="0" w:color="FFFFFF"/>
            </w:tcBorders>
            <w:shd w:val="clear" w:color="auto" w:fill="4472C4"/>
            <w:vAlign w:val="bottom"/>
          </w:tcPr>
          <w:p w14:paraId="14536FD9" w14:textId="4B7AC9D0"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Comunitat Valenciana</w:t>
            </w:r>
          </w:p>
        </w:tc>
        <w:tc>
          <w:tcPr>
            <w:tcW w:w="1843" w:type="dxa"/>
            <w:shd w:val="clear" w:color="auto" w:fill="B4C6E7"/>
            <w:vAlign w:val="bottom"/>
          </w:tcPr>
          <w:p w14:paraId="5FF6A12F" w14:textId="64FAF3B3"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4,0%</w:t>
            </w:r>
          </w:p>
        </w:tc>
        <w:tc>
          <w:tcPr>
            <w:tcW w:w="1842" w:type="dxa"/>
            <w:shd w:val="clear" w:color="auto" w:fill="B4C6E7"/>
            <w:vAlign w:val="bottom"/>
          </w:tcPr>
          <w:p w14:paraId="1392819C" w14:textId="38BD2FBE"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5,1%</w:t>
            </w:r>
          </w:p>
        </w:tc>
        <w:tc>
          <w:tcPr>
            <w:tcW w:w="1701" w:type="dxa"/>
            <w:shd w:val="clear" w:color="auto" w:fill="B4C6E7"/>
            <w:vAlign w:val="bottom"/>
          </w:tcPr>
          <w:p w14:paraId="768308F9" w14:textId="62ED543A"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6,8%</w:t>
            </w:r>
          </w:p>
        </w:tc>
        <w:tc>
          <w:tcPr>
            <w:tcW w:w="1653" w:type="dxa"/>
            <w:shd w:val="clear" w:color="auto" w:fill="B4C6E7"/>
            <w:vAlign w:val="bottom"/>
          </w:tcPr>
          <w:p w14:paraId="3FB885C7" w14:textId="45C50EAF"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6,9%</w:t>
            </w:r>
          </w:p>
        </w:tc>
      </w:tr>
      <w:tr w:rsidR="000D5041" w:rsidRPr="000D5041" w14:paraId="17102614" w14:textId="2054668D" w:rsidTr="000D5041">
        <w:trPr>
          <w:trHeight w:val="273"/>
        </w:trPr>
        <w:tc>
          <w:tcPr>
            <w:tcW w:w="1980" w:type="dxa"/>
            <w:tcBorders>
              <w:left w:val="single" w:sz="4" w:space="0" w:color="FFFFFF"/>
            </w:tcBorders>
            <w:shd w:val="clear" w:color="auto" w:fill="4472C4"/>
            <w:vAlign w:val="bottom"/>
          </w:tcPr>
          <w:p w14:paraId="337E7AF1" w14:textId="74F2B3E3"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Cataluña</w:t>
            </w:r>
          </w:p>
        </w:tc>
        <w:tc>
          <w:tcPr>
            <w:tcW w:w="1843" w:type="dxa"/>
            <w:shd w:val="clear" w:color="auto" w:fill="D9E2F3"/>
            <w:vAlign w:val="bottom"/>
          </w:tcPr>
          <w:p w14:paraId="163F41D3" w14:textId="0043F66E"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4,0%</w:t>
            </w:r>
          </w:p>
        </w:tc>
        <w:tc>
          <w:tcPr>
            <w:tcW w:w="1842" w:type="dxa"/>
            <w:shd w:val="clear" w:color="auto" w:fill="D9E2F3"/>
            <w:vAlign w:val="bottom"/>
          </w:tcPr>
          <w:p w14:paraId="13CD0011" w14:textId="3718E2F0"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5,7%</w:t>
            </w:r>
          </w:p>
        </w:tc>
        <w:tc>
          <w:tcPr>
            <w:tcW w:w="1701" w:type="dxa"/>
            <w:shd w:val="clear" w:color="auto" w:fill="D9E2F3"/>
            <w:vAlign w:val="bottom"/>
          </w:tcPr>
          <w:p w14:paraId="3A88396F" w14:textId="78982FB5"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7,0%</w:t>
            </w:r>
          </w:p>
        </w:tc>
        <w:tc>
          <w:tcPr>
            <w:tcW w:w="1653" w:type="dxa"/>
            <w:shd w:val="clear" w:color="auto" w:fill="D9E2F3"/>
            <w:vAlign w:val="bottom"/>
          </w:tcPr>
          <w:p w14:paraId="4B377E04" w14:textId="016B1A02"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6,8%</w:t>
            </w:r>
          </w:p>
        </w:tc>
      </w:tr>
      <w:tr w:rsidR="000D5041" w:rsidRPr="000D5041" w14:paraId="54E1A2BC" w14:textId="4AD45829" w:rsidTr="000D5041">
        <w:trPr>
          <w:trHeight w:val="273"/>
        </w:trPr>
        <w:tc>
          <w:tcPr>
            <w:tcW w:w="1980" w:type="dxa"/>
            <w:tcBorders>
              <w:left w:val="single" w:sz="4" w:space="0" w:color="FFFFFF"/>
            </w:tcBorders>
            <w:shd w:val="clear" w:color="auto" w:fill="4472C4"/>
            <w:vAlign w:val="bottom"/>
          </w:tcPr>
          <w:p w14:paraId="61917D11" w14:textId="24930481"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Aragón</w:t>
            </w:r>
          </w:p>
        </w:tc>
        <w:tc>
          <w:tcPr>
            <w:tcW w:w="1843" w:type="dxa"/>
            <w:shd w:val="clear" w:color="auto" w:fill="B4C6E7"/>
            <w:vAlign w:val="bottom"/>
          </w:tcPr>
          <w:p w14:paraId="2577F109" w14:textId="779361A4"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4,0%</w:t>
            </w:r>
          </w:p>
        </w:tc>
        <w:tc>
          <w:tcPr>
            <w:tcW w:w="1842" w:type="dxa"/>
            <w:shd w:val="clear" w:color="auto" w:fill="B4C6E7"/>
            <w:vAlign w:val="bottom"/>
          </w:tcPr>
          <w:p w14:paraId="0566A36A" w14:textId="1A67CC4F"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5,2%</w:t>
            </w:r>
          </w:p>
        </w:tc>
        <w:tc>
          <w:tcPr>
            <w:tcW w:w="1701" w:type="dxa"/>
            <w:shd w:val="clear" w:color="auto" w:fill="B4C6E7"/>
            <w:vAlign w:val="bottom"/>
          </w:tcPr>
          <w:p w14:paraId="4D97D560" w14:textId="2821E332"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6,2%</w:t>
            </w:r>
          </w:p>
        </w:tc>
        <w:tc>
          <w:tcPr>
            <w:tcW w:w="1653" w:type="dxa"/>
            <w:shd w:val="clear" w:color="auto" w:fill="B4C6E7"/>
            <w:vAlign w:val="bottom"/>
          </w:tcPr>
          <w:p w14:paraId="77541C07" w14:textId="3715B395"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6,5%</w:t>
            </w:r>
          </w:p>
        </w:tc>
      </w:tr>
      <w:tr w:rsidR="000D5041" w:rsidRPr="000D5041" w14:paraId="3E32DE28" w14:textId="7051DD85" w:rsidTr="000D5041">
        <w:trPr>
          <w:trHeight w:val="273"/>
        </w:trPr>
        <w:tc>
          <w:tcPr>
            <w:tcW w:w="1980" w:type="dxa"/>
            <w:tcBorders>
              <w:left w:val="single" w:sz="4" w:space="0" w:color="FFFFFF"/>
            </w:tcBorders>
            <w:shd w:val="clear" w:color="auto" w:fill="4472C4"/>
            <w:vAlign w:val="bottom"/>
          </w:tcPr>
          <w:p w14:paraId="6F2CDE7C" w14:textId="5E17CC9C"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Canarias</w:t>
            </w:r>
          </w:p>
        </w:tc>
        <w:tc>
          <w:tcPr>
            <w:tcW w:w="1843" w:type="dxa"/>
            <w:shd w:val="clear" w:color="auto" w:fill="D9E2F3"/>
            <w:vAlign w:val="bottom"/>
          </w:tcPr>
          <w:p w14:paraId="2760333C" w14:textId="018C2A99"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4,5%</w:t>
            </w:r>
          </w:p>
        </w:tc>
        <w:tc>
          <w:tcPr>
            <w:tcW w:w="1842" w:type="dxa"/>
            <w:shd w:val="clear" w:color="auto" w:fill="D9E2F3"/>
            <w:vAlign w:val="bottom"/>
          </w:tcPr>
          <w:p w14:paraId="309A45C3" w14:textId="4834F0C9"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5,7%</w:t>
            </w:r>
          </w:p>
        </w:tc>
        <w:tc>
          <w:tcPr>
            <w:tcW w:w="1701" w:type="dxa"/>
            <w:shd w:val="clear" w:color="auto" w:fill="D9E2F3"/>
            <w:vAlign w:val="bottom"/>
          </w:tcPr>
          <w:p w14:paraId="29730FD3" w14:textId="3428F143"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6,6%</w:t>
            </w:r>
          </w:p>
        </w:tc>
        <w:tc>
          <w:tcPr>
            <w:tcW w:w="1653" w:type="dxa"/>
            <w:shd w:val="clear" w:color="auto" w:fill="D9E2F3"/>
            <w:vAlign w:val="bottom"/>
          </w:tcPr>
          <w:p w14:paraId="2F830E96" w14:textId="21BC7647"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6,4%</w:t>
            </w:r>
          </w:p>
        </w:tc>
      </w:tr>
      <w:tr w:rsidR="000D5041" w:rsidRPr="000D5041" w14:paraId="0DF9FB4F" w14:textId="58B32AEA" w:rsidTr="000D5041">
        <w:trPr>
          <w:trHeight w:val="273"/>
        </w:trPr>
        <w:tc>
          <w:tcPr>
            <w:tcW w:w="1980" w:type="dxa"/>
            <w:tcBorders>
              <w:left w:val="single" w:sz="4" w:space="0" w:color="FFFFFF"/>
            </w:tcBorders>
            <w:shd w:val="clear" w:color="auto" w:fill="4472C4"/>
            <w:vAlign w:val="bottom"/>
          </w:tcPr>
          <w:p w14:paraId="40816977" w14:textId="4C2F6C58"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Castilla-La Mancha</w:t>
            </w:r>
          </w:p>
        </w:tc>
        <w:tc>
          <w:tcPr>
            <w:tcW w:w="1843" w:type="dxa"/>
            <w:shd w:val="clear" w:color="auto" w:fill="B4C6E7"/>
            <w:vAlign w:val="bottom"/>
          </w:tcPr>
          <w:p w14:paraId="3FB7D844" w14:textId="3998803E"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4,2%</w:t>
            </w:r>
          </w:p>
        </w:tc>
        <w:tc>
          <w:tcPr>
            <w:tcW w:w="1842" w:type="dxa"/>
            <w:shd w:val="clear" w:color="auto" w:fill="B4C6E7"/>
            <w:vAlign w:val="bottom"/>
          </w:tcPr>
          <w:p w14:paraId="0AF080F9" w14:textId="08B7CC9C"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5,1%</w:t>
            </w:r>
          </w:p>
        </w:tc>
        <w:tc>
          <w:tcPr>
            <w:tcW w:w="1701" w:type="dxa"/>
            <w:shd w:val="clear" w:color="auto" w:fill="B4C6E7"/>
            <w:vAlign w:val="bottom"/>
          </w:tcPr>
          <w:p w14:paraId="479082E2" w14:textId="11500520"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6,0%</w:t>
            </w:r>
          </w:p>
        </w:tc>
        <w:tc>
          <w:tcPr>
            <w:tcW w:w="1653" w:type="dxa"/>
            <w:shd w:val="clear" w:color="auto" w:fill="B4C6E7"/>
            <w:vAlign w:val="bottom"/>
          </w:tcPr>
          <w:p w14:paraId="332DB862" w14:textId="45E15293"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6,3%</w:t>
            </w:r>
          </w:p>
        </w:tc>
      </w:tr>
      <w:tr w:rsidR="000D5041" w:rsidRPr="000D5041" w14:paraId="582A986C" w14:textId="5883B810" w:rsidTr="000D5041">
        <w:trPr>
          <w:trHeight w:val="273"/>
        </w:trPr>
        <w:tc>
          <w:tcPr>
            <w:tcW w:w="1980" w:type="dxa"/>
            <w:tcBorders>
              <w:left w:val="single" w:sz="4" w:space="0" w:color="FFFFFF"/>
            </w:tcBorders>
            <w:shd w:val="clear" w:color="auto" w:fill="4472C4"/>
            <w:vAlign w:val="bottom"/>
          </w:tcPr>
          <w:p w14:paraId="4A2ACC0E" w14:textId="2F82ACD8"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Andalucía</w:t>
            </w:r>
          </w:p>
        </w:tc>
        <w:tc>
          <w:tcPr>
            <w:tcW w:w="1843" w:type="dxa"/>
            <w:shd w:val="clear" w:color="auto" w:fill="D9E2F3"/>
            <w:vAlign w:val="bottom"/>
          </w:tcPr>
          <w:p w14:paraId="66E3246D" w14:textId="49B06049"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4,2%</w:t>
            </w:r>
          </w:p>
        </w:tc>
        <w:tc>
          <w:tcPr>
            <w:tcW w:w="1842" w:type="dxa"/>
            <w:shd w:val="clear" w:color="auto" w:fill="D9E2F3"/>
            <w:vAlign w:val="bottom"/>
          </w:tcPr>
          <w:p w14:paraId="32F966A7" w14:textId="302439EB"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5,1%</w:t>
            </w:r>
          </w:p>
        </w:tc>
        <w:tc>
          <w:tcPr>
            <w:tcW w:w="1701" w:type="dxa"/>
            <w:shd w:val="clear" w:color="auto" w:fill="D9E2F3"/>
            <w:vAlign w:val="bottom"/>
          </w:tcPr>
          <w:p w14:paraId="24E3F494" w14:textId="2E43A68D"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6,1%</w:t>
            </w:r>
          </w:p>
        </w:tc>
        <w:tc>
          <w:tcPr>
            <w:tcW w:w="1653" w:type="dxa"/>
            <w:shd w:val="clear" w:color="auto" w:fill="D9E2F3"/>
            <w:vAlign w:val="bottom"/>
          </w:tcPr>
          <w:p w14:paraId="429F38CF" w14:textId="74593C2C"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6,3%</w:t>
            </w:r>
          </w:p>
        </w:tc>
      </w:tr>
      <w:tr w:rsidR="000D5041" w:rsidRPr="000D5041" w14:paraId="59402957" w14:textId="3CCE0AFE" w:rsidTr="000D5041">
        <w:trPr>
          <w:trHeight w:val="288"/>
        </w:trPr>
        <w:tc>
          <w:tcPr>
            <w:tcW w:w="1980" w:type="dxa"/>
            <w:tcBorders>
              <w:left w:val="single" w:sz="4" w:space="0" w:color="FFFFFF"/>
            </w:tcBorders>
            <w:shd w:val="clear" w:color="auto" w:fill="4472C4"/>
            <w:vAlign w:val="bottom"/>
          </w:tcPr>
          <w:p w14:paraId="75264C16" w14:textId="1C1A8514"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Cantabria</w:t>
            </w:r>
          </w:p>
        </w:tc>
        <w:tc>
          <w:tcPr>
            <w:tcW w:w="1843" w:type="dxa"/>
            <w:shd w:val="clear" w:color="auto" w:fill="B4C6E7"/>
            <w:vAlign w:val="bottom"/>
          </w:tcPr>
          <w:p w14:paraId="5941D490" w14:textId="2488BEFB"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3,6%</w:t>
            </w:r>
          </w:p>
        </w:tc>
        <w:tc>
          <w:tcPr>
            <w:tcW w:w="1842" w:type="dxa"/>
            <w:shd w:val="clear" w:color="auto" w:fill="B4C6E7"/>
            <w:vAlign w:val="bottom"/>
          </w:tcPr>
          <w:p w14:paraId="4D8479CB" w14:textId="5E265291"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4,5%</w:t>
            </w:r>
          </w:p>
        </w:tc>
        <w:tc>
          <w:tcPr>
            <w:tcW w:w="1701" w:type="dxa"/>
            <w:shd w:val="clear" w:color="auto" w:fill="B4C6E7"/>
            <w:vAlign w:val="bottom"/>
          </w:tcPr>
          <w:p w14:paraId="6E4146A5" w14:textId="015670F1"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5,8%</w:t>
            </w:r>
          </w:p>
        </w:tc>
        <w:tc>
          <w:tcPr>
            <w:tcW w:w="1653" w:type="dxa"/>
            <w:shd w:val="clear" w:color="auto" w:fill="B4C6E7"/>
            <w:vAlign w:val="bottom"/>
          </w:tcPr>
          <w:p w14:paraId="1FE95284" w14:textId="6C37891E"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6,0%</w:t>
            </w:r>
          </w:p>
        </w:tc>
      </w:tr>
      <w:tr w:rsidR="000D5041" w:rsidRPr="000D5041" w14:paraId="56675121" w14:textId="596BE920" w:rsidTr="000D5041">
        <w:trPr>
          <w:trHeight w:val="273"/>
        </w:trPr>
        <w:tc>
          <w:tcPr>
            <w:tcW w:w="1980" w:type="dxa"/>
            <w:tcBorders>
              <w:left w:val="single" w:sz="4" w:space="0" w:color="FFFFFF"/>
            </w:tcBorders>
            <w:shd w:val="clear" w:color="auto" w:fill="4472C4"/>
            <w:vAlign w:val="bottom"/>
          </w:tcPr>
          <w:p w14:paraId="0D7EE31F" w14:textId="3D25056D"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Asturias</w:t>
            </w:r>
          </w:p>
        </w:tc>
        <w:tc>
          <w:tcPr>
            <w:tcW w:w="1843" w:type="dxa"/>
            <w:shd w:val="clear" w:color="auto" w:fill="D9E2F3"/>
            <w:vAlign w:val="bottom"/>
          </w:tcPr>
          <w:p w14:paraId="57DBE10B" w14:textId="5C39F16F"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3,9%</w:t>
            </w:r>
          </w:p>
        </w:tc>
        <w:tc>
          <w:tcPr>
            <w:tcW w:w="1842" w:type="dxa"/>
            <w:shd w:val="clear" w:color="auto" w:fill="D9E2F3"/>
            <w:vAlign w:val="bottom"/>
          </w:tcPr>
          <w:p w14:paraId="29555976" w14:textId="57EC5BC7"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4,6%</w:t>
            </w:r>
          </w:p>
        </w:tc>
        <w:tc>
          <w:tcPr>
            <w:tcW w:w="1701" w:type="dxa"/>
            <w:shd w:val="clear" w:color="auto" w:fill="D9E2F3"/>
            <w:vAlign w:val="bottom"/>
          </w:tcPr>
          <w:p w14:paraId="4A55BE03" w14:textId="3D94A53D"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5,6%</w:t>
            </w:r>
          </w:p>
        </w:tc>
        <w:tc>
          <w:tcPr>
            <w:tcW w:w="1653" w:type="dxa"/>
            <w:shd w:val="clear" w:color="auto" w:fill="D9E2F3"/>
            <w:vAlign w:val="bottom"/>
          </w:tcPr>
          <w:p w14:paraId="46C1D4CE" w14:textId="0A93DDD8"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6,0%</w:t>
            </w:r>
          </w:p>
        </w:tc>
      </w:tr>
      <w:tr w:rsidR="000D5041" w:rsidRPr="000D5041" w14:paraId="3E183DA9" w14:textId="46B9096B" w:rsidTr="000D5041">
        <w:trPr>
          <w:trHeight w:val="273"/>
        </w:trPr>
        <w:tc>
          <w:tcPr>
            <w:tcW w:w="1980" w:type="dxa"/>
            <w:tcBorders>
              <w:left w:val="single" w:sz="4" w:space="0" w:color="FFFFFF"/>
            </w:tcBorders>
            <w:shd w:val="clear" w:color="auto" w:fill="4472C4"/>
            <w:vAlign w:val="bottom"/>
          </w:tcPr>
          <w:p w14:paraId="54A0493C" w14:textId="3A62C633"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Castilla y León</w:t>
            </w:r>
          </w:p>
        </w:tc>
        <w:tc>
          <w:tcPr>
            <w:tcW w:w="1843" w:type="dxa"/>
            <w:shd w:val="clear" w:color="auto" w:fill="B4C6E7"/>
            <w:vAlign w:val="bottom"/>
          </w:tcPr>
          <w:p w14:paraId="2426725E" w14:textId="77E57BDF"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3,8%</w:t>
            </w:r>
          </w:p>
        </w:tc>
        <w:tc>
          <w:tcPr>
            <w:tcW w:w="1842" w:type="dxa"/>
            <w:shd w:val="clear" w:color="auto" w:fill="B4C6E7"/>
            <w:vAlign w:val="bottom"/>
          </w:tcPr>
          <w:p w14:paraId="71FE4561" w14:textId="32A283CC"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4,6%</w:t>
            </w:r>
          </w:p>
        </w:tc>
        <w:tc>
          <w:tcPr>
            <w:tcW w:w="1701" w:type="dxa"/>
            <w:shd w:val="clear" w:color="auto" w:fill="B4C6E7"/>
            <w:vAlign w:val="bottom"/>
          </w:tcPr>
          <w:p w14:paraId="42B89426" w14:textId="64851D52"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5,5%</w:t>
            </w:r>
          </w:p>
        </w:tc>
        <w:tc>
          <w:tcPr>
            <w:tcW w:w="1653" w:type="dxa"/>
            <w:shd w:val="clear" w:color="auto" w:fill="B4C6E7"/>
            <w:vAlign w:val="bottom"/>
          </w:tcPr>
          <w:p w14:paraId="4A095629" w14:textId="61C2B0E6"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5,9%</w:t>
            </w:r>
          </w:p>
        </w:tc>
      </w:tr>
      <w:tr w:rsidR="000D5041" w:rsidRPr="000D5041" w14:paraId="5BA22336" w14:textId="1A86671E" w:rsidTr="000D5041">
        <w:trPr>
          <w:trHeight w:val="273"/>
        </w:trPr>
        <w:tc>
          <w:tcPr>
            <w:tcW w:w="1980" w:type="dxa"/>
            <w:tcBorders>
              <w:left w:val="single" w:sz="4" w:space="0" w:color="FFFFFF"/>
            </w:tcBorders>
            <w:shd w:val="clear" w:color="auto" w:fill="4472C4"/>
            <w:vAlign w:val="bottom"/>
          </w:tcPr>
          <w:p w14:paraId="43025DA7" w14:textId="3A27F92C"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La Rioja</w:t>
            </w:r>
          </w:p>
        </w:tc>
        <w:tc>
          <w:tcPr>
            <w:tcW w:w="1843" w:type="dxa"/>
            <w:shd w:val="clear" w:color="auto" w:fill="D9E2F3"/>
            <w:vAlign w:val="bottom"/>
          </w:tcPr>
          <w:p w14:paraId="4CCFA0AA" w14:textId="475C7CC6"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3,6%</w:t>
            </w:r>
          </w:p>
        </w:tc>
        <w:tc>
          <w:tcPr>
            <w:tcW w:w="1842" w:type="dxa"/>
            <w:shd w:val="clear" w:color="auto" w:fill="D9E2F3"/>
            <w:vAlign w:val="bottom"/>
          </w:tcPr>
          <w:p w14:paraId="54538128" w14:textId="1AC95828"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4,7%</w:t>
            </w:r>
          </w:p>
        </w:tc>
        <w:tc>
          <w:tcPr>
            <w:tcW w:w="1701" w:type="dxa"/>
            <w:shd w:val="clear" w:color="auto" w:fill="D9E2F3"/>
            <w:vAlign w:val="bottom"/>
          </w:tcPr>
          <w:p w14:paraId="228ECED9" w14:textId="105FBD3A"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5,6%</w:t>
            </w:r>
          </w:p>
        </w:tc>
        <w:tc>
          <w:tcPr>
            <w:tcW w:w="1653" w:type="dxa"/>
            <w:shd w:val="clear" w:color="auto" w:fill="D9E2F3"/>
            <w:vAlign w:val="bottom"/>
          </w:tcPr>
          <w:p w14:paraId="709BE0BA" w14:textId="43EB04B4"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5,9%</w:t>
            </w:r>
          </w:p>
        </w:tc>
      </w:tr>
      <w:tr w:rsidR="000D5041" w:rsidRPr="000D5041" w14:paraId="650A2309" w14:textId="64583D8C" w:rsidTr="000D5041">
        <w:trPr>
          <w:trHeight w:val="273"/>
        </w:trPr>
        <w:tc>
          <w:tcPr>
            <w:tcW w:w="1980" w:type="dxa"/>
            <w:tcBorders>
              <w:left w:val="single" w:sz="4" w:space="0" w:color="FFFFFF"/>
            </w:tcBorders>
            <w:shd w:val="clear" w:color="auto" w:fill="4472C4"/>
            <w:vAlign w:val="bottom"/>
          </w:tcPr>
          <w:p w14:paraId="762DBA49" w14:textId="2F0A6C74"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Madrid</w:t>
            </w:r>
          </w:p>
        </w:tc>
        <w:tc>
          <w:tcPr>
            <w:tcW w:w="1843" w:type="dxa"/>
            <w:shd w:val="clear" w:color="auto" w:fill="B4C6E7"/>
            <w:vAlign w:val="bottom"/>
          </w:tcPr>
          <w:p w14:paraId="53508365" w14:textId="26F49432"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4,2%</w:t>
            </w:r>
          </w:p>
        </w:tc>
        <w:tc>
          <w:tcPr>
            <w:tcW w:w="1842" w:type="dxa"/>
            <w:shd w:val="clear" w:color="auto" w:fill="B4C6E7"/>
            <w:vAlign w:val="bottom"/>
          </w:tcPr>
          <w:p w14:paraId="52CDA3B7" w14:textId="06606B7C"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5,4%</w:t>
            </w:r>
          </w:p>
        </w:tc>
        <w:tc>
          <w:tcPr>
            <w:tcW w:w="1701" w:type="dxa"/>
            <w:shd w:val="clear" w:color="auto" w:fill="B4C6E7"/>
            <w:vAlign w:val="bottom"/>
          </w:tcPr>
          <w:p w14:paraId="360E7E25" w14:textId="1E7401C7"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5,9%</w:t>
            </w:r>
          </w:p>
        </w:tc>
        <w:tc>
          <w:tcPr>
            <w:tcW w:w="1653" w:type="dxa"/>
            <w:shd w:val="clear" w:color="auto" w:fill="B4C6E7"/>
            <w:vAlign w:val="bottom"/>
          </w:tcPr>
          <w:p w14:paraId="284527A9" w14:textId="6374FAF8"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5,5%</w:t>
            </w:r>
          </w:p>
        </w:tc>
      </w:tr>
      <w:tr w:rsidR="000D5041" w:rsidRPr="000D5041" w14:paraId="7693E6B1" w14:textId="6D294E79" w:rsidTr="000D5041">
        <w:trPr>
          <w:trHeight w:val="273"/>
        </w:trPr>
        <w:tc>
          <w:tcPr>
            <w:tcW w:w="1980" w:type="dxa"/>
            <w:tcBorders>
              <w:left w:val="single" w:sz="4" w:space="0" w:color="FFFFFF"/>
            </w:tcBorders>
            <w:shd w:val="clear" w:color="auto" w:fill="4472C4"/>
            <w:vAlign w:val="bottom"/>
          </w:tcPr>
          <w:p w14:paraId="50EF090E" w14:textId="6A0E70B7"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Extremadura</w:t>
            </w:r>
          </w:p>
        </w:tc>
        <w:tc>
          <w:tcPr>
            <w:tcW w:w="1843" w:type="dxa"/>
            <w:shd w:val="clear" w:color="auto" w:fill="D9E2F3"/>
            <w:vAlign w:val="bottom"/>
          </w:tcPr>
          <w:p w14:paraId="7D3B306E" w14:textId="7204AF5F"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3,8%</w:t>
            </w:r>
          </w:p>
        </w:tc>
        <w:tc>
          <w:tcPr>
            <w:tcW w:w="1842" w:type="dxa"/>
            <w:shd w:val="clear" w:color="auto" w:fill="D9E2F3"/>
            <w:vAlign w:val="bottom"/>
          </w:tcPr>
          <w:p w14:paraId="62BDDDB3" w14:textId="08968B19"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4,7%</w:t>
            </w:r>
          </w:p>
        </w:tc>
        <w:tc>
          <w:tcPr>
            <w:tcW w:w="1701" w:type="dxa"/>
            <w:shd w:val="clear" w:color="auto" w:fill="D9E2F3"/>
            <w:vAlign w:val="bottom"/>
          </w:tcPr>
          <w:p w14:paraId="28EF120B" w14:textId="76DD0382"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5,4%</w:t>
            </w:r>
          </w:p>
        </w:tc>
        <w:tc>
          <w:tcPr>
            <w:tcW w:w="1653" w:type="dxa"/>
            <w:shd w:val="clear" w:color="auto" w:fill="D9E2F3"/>
            <w:vAlign w:val="bottom"/>
          </w:tcPr>
          <w:p w14:paraId="678DA968" w14:textId="17DC9282"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5,5%</w:t>
            </w:r>
          </w:p>
        </w:tc>
      </w:tr>
      <w:tr w:rsidR="000D5041" w:rsidRPr="000D5041" w14:paraId="4109F534" w14:textId="785626F4" w:rsidTr="000D5041">
        <w:trPr>
          <w:trHeight w:val="288"/>
        </w:trPr>
        <w:tc>
          <w:tcPr>
            <w:tcW w:w="1980" w:type="dxa"/>
            <w:tcBorders>
              <w:left w:val="single" w:sz="4" w:space="0" w:color="FFFFFF"/>
            </w:tcBorders>
            <w:shd w:val="clear" w:color="auto" w:fill="4472C4"/>
            <w:vAlign w:val="bottom"/>
          </w:tcPr>
          <w:p w14:paraId="23060512" w14:textId="35B2F3DF"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País Vasco</w:t>
            </w:r>
          </w:p>
        </w:tc>
        <w:tc>
          <w:tcPr>
            <w:tcW w:w="1843" w:type="dxa"/>
            <w:shd w:val="clear" w:color="auto" w:fill="B4C6E7"/>
            <w:vAlign w:val="bottom"/>
          </w:tcPr>
          <w:p w14:paraId="38FD4540" w14:textId="6D917524"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3,6%</w:t>
            </w:r>
          </w:p>
        </w:tc>
        <w:tc>
          <w:tcPr>
            <w:tcW w:w="1842" w:type="dxa"/>
            <w:shd w:val="clear" w:color="auto" w:fill="B4C6E7"/>
            <w:vAlign w:val="bottom"/>
          </w:tcPr>
          <w:p w14:paraId="67568D8D" w14:textId="5DEA917A"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4,4%</w:t>
            </w:r>
          </w:p>
        </w:tc>
        <w:tc>
          <w:tcPr>
            <w:tcW w:w="1701" w:type="dxa"/>
            <w:shd w:val="clear" w:color="auto" w:fill="B4C6E7"/>
            <w:vAlign w:val="bottom"/>
          </w:tcPr>
          <w:p w14:paraId="7E814A3D" w14:textId="2DE3953D"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5,6%</w:t>
            </w:r>
          </w:p>
        </w:tc>
        <w:tc>
          <w:tcPr>
            <w:tcW w:w="1653" w:type="dxa"/>
            <w:shd w:val="clear" w:color="auto" w:fill="B4C6E7"/>
            <w:vAlign w:val="bottom"/>
          </w:tcPr>
          <w:p w14:paraId="2B642F5E" w14:textId="0EE10FF1"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5,5%</w:t>
            </w:r>
          </w:p>
        </w:tc>
      </w:tr>
      <w:tr w:rsidR="000D5041" w:rsidRPr="000D5041" w14:paraId="2A4DFA44" w14:textId="439A2052" w:rsidTr="000D5041">
        <w:trPr>
          <w:trHeight w:val="273"/>
        </w:trPr>
        <w:tc>
          <w:tcPr>
            <w:tcW w:w="1980" w:type="dxa"/>
            <w:tcBorders>
              <w:left w:val="single" w:sz="4" w:space="0" w:color="FFFFFF"/>
            </w:tcBorders>
            <w:shd w:val="clear" w:color="auto" w:fill="4472C4"/>
            <w:vAlign w:val="bottom"/>
          </w:tcPr>
          <w:p w14:paraId="3610AD39" w14:textId="054E8489"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Galicia</w:t>
            </w:r>
          </w:p>
        </w:tc>
        <w:tc>
          <w:tcPr>
            <w:tcW w:w="1843" w:type="dxa"/>
            <w:shd w:val="clear" w:color="auto" w:fill="D9E2F3"/>
            <w:vAlign w:val="bottom"/>
          </w:tcPr>
          <w:p w14:paraId="38D23BAC" w14:textId="00B9EFF2"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3,6%</w:t>
            </w:r>
          </w:p>
        </w:tc>
        <w:tc>
          <w:tcPr>
            <w:tcW w:w="1842" w:type="dxa"/>
            <w:shd w:val="clear" w:color="auto" w:fill="D9E2F3"/>
            <w:vAlign w:val="bottom"/>
          </w:tcPr>
          <w:p w14:paraId="744818C3" w14:textId="686F7677"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3,9%</w:t>
            </w:r>
          </w:p>
        </w:tc>
        <w:tc>
          <w:tcPr>
            <w:tcW w:w="1701" w:type="dxa"/>
            <w:shd w:val="clear" w:color="auto" w:fill="D9E2F3"/>
            <w:vAlign w:val="bottom"/>
          </w:tcPr>
          <w:p w14:paraId="0CEAE488" w14:textId="5A9C517F"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5,1%</w:t>
            </w:r>
          </w:p>
        </w:tc>
        <w:tc>
          <w:tcPr>
            <w:tcW w:w="1653" w:type="dxa"/>
            <w:shd w:val="clear" w:color="auto" w:fill="D9E2F3"/>
            <w:vAlign w:val="bottom"/>
          </w:tcPr>
          <w:p w14:paraId="0D36110F" w14:textId="39EF690D"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5,4%</w:t>
            </w:r>
          </w:p>
        </w:tc>
      </w:tr>
      <w:tr w:rsidR="000D5041" w:rsidRPr="000D5041" w14:paraId="06CB2887" w14:textId="6D9FD7B3" w:rsidTr="000D5041">
        <w:trPr>
          <w:trHeight w:val="273"/>
        </w:trPr>
        <w:tc>
          <w:tcPr>
            <w:tcW w:w="1980" w:type="dxa"/>
            <w:tcBorders>
              <w:left w:val="single" w:sz="4" w:space="0" w:color="FFFFFF"/>
            </w:tcBorders>
            <w:shd w:val="clear" w:color="auto" w:fill="4472C4"/>
            <w:vAlign w:val="bottom"/>
          </w:tcPr>
          <w:p w14:paraId="0C86D9C6" w14:textId="045F2337" w:rsidR="000D5041" w:rsidRPr="000D5041" w:rsidRDefault="000D5041" w:rsidP="000D5041">
            <w:pPr>
              <w:rPr>
                <w:rFonts w:ascii="Open Sans" w:hAnsi="Open Sans" w:cs="Open Sans"/>
                <w:color w:val="FFFFFF" w:themeColor="background1"/>
                <w:sz w:val="22"/>
                <w:szCs w:val="22"/>
              </w:rPr>
            </w:pPr>
            <w:r w:rsidRPr="000D5041">
              <w:rPr>
                <w:rFonts w:ascii="Open Sans" w:hAnsi="Open Sans" w:cs="Open Sans"/>
                <w:color w:val="FFFFFF" w:themeColor="background1"/>
                <w:sz w:val="22"/>
                <w:szCs w:val="22"/>
              </w:rPr>
              <w:t>Baleares</w:t>
            </w:r>
          </w:p>
        </w:tc>
        <w:tc>
          <w:tcPr>
            <w:tcW w:w="1843" w:type="dxa"/>
            <w:shd w:val="clear" w:color="auto" w:fill="B4C6E7"/>
            <w:vAlign w:val="bottom"/>
          </w:tcPr>
          <w:p w14:paraId="2C5D36F4" w14:textId="54741469"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4,1%</w:t>
            </w:r>
          </w:p>
        </w:tc>
        <w:tc>
          <w:tcPr>
            <w:tcW w:w="1842" w:type="dxa"/>
            <w:shd w:val="clear" w:color="auto" w:fill="B4C6E7"/>
            <w:vAlign w:val="bottom"/>
          </w:tcPr>
          <w:p w14:paraId="0F12070F" w14:textId="2160C14C" w:rsidR="000D5041" w:rsidRPr="000D5041" w:rsidRDefault="000D5041" w:rsidP="000D5041">
            <w:pPr>
              <w:jc w:val="center"/>
              <w:rPr>
                <w:rFonts w:ascii="Open Sans" w:hAnsi="Open Sans" w:cs="Open Sans"/>
                <w:color w:val="000000"/>
                <w:sz w:val="22"/>
                <w:szCs w:val="22"/>
              </w:rPr>
            </w:pPr>
            <w:r w:rsidRPr="000D5041">
              <w:rPr>
                <w:rFonts w:ascii="Open Sans" w:hAnsi="Open Sans" w:cs="Open Sans"/>
                <w:color w:val="000000"/>
                <w:sz w:val="22"/>
                <w:szCs w:val="22"/>
              </w:rPr>
              <w:t>5,6%</w:t>
            </w:r>
          </w:p>
        </w:tc>
        <w:tc>
          <w:tcPr>
            <w:tcW w:w="1701" w:type="dxa"/>
            <w:shd w:val="clear" w:color="auto" w:fill="B4C6E7"/>
            <w:vAlign w:val="bottom"/>
          </w:tcPr>
          <w:p w14:paraId="41A58AD0" w14:textId="2BFEFB84"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color w:val="000000"/>
                <w:sz w:val="22"/>
                <w:szCs w:val="22"/>
              </w:rPr>
              <w:t>5,3%</w:t>
            </w:r>
          </w:p>
        </w:tc>
        <w:tc>
          <w:tcPr>
            <w:tcW w:w="1653" w:type="dxa"/>
            <w:shd w:val="clear" w:color="auto" w:fill="B4C6E7"/>
            <w:vAlign w:val="bottom"/>
          </w:tcPr>
          <w:p w14:paraId="21DAE9A4" w14:textId="7003B5E4" w:rsidR="000D5041" w:rsidRPr="000D5041" w:rsidRDefault="000D5041" w:rsidP="000D5041">
            <w:pPr>
              <w:jc w:val="center"/>
              <w:rPr>
                <w:rFonts w:ascii="Open Sans" w:hAnsi="Open Sans" w:cs="Open Sans"/>
                <w:color w:val="9C0006"/>
                <w:sz w:val="22"/>
                <w:szCs w:val="22"/>
              </w:rPr>
            </w:pPr>
            <w:r w:rsidRPr="000D5041">
              <w:rPr>
                <w:rFonts w:ascii="Open Sans" w:hAnsi="Open Sans" w:cs="Open Sans"/>
                <w:color w:val="000000"/>
                <w:sz w:val="22"/>
                <w:szCs w:val="22"/>
              </w:rPr>
              <w:t>4,8%</w:t>
            </w:r>
          </w:p>
        </w:tc>
      </w:tr>
      <w:tr w:rsidR="000D5041" w:rsidRPr="000D5041" w14:paraId="055EFEF6" w14:textId="5C26211E" w:rsidTr="000D5041">
        <w:trPr>
          <w:trHeight w:val="273"/>
        </w:trPr>
        <w:tc>
          <w:tcPr>
            <w:tcW w:w="1980" w:type="dxa"/>
            <w:tcBorders>
              <w:left w:val="single" w:sz="4" w:space="0" w:color="FFFFFF"/>
              <w:bottom w:val="single" w:sz="4" w:space="0" w:color="FFFFFF"/>
            </w:tcBorders>
            <w:shd w:val="clear" w:color="auto" w:fill="4472C4"/>
            <w:vAlign w:val="bottom"/>
          </w:tcPr>
          <w:p w14:paraId="3ADE8A27" w14:textId="460BD5D9" w:rsidR="000D5041" w:rsidRPr="000D5041" w:rsidRDefault="000D5041" w:rsidP="000D5041">
            <w:pPr>
              <w:rPr>
                <w:rFonts w:ascii="Open Sans" w:hAnsi="Open Sans" w:cs="Open Sans"/>
                <w:b/>
                <w:bCs/>
                <w:color w:val="FFFFFF" w:themeColor="background1"/>
                <w:sz w:val="22"/>
                <w:szCs w:val="22"/>
              </w:rPr>
            </w:pPr>
            <w:r w:rsidRPr="000D5041">
              <w:rPr>
                <w:rFonts w:ascii="Open Sans" w:hAnsi="Open Sans" w:cs="Open Sans"/>
                <w:b/>
                <w:bCs/>
                <w:color w:val="FFFFFF" w:themeColor="background1"/>
                <w:sz w:val="22"/>
                <w:szCs w:val="22"/>
              </w:rPr>
              <w:t>España</w:t>
            </w:r>
          </w:p>
        </w:tc>
        <w:tc>
          <w:tcPr>
            <w:tcW w:w="1843" w:type="dxa"/>
            <w:shd w:val="clear" w:color="auto" w:fill="D9E2F3"/>
            <w:vAlign w:val="bottom"/>
          </w:tcPr>
          <w:p w14:paraId="0666BC1C" w14:textId="5FD89BDC"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b/>
                <w:bCs/>
                <w:color w:val="000000"/>
                <w:sz w:val="22"/>
                <w:szCs w:val="22"/>
              </w:rPr>
              <w:t>4,3%</w:t>
            </w:r>
          </w:p>
        </w:tc>
        <w:tc>
          <w:tcPr>
            <w:tcW w:w="1842" w:type="dxa"/>
            <w:shd w:val="clear" w:color="auto" w:fill="D9E2F3"/>
            <w:vAlign w:val="bottom"/>
          </w:tcPr>
          <w:p w14:paraId="2E4B2BA8" w14:textId="184A2B08"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b/>
                <w:bCs/>
                <w:color w:val="000000"/>
                <w:sz w:val="22"/>
                <w:szCs w:val="22"/>
              </w:rPr>
              <w:t>5,3%</w:t>
            </w:r>
          </w:p>
        </w:tc>
        <w:tc>
          <w:tcPr>
            <w:tcW w:w="1701" w:type="dxa"/>
            <w:shd w:val="clear" w:color="auto" w:fill="D9E2F3"/>
            <w:vAlign w:val="bottom"/>
          </w:tcPr>
          <w:p w14:paraId="14D68953" w14:textId="6AADF698" w:rsidR="000D5041" w:rsidRPr="000D5041" w:rsidRDefault="000D5041" w:rsidP="000D5041">
            <w:pPr>
              <w:jc w:val="center"/>
              <w:rPr>
                <w:rFonts w:ascii="Open Sans" w:hAnsi="Open Sans" w:cs="Open Sans"/>
                <w:b/>
                <w:bCs/>
                <w:color w:val="000000"/>
                <w:sz w:val="22"/>
                <w:szCs w:val="22"/>
              </w:rPr>
            </w:pPr>
            <w:r w:rsidRPr="000D5041">
              <w:rPr>
                <w:rFonts w:ascii="Open Sans" w:hAnsi="Open Sans" w:cs="Open Sans"/>
                <w:b/>
                <w:bCs/>
                <w:color w:val="000000"/>
                <w:sz w:val="22"/>
                <w:szCs w:val="22"/>
              </w:rPr>
              <w:t>6,6%</w:t>
            </w:r>
          </w:p>
        </w:tc>
        <w:tc>
          <w:tcPr>
            <w:tcW w:w="1653" w:type="dxa"/>
            <w:shd w:val="clear" w:color="auto" w:fill="D9E2F3"/>
            <w:vAlign w:val="bottom"/>
          </w:tcPr>
          <w:p w14:paraId="0C768AD4" w14:textId="2EDA256C" w:rsidR="000D5041" w:rsidRPr="000D5041" w:rsidRDefault="000D5041" w:rsidP="000D5041">
            <w:pPr>
              <w:jc w:val="center"/>
              <w:rPr>
                <w:rFonts w:ascii="Open Sans" w:hAnsi="Open Sans" w:cs="Open Sans"/>
                <w:color w:val="9C0006"/>
                <w:sz w:val="22"/>
                <w:szCs w:val="22"/>
              </w:rPr>
            </w:pPr>
            <w:r w:rsidRPr="000D5041">
              <w:rPr>
                <w:rFonts w:ascii="Open Sans" w:hAnsi="Open Sans" w:cs="Open Sans"/>
                <w:b/>
                <w:bCs/>
                <w:color w:val="000000"/>
                <w:sz w:val="22"/>
                <w:szCs w:val="22"/>
              </w:rPr>
              <w:t>6,8%</w:t>
            </w:r>
          </w:p>
        </w:tc>
      </w:tr>
    </w:tbl>
    <w:bookmarkEnd w:id="3"/>
    <w:p w14:paraId="26E4ADB4" w14:textId="0C5DA16C" w:rsidR="0074620F" w:rsidRPr="00CA0C1F" w:rsidRDefault="0074620F" w:rsidP="0074620F">
      <w:pPr>
        <w:pStyle w:val="NormalWeb"/>
        <w:shd w:val="clear" w:color="auto" w:fill="FFFFFF"/>
        <w:spacing w:after="225" w:line="276" w:lineRule="auto"/>
        <w:ind w:right="-574"/>
        <w:rPr>
          <w:rFonts w:ascii="Open Sans Light" w:hAnsi="Open Sans Light"/>
          <w:color w:val="404040"/>
        </w:rPr>
      </w:pPr>
      <w:r w:rsidRPr="007E5768">
        <w:rPr>
          <w:rFonts w:ascii="Open Sans Light" w:hAnsi="Open Sans Light" w:cs="Open Sans Light"/>
          <w:b/>
          <w:iCs/>
          <w:color w:val="303AB2"/>
        </w:rPr>
        <w:t xml:space="preserve">Tabla </w:t>
      </w:r>
      <w:r>
        <w:rPr>
          <w:rFonts w:ascii="Open Sans Light" w:hAnsi="Open Sans Light" w:cs="Open Sans Light"/>
          <w:b/>
          <w:iCs/>
          <w:color w:val="303AB2"/>
        </w:rPr>
        <w:t>2</w:t>
      </w:r>
      <w:r w:rsidRPr="007E5768">
        <w:rPr>
          <w:rFonts w:ascii="Open Sans Light" w:hAnsi="Open Sans Light" w:cs="Open Sans Light"/>
          <w:b/>
          <w:iCs/>
          <w:color w:val="303AB2"/>
        </w:rPr>
        <w:t xml:space="preserve">. </w:t>
      </w:r>
      <w:r>
        <w:rPr>
          <w:rFonts w:ascii="Open Sans Light" w:hAnsi="Open Sans Light" w:cs="Open Sans Light"/>
          <w:b/>
          <w:iCs/>
          <w:color w:val="303AB2"/>
        </w:rPr>
        <w:t>Rentabilidad</w:t>
      </w:r>
      <w:r w:rsidR="000B6B0A">
        <w:rPr>
          <w:rFonts w:ascii="Open Sans Light" w:hAnsi="Open Sans Light" w:cs="Open Sans Light"/>
          <w:b/>
          <w:iCs/>
          <w:color w:val="303AB2"/>
        </w:rPr>
        <w:t xml:space="preserve"> de la vivienda</w:t>
      </w:r>
      <w:r>
        <w:rPr>
          <w:rFonts w:ascii="Open Sans Light" w:hAnsi="Open Sans Light" w:cs="Open Sans Light"/>
          <w:b/>
          <w:iCs/>
          <w:color w:val="303AB2"/>
        </w:rPr>
        <w:t xml:space="preserve"> por provincia</w:t>
      </w:r>
      <w:r w:rsidR="000B6B0A">
        <w:rPr>
          <w:rFonts w:ascii="Open Sans Light" w:hAnsi="Open Sans Light" w:cs="Open Sans Light"/>
          <w:b/>
          <w:iCs/>
          <w:color w:val="303AB2"/>
        </w:rPr>
        <w:t>s</w:t>
      </w:r>
      <w:r w:rsidRPr="007E5768">
        <w:rPr>
          <w:rFonts w:ascii="Open Sans Light" w:hAnsi="Open Sans Light" w:cs="Open Sans Light"/>
          <w:b/>
          <w:iCs/>
          <w:color w:val="303AB2"/>
        </w:rPr>
        <w:t xml:space="preserve"> (</w:t>
      </w:r>
      <w:r w:rsidR="00291355" w:rsidRPr="007E5768">
        <w:rPr>
          <w:rFonts w:ascii="Open Sans Light" w:hAnsi="Open Sans Light" w:cs="Open Sans Light"/>
          <w:b/>
          <w:iCs/>
          <w:color w:val="303AB2"/>
        </w:rPr>
        <w:t>comparativa 20</w:t>
      </w:r>
      <w:r w:rsidR="00291355">
        <w:rPr>
          <w:rFonts w:ascii="Open Sans Light" w:hAnsi="Open Sans Light" w:cs="Open Sans Light"/>
          <w:b/>
          <w:iCs/>
          <w:color w:val="303AB2"/>
        </w:rPr>
        <w:t xml:space="preserve">10, 2015, 2019 y 2020) </w:t>
      </w:r>
      <w:r w:rsidR="00291355" w:rsidRPr="007E5768">
        <w:rPr>
          <w:rFonts w:ascii="Open Sans Light" w:hAnsi="Open Sans Light" w:cs="Open Sans Light"/>
          <w:b/>
          <w:iCs/>
          <w:color w:val="303AB2"/>
        </w:rPr>
        <w:t xml:space="preserve"> </w:t>
      </w:r>
    </w:p>
    <w:tbl>
      <w:tblPr>
        <w:tblStyle w:val="Tabladecuadrcula5oscura-nfasis11"/>
        <w:tblW w:w="9123" w:type="dxa"/>
        <w:tblLayout w:type="fixed"/>
        <w:tblLook w:val="04A0" w:firstRow="1" w:lastRow="0" w:firstColumn="1" w:lastColumn="0" w:noHBand="0" w:noVBand="1"/>
      </w:tblPr>
      <w:tblGrid>
        <w:gridCol w:w="2322"/>
        <w:gridCol w:w="1642"/>
        <w:gridCol w:w="1701"/>
        <w:gridCol w:w="1701"/>
        <w:gridCol w:w="1757"/>
      </w:tblGrid>
      <w:tr w:rsidR="00291355" w:rsidRPr="0073774C" w14:paraId="01AA5F1F" w14:textId="77777777" w:rsidTr="00A1628B">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2DE89C32" w14:textId="77777777" w:rsidR="00291355" w:rsidRPr="00291355" w:rsidRDefault="00291355" w:rsidP="00291355">
            <w:pPr>
              <w:rPr>
                <w:rFonts w:ascii="Open Sans" w:hAnsi="Open Sans" w:cs="Open Sans"/>
                <w:b w:val="0"/>
                <w:bCs w:val="0"/>
                <w:color w:val="FFFFFF" w:themeColor="background1"/>
                <w:sz w:val="22"/>
              </w:rPr>
            </w:pPr>
            <w:r w:rsidRPr="00291355">
              <w:rPr>
                <w:rFonts w:ascii="Open Sans" w:hAnsi="Open Sans" w:cs="Open Sans"/>
                <w:b w:val="0"/>
                <w:bCs w:val="0"/>
                <w:color w:val="FFFFFF" w:themeColor="background1"/>
                <w:sz w:val="22"/>
              </w:rPr>
              <w:t>Provincia</w:t>
            </w:r>
          </w:p>
        </w:tc>
        <w:tc>
          <w:tcPr>
            <w:tcW w:w="1642" w:type="dxa"/>
            <w:vAlign w:val="center"/>
          </w:tcPr>
          <w:p w14:paraId="5833488D"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Rentabilidad</w:t>
            </w:r>
          </w:p>
          <w:p w14:paraId="427339C4"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2010</w:t>
            </w:r>
          </w:p>
          <w:p w14:paraId="20D3D199" w14:textId="597BE74C"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rPr>
            </w:pPr>
            <w:r w:rsidRPr="00291355">
              <w:rPr>
                <w:rStyle w:val="nfasis"/>
                <w:rFonts w:ascii="Open Sans" w:hAnsi="Open Sans" w:cs="Open Sans"/>
                <w:i w:val="0"/>
                <w:iCs w:val="0"/>
                <w:sz w:val="18"/>
                <w:szCs w:val="18"/>
              </w:rPr>
              <w:t>(10 años)</w:t>
            </w:r>
          </w:p>
        </w:tc>
        <w:tc>
          <w:tcPr>
            <w:tcW w:w="1701" w:type="dxa"/>
            <w:vAlign w:val="center"/>
          </w:tcPr>
          <w:p w14:paraId="2354585A"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Rentabilidad</w:t>
            </w:r>
          </w:p>
          <w:p w14:paraId="75CE4790"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2015</w:t>
            </w:r>
          </w:p>
          <w:p w14:paraId="5B009EE6" w14:textId="059C66F9"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rPr>
            </w:pPr>
            <w:r w:rsidRPr="00291355">
              <w:rPr>
                <w:rStyle w:val="nfasis"/>
                <w:rFonts w:ascii="Open Sans" w:hAnsi="Open Sans" w:cs="Open Sans"/>
                <w:i w:val="0"/>
                <w:iCs w:val="0"/>
                <w:sz w:val="18"/>
                <w:szCs w:val="18"/>
              </w:rPr>
              <w:t>(5 años)</w:t>
            </w:r>
          </w:p>
        </w:tc>
        <w:tc>
          <w:tcPr>
            <w:tcW w:w="1701" w:type="dxa"/>
            <w:vAlign w:val="center"/>
          </w:tcPr>
          <w:p w14:paraId="63FE7771"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Rentabilidad</w:t>
            </w:r>
          </w:p>
          <w:p w14:paraId="34390431" w14:textId="77777777" w:rsidR="00291355" w:rsidRPr="00291355" w:rsidRDefault="00291355" w:rsidP="00291355">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lang w:val="es-ES"/>
              </w:rPr>
            </w:pPr>
            <w:r w:rsidRPr="00291355">
              <w:rPr>
                <w:rStyle w:val="nfasis"/>
                <w:rFonts w:ascii="Open Sans" w:hAnsi="Open Sans" w:cs="Open Sans"/>
                <w:i w:val="0"/>
                <w:iCs w:val="0"/>
                <w:sz w:val="18"/>
                <w:szCs w:val="18"/>
                <w:lang w:val="es-ES"/>
              </w:rPr>
              <w:t>2019</w:t>
            </w:r>
          </w:p>
          <w:p w14:paraId="4ECD08D3" w14:textId="0A6292FC" w:rsidR="00291355" w:rsidRPr="00291355" w:rsidRDefault="00291355" w:rsidP="00291355">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szCs w:val="24"/>
                <w:lang w:val="es-ES"/>
              </w:rPr>
            </w:pPr>
            <w:r w:rsidRPr="00291355">
              <w:rPr>
                <w:rStyle w:val="nfasis"/>
                <w:rFonts w:ascii="Open Sans" w:hAnsi="Open Sans" w:cs="Open Sans"/>
                <w:i w:val="0"/>
                <w:iCs w:val="0"/>
                <w:sz w:val="18"/>
                <w:szCs w:val="18"/>
                <w:lang w:val="es-ES"/>
              </w:rPr>
              <w:t>(1 año)</w:t>
            </w:r>
          </w:p>
        </w:tc>
        <w:tc>
          <w:tcPr>
            <w:tcW w:w="1757" w:type="dxa"/>
            <w:vAlign w:val="center"/>
          </w:tcPr>
          <w:p w14:paraId="5871AFDD" w14:textId="77777777"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18"/>
                <w:szCs w:val="18"/>
              </w:rPr>
            </w:pPr>
            <w:r w:rsidRPr="00291355">
              <w:rPr>
                <w:rStyle w:val="nfasis"/>
                <w:rFonts w:ascii="Open Sans" w:hAnsi="Open Sans" w:cs="Open Sans"/>
                <w:i w:val="0"/>
                <w:iCs w:val="0"/>
                <w:sz w:val="18"/>
                <w:szCs w:val="18"/>
              </w:rPr>
              <w:t>Rentabilidad</w:t>
            </w:r>
          </w:p>
          <w:p w14:paraId="49D814FF" w14:textId="1C749552" w:rsidR="00291355" w:rsidRPr="00291355" w:rsidRDefault="00291355" w:rsidP="00291355">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rPr>
            </w:pPr>
            <w:r w:rsidRPr="00291355">
              <w:rPr>
                <w:rStyle w:val="nfasis"/>
                <w:rFonts w:ascii="Open Sans" w:hAnsi="Open Sans" w:cs="Open Sans"/>
                <w:i w:val="0"/>
                <w:iCs w:val="0"/>
                <w:sz w:val="18"/>
                <w:szCs w:val="18"/>
              </w:rPr>
              <w:t>2020</w:t>
            </w:r>
          </w:p>
        </w:tc>
      </w:tr>
      <w:tr w:rsidR="00291355" w:rsidRPr="0073774C" w14:paraId="16CA5313"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00FCBA2" w14:textId="5EE7E204"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Toledo</w:t>
            </w:r>
          </w:p>
        </w:tc>
        <w:tc>
          <w:tcPr>
            <w:tcW w:w="1642" w:type="dxa"/>
            <w:vAlign w:val="bottom"/>
          </w:tcPr>
          <w:p w14:paraId="7903AF23" w14:textId="443BEDC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4,3%</w:t>
            </w:r>
          </w:p>
        </w:tc>
        <w:tc>
          <w:tcPr>
            <w:tcW w:w="1701" w:type="dxa"/>
            <w:vAlign w:val="bottom"/>
          </w:tcPr>
          <w:p w14:paraId="1D62C5C7" w14:textId="0BC8EA7E"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5,9%</w:t>
            </w:r>
          </w:p>
        </w:tc>
        <w:tc>
          <w:tcPr>
            <w:tcW w:w="1701" w:type="dxa"/>
            <w:vAlign w:val="bottom"/>
          </w:tcPr>
          <w:p w14:paraId="714A13C5" w14:textId="507FEBC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7,4%</w:t>
            </w:r>
          </w:p>
        </w:tc>
        <w:tc>
          <w:tcPr>
            <w:tcW w:w="1757" w:type="dxa"/>
            <w:vAlign w:val="bottom"/>
          </w:tcPr>
          <w:p w14:paraId="41E55A69" w14:textId="7A23137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8,0%</w:t>
            </w:r>
          </w:p>
        </w:tc>
      </w:tr>
      <w:tr w:rsidR="00291355" w:rsidRPr="0073774C" w14:paraId="0F8EA0D0"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AE1CD14" w14:textId="13150A1D"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Valencia</w:t>
            </w:r>
          </w:p>
        </w:tc>
        <w:tc>
          <w:tcPr>
            <w:tcW w:w="1642" w:type="dxa"/>
            <w:vAlign w:val="bottom"/>
          </w:tcPr>
          <w:p w14:paraId="7385558C" w14:textId="7531F520"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4,0%</w:t>
            </w:r>
          </w:p>
        </w:tc>
        <w:tc>
          <w:tcPr>
            <w:tcW w:w="1701" w:type="dxa"/>
            <w:vAlign w:val="bottom"/>
          </w:tcPr>
          <w:p w14:paraId="5D2FE19B" w14:textId="445024A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5,1%</w:t>
            </w:r>
          </w:p>
        </w:tc>
        <w:tc>
          <w:tcPr>
            <w:tcW w:w="1701" w:type="dxa"/>
            <w:vAlign w:val="bottom"/>
          </w:tcPr>
          <w:p w14:paraId="10EED9FE" w14:textId="516C4F8E"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7,5%</w:t>
            </w:r>
          </w:p>
        </w:tc>
        <w:tc>
          <w:tcPr>
            <w:tcW w:w="1757" w:type="dxa"/>
            <w:vAlign w:val="bottom"/>
          </w:tcPr>
          <w:p w14:paraId="362DA138" w14:textId="5F07F14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w:t>
            </w:r>
          </w:p>
        </w:tc>
      </w:tr>
      <w:tr w:rsidR="00291355" w:rsidRPr="0073774C" w14:paraId="230899AC"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DBBF944" w14:textId="34EC827C"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Sevilla</w:t>
            </w:r>
          </w:p>
        </w:tc>
        <w:tc>
          <w:tcPr>
            <w:tcW w:w="1642" w:type="dxa"/>
            <w:vAlign w:val="bottom"/>
          </w:tcPr>
          <w:p w14:paraId="5F569E43" w14:textId="48A5321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4,2%</w:t>
            </w:r>
          </w:p>
        </w:tc>
        <w:tc>
          <w:tcPr>
            <w:tcW w:w="1701" w:type="dxa"/>
            <w:vAlign w:val="bottom"/>
          </w:tcPr>
          <w:p w14:paraId="19025439" w14:textId="45A4E2C3"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5,4%</w:t>
            </w:r>
          </w:p>
        </w:tc>
        <w:tc>
          <w:tcPr>
            <w:tcW w:w="1701" w:type="dxa"/>
            <w:vAlign w:val="bottom"/>
          </w:tcPr>
          <w:p w14:paraId="0965C70F" w14:textId="3F59A1A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7,1%</w:t>
            </w:r>
          </w:p>
        </w:tc>
        <w:tc>
          <w:tcPr>
            <w:tcW w:w="1757" w:type="dxa"/>
            <w:vAlign w:val="bottom"/>
          </w:tcPr>
          <w:p w14:paraId="20922E58" w14:textId="28C229C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7,3%</w:t>
            </w:r>
          </w:p>
        </w:tc>
      </w:tr>
      <w:tr w:rsidR="00291355" w:rsidRPr="0073774C" w14:paraId="15CEE4D8"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1BFC1BB3" w14:textId="45A54865"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Lleida</w:t>
            </w:r>
          </w:p>
        </w:tc>
        <w:tc>
          <w:tcPr>
            <w:tcW w:w="1642" w:type="dxa"/>
            <w:vAlign w:val="bottom"/>
          </w:tcPr>
          <w:p w14:paraId="31BF6F0E" w14:textId="06C41C8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4,1%</w:t>
            </w:r>
          </w:p>
        </w:tc>
        <w:tc>
          <w:tcPr>
            <w:tcW w:w="1701" w:type="dxa"/>
            <w:vAlign w:val="bottom"/>
          </w:tcPr>
          <w:p w14:paraId="18143B70" w14:textId="7787309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6,0%</w:t>
            </w:r>
          </w:p>
        </w:tc>
        <w:tc>
          <w:tcPr>
            <w:tcW w:w="1701" w:type="dxa"/>
            <w:vAlign w:val="bottom"/>
          </w:tcPr>
          <w:p w14:paraId="5B38F8E0" w14:textId="3D7D4484"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6,8%</w:t>
            </w:r>
          </w:p>
        </w:tc>
        <w:tc>
          <w:tcPr>
            <w:tcW w:w="1757" w:type="dxa"/>
            <w:vAlign w:val="bottom"/>
          </w:tcPr>
          <w:p w14:paraId="33B08444" w14:textId="4DF86D3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7,2%</w:t>
            </w:r>
          </w:p>
        </w:tc>
      </w:tr>
      <w:tr w:rsidR="00291355" w:rsidRPr="0073774C" w14:paraId="15445EEB"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D2DF887" w14:textId="0ACE2B89"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Navarra</w:t>
            </w:r>
          </w:p>
        </w:tc>
        <w:tc>
          <w:tcPr>
            <w:tcW w:w="1642" w:type="dxa"/>
            <w:vAlign w:val="bottom"/>
          </w:tcPr>
          <w:p w14:paraId="27A42684" w14:textId="2DF9387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5F6656C4" w14:textId="0E57B2D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5,1%</w:t>
            </w:r>
          </w:p>
        </w:tc>
        <w:tc>
          <w:tcPr>
            <w:tcW w:w="1701" w:type="dxa"/>
            <w:vAlign w:val="bottom"/>
          </w:tcPr>
          <w:p w14:paraId="741B7B9C" w14:textId="6D34FC0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6,3%</w:t>
            </w:r>
          </w:p>
        </w:tc>
        <w:tc>
          <w:tcPr>
            <w:tcW w:w="1757" w:type="dxa"/>
            <w:vAlign w:val="bottom"/>
          </w:tcPr>
          <w:p w14:paraId="5D620AC7" w14:textId="5EAD1A0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w:t>
            </w:r>
          </w:p>
        </w:tc>
      </w:tr>
      <w:tr w:rsidR="00291355" w:rsidRPr="0073774C" w14:paraId="2418BC5E"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AFA230D" w14:textId="15B87463"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Huelva</w:t>
            </w:r>
          </w:p>
        </w:tc>
        <w:tc>
          <w:tcPr>
            <w:tcW w:w="1642" w:type="dxa"/>
            <w:vAlign w:val="bottom"/>
          </w:tcPr>
          <w:p w14:paraId="691FA713" w14:textId="5210F80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4,6%</w:t>
            </w:r>
          </w:p>
        </w:tc>
        <w:tc>
          <w:tcPr>
            <w:tcW w:w="1701" w:type="dxa"/>
            <w:vAlign w:val="bottom"/>
          </w:tcPr>
          <w:p w14:paraId="7E597FC1" w14:textId="125CF972"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4A8718FB" w14:textId="390EC84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6,7%</w:t>
            </w:r>
          </w:p>
        </w:tc>
        <w:tc>
          <w:tcPr>
            <w:tcW w:w="1757" w:type="dxa"/>
            <w:vAlign w:val="bottom"/>
          </w:tcPr>
          <w:p w14:paraId="3BD6376A" w14:textId="56155EE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w:t>
            </w:r>
          </w:p>
        </w:tc>
      </w:tr>
      <w:tr w:rsidR="00291355" w:rsidRPr="0073774C" w14:paraId="2AE095C0"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3FF3A56" w14:textId="6319C1F0"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Castellón</w:t>
            </w:r>
          </w:p>
        </w:tc>
        <w:tc>
          <w:tcPr>
            <w:tcW w:w="1642" w:type="dxa"/>
            <w:vAlign w:val="bottom"/>
          </w:tcPr>
          <w:p w14:paraId="516DED6D" w14:textId="0DC745B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3,8%</w:t>
            </w:r>
          </w:p>
        </w:tc>
        <w:tc>
          <w:tcPr>
            <w:tcW w:w="1701" w:type="dxa"/>
            <w:vAlign w:val="bottom"/>
          </w:tcPr>
          <w:p w14:paraId="013A55EE" w14:textId="744A302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5,1%</w:t>
            </w:r>
          </w:p>
        </w:tc>
        <w:tc>
          <w:tcPr>
            <w:tcW w:w="1701" w:type="dxa"/>
            <w:vAlign w:val="bottom"/>
          </w:tcPr>
          <w:p w14:paraId="35FF2B15" w14:textId="4F7A5B7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6,6%</w:t>
            </w:r>
          </w:p>
        </w:tc>
        <w:tc>
          <w:tcPr>
            <w:tcW w:w="1757" w:type="dxa"/>
            <w:vAlign w:val="bottom"/>
          </w:tcPr>
          <w:p w14:paraId="19249122" w14:textId="44EB741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w:t>
            </w:r>
          </w:p>
        </w:tc>
      </w:tr>
      <w:tr w:rsidR="00291355" w:rsidRPr="0073774C" w14:paraId="0958D093"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4DDBCC6" w14:textId="3D4A5C8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Murcia</w:t>
            </w:r>
          </w:p>
        </w:tc>
        <w:tc>
          <w:tcPr>
            <w:tcW w:w="1642" w:type="dxa"/>
            <w:vAlign w:val="bottom"/>
          </w:tcPr>
          <w:p w14:paraId="499F991F" w14:textId="31163C0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4,2%</w:t>
            </w:r>
          </w:p>
        </w:tc>
        <w:tc>
          <w:tcPr>
            <w:tcW w:w="1701" w:type="dxa"/>
            <w:vAlign w:val="bottom"/>
          </w:tcPr>
          <w:p w14:paraId="0AC22603" w14:textId="125B7D6C"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5,2%</w:t>
            </w:r>
          </w:p>
        </w:tc>
        <w:tc>
          <w:tcPr>
            <w:tcW w:w="1701" w:type="dxa"/>
            <w:vAlign w:val="bottom"/>
          </w:tcPr>
          <w:p w14:paraId="5538FC35" w14:textId="79C88ED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6,4%</w:t>
            </w:r>
          </w:p>
        </w:tc>
        <w:tc>
          <w:tcPr>
            <w:tcW w:w="1757" w:type="dxa"/>
            <w:vAlign w:val="bottom"/>
          </w:tcPr>
          <w:p w14:paraId="06306329" w14:textId="39F6B4F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w:t>
            </w:r>
          </w:p>
        </w:tc>
      </w:tr>
      <w:tr w:rsidR="00291355" w:rsidRPr="0073774C" w14:paraId="5FA65ADD"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F463F1E" w14:textId="4CC64A5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Segovia</w:t>
            </w:r>
          </w:p>
        </w:tc>
        <w:tc>
          <w:tcPr>
            <w:tcW w:w="1642" w:type="dxa"/>
            <w:vAlign w:val="bottom"/>
          </w:tcPr>
          <w:p w14:paraId="34F01FB7" w14:textId="5773F55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3,7%</w:t>
            </w:r>
          </w:p>
        </w:tc>
        <w:tc>
          <w:tcPr>
            <w:tcW w:w="1701" w:type="dxa"/>
            <w:vAlign w:val="bottom"/>
          </w:tcPr>
          <w:p w14:paraId="7AFD83B2" w14:textId="33CE8BA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6AB24A28" w14:textId="4CCE697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6,7%</w:t>
            </w:r>
          </w:p>
        </w:tc>
        <w:tc>
          <w:tcPr>
            <w:tcW w:w="1757" w:type="dxa"/>
            <w:vAlign w:val="bottom"/>
          </w:tcPr>
          <w:p w14:paraId="54D3E288" w14:textId="305F629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w:t>
            </w:r>
          </w:p>
        </w:tc>
      </w:tr>
      <w:tr w:rsidR="00291355" w:rsidRPr="0073774C" w14:paraId="3523D6FC"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BF8B9DD" w14:textId="5AF2C4F8"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Almería</w:t>
            </w:r>
          </w:p>
        </w:tc>
        <w:tc>
          <w:tcPr>
            <w:tcW w:w="1642" w:type="dxa"/>
            <w:vAlign w:val="bottom"/>
          </w:tcPr>
          <w:p w14:paraId="5FFF0423" w14:textId="4A4584A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554E9D0A" w14:textId="4981323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4,9%</w:t>
            </w:r>
          </w:p>
        </w:tc>
        <w:tc>
          <w:tcPr>
            <w:tcW w:w="1701" w:type="dxa"/>
            <w:vAlign w:val="bottom"/>
          </w:tcPr>
          <w:p w14:paraId="43EB58CE" w14:textId="62A66F4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6,5%</w:t>
            </w:r>
          </w:p>
        </w:tc>
        <w:tc>
          <w:tcPr>
            <w:tcW w:w="1757" w:type="dxa"/>
            <w:vAlign w:val="bottom"/>
          </w:tcPr>
          <w:p w14:paraId="36BABE50" w14:textId="3A95F5F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w:t>
            </w:r>
          </w:p>
        </w:tc>
      </w:tr>
      <w:tr w:rsidR="00291355" w:rsidRPr="0073774C" w14:paraId="5C6AFE9A"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AFB45CF" w14:textId="06758810"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Guadalajara</w:t>
            </w:r>
          </w:p>
        </w:tc>
        <w:tc>
          <w:tcPr>
            <w:tcW w:w="1642" w:type="dxa"/>
            <w:vAlign w:val="bottom"/>
          </w:tcPr>
          <w:p w14:paraId="54B1DBE2" w14:textId="7E19389E"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4,0%</w:t>
            </w:r>
          </w:p>
        </w:tc>
        <w:tc>
          <w:tcPr>
            <w:tcW w:w="1701" w:type="dxa"/>
            <w:vAlign w:val="bottom"/>
          </w:tcPr>
          <w:p w14:paraId="464D4418" w14:textId="52B3E66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5,6%</w:t>
            </w:r>
          </w:p>
        </w:tc>
        <w:tc>
          <w:tcPr>
            <w:tcW w:w="1701" w:type="dxa"/>
            <w:vAlign w:val="bottom"/>
          </w:tcPr>
          <w:p w14:paraId="1D3A2224" w14:textId="79678B0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6,5%</w:t>
            </w:r>
          </w:p>
        </w:tc>
        <w:tc>
          <w:tcPr>
            <w:tcW w:w="1757" w:type="dxa"/>
            <w:vAlign w:val="bottom"/>
          </w:tcPr>
          <w:p w14:paraId="5A3C7540" w14:textId="1566024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291355" w:rsidRPr="0073774C" w14:paraId="7B797606"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FB6386F" w14:textId="32F9D949"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lastRenderedPageBreak/>
              <w:t>Ávila</w:t>
            </w:r>
          </w:p>
        </w:tc>
        <w:tc>
          <w:tcPr>
            <w:tcW w:w="1642" w:type="dxa"/>
            <w:vAlign w:val="bottom"/>
          </w:tcPr>
          <w:p w14:paraId="5C9FAFAC" w14:textId="5D85B94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75233FE9" w14:textId="4BE0CFE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4,7%</w:t>
            </w:r>
          </w:p>
        </w:tc>
        <w:tc>
          <w:tcPr>
            <w:tcW w:w="1701" w:type="dxa"/>
            <w:vAlign w:val="bottom"/>
          </w:tcPr>
          <w:p w14:paraId="6457B318" w14:textId="0006989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6,1%</w:t>
            </w:r>
          </w:p>
        </w:tc>
        <w:tc>
          <w:tcPr>
            <w:tcW w:w="1757" w:type="dxa"/>
            <w:vAlign w:val="bottom"/>
          </w:tcPr>
          <w:p w14:paraId="137E9DD3" w14:textId="001FF25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291355" w:rsidRPr="0073774C" w14:paraId="1CE35D7E"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DB1C43B" w14:textId="5E827586"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Las Palmas</w:t>
            </w:r>
          </w:p>
        </w:tc>
        <w:tc>
          <w:tcPr>
            <w:tcW w:w="1642" w:type="dxa"/>
            <w:vAlign w:val="bottom"/>
          </w:tcPr>
          <w:p w14:paraId="27C1F59C" w14:textId="2D2DE57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4,5%</w:t>
            </w:r>
          </w:p>
        </w:tc>
        <w:tc>
          <w:tcPr>
            <w:tcW w:w="1701" w:type="dxa"/>
            <w:vAlign w:val="bottom"/>
          </w:tcPr>
          <w:p w14:paraId="56F823FB" w14:textId="3A4B989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6,1%</w:t>
            </w:r>
          </w:p>
        </w:tc>
        <w:tc>
          <w:tcPr>
            <w:tcW w:w="1701" w:type="dxa"/>
            <w:vAlign w:val="bottom"/>
          </w:tcPr>
          <w:p w14:paraId="08894AE0" w14:textId="1CD1DE34"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6,9%</w:t>
            </w:r>
          </w:p>
        </w:tc>
        <w:tc>
          <w:tcPr>
            <w:tcW w:w="1757" w:type="dxa"/>
            <w:vAlign w:val="bottom"/>
          </w:tcPr>
          <w:p w14:paraId="160A1C10" w14:textId="32102EC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w:t>
            </w:r>
          </w:p>
        </w:tc>
      </w:tr>
      <w:tr w:rsidR="00291355" w:rsidRPr="0073774C" w14:paraId="68F15E5C"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9866FC8" w14:textId="3949F63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Tarragona</w:t>
            </w:r>
          </w:p>
        </w:tc>
        <w:tc>
          <w:tcPr>
            <w:tcW w:w="1642" w:type="dxa"/>
            <w:vAlign w:val="bottom"/>
          </w:tcPr>
          <w:p w14:paraId="157B30AA" w14:textId="5C954B4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4,0%</w:t>
            </w:r>
          </w:p>
        </w:tc>
        <w:tc>
          <w:tcPr>
            <w:tcW w:w="1701" w:type="dxa"/>
            <w:vAlign w:val="bottom"/>
          </w:tcPr>
          <w:p w14:paraId="3206978A" w14:textId="624A98C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41F0624C" w14:textId="5FCD9C6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6,3%</w:t>
            </w:r>
          </w:p>
        </w:tc>
        <w:tc>
          <w:tcPr>
            <w:tcW w:w="1757" w:type="dxa"/>
            <w:vAlign w:val="bottom"/>
          </w:tcPr>
          <w:p w14:paraId="3DF7DD4B" w14:textId="1735016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w:t>
            </w:r>
          </w:p>
        </w:tc>
      </w:tr>
      <w:tr w:rsidR="00291355" w:rsidRPr="0073774C" w14:paraId="6E0806EA"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EBDE0A4" w14:textId="5E71EB62"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Huesca</w:t>
            </w:r>
          </w:p>
        </w:tc>
        <w:tc>
          <w:tcPr>
            <w:tcW w:w="1642" w:type="dxa"/>
            <w:vAlign w:val="bottom"/>
          </w:tcPr>
          <w:p w14:paraId="255FB8AA" w14:textId="219306A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3,8%</w:t>
            </w:r>
          </w:p>
        </w:tc>
        <w:tc>
          <w:tcPr>
            <w:tcW w:w="1701" w:type="dxa"/>
            <w:vAlign w:val="bottom"/>
          </w:tcPr>
          <w:p w14:paraId="643C175D" w14:textId="7A8D110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4,8%</w:t>
            </w:r>
          </w:p>
        </w:tc>
        <w:tc>
          <w:tcPr>
            <w:tcW w:w="1701" w:type="dxa"/>
            <w:vAlign w:val="bottom"/>
          </w:tcPr>
          <w:p w14:paraId="7059412B" w14:textId="300B503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6,0%</w:t>
            </w:r>
          </w:p>
        </w:tc>
        <w:tc>
          <w:tcPr>
            <w:tcW w:w="1757" w:type="dxa"/>
            <w:vAlign w:val="bottom"/>
          </w:tcPr>
          <w:p w14:paraId="2B260E86" w14:textId="3A4A565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w:t>
            </w:r>
          </w:p>
        </w:tc>
      </w:tr>
      <w:tr w:rsidR="00291355" w:rsidRPr="0073774C" w14:paraId="333A3CEA"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44FE2FDA" w14:textId="14EE8AD5"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Ciudad Real</w:t>
            </w:r>
          </w:p>
        </w:tc>
        <w:tc>
          <w:tcPr>
            <w:tcW w:w="1642" w:type="dxa"/>
            <w:vAlign w:val="bottom"/>
          </w:tcPr>
          <w:p w14:paraId="667E86F3" w14:textId="199093E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4,3%</w:t>
            </w:r>
          </w:p>
        </w:tc>
        <w:tc>
          <w:tcPr>
            <w:tcW w:w="1701" w:type="dxa"/>
            <w:vAlign w:val="bottom"/>
          </w:tcPr>
          <w:p w14:paraId="1F0C006E" w14:textId="1378ADB9"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2A7941DF" w14:textId="70119CD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6,2%</w:t>
            </w:r>
          </w:p>
        </w:tc>
        <w:tc>
          <w:tcPr>
            <w:tcW w:w="1757" w:type="dxa"/>
            <w:vAlign w:val="bottom"/>
          </w:tcPr>
          <w:p w14:paraId="08E0CD8D" w14:textId="6FAD714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w:t>
            </w:r>
          </w:p>
        </w:tc>
      </w:tr>
      <w:tr w:rsidR="00291355" w:rsidRPr="0073774C" w14:paraId="5B7FCC12"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C3FBAAB" w14:textId="0CF85E3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Zaragoza</w:t>
            </w:r>
          </w:p>
        </w:tc>
        <w:tc>
          <w:tcPr>
            <w:tcW w:w="1642" w:type="dxa"/>
            <w:vAlign w:val="bottom"/>
          </w:tcPr>
          <w:p w14:paraId="13E90DE9" w14:textId="539EA40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3,8%</w:t>
            </w:r>
          </w:p>
        </w:tc>
        <w:tc>
          <w:tcPr>
            <w:tcW w:w="1701" w:type="dxa"/>
            <w:vAlign w:val="bottom"/>
          </w:tcPr>
          <w:p w14:paraId="6EC76AAD" w14:textId="33D4C521"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5,2%</w:t>
            </w:r>
          </w:p>
        </w:tc>
        <w:tc>
          <w:tcPr>
            <w:tcW w:w="1701" w:type="dxa"/>
            <w:vAlign w:val="bottom"/>
          </w:tcPr>
          <w:p w14:paraId="7354502D" w14:textId="55E092B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6,3%</w:t>
            </w:r>
          </w:p>
        </w:tc>
        <w:tc>
          <w:tcPr>
            <w:tcW w:w="1757" w:type="dxa"/>
            <w:vAlign w:val="bottom"/>
          </w:tcPr>
          <w:p w14:paraId="0494CCC1" w14:textId="2780D29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w:t>
            </w:r>
          </w:p>
        </w:tc>
      </w:tr>
      <w:tr w:rsidR="00291355" w:rsidRPr="0073774C" w14:paraId="73020BD7"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0C4C513" w14:textId="13EC2CE0"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Lugo</w:t>
            </w:r>
          </w:p>
        </w:tc>
        <w:tc>
          <w:tcPr>
            <w:tcW w:w="1642" w:type="dxa"/>
            <w:vAlign w:val="bottom"/>
          </w:tcPr>
          <w:p w14:paraId="27C95161" w14:textId="2EBC745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3,6%</w:t>
            </w:r>
          </w:p>
        </w:tc>
        <w:tc>
          <w:tcPr>
            <w:tcW w:w="1701" w:type="dxa"/>
            <w:vAlign w:val="bottom"/>
          </w:tcPr>
          <w:p w14:paraId="7143CA28" w14:textId="1EBD7D3E"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4,4%</w:t>
            </w:r>
          </w:p>
        </w:tc>
        <w:tc>
          <w:tcPr>
            <w:tcW w:w="1701" w:type="dxa"/>
            <w:vAlign w:val="bottom"/>
          </w:tcPr>
          <w:p w14:paraId="50AF4B27" w14:textId="041B56A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5,4%</w:t>
            </w:r>
          </w:p>
        </w:tc>
        <w:tc>
          <w:tcPr>
            <w:tcW w:w="1757" w:type="dxa"/>
            <w:vAlign w:val="bottom"/>
          </w:tcPr>
          <w:p w14:paraId="6FE30349" w14:textId="25AD5A3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6,3%</w:t>
            </w:r>
          </w:p>
        </w:tc>
      </w:tr>
      <w:tr w:rsidR="00291355" w:rsidRPr="0073774C" w14:paraId="054BBEFE"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08D2EEB" w14:textId="47C22680"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Santa Cruz de Tenerife</w:t>
            </w:r>
          </w:p>
        </w:tc>
        <w:tc>
          <w:tcPr>
            <w:tcW w:w="1642" w:type="dxa"/>
            <w:vAlign w:val="bottom"/>
          </w:tcPr>
          <w:p w14:paraId="334DB1EE" w14:textId="3BC437C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4,5%</w:t>
            </w:r>
          </w:p>
        </w:tc>
        <w:tc>
          <w:tcPr>
            <w:tcW w:w="1701" w:type="dxa"/>
            <w:vAlign w:val="bottom"/>
          </w:tcPr>
          <w:p w14:paraId="46AFD904" w14:textId="407D333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5,4%</w:t>
            </w:r>
          </w:p>
        </w:tc>
        <w:tc>
          <w:tcPr>
            <w:tcW w:w="1701" w:type="dxa"/>
            <w:vAlign w:val="bottom"/>
          </w:tcPr>
          <w:p w14:paraId="63255B52" w14:textId="0973F9C7"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6,3%</w:t>
            </w:r>
          </w:p>
        </w:tc>
        <w:tc>
          <w:tcPr>
            <w:tcW w:w="1757" w:type="dxa"/>
            <w:vAlign w:val="bottom"/>
          </w:tcPr>
          <w:p w14:paraId="2B2D5612" w14:textId="1CBF57E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r>
      <w:tr w:rsidR="00291355" w:rsidRPr="0073774C" w14:paraId="20BB843E"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45EAD091" w14:textId="4EB2049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Córdoba</w:t>
            </w:r>
          </w:p>
        </w:tc>
        <w:tc>
          <w:tcPr>
            <w:tcW w:w="1642" w:type="dxa"/>
            <w:vAlign w:val="bottom"/>
          </w:tcPr>
          <w:p w14:paraId="5C5030A7" w14:textId="180C8E9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4,0%</w:t>
            </w:r>
          </w:p>
        </w:tc>
        <w:tc>
          <w:tcPr>
            <w:tcW w:w="1701" w:type="dxa"/>
            <w:vAlign w:val="bottom"/>
          </w:tcPr>
          <w:p w14:paraId="0B6758AD" w14:textId="5109AEA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16C1AECE" w14:textId="454B4C6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5,9%</w:t>
            </w:r>
          </w:p>
        </w:tc>
        <w:tc>
          <w:tcPr>
            <w:tcW w:w="1757" w:type="dxa"/>
            <w:vAlign w:val="bottom"/>
          </w:tcPr>
          <w:p w14:paraId="1F5BD307" w14:textId="410D8AE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w:t>
            </w:r>
          </w:p>
        </w:tc>
      </w:tr>
      <w:tr w:rsidR="00291355" w:rsidRPr="0073774C" w14:paraId="2509E3F9"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4CD0A0D" w14:textId="30BAFB61"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Burgos</w:t>
            </w:r>
          </w:p>
        </w:tc>
        <w:tc>
          <w:tcPr>
            <w:tcW w:w="1642" w:type="dxa"/>
            <w:vAlign w:val="bottom"/>
          </w:tcPr>
          <w:p w14:paraId="59077228" w14:textId="1720A2F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3,7%</w:t>
            </w:r>
          </w:p>
        </w:tc>
        <w:tc>
          <w:tcPr>
            <w:tcW w:w="1701" w:type="dxa"/>
            <w:vAlign w:val="bottom"/>
          </w:tcPr>
          <w:p w14:paraId="0DB355C8" w14:textId="73C2496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4,7%</w:t>
            </w:r>
          </w:p>
        </w:tc>
        <w:tc>
          <w:tcPr>
            <w:tcW w:w="1701" w:type="dxa"/>
            <w:vAlign w:val="bottom"/>
          </w:tcPr>
          <w:p w14:paraId="33EE86B0" w14:textId="0A7FAD6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c>
          <w:tcPr>
            <w:tcW w:w="1757" w:type="dxa"/>
            <w:vAlign w:val="bottom"/>
          </w:tcPr>
          <w:p w14:paraId="60B1EE25" w14:textId="319FBD94"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w:t>
            </w:r>
          </w:p>
        </w:tc>
      </w:tr>
      <w:tr w:rsidR="00291355" w:rsidRPr="0073774C" w14:paraId="5DC30431"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077B9BD4" w14:textId="0DD12A8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Cantabria</w:t>
            </w:r>
          </w:p>
        </w:tc>
        <w:tc>
          <w:tcPr>
            <w:tcW w:w="1642" w:type="dxa"/>
            <w:vAlign w:val="bottom"/>
          </w:tcPr>
          <w:p w14:paraId="2C15DBB9" w14:textId="09B1FDA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3,6%</w:t>
            </w:r>
          </w:p>
        </w:tc>
        <w:tc>
          <w:tcPr>
            <w:tcW w:w="1701" w:type="dxa"/>
            <w:vAlign w:val="bottom"/>
          </w:tcPr>
          <w:p w14:paraId="5D9B1B87" w14:textId="4015322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4,5%</w:t>
            </w:r>
          </w:p>
        </w:tc>
        <w:tc>
          <w:tcPr>
            <w:tcW w:w="1701" w:type="dxa"/>
            <w:vAlign w:val="bottom"/>
          </w:tcPr>
          <w:p w14:paraId="227BE349" w14:textId="278B52CE"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5,8%</w:t>
            </w:r>
          </w:p>
        </w:tc>
        <w:tc>
          <w:tcPr>
            <w:tcW w:w="1757" w:type="dxa"/>
            <w:vAlign w:val="bottom"/>
          </w:tcPr>
          <w:p w14:paraId="05CB27D0" w14:textId="0B7A0D3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w:t>
            </w:r>
          </w:p>
        </w:tc>
      </w:tr>
      <w:tr w:rsidR="00291355" w:rsidRPr="0073774C" w14:paraId="7AE6972C"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1D84BD65" w14:textId="5FEFD089"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Barcelona</w:t>
            </w:r>
          </w:p>
        </w:tc>
        <w:tc>
          <w:tcPr>
            <w:tcW w:w="1642" w:type="dxa"/>
            <w:vAlign w:val="bottom"/>
          </w:tcPr>
          <w:p w14:paraId="08628D42" w14:textId="7C5C2A2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4,1%</w:t>
            </w:r>
          </w:p>
        </w:tc>
        <w:tc>
          <w:tcPr>
            <w:tcW w:w="1701" w:type="dxa"/>
            <w:vAlign w:val="bottom"/>
          </w:tcPr>
          <w:p w14:paraId="47D1CDFB" w14:textId="220634F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5,6%</w:t>
            </w:r>
          </w:p>
        </w:tc>
        <w:tc>
          <w:tcPr>
            <w:tcW w:w="1701" w:type="dxa"/>
            <w:vAlign w:val="bottom"/>
          </w:tcPr>
          <w:p w14:paraId="56D7E814" w14:textId="0A3158D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6,4%</w:t>
            </w:r>
          </w:p>
        </w:tc>
        <w:tc>
          <w:tcPr>
            <w:tcW w:w="1757" w:type="dxa"/>
            <w:vAlign w:val="bottom"/>
          </w:tcPr>
          <w:p w14:paraId="33EF3590" w14:textId="4816122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w:t>
            </w:r>
          </w:p>
        </w:tc>
      </w:tr>
      <w:tr w:rsidR="00291355" w:rsidRPr="0073774C" w14:paraId="648AA0A4"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B426639" w14:textId="1A29EEE1"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Asturias</w:t>
            </w:r>
          </w:p>
        </w:tc>
        <w:tc>
          <w:tcPr>
            <w:tcW w:w="1642" w:type="dxa"/>
            <w:vAlign w:val="bottom"/>
          </w:tcPr>
          <w:p w14:paraId="3D5880A2" w14:textId="71C33DA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074B9E4C" w14:textId="0DBEF14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4,7%</w:t>
            </w:r>
          </w:p>
        </w:tc>
        <w:tc>
          <w:tcPr>
            <w:tcW w:w="1701" w:type="dxa"/>
            <w:vAlign w:val="bottom"/>
          </w:tcPr>
          <w:p w14:paraId="7B047C1C" w14:textId="768893F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5,6%</w:t>
            </w:r>
          </w:p>
        </w:tc>
        <w:tc>
          <w:tcPr>
            <w:tcW w:w="1757" w:type="dxa"/>
            <w:vAlign w:val="bottom"/>
          </w:tcPr>
          <w:p w14:paraId="761A2858" w14:textId="6F41B24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w:t>
            </w:r>
          </w:p>
        </w:tc>
      </w:tr>
      <w:tr w:rsidR="00291355" w:rsidRPr="0073774C" w14:paraId="42D716B1"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541AA57" w14:textId="4B6DF5DF"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Granada</w:t>
            </w:r>
          </w:p>
        </w:tc>
        <w:tc>
          <w:tcPr>
            <w:tcW w:w="1642" w:type="dxa"/>
            <w:vAlign w:val="bottom"/>
          </w:tcPr>
          <w:p w14:paraId="3330A1A0" w14:textId="0D2A984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6BB53EAE" w14:textId="14AD3AB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4,6%</w:t>
            </w:r>
          </w:p>
        </w:tc>
        <w:tc>
          <w:tcPr>
            <w:tcW w:w="1701" w:type="dxa"/>
            <w:vAlign w:val="bottom"/>
          </w:tcPr>
          <w:p w14:paraId="233284F6" w14:textId="60705D33"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5,8%</w:t>
            </w:r>
          </w:p>
        </w:tc>
        <w:tc>
          <w:tcPr>
            <w:tcW w:w="1757" w:type="dxa"/>
            <w:vAlign w:val="bottom"/>
          </w:tcPr>
          <w:p w14:paraId="64238CA2" w14:textId="0E13FC73"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w:t>
            </w:r>
          </w:p>
        </w:tc>
      </w:tr>
      <w:tr w:rsidR="00291355" w:rsidRPr="0073774C" w14:paraId="777D6504"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08E5719" w14:textId="3B804384"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Cádiz</w:t>
            </w:r>
          </w:p>
        </w:tc>
        <w:tc>
          <w:tcPr>
            <w:tcW w:w="1642" w:type="dxa"/>
            <w:vAlign w:val="bottom"/>
          </w:tcPr>
          <w:p w14:paraId="7FB028E7" w14:textId="32AA45D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4,2%</w:t>
            </w:r>
          </w:p>
        </w:tc>
        <w:tc>
          <w:tcPr>
            <w:tcW w:w="1701" w:type="dxa"/>
            <w:vAlign w:val="bottom"/>
          </w:tcPr>
          <w:p w14:paraId="241E296B" w14:textId="2657E5D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5,5%</w:t>
            </w:r>
          </w:p>
        </w:tc>
        <w:tc>
          <w:tcPr>
            <w:tcW w:w="1701" w:type="dxa"/>
            <w:vAlign w:val="bottom"/>
          </w:tcPr>
          <w:p w14:paraId="3427BF52" w14:textId="5E982BD2"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6,0%</w:t>
            </w:r>
          </w:p>
        </w:tc>
        <w:tc>
          <w:tcPr>
            <w:tcW w:w="1757" w:type="dxa"/>
            <w:vAlign w:val="bottom"/>
          </w:tcPr>
          <w:p w14:paraId="73E37145" w14:textId="407671D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91355" w:rsidRPr="0073774C" w14:paraId="6A397EF4"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0993B86" w14:textId="7140E76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La Rioja</w:t>
            </w:r>
          </w:p>
        </w:tc>
        <w:tc>
          <w:tcPr>
            <w:tcW w:w="1642" w:type="dxa"/>
            <w:vAlign w:val="bottom"/>
          </w:tcPr>
          <w:p w14:paraId="318D3AE7" w14:textId="7056128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3,6%</w:t>
            </w:r>
          </w:p>
        </w:tc>
        <w:tc>
          <w:tcPr>
            <w:tcW w:w="1701" w:type="dxa"/>
            <w:vAlign w:val="bottom"/>
          </w:tcPr>
          <w:p w14:paraId="121984BD" w14:textId="2965E3B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4,7%</w:t>
            </w:r>
          </w:p>
        </w:tc>
        <w:tc>
          <w:tcPr>
            <w:tcW w:w="1701" w:type="dxa"/>
            <w:vAlign w:val="bottom"/>
          </w:tcPr>
          <w:p w14:paraId="780611CF" w14:textId="28FFFC0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5,6%</w:t>
            </w:r>
          </w:p>
        </w:tc>
        <w:tc>
          <w:tcPr>
            <w:tcW w:w="1757" w:type="dxa"/>
            <w:vAlign w:val="bottom"/>
          </w:tcPr>
          <w:p w14:paraId="1BE63986" w14:textId="34CD235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91355" w:rsidRPr="0073774C" w14:paraId="30DAC4DC"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AC8361A" w14:textId="26B5B60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Cuenca</w:t>
            </w:r>
          </w:p>
        </w:tc>
        <w:tc>
          <w:tcPr>
            <w:tcW w:w="1642" w:type="dxa"/>
            <w:vAlign w:val="bottom"/>
          </w:tcPr>
          <w:p w14:paraId="2DD046A8" w14:textId="6780E40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4,3%</w:t>
            </w:r>
          </w:p>
        </w:tc>
        <w:tc>
          <w:tcPr>
            <w:tcW w:w="1701" w:type="dxa"/>
            <w:vAlign w:val="bottom"/>
          </w:tcPr>
          <w:p w14:paraId="2A337240" w14:textId="031BC99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5,2%</w:t>
            </w:r>
          </w:p>
        </w:tc>
        <w:tc>
          <w:tcPr>
            <w:tcW w:w="1701" w:type="dxa"/>
            <w:vAlign w:val="bottom"/>
          </w:tcPr>
          <w:p w14:paraId="12B2C537" w14:textId="26F7DA5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6,1%</w:t>
            </w:r>
          </w:p>
        </w:tc>
        <w:tc>
          <w:tcPr>
            <w:tcW w:w="1757" w:type="dxa"/>
            <w:vAlign w:val="bottom"/>
          </w:tcPr>
          <w:p w14:paraId="6F4478CA" w14:textId="1B892D5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w:t>
            </w:r>
          </w:p>
        </w:tc>
      </w:tr>
      <w:tr w:rsidR="00291355" w:rsidRPr="0073774C" w14:paraId="0BD11BD5"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3BEFFEA" w14:textId="2A682FF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Albacete</w:t>
            </w:r>
          </w:p>
        </w:tc>
        <w:tc>
          <w:tcPr>
            <w:tcW w:w="1642" w:type="dxa"/>
            <w:vAlign w:val="bottom"/>
          </w:tcPr>
          <w:p w14:paraId="616CA599" w14:textId="50BB2B01"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3,7%</w:t>
            </w:r>
          </w:p>
        </w:tc>
        <w:tc>
          <w:tcPr>
            <w:tcW w:w="1701" w:type="dxa"/>
            <w:vAlign w:val="bottom"/>
          </w:tcPr>
          <w:p w14:paraId="2019C683" w14:textId="021CEF9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4,6%</w:t>
            </w:r>
          </w:p>
        </w:tc>
        <w:tc>
          <w:tcPr>
            <w:tcW w:w="1701" w:type="dxa"/>
            <w:vAlign w:val="bottom"/>
          </w:tcPr>
          <w:p w14:paraId="17E14099" w14:textId="1E971E7A"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c>
          <w:tcPr>
            <w:tcW w:w="1757" w:type="dxa"/>
            <w:vAlign w:val="bottom"/>
          </w:tcPr>
          <w:p w14:paraId="3777D91E" w14:textId="0A04980C"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w:t>
            </w:r>
          </w:p>
        </w:tc>
      </w:tr>
      <w:tr w:rsidR="00291355" w:rsidRPr="0073774C" w14:paraId="45DA0AEF"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0257C3D" w14:textId="40FBB475"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Alicante</w:t>
            </w:r>
          </w:p>
        </w:tc>
        <w:tc>
          <w:tcPr>
            <w:tcW w:w="1642" w:type="dxa"/>
            <w:vAlign w:val="bottom"/>
          </w:tcPr>
          <w:p w14:paraId="691C2366" w14:textId="1B960244"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4,1%</w:t>
            </w:r>
          </w:p>
        </w:tc>
        <w:tc>
          <w:tcPr>
            <w:tcW w:w="1701" w:type="dxa"/>
            <w:vAlign w:val="bottom"/>
          </w:tcPr>
          <w:p w14:paraId="7786E7FA" w14:textId="411EBE1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4,9%</w:t>
            </w:r>
          </w:p>
        </w:tc>
        <w:tc>
          <w:tcPr>
            <w:tcW w:w="1701" w:type="dxa"/>
            <w:vAlign w:val="bottom"/>
          </w:tcPr>
          <w:p w14:paraId="0D7E5F8E" w14:textId="1DD491F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5,8%</w:t>
            </w:r>
          </w:p>
        </w:tc>
        <w:tc>
          <w:tcPr>
            <w:tcW w:w="1757" w:type="dxa"/>
            <w:vAlign w:val="bottom"/>
          </w:tcPr>
          <w:p w14:paraId="44247645" w14:textId="512255B2"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w:t>
            </w:r>
          </w:p>
        </w:tc>
      </w:tr>
      <w:tr w:rsidR="00291355" w:rsidRPr="0073774C" w14:paraId="3BBD9E9B"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8E252CE" w14:textId="5196692F"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Jaén</w:t>
            </w:r>
          </w:p>
        </w:tc>
        <w:tc>
          <w:tcPr>
            <w:tcW w:w="1642" w:type="dxa"/>
            <w:vAlign w:val="bottom"/>
          </w:tcPr>
          <w:p w14:paraId="7D8F9CD2" w14:textId="5996C86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3,5%</w:t>
            </w:r>
          </w:p>
        </w:tc>
        <w:tc>
          <w:tcPr>
            <w:tcW w:w="1701" w:type="dxa"/>
            <w:vAlign w:val="bottom"/>
          </w:tcPr>
          <w:p w14:paraId="09802B63" w14:textId="6B740E3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4,8%</w:t>
            </w:r>
          </w:p>
        </w:tc>
        <w:tc>
          <w:tcPr>
            <w:tcW w:w="1701" w:type="dxa"/>
            <w:vAlign w:val="bottom"/>
          </w:tcPr>
          <w:p w14:paraId="150D3BA0" w14:textId="369A3A1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5,7%</w:t>
            </w:r>
          </w:p>
        </w:tc>
        <w:tc>
          <w:tcPr>
            <w:tcW w:w="1757" w:type="dxa"/>
            <w:vAlign w:val="bottom"/>
          </w:tcPr>
          <w:p w14:paraId="37B5279E" w14:textId="417E14E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w:t>
            </w:r>
          </w:p>
        </w:tc>
      </w:tr>
      <w:tr w:rsidR="00291355" w:rsidRPr="0073774C" w14:paraId="63EBA7F0"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47A81B6" w14:textId="57123E5A"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Girona</w:t>
            </w:r>
          </w:p>
        </w:tc>
        <w:tc>
          <w:tcPr>
            <w:tcW w:w="1642" w:type="dxa"/>
            <w:vAlign w:val="bottom"/>
          </w:tcPr>
          <w:p w14:paraId="1ACF286B" w14:textId="741C1F1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3,8%</w:t>
            </w:r>
          </w:p>
        </w:tc>
        <w:tc>
          <w:tcPr>
            <w:tcW w:w="1701" w:type="dxa"/>
            <w:vAlign w:val="bottom"/>
          </w:tcPr>
          <w:p w14:paraId="184E49BF" w14:textId="7EABCC2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5,0%</w:t>
            </w:r>
          </w:p>
        </w:tc>
        <w:tc>
          <w:tcPr>
            <w:tcW w:w="1701" w:type="dxa"/>
            <w:vAlign w:val="bottom"/>
          </w:tcPr>
          <w:p w14:paraId="0E6FD2B2" w14:textId="3CB9244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c>
          <w:tcPr>
            <w:tcW w:w="1757" w:type="dxa"/>
            <w:vAlign w:val="bottom"/>
          </w:tcPr>
          <w:p w14:paraId="72F2B3E1" w14:textId="3CB0793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w:t>
            </w:r>
          </w:p>
        </w:tc>
      </w:tr>
      <w:tr w:rsidR="00291355" w:rsidRPr="0073774C" w14:paraId="1E4F0E5D"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2967CED" w14:textId="76920637"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Badajoz</w:t>
            </w:r>
          </w:p>
        </w:tc>
        <w:tc>
          <w:tcPr>
            <w:tcW w:w="1642" w:type="dxa"/>
            <w:vAlign w:val="bottom"/>
          </w:tcPr>
          <w:p w14:paraId="424368AA" w14:textId="799E3E3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3,9%</w:t>
            </w:r>
          </w:p>
        </w:tc>
        <w:tc>
          <w:tcPr>
            <w:tcW w:w="1701" w:type="dxa"/>
            <w:vAlign w:val="bottom"/>
          </w:tcPr>
          <w:p w14:paraId="2F13100F" w14:textId="0DDE0C24"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4,9%</w:t>
            </w:r>
          </w:p>
        </w:tc>
        <w:tc>
          <w:tcPr>
            <w:tcW w:w="1701" w:type="dxa"/>
            <w:vAlign w:val="bottom"/>
          </w:tcPr>
          <w:p w14:paraId="095BE22C" w14:textId="65336BD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5,6%</w:t>
            </w:r>
          </w:p>
        </w:tc>
        <w:tc>
          <w:tcPr>
            <w:tcW w:w="1757" w:type="dxa"/>
            <w:vAlign w:val="bottom"/>
          </w:tcPr>
          <w:p w14:paraId="250079D8" w14:textId="1A2D0B77"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5,6%</w:t>
            </w:r>
          </w:p>
        </w:tc>
      </w:tr>
      <w:tr w:rsidR="00291355" w:rsidRPr="0073774C" w14:paraId="63EFBC2C"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59E6D6C8" w14:textId="00F4A78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Valladolid</w:t>
            </w:r>
          </w:p>
        </w:tc>
        <w:tc>
          <w:tcPr>
            <w:tcW w:w="1642" w:type="dxa"/>
            <w:vAlign w:val="bottom"/>
          </w:tcPr>
          <w:p w14:paraId="07CA9E10" w14:textId="691428E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3,7%</w:t>
            </w:r>
          </w:p>
        </w:tc>
        <w:tc>
          <w:tcPr>
            <w:tcW w:w="1701" w:type="dxa"/>
            <w:vAlign w:val="bottom"/>
          </w:tcPr>
          <w:p w14:paraId="031E7268" w14:textId="396363B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4,8%</w:t>
            </w:r>
          </w:p>
        </w:tc>
        <w:tc>
          <w:tcPr>
            <w:tcW w:w="1701" w:type="dxa"/>
            <w:vAlign w:val="bottom"/>
          </w:tcPr>
          <w:p w14:paraId="4217A1CD" w14:textId="6CAC793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c>
          <w:tcPr>
            <w:tcW w:w="1757" w:type="dxa"/>
            <w:vAlign w:val="bottom"/>
          </w:tcPr>
          <w:p w14:paraId="1FA6FAC9" w14:textId="799112A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5,5%</w:t>
            </w:r>
          </w:p>
        </w:tc>
      </w:tr>
      <w:tr w:rsidR="00291355" w:rsidRPr="0073774C" w14:paraId="3EC5C9A9"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F12C4F0" w14:textId="2BA5CB6C"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Salamanca</w:t>
            </w:r>
          </w:p>
        </w:tc>
        <w:tc>
          <w:tcPr>
            <w:tcW w:w="1642" w:type="dxa"/>
            <w:vAlign w:val="bottom"/>
          </w:tcPr>
          <w:p w14:paraId="0E1A2D0B" w14:textId="5FE72D2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w:t>
            </w:r>
          </w:p>
        </w:tc>
        <w:tc>
          <w:tcPr>
            <w:tcW w:w="1701" w:type="dxa"/>
            <w:vAlign w:val="bottom"/>
          </w:tcPr>
          <w:p w14:paraId="1D3EAA3B" w14:textId="4C7C101E"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4,5%</w:t>
            </w:r>
          </w:p>
        </w:tc>
        <w:tc>
          <w:tcPr>
            <w:tcW w:w="1701" w:type="dxa"/>
            <w:vAlign w:val="bottom"/>
          </w:tcPr>
          <w:p w14:paraId="08156BDC" w14:textId="19FDBDF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5,3%</w:t>
            </w:r>
          </w:p>
        </w:tc>
        <w:tc>
          <w:tcPr>
            <w:tcW w:w="1757" w:type="dxa"/>
            <w:vAlign w:val="bottom"/>
          </w:tcPr>
          <w:p w14:paraId="38D782E8" w14:textId="346E75C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r>
      <w:tr w:rsidR="00291355" w:rsidRPr="0073774C" w14:paraId="3E34758A"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44D627E5" w14:textId="70807A97"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Madrid</w:t>
            </w:r>
          </w:p>
        </w:tc>
        <w:tc>
          <w:tcPr>
            <w:tcW w:w="1642" w:type="dxa"/>
            <w:vAlign w:val="bottom"/>
          </w:tcPr>
          <w:p w14:paraId="66C54B50" w14:textId="7390D25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39E73513" w14:textId="538619E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w:t>
            </w:r>
          </w:p>
        </w:tc>
        <w:tc>
          <w:tcPr>
            <w:tcW w:w="1701" w:type="dxa"/>
            <w:vAlign w:val="bottom"/>
          </w:tcPr>
          <w:p w14:paraId="75EBDACA" w14:textId="23F2C3A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5,9%</w:t>
            </w:r>
          </w:p>
        </w:tc>
        <w:tc>
          <w:tcPr>
            <w:tcW w:w="1757" w:type="dxa"/>
            <w:vAlign w:val="bottom"/>
          </w:tcPr>
          <w:p w14:paraId="74355CC2" w14:textId="1AA04DF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r>
      <w:tr w:rsidR="00291355" w:rsidRPr="0073774C" w14:paraId="7ECF370A" w14:textId="77777777" w:rsidTr="00CF33E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7D8DFABB" w14:textId="336846CD"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León</w:t>
            </w:r>
          </w:p>
        </w:tc>
        <w:tc>
          <w:tcPr>
            <w:tcW w:w="1642" w:type="dxa"/>
            <w:vAlign w:val="bottom"/>
          </w:tcPr>
          <w:p w14:paraId="4AD8E2B3" w14:textId="03E3B1B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w:t>
            </w:r>
          </w:p>
        </w:tc>
        <w:tc>
          <w:tcPr>
            <w:tcW w:w="1701" w:type="dxa"/>
            <w:vAlign w:val="bottom"/>
          </w:tcPr>
          <w:p w14:paraId="7D7DD626" w14:textId="20B58880"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4,5%</w:t>
            </w:r>
          </w:p>
        </w:tc>
        <w:tc>
          <w:tcPr>
            <w:tcW w:w="1701" w:type="dxa"/>
            <w:vAlign w:val="bottom"/>
          </w:tcPr>
          <w:p w14:paraId="5F8D69F0" w14:textId="6163FC3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5,2%</w:t>
            </w:r>
          </w:p>
        </w:tc>
        <w:tc>
          <w:tcPr>
            <w:tcW w:w="1757" w:type="dxa"/>
            <w:vAlign w:val="bottom"/>
          </w:tcPr>
          <w:p w14:paraId="4F25F906" w14:textId="65E83A9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r>
      <w:tr w:rsidR="00291355" w:rsidRPr="0073774C" w14:paraId="75D9B179"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E7F6EFE" w14:textId="1177ED03"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Gipuzkoa</w:t>
            </w:r>
          </w:p>
        </w:tc>
        <w:tc>
          <w:tcPr>
            <w:tcW w:w="1642" w:type="dxa"/>
            <w:vAlign w:val="bottom"/>
          </w:tcPr>
          <w:p w14:paraId="29D209ED" w14:textId="74EF038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w:t>
            </w:r>
          </w:p>
        </w:tc>
        <w:tc>
          <w:tcPr>
            <w:tcW w:w="1701" w:type="dxa"/>
            <w:vAlign w:val="bottom"/>
          </w:tcPr>
          <w:p w14:paraId="79D3821D" w14:textId="59D5E1E0"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w:t>
            </w:r>
          </w:p>
        </w:tc>
        <w:tc>
          <w:tcPr>
            <w:tcW w:w="1701" w:type="dxa"/>
            <w:vAlign w:val="bottom"/>
          </w:tcPr>
          <w:p w14:paraId="42339B81" w14:textId="2EA4EEB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5,8%</w:t>
            </w:r>
          </w:p>
        </w:tc>
        <w:tc>
          <w:tcPr>
            <w:tcW w:w="1757" w:type="dxa"/>
            <w:vAlign w:val="bottom"/>
          </w:tcPr>
          <w:p w14:paraId="50E17F33" w14:textId="7CE57A88"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r>
      <w:tr w:rsidR="00291355" w:rsidRPr="0073774C" w14:paraId="24146301"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B7A6904" w14:textId="6D02ECBE"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Pontevedra</w:t>
            </w:r>
          </w:p>
        </w:tc>
        <w:tc>
          <w:tcPr>
            <w:tcW w:w="1642" w:type="dxa"/>
            <w:vAlign w:val="bottom"/>
          </w:tcPr>
          <w:p w14:paraId="621B943F" w14:textId="24412784"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57130DE7" w14:textId="7543776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110928AB" w14:textId="6D46E45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4,9%</w:t>
            </w:r>
          </w:p>
        </w:tc>
        <w:tc>
          <w:tcPr>
            <w:tcW w:w="1757" w:type="dxa"/>
            <w:vAlign w:val="bottom"/>
          </w:tcPr>
          <w:p w14:paraId="2769E21E" w14:textId="099C091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5,5%</w:t>
            </w:r>
          </w:p>
        </w:tc>
      </w:tr>
      <w:tr w:rsidR="00291355" w:rsidRPr="0073774C" w14:paraId="10372C45"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D26E97E" w14:textId="50B219DC"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Cáceres</w:t>
            </w:r>
          </w:p>
        </w:tc>
        <w:tc>
          <w:tcPr>
            <w:tcW w:w="1642" w:type="dxa"/>
            <w:vAlign w:val="bottom"/>
          </w:tcPr>
          <w:p w14:paraId="18D84F3B" w14:textId="4A19563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3D6456B6" w14:textId="45201B24"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4,9%</w:t>
            </w:r>
          </w:p>
        </w:tc>
        <w:tc>
          <w:tcPr>
            <w:tcW w:w="1701" w:type="dxa"/>
            <w:vAlign w:val="bottom"/>
          </w:tcPr>
          <w:p w14:paraId="4D5F5A82" w14:textId="46EC0DB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5,0%</w:t>
            </w:r>
          </w:p>
        </w:tc>
        <w:tc>
          <w:tcPr>
            <w:tcW w:w="1757" w:type="dxa"/>
            <w:vAlign w:val="bottom"/>
          </w:tcPr>
          <w:p w14:paraId="5E2017A0" w14:textId="3E4428E5"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5,4%</w:t>
            </w:r>
          </w:p>
        </w:tc>
      </w:tr>
      <w:tr w:rsidR="00291355" w:rsidRPr="0073774C" w14:paraId="02C748CF"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FAA100F" w14:textId="0944C415"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 Coruña</w:t>
            </w:r>
          </w:p>
        </w:tc>
        <w:tc>
          <w:tcPr>
            <w:tcW w:w="1642" w:type="dxa"/>
            <w:vAlign w:val="bottom"/>
          </w:tcPr>
          <w:p w14:paraId="2A36E3BF" w14:textId="1056268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16CBD721" w14:textId="1763BBF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3,9%</w:t>
            </w:r>
          </w:p>
        </w:tc>
        <w:tc>
          <w:tcPr>
            <w:tcW w:w="1701" w:type="dxa"/>
            <w:vAlign w:val="bottom"/>
          </w:tcPr>
          <w:p w14:paraId="2508BE11" w14:textId="0340829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5,3%</w:t>
            </w:r>
          </w:p>
        </w:tc>
        <w:tc>
          <w:tcPr>
            <w:tcW w:w="1757" w:type="dxa"/>
            <w:vAlign w:val="bottom"/>
          </w:tcPr>
          <w:p w14:paraId="5B706B0A" w14:textId="78C3D328"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5,4%</w:t>
            </w:r>
          </w:p>
        </w:tc>
      </w:tr>
      <w:tr w:rsidR="00291355" w:rsidRPr="0073774C" w14:paraId="585DDB34"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240EF70" w14:textId="1168305C"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Araba - Álava</w:t>
            </w:r>
          </w:p>
        </w:tc>
        <w:tc>
          <w:tcPr>
            <w:tcW w:w="1642" w:type="dxa"/>
            <w:vAlign w:val="bottom"/>
          </w:tcPr>
          <w:p w14:paraId="002E650D" w14:textId="4837A7F1"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0EE7412C" w14:textId="24F3F7D6"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4,4%</w:t>
            </w:r>
          </w:p>
        </w:tc>
        <w:tc>
          <w:tcPr>
            <w:tcW w:w="1701" w:type="dxa"/>
            <w:vAlign w:val="bottom"/>
          </w:tcPr>
          <w:p w14:paraId="58BBF739" w14:textId="0CB7B0E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5,0%</w:t>
            </w:r>
          </w:p>
        </w:tc>
        <w:tc>
          <w:tcPr>
            <w:tcW w:w="1757" w:type="dxa"/>
            <w:vAlign w:val="bottom"/>
          </w:tcPr>
          <w:p w14:paraId="3E081D6E" w14:textId="6B6466E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r>
      <w:tr w:rsidR="00291355" w:rsidRPr="0073774C" w14:paraId="1AA152DB" w14:textId="77777777" w:rsidTr="00CF33E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3AF365B" w14:textId="7CDEAAF0"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Bizkaia</w:t>
            </w:r>
          </w:p>
        </w:tc>
        <w:tc>
          <w:tcPr>
            <w:tcW w:w="1642" w:type="dxa"/>
            <w:vAlign w:val="bottom"/>
          </w:tcPr>
          <w:p w14:paraId="13C4FA15" w14:textId="0674912D"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06BAB3E0" w14:textId="25FF5A8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4,4%</w:t>
            </w:r>
          </w:p>
        </w:tc>
        <w:tc>
          <w:tcPr>
            <w:tcW w:w="1701" w:type="dxa"/>
            <w:vAlign w:val="bottom"/>
          </w:tcPr>
          <w:p w14:paraId="43934D59" w14:textId="53FD0951"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5,4%</w:t>
            </w:r>
          </w:p>
        </w:tc>
        <w:tc>
          <w:tcPr>
            <w:tcW w:w="1757" w:type="dxa"/>
            <w:vAlign w:val="bottom"/>
          </w:tcPr>
          <w:p w14:paraId="050B3949" w14:textId="2071A33B"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r>
      <w:tr w:rsidR="00291355" w:rsidRPr="0073774C" w14:paraId="3E463044"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9F44AEA" w14:textId="23FA0C2F"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Zamora</w:t>
            </w:r>
          </w:p>
        </w:tc>
        <w:tc>
          <w:tcPr>
            <w:tcW w:w="1642" w:type="dxa"/>
            <w:vAlign w:val="bottom"/>
          </w:tcPr>
          <w:p w14:paraId="6BEAC50D" w14:textId="308E63EB"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3,6%</w:t>
            </w:r>
          </w:p>
        </w:tc>
        <w:tc>
          <w:tcPr>
            <w:tcW w:w="1701" w:type="dxa"/>
            <w:vAlign w:val="bottom"/>
          </w:tcPr>
          <w:p w14:paraId="28967FF5" w14:textId="37A0CC0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30B793C6" w14:textId="4670BAAF"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4,9%</w:t>
            </w:r>
          </w:p>
        </w:tc>
        <w:tc>
          <w:tcPr>
            <w:tcW w:w="1757" w:type="dxa"/>
            <w:vAlign w:val="bottom"/>
          </w:tcPr>
          <w:p w14:paraId="0DACEE7F" w14:textId="10DB1D5E"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5,3%</w:t>
            </w:r>
          </w:p>
        </w:tc>
      </w:tr>
      <w:tr w:rsidR="00291355" w:rsidRPr="0073774C" w14:paraId="0418EDCD"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5B66809" w14:textId="119B90A1"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Palencia</w:t>
            </w:r>
          </w:p>
        </w:tc>
        <w:tc>
          <w:tcPr>
            <w:tcW w:w="1642" w:type="dxa"/>
            <w:vAlign w:val="bottom"/>
          </w:tcPr>
          <w:p w14:paraId="61C1F81C" w14:textId="099260D7"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w:t>
            </w:r>
          </w:p>
        </w:tc>
        <w:tc>
          <w:tcPr>
            <w:tcW w:w="1701" w:type="dxa"/>
            <w:vAlign w:val="bottom"/>
          </w:tcPr>
          <w:p w14:paraId="69583804" w14:textId="59EA6763"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7869D63B" w14:textId="1113597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4,9%</w:t>
            </w:r>
          </w:p>
        </w:tc>
        <w:tc>
          <w:tcPr>
            <w:tcW w:w="1757" w:type="dxa"/>
            <w:vAlign w:val="bottom"/>
          </w:tcPr>
          <w:p w14:paraId="0F4C7B0A" w14:textId="0C879FD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5,1%</w:t>
            </w:r>
          </w:p>
        </w:tc>
      </w:tr>
      <w:tr w:rsidR="00291355" w:rsidRPr="0073774C" w14:paraId="1328F53A"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4B6789AB" w14:textId="21A7592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Málaga</w:t>
            </w:r>
          </w:p>
        </w:tc>
        <w:tc>
          <w:tcPr>
            <w:tcW w:w="1642" w:type="dxa"/>
            <w:vAlign w:val="bottom"/>
          </w:tcPr>
          <w:p w14:paraId="5E1947CD" w14:textId="2C123AEC"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w:t>
            </w:r>
          </w:p>
        </w:tc>
        <w:tc>
          <w:tcPr>
            <w:tcW w:w="1701" w:type="dxa"/>
            <w:vAlign w:val="bottom"/>
          </w:tcPr>
          <w:p w14:paraId="0AE465C8" w14:textId="7862A48A"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w:t>
            </w:r>
          </w:p>
        </w:tc>
        <w:tc>
          <w:tcPr>
            <w:tcW w:w="1701" w:type="dxa"/>
            <w:vAlign w:val="bottom"/>
          </w:tcPr>
          <w:p w14:paraId="7721691E" w14:textId="2701D969"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5,3%</w:t>
            </w:r>
          </w:p>
        </w:tc>
        <w:tc>
          <w:tcPr>
            <w:tcW w:w="1757" w:type="dxa"/>
            <w:vAlign w:val="bottom"/>
          </w:tcPr>
          <w:p w14:paraId="57CA9E55" w14:textId="13F13E89"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5,0%</w:t>
            </w:r>
          </w:p>
        </w:tc>
      </w:tr>
      <w:tr w:rsidR="00291355" w:rsidRPr="0073774C" w14:paraId="2FA626C5" w14:textId="77777777" w:rsidTr="00CF33E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25547D73" w14:textId="6DCEF4E1"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Ourense</w:t>
            </w:r>
          </w:p>
        </w:tc>
        <w:tc>
          <w:tcPr>
            <w:tcW w:w="1642" w:type="dxa"/>
            <w:vAlign w:val="bottom"/>
          </w:tcPr>
          <w:p w14:paraId="355D7447" w14:textId="754E9CD1"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w:t>
            </w:r>
          </w:p>
        </w:tc>
        <w:tc>
          <w:tcPr>
            <w:tcW w:w="1701" w:type="dxa"/>
            <w:vAlign w:val="bottom"/>
          </w:tcPr>
          <w:p w14:paraId="5D4296EA" w14:textId="137BC97F"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5EA48804" w14:textId="55DD0C59"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4,5%</w:t>
            </w:r>
          </w:p>
        </w:tc>
        <w:tc>
          <w:tcPr>
            <w:tcW w:w="1757" w:type="dxa"/>
            <w:vAlign w:val="bottom"/>
          </w:tcPr>
          <w:p w14:paraId="6902E8B4" w14:textId="67F31C37"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4,9%</w:t>
            </w:r>
          </w:p>
        </w:tc>
      </w:tr>
      <w:tr w:rsidR="00291355" w:rsidRPr="0073774C" w14:paraId="7D4E38CA"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142A2431" w14:textId="11A43744"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Illes Balears</w:t>
            </w:r>
          </w:p>
        </w:tc>
        <w:tc>
          <w:tcPr>
            <w:tcW w:w="1642" w:type="dxa"/>
            <w:vAlign w:val="bottom"/>
          </w:tcPr>
          <w:p w14:paraId="2FBB305D" w14:textId="7764FDC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w:t>
            </w:r>
          </w:p>
        </w:tc>
        <w:tc>
          <w:tcPr>
            <w:tcW w:w="1701" w:type="dxa"/>
            <w:vAlign w:val="bottom"/>
          </w:tcPr>
          <w:p w14:paraId="3B3B1AFB" w14:textId="62DCE0A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w:t>
            </w:r>
          </w:p>
        </w:tc>
        <w:tc>
          <w:tcPr>
            <w:tcW w:w="1701" w:type="dxa"/>
            <w:vAlign w:val="bottom"/>
          </w:tcPr>
          <w:p w14:paraId="6586D5B0" w14:textId="0FD0C189"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5,3%</w:t>
            </w:r>
          </w:p>
        </w:tc>
        <w:tc>
          <w:tcPr>
            <w:tcW w:w="1757" w:type="dxa"/>
            <w:vAlign w:val="bottom"/>
          </w:tcPr>
          <w:p w14:paraId="00C0BE39" w14:textId="6FC1DE5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4,8%</w:t>
            </w:r>
          </w:p>
        </w:tc>
      </w:tr>
      <w:tr w:rsidR="00291355" w:rsidRPr="0073774C" w14:paraId="48B8582F" w14:textId="77777777" w:rsidTr="00CF33E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3CE5A468" w14:textId="731A791B"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Teruel</w:t>
            </w:r>
          </w:p>
        </w:tc>
        <w:tc>
          <w:tcPr>
            <w:tcW w:w="1642" w:type="dxa"/>
            <w:vAlign w:val="bottom"/>
          </w:tcPr>
          <w:p w14:paraId="50E0F4EF" w14:textId="29052EC5"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612155C8" w14:textId="1D20AE46"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4,3%</w:t>
            </w:r>
          </w:p>
        </w:tc>
        <w:tc>
          <w:tcPr>
            <w:tcW w:w="1701" w:type="dxa"/>
            <w:vAlign w:val="bottom"/>
          </w:tcPr>
          <w:p w14:paraId="56E4B525" w14:textId="7A9BB493"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757" w:type="dxa"/>
            <w:vAlign w:val="bottom"/>
          </w:tcPr>
          <w:p w14:paraId="1F061DF7" w14:textId="2AC490D2" w:rsidR="00291355" w:rsidRPr="0073774C" w:rsidRDefault="00291355" w:rsidP="0029135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w:t>
            </w:r>
          </w:p>
        </w:tc>
      </w:tr>
      <w:tr w:rsidR="00291355" w:rsidRPr="0073774C" w14:paraId="6B758ED9" w14:textId="77777777" w:rsidTr="00CF33EA">
        <w:trPr>
          <w:trHeight w:val="279"/>
        </w:trPr>
        <w:tc>
          <w:tcPr>
            <w:cnfStyle w:val="001000000000" w:firstRow="0" w:lastRow="0" w:firstColumn="1" w:lastColumn="0" w:oddVBand="0" w:evenVBand="0" w:oddHBand="0" w:evenHBand="0" w:firstRowFirstColumn="0" w:firstRowLastColumn="0" w:lastRowFirstColumn="0" w:lastRowLastColumn="0"/>
            <w:tcW w:w="2322" w:type="dxa"/>
            <w:vAlign w:val="bottom"/>
          </w:tcPr>
          <w:p w14:paraId="631BD98A" w14:textId="7B2BA165" w:rsidR="00291355" w:rsidRPr="00291355" w:rsidRDefault="00291355" w:rsidP="00291355">
            <w:pPr>
              <w:rPr>
                <w:rFonts w:ascii="Open Sans" w:hAnsi="Open Sans" w:cs="Open Sans"/>
                <w:b w:val="0"/>
                <w:bCs w:val="0"/>
                <w:color w:val="FFFFFF" w:themeColor="background1"/>
                <w:sz w:val="22"/>
                <w:szCs w:val="22"/>
              </w:rPr>
            </w:pPr>
            <w:r w:rsidRPr="00291355">
              <w:rPr>
                <w:rFonts w:ascii="Open Sans" w:hAnsi="Open Sans" w:cs="Open Sans"/>
                <w:b w:val="0"/>
                <w:bCs w:val="0"/>
                <w:color w:val="FFFFFF" w:themeColor="background1"/>
                <w:sz w:val="22"/>
                <w:szCs w:val="22"/>
              </w:rPr>
              <w:t>Soria</w:t>
            </w:r>
          </w:p>
        </w:tc>
        <w:tc>
          <w:tcPr>
            <w:tcW w:w="1642" w:type="dxa"/>
            <w:vAlign w:val="bottom"/>
          </w:tcPr>
          <w:p w14:paraId="3E757480" w14:textId="2A139737"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3B032585" w14:textId="3A086BE3"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4,7%</w:t>
            </w:r>
          </w:p>
        </w:tc>
        <w:tc>
          <w:tcPr>
            <w:tcW w:w="1701" w:type="dxa"/>
            <w:vAlign w:val="bottom"/>
          </w:tcPr>
          <w:p w14:paraId="02C3430D" w14:textId="61BCFFCD"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757" w:type="dxa"/>
            <w:vAlign w:val="bottom"/>
          </w:tcPr>
          <w:p w14:paraId="17EFF423" w14:textId="2E535C50" w:rsidR="00291355" w:rsidRPr="0073774C" w:rsidRDefault="00291355" w:rsidP="0029135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w:t>
            </w:r>
          </w:p>
        </w:tc>
      </w:tr>
    </w:tbl>
    <w:p w14:paraId="74222604" w14:textId="77777777" w:rsidR="00924DB0" w:rsidRDefault="00924DB0" w:rsidP="00B629FA">
      <w:pPr>
        <w:pStyle w:val="NormalWeb"/>
        <w:shd w:val="clear" w:color="auto" w:fill="FFFFFF"/>
        <w:spacing w:after="225" w:line="276" w:lineRule="auto"/>
        <w:ind w:right="-574"/>
        <w:rPr>
          <w:rFonts w:ascii="Open Sans Light" w:hAnsi="Open Sans Light" w:cs="Open Sans Light"/>
          <w:b/>
          <w:iCs/>
          <w:color w:val="303AB2"/>
        </w:rPr>
      </w:pPr>
    </w:p>
    <w:p w14:paraId="2F1E12A5" w14:textId="77777777" w:rsidR="00924DB0" w:rsidRDefault="00924DB0" w:rsidP="00B629FA">
      <w:pPr>
        <w:pStyle w:val="NormalWeb"/>
        <w:shd w:val="clear" w:color="auto" w:fill="FFFFFF"/>
        <w:spacing w:after="225" w:line="276" w:lineRule="auto"/>
        <w:ind w:right="-574"/>
        <w:rPr>
          <w:rFonts w:ascii="Open Sans Light" w:hAnsi="Open Sans Light" w:cs="Open Sans Light"/>
          <w:b/>
          <w:iCs/>
          <w:color w:val="303AB2"/>
        </w:rPr>
      </w:pPr>
    </w:p>
    <w:p w14:paraId="200FDFA1" w14:textId="5D194FFA" w:rsidR="00B629FA" w:rsidRPr="00B629FA" w:rsidRDefault="00B629FA" w:rsidP="00B629FA">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lastRenderedPageBreak/>
        <w:t xml:space="preserve">Tabla </w:t>
      </w:r>
      <w:r w:rsidR="0074620F">
        <w:rPr>
          <w:rFonts w:ascii="Open Sans Light" w:hAnsi="Open Sans Light" w:cs="Open Sans Light"/>
          <w:b/>
          <w:iCs/>
          <w:color w:val="303AB2"/>
        </w:rPr>
        <w:t>3</w:t>
      </w:r>
      <w:r w:rsidRPr="007E5768">
        <w:rPr>
          <w:rFonts w:ascii="Open Sans Light" w:hAnsi="Open Sans Light" w:cs="Open Sans Light"/>
          <w:b/>
          <w:iCs/>
          <w:color w:val="303AB2"/>
        </w:rPr>
        <w:t xml:space="preserve">. Rentabilidad </w:t>
      </w:r>
      <w:r w:rsidR="000B6B0A">
        <w:rPr>
          <w:rFonts w:ascii="Open Sans Light" w:hAnsi="Open Sans Light" w:cs="Open Sans Light"/>
          <w:b/>
          <w:iCs/>
          <w:color w:val="303AB2"/>
        </w:rPr>
        <w:t>de la vivienda por</w:t>
      </w:r>
      <w:r>
        <w:rPr>
          <w:rFonts w:ascii="Open Sans Light" w:hAnsi="Open Sans Light" w:cs="Open Sans Light"/>
          <w:b/>
          <w:iCs/>
          <w:color w:val="303AB2"/>
        </w:rPr>
        <w:t xml:space="preserve"> ciudades </w:t>
      </w:r>
      <w:r w:rsidRPr="007E5768">
        <w:rPr>
          <w:rFonts w:ascii="Open Sans Light" w:hAnsi="Open Sans Light" w:cs="Open Sans Light"/>
          <w:b/>
          <w:iCs/>
          <w:color w:val="303AB2"/>
        </w:rPr>
        <w:t>(</w:t>
      </w:r>
      <w:r w:rsidR="00CF33EA" w:rsidRPr="007E5768">
        <w:rPr>
          <w:rFonts w:ascii="Open Sans Light" w:hAnsi="Open Sans Light" w:cs="Open Sans Light"/>
          <w:b/>
          <w:iCs/>
          <w:color w:val="303AB2"/>
        </w:rPr>
        <w:t>comparativa 20</w:t>
      </w:r>
      <w:r w:rsidR="00CF33EA">
        <w:rPr>
          <w:rFonts w:ascii="Open Sans Light" w:hAnsi="Open Sans Light" w:cs="Open Sans Light"/>
          <w:b/>
          <w:iCs/>
          <w:color w:val="303AB2"/>
        </w:rPr>
        <w:t xml:space="preserve">10, 2015, 2019 y 2020) </w:t>
      </w:r>
      <w:r w:rsidR="00CF33EA" w:rsidRPr="007E5768">
        <w:rPr>
          <w:rFonts w:ascii="Open Sans Light" w:hAnsi="Open Sans Light" w:cs="Open Sans Light"/>
          <w:b/>
          <w:iCs/>
          <w:color w:val="303AB2"/>
        </w:rPr>
        <w:t xml:space="preserve"> </w:t>
      </w:r>
    </w:p>
    <w:tbl>
      <w:tblPr>
        <w:tblStyle w:val="Tabladecuadrcula5oscura-nfasis11"/>
        <w:tblW w:w="9056" w:type="dxa"/>
        <w:tblLayout w:type="fixed"/>
        <w:tblLook w:val="04A0" w:firstRow="1" w:lastRow="0" w:firstColumn="1" w:lastColumn="0" w:noHBand="0" w:noVBand="1"/>
      </w:tblPr>
      <w:tblGrid>
        <w:gridCol w:w="2378"/>
        <w:gridCol w:w="1783"/>
        <w:gridCol w:w="1635"/>
        <w:gridCol w:w="1628"/>
        <w:gridCol w:w="1632"/>
      </w:tblGrid>
      <w:tr w:rsidR="00CF33EA" w:rsidRPr="00CF33EA" w14:paraId="7044B733" w14:textId="77777777" w:rsidTr="002C5FC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378" w:type="dxa"/>
            <w:vAlign w:val="center"/>
          </w:tcPr>
          <w:p w14:paraId="466CC9C0" w14:textId="77777777" w:rsidR="00CF33EA" w:rsidRPr="002C5FCC" w:rsidRDefault="00CF33EA"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Ciudades</w:t>
            </w:r>
          </w:p>
        </w:tc>
        <w:tc>
          <w:tcPr>
            <w:tcW w:w="1783" w:type="dxa"/>
            <w:vAlign w:val="center"/>
          </w:tcPr>
          <w:p w14:paraId="1E707B1F"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Rentabilidad</w:t>
            </w:r>
          </w:p>
          <w:p w14:paraId="5C301167"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2010</w:t>
            </w:r>
          </w:p>
          <w:p w14:paraId="38915334" w14:textId="3B187EA6"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(10 años)</w:t>
            </w:r>
          </w:p>
        </w:tc>
        <w:tc>
          <w:tcPr>
            <w:tcW w:w="1635" w:type="dxa"/>
            <w:vAlign w:val="center"/>
          </w:tcPr>
          <w:p w14:paraId="0F647474"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Rentabilidad</w:t>
            </w:r>
          </w:p>
          <w:p w14:paraId="1BD4319A"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2015</w:t>
            </w:r>
          </w:p>
          <w:p w14:paraId="2098B6AE" w14:textId="367FA1E9"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(5 años)</w:t>
            </w:r>
          </w:p>
        </w:tc>
        <w:tc>
          <w:tcPr>
            <w:tcW w:w="1628" w:type="dxa"/>
            <w:vAlign w:val="center"/>
          </w:tcPr>
          <w:p w14:paraId="32AA45FE"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Rentabilidad</w:t>
            </w:r>
          </w:p>
          <w:p w14:paraId="494BE635" w14:textId="77777777" w:rsidR="00CF33EA" w:rsidRPr="002C5FCC" w:rsidRDefault="00CF33EA" w:rsidP="002C5FCC">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lang w:val="es-ES"/>
              </w:rPr>
            </w:pPr>
            <w:r w:rsidRPr="002C5FCC">
              <w:rPr>
                <w:rStyle w:val="nfasis"/>
                <w:rFonts w:ascii="Open Sans" w:hAnsi="Open Sans" w:cs="Open Sans"/>
                <w:i w:val="0"/>
                <w:iCs w:val="0"/>
                <w:lang w:val="es-ES"/>
              </w:rPr>
              <w:t>2019</w:t>
            </w:r>
          </w:p>
          <w:p w14:paraId="5D839BF7" w14:textId="7FCB5D49" w:rsidR="00CF33EA" w:rsidRPr="002C5FCC" w:rsidRDefault="00CF33EA" w:rsidP="002C5FCC">
            <w:pPr>
              <w:pStyle w:val="Texto"/>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lang w:val="es-ES"/>
              </w:rPr>
            </w:pPr>
            <w:r w:rsidRPr="002C5FCC">
              <w:rPr>
                <w:rStyle w:val="nfasis"/>
                <w:rFonts w:ascii="Open Sans" w:hAnsi="Open Sans" w:cs="Open Sans"/>
                <w:i w:val="0"/>
                <w:iCs w:val="0"/>
                <w:lang w:val="es-ES"/>
              </w:rPr>
              <w:t>(1 año)</w:t>
            </w:r>
          </w:p>
        </w:tc>
        <w:tc>
          <w:tcPr>
            <w:tcW w:w="1632" w:type="dxa"/>
            <w:vAlign w:val="center"/>
          </w:tcPr>
          <w:p w14:paraId="63D749C9" w14:textId="77777777"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Rentabilidad</w:t>
            </w:r>
          </w:p>
          <w:p w14:paraId="201C1455" w14:textId="55369310" w:rsidR="00CF33EA" w:rsidRPr="002C5FCC" w:rsidRDefault="00CF33EA" w:rsidP="002C5FCC">
            <w:pPr>
              <w:pStyle w:val="Listavistosa-nfasis11"/>
              <w:ind w:left="0"/>
              <w:jc w:val="center"/>
              <w:cnfStyle w:val="100000000000" w:firstRow="1" w:lastRow="0" w:firstColumn="0" w:lastColumn="0" w:oddVBand="0" w:evenVBand="0" w:oddHBand="0" w:evenHBand="0" w:firstRowFirstColumn="0" w:firstRowLastColumn="0" w:lastRowFirstColumn="0" w:lastRowLastColumn="0"/>
              <w:rPr>
                <w:rStyle w:val="nfasis"/>
                <w:rFonts w:ascii="Open Sans" w:hAnsi="Open Sans" w:cs="Open Sans"/>
                <w:i w:val="0"/>
                <w:iCs w:val="0"/>
                <w:sz w:val="22"/>
                <w:szCs w:val="22"/>
              </w:rPr>
            </w:pPr>
            <w:r w:rsidRPr="002C5FCC">
              <w:rPr>
                <w:rStyle w:val="nfasis"/>
                <w:rFonts w:ascii="Open Sans" w:hAnsi="Open Sans" w:cs="Open Sans"/>
                <w:i w:val="0"/>
                <w:iCs w:val="0"/>
                <w:sz w:val="22"/>
                <w:szCs w:val="22"/>
              </w:rPr>
              <w:t>2020</w:t>
            </w:r>
          </w:p>
        </w:tc>
      </w:tr>
      <w:tr w:rsidR="00CF33EA" w:rsidRPr="00CF33EA" w14:paraId="0E58673A"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20EBE1BF" w14:textId="5030CCF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 Cristóbal de la Laguna</w:t>
            </w:r>
          </w:p>
        </w:tc>
        <w:tc>
          <w:tcPr>
            <w:tcW w:w="1783" w:type="dxa"/>
          </w:tcPr>
          <w:p w14:paraId="14401FC0" w14:textId="7B33C75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35" w:type="dxa"/>
          </w:tcPr>
          <w:p w14:paraId="7B0EC789" w14:textId="0C743E5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0109DB38" w14:textId="628927C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8,0%</w:t>
            </w:r>
          </w:p>
        </w:tc>
        <w:tc>
          <w:tcPr>
            <w:tcW w:w="1632" w:type="dxa"/>
          </w:tcPr>
          <w:p w14:paraId="722B9DFA" w14:textId="42C7439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7,5%</w:t>
            </w:r>
          </w:p>
        </w:tc>
      </w:tr>
      <w:tr w:rsidR="00CF33EA" w:rsidRPr="00CF33EA" w14:paraId="1D909F57"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07CCE32" w14:textId="717923A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Santa Lucía de Tirajana</w:t>
            </w:r>
          </w:p>
        </w:tc>
        <w:tc>
          <w:tcPr>
            <w:tcW w:w="1783" w:type="dxa"/>
          </w:tcPr>
          <w:p w14:paraId="7EFF41DB" w14:textId="4F5A1DD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5" w:type="dxa"/>
          </w:tcPr>
          <w:p w14:paraId="218E6BC4" w14:textId="4F38200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6FC905C2" w14:textId="373121E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0DEECF3A" w14:textId="72EE7CB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7,4%</w:t>
            </w:r>
          </w:p>
        </w:tc>
      </w:tr>
      <w:tr w:rsidR="00CF33EA" w:rsidRPr="00CF33EA" w14:paraId="563DA521" w14:textId="77777777" w:rsidTr="002C5FC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78" w:type="dxa"/>
          </w:tcPr>
          <w:p w14:paraId="503D9A15" w14:textId="4232BA7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Algeciras</w:t>
            </w:r>
          </w:p>
        </w:tc>
        <w:tc>
          <w:tcPr>
            <w:tcW w:w="1783" w:type="dxa"/>
          </w:tcPr>
          <w:p w14:paraId="664CEA6C" w14:textId="2F274B9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2FCA266C" w14:textId="118C48E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6,1%</w:t>
            </w:r>
          </w:p>
        </w:tc>
        <w:tc>
          <w:tcPr>
            <w:tcW w:w="1628" w:type="dxa"/>
          </w:tcPr>
          <w:p w14:paraId="7930DA5E" w14:textId="4DD4DC3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7,8%</w:t>
            </w:r>
          </w:p>
        </w:tc>
        <w:tc>
          <w:tcPr>
            <w:tcW w:w="1632" w:type="dxa"/>
          </w:tcPr>
          <w:p w14:paraId="62363FE2" w14:textId="7A1038B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7,2%</w:t>
            </w:r>
          </w:p>
        </w:tc>
      </w:tr>
      <w:tr w:rsidR="00CF33EA" w:rsidRPr="00CF33EA" w14:paraId="13F60ECA" w14:textId="77777777" w:rsidTr="002C5FCC">
        <w:trPr>
          <w:trHeight w:val="404"/>
        </w:trPr>
        <w:tc>
          <w:tcPr>
            <w:cnfStyle w:val="001000000000" w:firstRow="0" w:lastRow="0" w:firstColumn="1" w:lastColumn="0" w:oddVBand="0" w:evenVBand="0" w:oddHBand="0" w:evenHBand="0" w:firstRowFirstColumn="0" w:firstRowLastColumn="0" w:lastRowFirstColumn="0" w:lastRowLastColumn="0"/>
            <w:tcW w:w="2378" w:type="dxa"/>
          </w:tcPr>
          <w:p w14:paraId="15F4CFA3" w14:textId="5B5B9F9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Lleida capital</w:t>
            </w:r>
          </w:p>
        </w:tc>
        <w:tc>
          <w:tcPr>
            <w:tcW w:w="1783" w:type="dxa"/>
          </w:tcPr>
          <w:p w14:paraId="6BCE6239" w14:textId="6505393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c>
          <w:tcPr>
            <w:tcW w:w="1635" w:type="dxa"/>
          </w:tcPr>
          <w:p w14:paraId="679B25E2" w14:textId="1471E8E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28" w:type="dxa"/>
          </w:tcPr>
          <w:p w14:paraId="46092EA3" w14:textId="70FF9BA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c>
          <w:tcPr>
            <w:tcW w:w="1632" w:type="dxa"/>
          </w:tcPr>
          <w:p w14:paraId="694EED64" w14:textId="19047F4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7,2%</w:t>
            </w:r>
          </w:p>
        </w:tc>
      </w:tr>
      <w:tr w:rsidR="00CF33EA" w:rsidRPr="00CF33EA" w14:paraId="5AB8F47F" w14:textId="77777777" w:rsidTr="002C5FC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78" w:type="dxa"/>
          </w:tcPr>
          <w:p w14:paraId="61A21FB7" w14:textId="5C92FC6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Jerez de la Frontera</w:t>
            </w:r>
          </w:p>
        </w:tc>
        <w:tc>
          <w:tcPr>
            <w:tcW w:w="1783" w:type="dxa"/>
          </w:tcPr>
          <w:p w14:paraId="23A7A27F" w14:textId="0DE9540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7111B501" w14:textId="4B4895B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28" w:type="dxa"/>
          </w:tcPr>
          <w:p w14:paraId="4F59E385" w14:textId="3AA5324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7,1%</w:t>
            </w:r>
          </w:p>
        </w:tc>
        <w:tc>
          <w:tcPr>
            <w:tcW w:w="1632" w:type="dxa"/>
          </w:tcPr>
          <w:p w14:paraId="467A3E68" w14:textId="6E87881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6,9%</w:t>
            </w:r>
          </w:p>
        </w:tc>
      </w:tr>
      <w:tr w:rsidR="00CF33EA" w:rsidRPr="00CF33EA" w14:paraId="68D7F274"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04888861" w14:textId="607DC01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Reus</w:t>
            </w:r>
          </w:p>
        </w:tc>
        <w:tc>
          <w:tcPr>
            <w:tcW w:w="1783" w:type="dxa"/>
          </w:tcPr>
          <w:p w14:paraId="04E4955C" w14:textId="533E05A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50428CAA" w14:textId="0D6B70F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c>
          <w:tcPr>
            <w:tcW w:w="1628" w:type="dxa"/>
          </w:tcPr>
          <w:p w14:paraId="241B2FF9" w14:textId="6DDAA93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6,9%</w:t>
            </w:r>
          </w:p>
        </w:tc>
        <w:tc>
          <w:tcPr>
            <w:tcW w:w="1632" w:type="dxa"/>
          </w:tcPr>
          <w:p w14:paraId="420C319C" w14:textId="789BC21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6,8%</w:t>
            </w:r>
          </w:p>
        </w:tc>
      </w:tr>
      <w:tr w:rsidR="00CF33EA" w:rsidRPr="00CF33EA" w14:paraId="204E48A3" w14:textId="77777777" w:rsidTr="002C5FC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78" w:type="dxa"/>
          </w:tcPr>
          <w:p w14:paraId="3F7D429A" w14:textId="0A71849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Telde</w:t>
            </w:r>
          </w:p>
        </w:tc>
        <w:tc>
          <w:tcPr>
            <w:tcW w:w="1783" w:type="dxa"/>
          </w:tcPr>
          <w:p w14:paraId="4370EE74" w14:textId="3FF72F3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5E78B02E" w14:textId="08DA9BC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70BBEF5" w14:textId="459722D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7,5%</w:t>
            </w:r>
          </w:p>
        </w:tc>
        <w:tc>
          <w:tcPr>
            <w:tcW w:w="1632" w:type="dxa"/>
          </w:tcPr>
          <w:p w14:paraId="78A9AC92" w14:textId="5220947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6,8%</w:t>
            </w:r>
          </w:p>
        </w:tc>
      </w:tr>
      <w:tr w:rsidR="00CF33EA" w:rsidRPr="00CF33EA" w14:paraId="27C0B94F"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64568C2" w14:textId="46ED0E9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Dos Hermanas</w:t>
            </w:r>
          </w:p>
        </w:tc>
        <w:tc>
          <w:tcPr>
            <w:tcW w:w="1783" w:type="dxa"/>
          </w:tcPr>
          <w:p w14:paraId="5FD0C89F" w14:textId="0F56BEB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35" w:type="dxa"/>
          </w:tcPr>
          <w:p w14:paraId="67AD5633" w14:textId="0DDFE50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c>
          <w:tcPr>
            <w:tcW w:w="1628" w:type="dxa"/>
          </w:tcPr>
          <w:p w14:paraId="7FD0C594" w14:textId="6161EFE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6,6%</w:t>
            </w:r>
          </w:p>
        </w:tc>
        <w:tc>
          <w:tcPr>
            <w:tcW w:w="1632" w:type="dxa"/>
          </w:tcPr>
          <w:p w14:paraId="0738C3EB" w14:textId="053D006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6,8%</w:t>
            </w:r>
          </w:p>
        </w:tc>
      </w:tr>
      <w:tr w:rsidR="00CF33EA" w:rsidRPr="00CF33EA" w14:paraId="7DA5B4D3" w14:textId="77777777" w:rsidTr="002C5FC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78" w:type="dxa"/>
          </w:tcPr>
          <w:p w14:paraId="2791C240" w14:textId="1046467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Puerto de la Cruz</w:t>
            </w:r>
          </w:p>
        </w:tc>
        <w:tc>
          <w:tcPr>
            <w:tcW w:w="1783" w:type="dxa"/>
          </w:tcPr>
          <w:p w14:paraId="1DD5CDB8" w14:textId="730925A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2E41D5B9" w14:textId="40F6783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2EB0F7CB" w14:textId="4A6FD70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61EFB90" w14:textId="3F995F6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6,8%</w:t>
            </w:r>
          </w:p>
        </w:tc>
      </w:tr>
      <w:tr w:rsidR="00CF33EA" w:rsidRPr="00CF33EA" w14:paraId="34D0F09A"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591709F9" w14:textId="120BCF3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Gan</w:t>
            </w:r>
            <w:r w:rsidR="002C5FCC">
              <w:rPr>
                <w:rFonts w:ascii="Open Sans" w:hAnsi="Open Sans" w:cs="Open Sans"/>
                <w:b w:val="0"/>
                <w:bCs w:val="0"/>
                <w:color w:val="FFFFFF" w:themeColor="background1"/>
                <w:sz w:val="22"/>
                <w:szCs w:val="22"/>
              </w:rPr>
              <w:t>dí</w:t>
            </w:r>
            <w:r w:rsidRPr="002C5FCC">
              <w:rPr>
                <w:rFonts w:ascii="Open Sans" w:hAnsi="Open Sans" w:cs="Open Sans"/>
                <w:b w:val="0"/>
                <w:bCs w:val="0"/>
                <w:color w:val="FFFFFF" w:themeColor="background1"/>
                <w:sz w:val="22"/>
                <w:szCs w:val="22"/>
              </w:rPr>
              <w:t>a</w:t>
            </w:r>
          </w:p>
        </w:tc>
        <w:tc>
          <w:tcPr>
            <w:tcW w:w="1783" w:type="dxa"/>
          </w:tcPr>
          <w:p w14:paraId="63E67118" w14:textId="484B199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1A8D852E" w14:textId="042200F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423AF8EC" w14:textId="278CADC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32" w:type="dxa"/>
          </w:tcPr>
          <w:p w14:paraId="6B6C4CF3" w14:textId="5AF4345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r>
      <w:tr w:rsidR="00CF33EA" w:rsidRPr="00CF33EA" w14:paraId="7022B00F" w14:textId="77777777" w:rsidTr="002C5FC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78" w:type="dxa"/>
          </w:tcPr>
          <w:p w14:paraId="4EAB1431" w14:textId="6587CCA8"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Toledo capital</w:t>
            </w:r>
          </w:p>
        </w:tc>
        <w:tc>
          <w:tcPr>
            <w:tcW w:w="1783" w:type="dxa"/>
          </w:tcPr>
          <w:p w14:paraId="14328A40" w14:textId="25C342F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71EE62AF" w14:textId="4EEBDF5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614CBE92" w14:textId="49E39A2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837CF90" w14:textId="3B9E38B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r>
      <w:tr w:rsidR="00CF33EA" w:rsidRPr="00CF33EA" w14:paraId="4675FB5D"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DC92D1A" w14:textId="3FF391B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Castellón de la Plana / Castelló de la Plana</w:t>
            </w:r>
          </w:p>
        </w:tc>
        <w:tc>
          <w:tcPr>
            <w:tcW w:w="1783" w:type="dxa"/>
          </w:tcPr>
          <w:p w14:paraId="29D42FD0" w14:textId="7E28DD6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3,7%</w:t>
            </w:r>
          </w:p>
        </w:tc>
        <w:tc>
          <w:tcPr>
            <w:tcW w:w="1635" w:type="dxa"/>
          </w:tcPr>
          <w:p w14:paraId="4C3B11A8" w14:textId="00C2E22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28" w:type="dxa"/>
          </w:tcPr>
          <w:p w14:paraId="112144BB" w14:textId="4F69F5D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6,1%</w:t>
            </w:r>
          </w:p>
        </w:tc>
        <w:tc>
          <w:tcPr>
            <w:tcW w:w="1632" w:type="dxa"/>
          </w:tcPr>
          <w:p w14:paraId="44568696" w14:textId="2F09EC0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r>
      <w:tr w:rsidR="00CF33EA" w:rsidRPr="00CF33EA" w14:paraId="2ADD842F" w14:textId="77777777" w:rsidTr="002C5FC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78" w:type="dxa"/>
          </w:tcPr>
          <w:p w14:paraId="3738F494" w14:textId="2AB01465"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Lucena</w:t>
            </w:r>
          </w:p>
        </w:tc>
        <w:tc>
          <w:tcPr>
            <w:tcW w:w="1783" w:type="dxa"/>
          </w:tcPr>
          <w:p w14:paraId="1F0BAAC8" w14:textId="400B305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DA38C68" w14:textId="084A8F0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28" w:type="dxa"/>
          </w:tcPr>
          <w:p w14:paraId="264E2BC7" w14:textId="2F5D474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FF23B66" w14:textId="2884127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r>
      <w:tr w:rsidR="00CF33EA" w:rsidRPr="00CF33EA" w14:paraId="2E23FB58"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0F24C788" w14:textId="6DC4FE0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Torrent</w:t>
            </w:r>
          </w:p>
        </w:tc>
        <w:tc>
          <w:tcPr>
            <w:tcW w:w="1783" w:type="dxa"/>
          </w:tcPr>
          <w:p w14:paraId="110778B0" w14:textId="39521F1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66ADA7F7" w14:textId="1E80B45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2F119921" w14:textId="4A9248E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12C5E21" w14:textId="6904096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6,7%</w:t>
            </w:r>
          </w:p>
        </w:tc>
      </w:tr>
      <w:tr w:rsidR="00CF33EA" w:rsidRPr="00CF33EA" w14:paraId="04413992"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356E3344" w14:textId="5AE9B0C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Mérida</w:t>
            </w:r>
          </w:p>
        </w:tc>
        <w:tc>
          <w:tcPr>
            <w:tcW w:w="1783" w:type="dxa"/>
          </w:tcPr>
          <w:p w14:paraId="5FB17871" w14:textId="5230700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36665E7E" w14:textId="2746A84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043E0A4" w14:textId="5CB3005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70DB764" w14:textId="5A21D5B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6,6%</w:t>
            </w:r>
          </w:p>
        </w:tc>
      </w:tr>
      <w:tr w:rsidR="00CF33EA" w:rsidRPr="00CF33EA" w14:paraId="24F574DE"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554A3908" w14:textId="5F0F9BF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La Línea de la Concepción</w:t>
            </w:r>
          </w:p>
        </w:tc>
        <w:tc>
          <w:tcPr>
            <w:tcW w:w="1783" w:type="dxa"/>
          </w:tcPr>
          <w:p w14:paraId="1B7ABB14" w14:textId="74DF93E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4E67B991" w14:textId="40399C5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6,9%</w:t>
            </w:r>
          </w:p>
        </w:tc>
        <w:tc>
          <w:tcPr>
            <w:tcW w:w="1628" w:type="dxa"/>
          </w:tcPr>
          <w:p w14:paraId="7C46DE91" w14:textId="7D30BCC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5D55A49" w14:textId="51C811F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6,6%</w:t>
            </w:r>
          </w:p>
        </w:tc>
      </w:tr>
      <w:tr w:rsidR="00CF33EA" w:rsidRPr="00CF33EA" w14:paraId="17D42DFD"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7913406" w14:textId="0364FBA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Huelva capital</w:t>
            </w:r>
          </w:p>
        </w:tc>
        <w:tc>
          <w:tcPr>
            <w:tcW w:w="1783" w:type="dxa"/>
          </w:tcPr>
          <w:p w14:paraId="1885C00B" w14:textId="5416285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5" w:type="dxa"/>
          </w:tcPr>
          <w:p w14:paraId="5E253532" w14:textId="7116EED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c>
          <w:tcPr>
            <w:tcW w:w="1628" w:type="dxa"/>
          </w:tcPr>
          <w:p w14:paraId="547698C7" w14:textId="17D6A34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6,9%</w:t>
            </w:r>
          </w:p>
        </w:tc>
        <w:tc>
          <w:tcPr>
            <w:tcW w:w="1632" w:type="dxa"/>
          </w:tcPr>
          <w:p w14:paraId="64CFED6C" w14:textId="2041979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6,6%</w:t>
            </w:r>
          </w:p>
        </w:tc>
      </w:tr>
      <w:tr w:rsidR="00CF33EA" w:rsidRPr="00CF33EA" w14:paraId="13428E8E"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41F51003" w14:textId="0F61E87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Manresa</w:t>
            </w:r>
          </w:p>
        </w:tc>
        <w:tc>
          <w:tcPr>
            <w:tcW w:w="1783" w:type="dxa"/>
          </w:tcPr>
          <w:p w14:paraId="71741968" w14:textId="3A2081F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5" w:type="dxa"/>
          </w:tcPr>
          <w:p w14:paraId="0DFF8E37" w14:textId="0C278F7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28" w:type="dxa"/>
          </w:tcPr>
          <w:p w14:paraId="1FFF88F5" w14:textId="64B6B54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32" w:type="dxa"/>
          </w:tcPr>
          <w:p w14:paraId="2935E297" w14:textId="5055F6E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r>
      <w:tr w:rsidR="00CF33EA" w:rsidRPr="00CF33EA" w14:paraId="5544F12A"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B638CF0" w14:textId="0CED0084"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Cartagena</w:t>
            </w:r>
          </w:p>
        </w:tc>
        <w:tc>
          <w:tcPr>
            <w:tcW w:w="1783" w:type="dxa"/>
          </w:tcPr>
          <w:p w14:paraId="3522CB99" w14:textId="7B39753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35" w:type="dxa"/>
          </w:tcPr>
          <w:p w14:paraId="12E98287" w14:textId="6652675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234135A2" w14:textId="0254576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c>
          <w:tcPr>
            <w:tcW w:w="1632" w:type="dxa"/>
          </w:tcPr>
          <w:p w14:paraId="17B3515C" w14:textId="78A973C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r>
      <w:tr w:rsidR="00CF33EA" w:rsidRPr="00CF33EA" w14:paraId="5B39F894"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50E4C1AE" w14:textId="17CBEBC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Almería capital</w:t>
            </w:r>
          </w:p>
        </w:tc>
        <w:tc>
          <w:tcPr>
            <w:tcW w:w="1783" w:type="dxa"/>
          </w:tcPr>
          <w:p w14:paraId="72E71FDA" w14:textId="0520B7D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27BDE0C3" w14:textId="533878D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3A646857" w14:textId="38806E2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c>
          <w:tcPr>
            <w:tcW w:w="1632" w:type="dxa"/>
          </w:tcPr>
          <w:p w14:paraId="3903A0BB" w14:textId="320EA1C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r>
      <w:tr w:rsidR="00CF33EA" w:rsidRPr="00CF33EA" w14:paraId="6CA1E078"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77ACFE8" w14:textId="7661912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Tarragona capital</w:t>
            </w:r>
          </w:p>
        </w:tc>
        <w:tc>
          <w:tcPr>
            <w:tcW w:w="1783" w:type="dxa"/>
          </w:tcPr>
          <w:p w14:paraId="3D86F756" w14:textId="18099B8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7DCB620D" w14:textId="43A012F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28" w:type="dxa"/>
          </w:tcPr>
          <w:p w14:paraId="7E7D7552" w14:textId="6F04327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6,8%</w:t>
            </w:r>
          </w:p>
        </w:tc>
        <w:tc>
          <w:tcPr>
            <w:tcW w:w="1632" w:type="dxa"/>
          </w:tcPr>
          <w:p w14:paraId="2E0ABA82" w14:textId="0F10196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r>
      <w:tr w:rsidR="00CF33EA" w:rsidRPr="00CF33EA" w14:paraId="05E1DDD6"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192D543B" w14:textId="77AB641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Roquetas de Mar</w:t>
            </w:r>
          </w:p>
        </w:tc>
        <w:tc>
          <w:tcPr>
            <w:tcW w:w="1783" w:type="dxa"/>
          </w:tcPr>
          <w:p w14:paraId="7B051FFD" w14:textId="052C119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0EA934D5" w14:textId="06AA8C2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0C5C960A" w14:textId="57D012B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32" w:type="dxa"/>
          </w:tcPr>
          <w:p w14:paraId="56F4BC1F" w14:textId="646A6F5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r>
      <w:tr w:rsidR="00CF33EA" w:rsidRPr="00CF33EA" w14:paraId="22AAA467"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450815C9" w14:textId="623F12C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Terrassa</w:t>
            </w:r>
          </w:p>
        </w:tc>
        <w:tc>
          <w:tcPr>
            <w:tcW w:w="1783" w:type="dxa"/>
          </w:tcPr>
          <w:p w14:paraId="62389EF4" w14:textId="28C168B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5" w:type="dxa"/>
          </w:tcPr>
          <w:p w14:paraId="3136D5CD" w14:textId="1EDBF6D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c>
          <w:tcPr>
            <w:tcW w:w="1628" w:type="dxa"/>
          </w:tcPr>
          <w:p w14:paraId="1FB4E72D" w14:textId="7798C02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32" w:type="dxa"/>
          </w:tcPr>
          <w:p w14:paraId="7A156AAF" w14:textId="3A10D7F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r>
      <w:tr w:rsidR="00CF33EA" w:rsidRPr="00CF33EA" w14:paraId="30902165"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0771BB65" w14:textId="333AB86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L'Hospitalet de Llobregat</w:t>
            </w:r>
          </w:p>
        </w:tc>
        <w:tc>
          <w:tcPr>
            <w:tcW w:w="1783" w:type="dxa"/>
          </w:tcPr>
          <w:p w14:paraId="312EB91B" w14:textId="6EC07FA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35" w:type="dxa"/>
          </w:tcPr>
          <w:p w14:paraId="6880091D" w14:textId="69ED699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7,1%</w:t>
            </w:r>
          </w:p>
        </w:tc>
        <w:tc>
          <w:tcPr>
            <w:tcW w:w="1628" w:type="dxa"/>
          </w:tcPr>
          <w:p w14:paraId="12EA823E" w14:textId="53F92D9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7,2%</w:t>
            </w:r>
          </w:p>
        </w:tc>
        <w:tc>
          <w:tcPr>
            <w:tcW w:w="1632" w:type="dxa"/>
          </w:tcPr>
          <w:p w14:paraId="49933CCB" w14:textId="19578C6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r>
      <w:tr w:rsidR="00CF33EA" w:rsidRPr="00CF33EA" w14:paraId="1537007D"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245DFDE1" w14:textId="4EB1C68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lastRenderedPageBreak/>
              <w:t>Alcoy / Alcoi</w:t>
            </w:r>
          </w:p>
        </w:tc>
        <w:tc>
          <w:tcPr>
            <w:tcW w:w="1783" w:type="dxa"/>
          </w:tcPr>
          <w:p w14:paraId="44E16094" w14:textId="151ACA1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542DE51" w14:textId="3FC8B1E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41578704" w14:textId="115D859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5E38A21" w14:textId="4BDAE52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r>
      <w:tr w:rsidR="00CF33EA" w:rsidRPr="00CF33EA" w14:paraId="1C5808D2"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A1A6F7B" w14:textId="2796915E"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Guadalajara capital</w:t>
            </w:r>
          </w:p>
        </w:tc>
        <w:tc>
          <w:tcPr>
            <w:tcW w:w="1783" w:type="dxa"/>
          </w:tcPr>
          <w:p w14:paraId="6333CB1A" w14:textId="5653887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55038361" w14:textId="5DA6CB0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02D3FF67" w14:textId="62C7427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9F9B9C2" w14:textId="114E1CF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r>
      <w:tr w:rsidR="00CF33EA" w:rsidRPr="00CF33EA" w14:paraId="05023322"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78571363" w14:textId="7CBAC124"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Santa Cruz de Tenerife capital</w:t>
            </w:r>
          </w:p>
        </w:tc>
        <w:tc>
          <w:tcPr>
            <w:tcW w:w="1783" w:type="dxa"/>
          </w:tcPr>
          <w:p w14:paraId="3F8FB886" w14:textId="23907AD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07A6B464" w14:textId="78C642A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21630D4A" w14:textId="68F70C3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7,2%</w:t>
            </w:r>
          </w:p>
        </w:tc>
        <w:tc>
          <w:tcPr>
            <w:tcW w:w="1632" w:type="dxa"/>
          </w:tcPr>
          <w:p w14:paraId="700182C2" w14:textId="689D031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r>
      <w:tr w:rsidR="00CF33EA" w:rsidRPr="00CF33EA" w14:paraId="23E87662" w14:textId="77777777" w:rsidTr="002C5FCC">
        <w:trPr>
          <w:trHeight w:val="276"/>
        </w:trPr>
        <w:tc>
          <w:tcPr>
            <w:cnfStyle w:val="001000000000" w:firstRow="0" w:lastRow="0" w:firstColumn="1" w:lastColumn="0" w:oddVBand="0" w:evenVBand="0" w:oddHBand="0" w:evenHBand="0" w:firstRowFirstColumn="0" w:firstRowLastColumn="0" w:lastRowFirstColumn="0" w:lastRowLastColumn="0"/>
            <w:tcW w:w="2378" w:type="dxa"/>
          </w:tcPr>
          <w:p w14:paraId="40704D22" w14:textId="6A8C19B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Murcia capital</w:t>
            </w:r>
          </w:p>
        </w:tc>
        <w:tc>
          <w:tcPr>
            <w:tcW w:w="1783" w:type="dxa"/>
          </w:tcPr>
          <w:p w14:paraId="2F4BEA84" w14:textId="1BC265B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0E70A9A4" w14:textId="0BC4926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28" w:type="dxa"/>
          </w:tcPr>
          <w:p w14:paraId="1328AA55" w14:textId="0F30E4A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6,5%</w:t>
            </w:r>
          </w:p>
        </w:tc>
        <w:tc>
          <w:tcPr>
            <w:tcW w:w="1632" w:type="dxa"/>
          </w:tcPr>
          <w:p w14:paraId="1A1B49BC" w14:textId="61C11B8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6,1%</w:t>
            </w:r>
          </w:p>
        </w:tc>
      </w:tr>
      <w:tr w:rsidR="00CF33EA" w:rsidRPr="00CF33EA" w14:paraId="1E55E39F" w14:textId="77777777" w:rsidTr="002C5FC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78" w:type="dxa"/>
          </w:tcPr>
          <w:p w14:paraId="28125336" w14:textId="484A1F1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Ávila capital</w:t>
            </w:r>
          </w:p>
        </w:tc>
        <w:tc>
          <w:tcPr>
            <w:tcW w:w="1783" w:type="dxa"/>
          </w:tcPr>
          <w:p w14:paraId="620F0EA4" w14:textId="5E97009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76B1831D" w14:textId="61FF18F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2FFF210" w14:textId="126CBF3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c>
          <w:tcPr>
            <w:tcW w:w="1632" w:type="dxa"/>
          </w:tcPr>
          <w:p w14:paraId="7FF61378" w14:textId="70EFE5B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r>
      <w:tr w:rsidR="00CF33EA" w:rsidRPr="00CF33EA" w14:paraId="176F1F93" w14:textId="77777777" w:rsidTr="002C5FCC">
        <w:trPr>
          <w:trHeight w:val="376"/>
        </w:trPr>
        <w:tc>
          <w:tcPr>
            <w:cnfStyle w:val="001000000000" w:firstRow="0" w:lastRow="0" w:firstColumn="1" w:lastColumn="0" w:oddVBand="0" w:evenVBand="0" w:oddHBand="0" w:evenHBand="0" w:firstRowFirstColumn="0" w:firstRowLastColumn="0" w:lastRowFirstColumn="0" w:lastRowLastColumn="0"/>
            <w:tcW w:w="2378" w:type="dxa"/>
          </w:tcPr>
          <w:p w14:paraId="600A1C82" w14:textId="3E4C5D5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Granadilla de Abona</w:t>
            </w:r>
          </w:p>
        </w:tc>
        <w:tc>
          <w:tcPr>
            <w:tcW w:w="1783" w:type="dxa"/>
          </w:tcPr>
          <w:p w14:paraId="7EF48795" w14:textId="12A4E35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c>
          <w:tcPr>
            <w:tcW w:w="1635" w:type="dxa"/>
          </w:tcPr>
          <w:p w14:paraId="06024F9A" w14:textId="5AB23E3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21B46CC9" w14:textId="0308E9D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21BE2A72" w14:textId="07FFC99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r>
      <w:tr w:rsidR="00CF33EA" w:rsidRPr="00CF33EA" w14:paraId="39578324"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1D1AFACF" w14:textId="7AE5F36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Segovia capital</w:t>
            </w:r>
          </w:p>
        </w:tc>
        <w:tc>
          <w:tcPr>
            <w:tcW w:w="1783" w:type="dxa"/>
          </w:tcPr>
          <w:p w14:paraId="2F1497B7" w14:textId="62B6F0A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440D0A04" w14:textId="1F3AFD2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434620AE" w14:textId="350F7E4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6,1%</w:t>
            </w:r>
          </w:p>
        </w:tc>
        <w:tc>
          <w:tcPr>
            <w:tcW w:w="1632" w:type="dxa"/>
          </w:tcPr>
          <w:p w14:paraId="74609C42" w14:textId="2E6BC52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r>
      <w:tr w:rsidR="00CF33EA" w:rsidRPr="00CF33EA" w14:paraId="1AB724C5" w14:textId="77777777" w:rsidTr="002C5FCC">
        <w:trPr>
          <w:trHeight w:val="269"/>
        </w:trPr>
        <w:tc>
          <w:tcPr>
            <w:cnfStyle w:val="001000000000" w:firstRow="0" w:lastRow="0" w:firstColumn="1" w:lastColumn="0" w:oddVBand="0" w:evenVBand="0" w:oddHBand="0" w:evenHBand="0" w:firstRowFirstColumn="0" w:firstRowLastColumn="0" w:lastRowFirstColumn="0" w:lastRowLastColumn="0"/>
            <w:tcW w:w="2378" w:type="dxa"/>
          </w:tcPr>
          <w:p w14:paraId="6D4EDCF5" w14:textId="777749D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Paterna</w:t>
            </w:r>
          </w:p>
        </w:tc>
        <w:tc>
          <w:tcPr>
            <w:tcW w:w="1783" w:type="dxa"/>
          </w:tcPr>
          <w:p w14:paraId="057F9DE4" w14:textId="365809A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0BD8E31D" w14:textId="6A76479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1A8D7441" w14:textId="56A47CF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c>
          <w:tcPr>
            <w:tcW w:w="1632" w:type="dxa"/>
          </w:tcPr>
          <w:p w14:paraId="3FB1953D" w14:textId="7F5AC9C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r>
      <w:tr w:rsidR="00CF33EA" w:rsidRPr="00CF33EA" w14:paraId="37C13B5D" w14:textId="77777777" w:rsidTr="002C5F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78" w:type="dxa"/>
          </w:tcPr>
          <w:p w14:paraId="7F0A6AB6" w14:textId="58FC8E8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Móstoles</w:t>
            </w:r>
          </w:p>
        </w:tc>
        <w:tc>
          <w:tcPr>
            <w:tcW w:w="1783" w:type="dxa"/>
          </w:tcPr>
          <w:p w14:paraId="4DACBD74" w14:textId="6BF5590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35" w:type="dxa"/>
          </w:tcPr>
          <w:p w14:paraId="76ECF65C" w14:textId="3E64C53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c>
          <w:tcPr>
            <w:tcW w:w="1628" w:type="dxa"/>
          </w:tcPr>
          <w:p w14:paraId="7BB424D9" w14:textId="3AEEDC5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6,5%</w:t>
            </w:r>
          </w:p>
        </w:tc>
        <w:tc>
          <w:tcPr>
            <w:tcW w:w="1632" w:type="dxa"/>
          </w:tcPr>
          <w:p w14:paraId="48F69BBB" w14:textId="7888F8F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r>
      <w:tr w:rsidR="00CF33EA" w:rsidRPr="00CF33EA" w14:paraId="6E2D9387" w14:textId="77777777" w:rsidTr="002C5FCC">
        <w:trPr>
          <w:trHeight w:val="369"/>
        </w:trPr>
        <w:tc>
          <w:tcPr>
            <w:cnfStyle w:val="001000000000" w:firstRow="0" w:lastRow="0" w:firstColumn="1" w:lastColumn="0" w:oddVBand="0" w:evenVBand="0" w:oddHBand="0" w:evenHBand="0" w:firstRowFirstColumn="0" w:firstRowLastColumn="0" w:lastRowFirstColumn="0" w:lastRowLastColumn="0"/>
            <w:tcW w:w="2378" w:type="dxa"/>
          </w:tcPr>
          <w:p w14:paraId="0B0F1DE1" w14:textId="39C4B88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Córdoba capital</w:t>
            </w:r>
          </w:p>
        </w:tc>
        <w:tc>
          <w:tcPr>
            <w:tcW w:w="1783" w:type="dxa"/>
          </w:tcPr>
          <w:p w14:paraId="5DF9F1F7" w14:textId="4AE8234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58C47788" w14:textId="469E4DE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28" w:type="dxa"/>
          </w:tcPr>
          <w:p w14:paraId="042A7E57" w14:textId="421EB0F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32" w:type="dxa"/>
          </w:tcPr>
          <w:p w14:paraId="6D3D9297" w14:textId="2E76DF3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33A3567D" w14:textId="77777777" w:rsidTr="002C5FC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78" w:type="dxa"/>
          </w:tcPr>
          <w:p w14:paraId="658198CD" w14:textId="215E671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Elche / Elx</w:t>
            </w:r>
          </w:p>
        </w:tc>
        <w:tc>
          <w:tcPr>
            <w:tcW w:w="1783" w:type="dxa"/>
          </w:tcPr>
          <w:p w14:paraId="37CFECEE" w14:textId="3DA5F84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3EC134FC" w14:textId="2333BA7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c>
          <w:tcPr>
            <w:tcW w:w="1628" w:type="dxa"/>
          </w:tcPr>
          <w:p w14:paraId="151A8F2D" w14:textId="1284C01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32" w:type="dxa"/>
          </w:tcPr>
          <w:p w14:paraId="36F36CD7" w14:textId="09CB1FC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68A18A23" w14:textId="77777777" w:rsidTr="002C5FCC">
        <w:trPr>
          <w:trHeight w:val="312"/>
        </w:trPr>
        <w:tc>
          <w:tcPr>
            <w:cnfStyle w:val="001000000000" w:firstRow="0" w:lastRow="0" w:firstColumn="1" w:lastColumn="0" w:oddVBand="0" w:evenVBand="0" w:oddHBand="0" w:evenHBand="0" w:firstRowFirstColumn="0" w:firstRowLastColumn="0" w:lastRowFirstColumn="0" w:lastRowLastColumn="0"/>
            <w:tcW w:w="2378" w:type="dxa"/>
          </w:tcPr>
          <w:p w14:paraId="1C39BFD8" w14:textId="508F102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Ponferrada</w:t>
            </w:r>
          </w:p>
        </w:tc>
        <w:tc>
          <w:tcPr>
            <w:tcW w:w="1783" w:type="dxa"/>
          </w:tcPr>
          <w:p w14:paraId="6E81916A" w14:textId="1B6C63F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7BB48870" w14:textId="2844D25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28" w:type="dxa"/>
          </w:tcPr>
          <w:p w14:paraId="57E3377B" w14:textId="7346A0A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c>
          <w:tcPr>
            <w:tcW w:w="1632" w:type="dxa"/>
          </w:tcPr>
          <w:p w14:paraId="42D46132" w14:textId="778F392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2EE2073F" w14:textId="77777777" w:rsidTr="002C5FC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78" w:type="dxa"/>
          </w:tcPr>
          <w:p w14:paraId="183D4BCA" w14:textId="4C91913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Fuenlabrada</w:t>
            </w:r>
          </w:p>
        </w:tc>
        <w:tc>
          <w:tcPr>
            <w:tcW w:w="1783" w:type="dxa"/>
          </w:tcPr>
          <w:p w14:paraId="02914D84" w14:textId="077D06C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1B577F39" w14:textId="62790C2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28" w:type="dxa"/>
          </w:tcPr>
          <w:p w14:paraId="06B85F04" w14:textId="58D41F8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6,5%</w:t>
            </w:r>
          </w:p>
        </w:tc>
        <w:tc>
          <w:tcPr>
            <w:tcW w:w="1632" w:type="dxa"/>
          </w:tcPr>
          <w:p w14:paraId="6A21D47F" w14:textId="5CCAD62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759CE263"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303CC013" w14:textId="6C85D0D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 Vicente del Raspeig / Sant Vicent del Raspeig</w:t>
            </w:r>
          </w:p>
        </w:tc>
        <w:tc>
          <w:tcPr>
            <w:tcW w:w="1783" w:type="dxa"/>
          </w:tcPr>
          <w:p w14:paraId="25A1579F" w14:textId="64AA611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39AB2383" w14:textId="775B68D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57E2DA1" w14:textId="08D14CB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04A97FEA" w14:textId="60787E8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1367E777"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1EA5DA84" w14:textId="099A61B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Alicante / Alacant</w:t>
            </w:r>
          </w:p>
        </w:tc>
        <w:tc>
          <w:tcPr>
            <w:tcW w:w="1783" w:type="dxa"/>
          </w:tcPr>
          <w:p w14:paraId="5BBCB8D1" w14:textId="02A3D2E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720B12F9" w14:textId="61DE691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2DE3CDA0" w14:textId="2C737A2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c>
          <w:tcPr>
            <w:tcW w:w="1632" w:type="dxa"/>
          </w:tcPr>
          <w:p w14:paraId="17542DA6" w14:textId="6521AA8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42825CCF" w14:textId="77777777" w:rsidTr="002C5FCC">
        <w:trPr>
          <w:trHeight w:val="262"/>
        </w:trPr>
        <w:tc>
          <w:tcPr>
            <w:cnfStyle w:val="001000000000" w:firstRow="0" w:lastRow="0" w:firstColumn="1" w:lastColumn="0" w:oddVBand="0" w:evenVBand="0" w:oddHBand="0" w:evenHBand="0" w:firstRowFirstColumn="0" w:firstRowLastColumn="0" w:lastRowFirstColumn="0" w:lastRowLastColumn="0"/>
            <w:tcW w:w="2378" w:type="dxa"/>
          </w:tcPr>
          <w:p w14:paraId="14276F83" w14:textId="57986CD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Badalona</w:t>
            </w:r>
          </w:p>
        </w:tc>
        <w:tc>
          <w:tcPr>
            <w:tcW w:w="1783" w:type="dxa"/>
          </w:tcPr>
          <w:p w14:paraId="47EDBFAB" w14:textId="0D934AF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c>
          <w:tcPr>
            <w:tcW w:w="1635" w:type="dxa"/>
          </w:tcPr>
          <w:p w14:paraId="06DEDD1D" w14:textId="66B0CD8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28" w:type="dxa"/>
          </w:tcPr>
          <w:p w14:paraId="2ED55AC8" w14:textId="27C9E3C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32" w:type="dxa"/>
          </w:tcPr>
          <w:p w14:paraId="4A087BCE" w14:textId="0733149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37B481F5" w14:textId="77777777" w:rsidTr="002C5FC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8" w:type="dxa"/>
          </w:tcPr>
          <w:p w14:paraId="3ACC1C34" w14:textId="4DA8D405"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Zaragoza capital</w:t>
            </w:r>
          </w:p>
        </w:tc>
        <w:tc>
          <w:tcPr>
            <w:tcW w:w="1783" w:type="dxa"/>
          </w:tcPr>
          <w:p w14:paraId="4362C4AB" w14:textId="60DA996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3,7%</w:t>
            </w:r>
          </w:p>
        </w:tc>
        <w:tc>
          <w:tcPr>
            <w:tcW w:w="1635" w:type="dxa"/>
          </w:tcPr>
          <w:p w14:paraId="3F1F9C6D" w14:textId="3D3B2F1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28" w:type="dxa"/>
          </w:tcPr>
          <w:p w14:paraId="3AC0E64D" w14:textId="2289CA0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32" w:type="dxa"/>
          </w:tcPr>
          <w:p w14:paraId="154FF69C" w14:textId="1B17B45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r>
      <w:tr w:rsidR="00CF33EA" w:rsidRPr="00CF33EA" w14:paraId="410F2E4A" w14:textId="77777777" w:rsidTr="002C5FCC">
        <w:trPr>
          <w:trHeight w:val="362"/>
        </w:trPr>
        <w:tc>
          <w:tcPr>
            <w:cnfStyle w:val="001000000000" w:firstRow="0" w:lastRow="0" w:firstColumn="1" w:lastColumn="0" w:oddVBand="0" w:evenVBand="0" w:oddHBand="0" w:evenHBand="0" w:firstRowFirstColumn="0" w:firstRowLastColumn="0" w:lastRowFirstColumn="0" w:lastRowLastColumn="0"/>
            <w:tcW w:w="2378" w:type="dxa"/>
          </w:tcPr>
          <w:p w14:paraId="22EA7231" w14:textId="776DA8D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Las Palmas de Gran Canaria</w:t>
            </w:r>
          </w:p>
        </w:tc>
        <w:tc>
          <w:tcPr>
            <w:tcW w:w="1783" w:type="dxa"/>
          </w:tcPr>
          <w:p w14:paraId="172B81A4" w14:textId="44F263D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5" w:type="dxa"/>
          </w:tcPr>
          <w:p w14:paraId="7B19411F" w14:textId="21EE24E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2E44C95" w14:textId="480B537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c>
          <w:tcPr>
            <w:tcW w:w="1632" w:type="dxa"/>
          </w:tcPr>
          <w:p w14:paraId="5B5AAF98" w14:textId="758CEA7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r>
      <w:tr w:rsidR="00CF33EA" w:rsidRPr="00CF33EA" w14:paraId="5B2881D1" w14:textId="77777777" w:rsidTr="002C5FC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78" w:type="dxa"/>
          </w:tcPr>
          <w:p w14:paraId="7E6F9F13" w14:textId="3A0CD8D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Sabadell</w:t>
            </w:r>
          </w:p>
        </w:tc>
        <w:tc>
          <w:tcPr>
            <w:tcW w:w="1783" w:type="dxa"/>
          </w:tcPr>
          <w:p w14:paraId="1B36A613" w14:textId="19E672E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1A8DD848" w14:textId="38D33C3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6,4%</w:t>
            </w:r>
          </w:p>
        </w:tc>
        <w:tc>
          <w:tcPr>
            <w:tcW w:w="1628" w:type="dxa"/>
          </w:tcPr>
          <w:p w14:paraId="4EAF1088" w14:textId="1AB9250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32" w:type="dxa"/>
          </w:tcPr>
          <w:p w14:paraId="2D1A0B19" w14:textId="4BCF4A3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r>
      <w:tr w:rsidR="00CF33EA" w:rsidRPr="00CF33EA" w14:paraId="36EC30BA" w14:textId="77777777" w:rsidTr="002C5FCC">
        <w:trPr>
          <w:trHeight w:val="236"/>
        </w:trPr>
        <w:tc>
          <w:tcPr>
            <w:cnfStyle w:val="001000000000" w:firstRow="0" w:lastRow="0" w:firstColumn="1" w:lastColumn="0" w:oddVBand="0" w:evenVBand="0" w:oddHBand="0" w:evenHBand="0" w:firstRowFirstColumn="0" w:firstRowLastColumn="0" w:lastRowFirstColumn="0" w:lastRowLastColumn="0"/>
            <w:tcW w:w="2378" w:type="dxa"/>
          </w:tcPr>
          <w:p w14:paraId="3C09108F" w14:textId="6A5F592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Arona</w:t>
            </w:r>
          </w:p>
        </w:tc>
        <w:tc>
          <w:tcPr>
            <w:tcW w:w="1783" w:type="dxa"/>
          </w:tcPr>
          <w:p w14:paraId="42CD0B6D" w14:textId="66EB1A7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5" w:type="dxa"/>
          </w:tcPr>
          <w:p w14:paraId="4F3C2765" w14:textId="6462E1A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1C01C84" w14:textId="4078AE9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32" w:type="dxa"/>
          </w:tcPr>
          <w:p w14:paraId="5212D117" w14:textId="70CFDE8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r>
      <w:tr w:rsidR="00CF33EA" w:rsidRPr="00CF33EA" w14:paraId="32342C6B" w14:textId="77777777" w:rsidTr="002C5FC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78" w:type="dxa"/>
          </w:tcPr>
          <w:p w14:paraId="1E163374" w14:textId="7197E56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Sevilla capital</w:t>
            </w:r>
          </w:p>
        </w:tc>
        <w:tc>
          <w:tcPr>
            <w:tcW w:w="1783" w:type="dxa"/>
          </w:tcPr>
          <w:p w14:paraId="54C0A17C" w14:textId="6B48D25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7D0002A9" w14:textId="63BB6FA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28" w:type="dxa"/>
          </w:tcPr>
          <w:p w14:paraId="04730DD3" w14:textId="28B6941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6,5%</w:t>
            </w:r>
          </w:p>
        </w:tc>
        <w:tc>
          <w:tcPr>
            <w:tcW w:w="1632" w:type="dxa"/>
          </w:tcPr>
          <w:p w14:paraId="4CE61804" w14:textId="7F5AE71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r>
      <w:tr w:rsidR="00CF33EA" w:rsidRPr="00CF33EA" w14:paraId="5C8FBEA6" w14:textId="77777777" w:rsidTr="002C5FCC">
        <w:trPr>
          <w:trHeight w:val="322"/>
        </w:trPr>
        <w:tc>
          <w:tcPr>
            <w:cnfStyle w:val="001000000000" w:firstRow="0" w:lastRow="0" w:firstColumn="1" w:lastColumn="0" w:oddVBand="0" w:evenVBand="0" w:oddHBand="0" w:evenHBand="0" w:firstRowFirstColumn="0" w:firstRowLastColumn="0" w:lastRowFirstColumn="0" w:lastRowLastColumn="0"/>
            <w:tcW w:w="2378" w:type="dxa"/>
          </w:tcPr>
          <w:p w14:paraId="1698CBFB" w14:textId="5D60C09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Oviedo</w:t>
            </w:r>
          </w:p>
        </w:tc>
        <w:tc>
          <w:tcPr>
            <w:tcW w:w="1783" w:type="dxa"/>
          </w:tcPr>
          <w:p w14:paraId="7ED61E1E" w14:textId="63CA1DB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774E5F1A" w14:textId="5BE3487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14A3728B" w14:textId="39605D5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32" w:type="dxa"/>
          </w:tcPr>
          <w:p w14:paraId="5D6DE8FB" w14:textId="40E9B77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r>
      <w:tr w:rsidR="00CF33EA" w:rsidRPr="00CF33EA" w14:paraId="1FC7CF10" w14:textId="77777777" w:rsidTr="002C5FC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378" w:type="dxa"/>
          </w:tcPr>
          <w:p w14:paraId="1191BB80" w14:textId="612FF01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Leganés</w:t>
            </w:r>
          </w:p>
        </w:tc>
        <w:tc>
          <w:tcPr>
            <w:tcW w:w="1783" w:type="dxa"/>
          </w:tcPr>
          <w:p w14:paraId="1ED2E522" w14:textId="0719EA5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5" w:type="dxa"/>
          </w:tcPr>
          <w:p w14:paraId="1BAD15B5" w14:textId="083EB7A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c>
          <w:tcPr>
            <w:tcW w:w="1628" w:type="dxa"/>
          </w:tcPr>
          <w:p w14:paraId="5A2677C0" w14:textId="6917A10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0CCE708" w14:textId="4A88BDC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r>
      <w:tr w:rsidR="00CF33EA" w:rsidRPr="00CF33EA" w14:paraId="18DCD608" w14:textId="77777777" w:rsidTr="002C5FCC">
        <w:trPr>
          <w:trHeight w:val="279"/>
        </w:trPr>
        <w:tc>
          <w:tcPr>
            <w:cnfStyle w:val="001000000000" w:firstRow="0" w:lastRow="0" w:firstColumn="1" w:lastColumn="0" w:oddVBand="0" w:evenVBand="0" w:oddHBand="0" w:evenHBand="0" w:firstRowFirstColumn="0" w:firstRowLastColumn="0" w:lastRowFirstColumn="0" w:lastRowLastColumn="0"/>
            <w:tcW w:w="2378" w:type="dxa"/>
          </w:tcPr>
          <w:p w14:paraId="4F5F5248" w14:textId="7AE5D615"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Gijón</w:t>
            </w:r>
          </w:p>
        </w:tc>
        <w:tc>
          <w:tcPr>
            <w:tcW w:w="1783" w:type="dxa"/>
          </w:tcPr>
          <w:p w14:paraId="16E47A36" w14:textId="5E52CC7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56312C3A" w14:textId="297A5C7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c>
          <w:tcPr>
            <w:tcW w:w="1628" w:type="dxa"/>
          </w:tcPr>
          <w:p w14:paraId="377A9945" w14:textId="563A821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32" w:type="dxa"/>
          </w:tcPr>
          <w:p w14:paraId="7556AAA1" w14:textId="1D9DC16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r>
      <w:tr w:rsidR="00CF33EA" w:rsidRPr="00CF33EA" w14:paraId="3A3C47A6" w14:textId="77777777" w:rsidTr="002C5FC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78" w:type="dxa"/>
          </w:tcPr>
          <w:p w14:paraId="6B0BA7FA" w14:textId="4810D7A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Alcorcón</w:t>
            </w:r>
          </w:p>
        </w:tc>
        <w:tc>
          <w:tcPr>
            <w:tcW w:w="1783" w:type="dxa"/>
          </w:tcPr>
          <w:p w14:paraId="39380F11" w14:textId="492E99C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5" w:type="dxa"/>
          </w:tcPr>
          <w:p w14:paraId="36A6D2B9" w14:textId="1BCD6AC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38EECAFD" w14:textId="3285990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3BEE2633" w14:textId="4A4C616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r>
      <w:tr w:rsidR="00CF33EA" w:rsidRPr="00CF33EA" w14:paraId="247D93B2" w14:textId="77777777" w:rsidTr="002C5FCC">
        <w:trPr>
          <w:trHeight w:val="380"/>
        </w:trPr>
        <w:tc>
          <w:tcPr>
            <w:cnfStyle w:val="001000000000" w:firstRow="0" w:lastRow="0" w:firstColumn="1" w:lastColumn="0" w:oddVBand="0" w:evenVBand="0" w:oddHBand="0" w:evenHBand="0" w:firstRowFirstColumn="0" w:firstRowLastColumn="0" w:lastRowFirstColumn="0" w:lastRowLastColumn="0"/>
            <w:tcW w:w="2378" w:type="dxa"/>
          </w:tcPr>
          <w:p w14:paraId="35956BF8" w14:textId="6F40BD2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Valencia capital</w:t>
            </w:r>
          </w:p>
        </w:tc>
        <w:tc>
          <w:tcPr>
            <w:tcW w:w="1783" w:type="dxa"/>
          </w:tcPr>
          <w:p w14:paraId="405BD991" w14:textId="21A53EC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1EB66CAA" w14:textId="5B657E4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57737931" w14:textId="5FAB4A6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6,1%</w:t>
            </w:r>
          </w:p>
        </w:tc>
        <w:tc>
          <w:tcPr>
            <w:tcW w:w="1632" w:type="dxa"/>
          </w:tcPr>
          <w:p w14:paraId="03FD38ED" w14:textId="495249F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r>
      <w:tr w:rsidR="00CF33EA" w:rsidRPr="00CF33EA" w14:paraId="55A70F5E"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0097E4F7" w14:textId="74ECDF9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Villajoyosa / La Vila Joiosa</w:t>
            </w:r>
          </w:p>
        </w:tc>
        <w:tc>
          <w:tcPr>
            <w:tcW w:w="1783" w:type="dxa"/>
          </w:tcPr>
          <w:p w14:paraId="5E378E47" w14:textId="3E4BD4D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45A1CA1" w14:textId="7E32171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6008FB77" w14:textId="62ACFAB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3A40029" w14:textId="211C0AC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r>
      <w:tr w:rsidR="00CF33EA" w:rsidRPr="00CF33EA" w14:paraId="1BC54AE6"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05056743" w14:textId="4BD6B0F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Badajoz capital</w:t>
            </w:r>
          </w:p>
        </w:tc>
        <w:tc>
          <w:tcPr>
            <w:tcW w:w="1783" w:type="dxa"/>
          </w:tcPr>
          <w:p w14:paraId="3B572E36" w14:textId="064FB57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1A94A24A" w14:textId="3AF0955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322AE19" w14:textId="3A9E8DB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32" w:type="dxa"/>
          </w:tcPr>
          <w:p w14:paraId="747DDE47" w14:textId="6FAF6E2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r>
      <w:tr w:rsidR="00CF33EA" w:rsidRPr="00CF33EA" w14:paraId="67A95750" w14:textId="77777777" w:rsidTr="002C5F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78" w:type="dxa"/>
          </w:tcPr>
          <w:p w14:paraId="7AD70BD4" w14:textId="3821FC14"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Torrejón de Ardoz</w:t>
            </w:r>
          </w:p>
        </w:tc>
        <w:tc>
          <w:tcPr>
            <w:tcW w:w="1783" w:type="dxa"/>
          </w:tcPr>
          <w:p w14:paraId="26EDBFA6" w14:textId="0AD0556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5" w:type="dxa"/>
          </w:tcPr>
          <w:p w14:paraId="09DE120F" w14:textId="7567E9A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28" w:type="dxa"/>
          </w:tcPr>
          <w:p w14:paraId="27677941" w14:textId="2E7B010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7A3881B" w14:textId="3FE3829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r>
      <w:tr w:rsidR="00CF33EA" w:rsidRPr="00CF33EA" w14:paraId="6D6BBB45" w14:textId="77777777" w:rsidTr="002C5FCC">
        <w:trPr>
          <w:trHeight w:val="340"/>
        </w:trPr>
        <w:tc>
          <w:tcPr>
            <w:cnfStyle w:val="001000000000" w:firstRow="0" w:lastRow="0" w:firstColumn="1" w:lastColumn="0" w:oddVBand="0" w:evenVBand="0" w:oddHBand="0" w:evenHBand="0" w:firstRowFirstColumn="0" w:firstRowLastColumn="0" w:lastRowFirstColumn="0" w:lastRowLastColumn="0"/>
            <w:tcW w:w="2378" w:type="dxa"/>
          </w:tcPr>
          <w:p w14:paraId="66877A4B" w14:textId="1616EB2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Alboraya</w:t>
            </w:r>
          </w:p>
        </w:tc>
        <w:tc>
          <w:tcPr>
            <w:tcW w:w="1783" w:type="dxa"/>
          </w:tcPr>
          <w:p w14:paraId="766B6E1A" w14:textId="0846EA8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26BDA01" w14:textId="23A087A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4E9703E5" w14:textId="6080CB2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27D567D" w14:textId="47FDE3C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6A9026CE" w14:textId="77777777" w:rsidTr="002C5FC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78" w:type="dxa"/>
          </w:tcPr>
          <w:p w14:paraId="58FC394E" w14:textId="7217BF2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Albacete capital</w:t>
            </w:r>
          </w:p>
        </w:tc>
        <w:tc>
          <w:tcPr>
            <w:tcW w:w="1783" w:type="dxa"/>
          </w:tcPr>
          <w:p w14:paraId="5F2F4D43" w14:textId="140E0D8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34B3DAB5" w14:textId="7A2A726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2DA23A6" w14:textId="49748CC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c>
          <w:tcPr>
            <w:tcW w:w="1632" w:type="dxa"/>
          </w:tcPr>
          <w:p w14:paraId="3596859A" w14:textId="1749655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37694899"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372DA014" w14:textId="75C28E0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Cáceres capital</w:t>
            </w:r>
          </w:p>
        </w:tc>
        <w:tc>
          <w:tcPr>
            <w:tcW w:w="1783" w:type="dxa"/>
          </w:tcPr>
          <w:p w14:paraId="6C62E0AD" w14:textId="43CF9C4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28523CA4" w14:textId="0EAC164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5ED39B7" w14:textId="7ADEA51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28CC0F07" w14:textId="4A7119C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037E4039"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5D12F33E" w14:textId="6FF6FC2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Alcalá de Henares</w:t>
            </w:r>
          </w:p>
        </w:tc>
        <w:tc>
          <w:tcPr>
            <w:tcW w:w="1783" w:type="dxa"/>
          </w:tcPr>
          <w:p w14:paraId="3B0A6D50" w14:textId="7135211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c>
          <w:tcPr>
            <w:tcW w:w="1635" w:type="dxa"/>
          </w:tcPr>
          <w:p w14:paraId="1A105D19" w14:textId="1E443C9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5,9%</w:t>
            </w:r>
          </w:p>
        </w:tc>
        <w:tc>
          <w:tcPr>
            <w:tcW w:w="1628" w:type="dxa"/>
          </w:tcPr>
          <w:p w14:paraId="00D0430E" w14:textId="3AD430D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32" w:type="dxa"/>
          </w:tcPr>
          <w:p w14:paraId="50A921B0" w14:textId="79634BD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725FA1D3"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1D727D23" w14:textId="7162B60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lastRenderedPageBreak/>
              <w:t>Ferrol</w:t>
            </w:r>
          </w:p>
        </w:tc>
        <w:tc>
          <w:tcPr>
            <w:tcW w:w="1783" w:type="dxa"/>
          </w:tcPr>
          <w:p w14:paraId="4C37648E" w14:textId="72EEFD4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5" w:type="dxa"/>
          </w:tcPr>
          <w:p w14:paraId="04198850" w14:textId="557807B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628F07AD" w14:textId="78CD508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32" w:type="dxa"/>
          </w:tcPr>
          <w:p w14:paraId="242674E8" w14:textId="7797ECD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01B28213" w14:textId="77777777" w:rsidTr="002C5FC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378" w:type="dxa"/>
          </w:tcPr>
          <w:p w14:paraId="59D008AC" w14:textId="1A66CA9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Burgos capital</w:t>
            </w:r>
          </w:p>
        </w:tc>
        <w:tc>
          <w:tcPr>
            <w:tcW w:w="1783" w:type="dxa"/>
          </w:tcPr>
          <w:p w14:paraId="1CE9936A" w14:textId="74775A9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47C916AF" w14:textId="21DA911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28" w:type="dxa"/>
          </w:tcPr>
          <w:p w14:paraId="087814DD" w14:textId="58FC271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2" w:type="dxa"/>
          </w:tcPr>
          <w:p w14:paraId="01C51B3C" w14:textId="5C74AF7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r>
      <w:tr w:rsidR="00CF33EA" w:rsidRPr="00CF33EA" w14:paraId="5EA45C92" w14:textId="77777777" w:rsidTr="002C5FCC">
        <w:trPr>
          <w:trHeight w:val="265"/>
        </w:trPr>
        <w:tc>
          <w:tcPr>
            <w:cnfStyle w:val="001000000000" w:firstRow="0" w:lastRow="0" w:firstColumn="1" w:lastColumn="0" w:oddVBand="0" w:evenVBand="0" w:oddHBand="0" w:evenHBand="0" w:firstRowFirstColumn="0" w:firstRowLastColumn="0" w:lastRowFirstColumn="0" w:lastRowLastColumn="0"/>
            <w:tcW w:w="2378" w:type="dxa"/>
          </w:tcPr>
          <w:p w14:paraId="3834CC00" w14:textId="037C49B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Getafe</w:t>
            </w:r>
          </w:p>
        </w:tc>
        <w:tc>
          <w:tcPr>
            <w:tcW w:w="1783" w:type="dxa"/>
          </w:tcPr>
          <w:p w14:paraId="5C82F635" w14:textId="5224B10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5" w:type="dxa"/>
          </w:tcPr>
          <w:p w14:paraId="272C3C20" w14:textId="64A7E7D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28" w:type="dxa"/>
          </w:tcPr>
          <w:p w14:paraId="670B6E8A" w14:textId="18768AA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6,3%</w:t>
            </w:r>
          </w:p>
        </w:tc>
        <w:tc>
          <w:tcPr>
            <w:tcW w:w="1632" w:type="dxa"/>
          </w:tcPr>
          <w:p w14:paraId="3C9C98F2" w14:textId="16B14D0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r>
      <w:tr w:rsidR="00CF33EA" w:rsidRPr="00CF33EA" w14:paraId="6B8106CD" w14:textId="77777777" w:rsidTr="002C5FC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78" w:type="dxa"/>
          </w:tcPr>
          <w:p w14:paraId="67382486" w14:textId="2AE5002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Vélez-Málaga</w:t>
            </w:r>
          </w:p>
        </w:tc>
        <w:tc>
          <w:tcPr>
            <w:tcW w:w="1783" w:type="dxa"/>
          </w:tcPr>
          <w:p w14:paraId="6FDE1EB0" w14:textId="2E42ABC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374C495D" w14:textId="4EC40D0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04A73F58" w14:textId="5235111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1F35BC2F" w14:textId="58DEBFF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r>
      <w:tr w:rsidR="00CF33EA" w:rsidRPr="00CF33EA" w14:paraId="5133184B" w14:textId="77777777" w:rsidTr="002C5FCC">
        <w:trPr>
          <w:trHeight w:val="251"/>
        </w:trPr>
        <w:tc>
          <w:tcPr>
            <w:cnfStyle w:val="001000000000" w:firstRow="0" w:lastRow="0" w:firstColumn="1" w:lastColumn="0" w:oddVBand="0" w:evenVBand="0" w:oddHBand="0" w:evenHBand="0" w:firstRowFirstColumn="0" w:firstRowLastColumn="0" w:lastRowFirstColumn="0" w:lastRowLastColumn="0"/>
            <w:tcW w:w="2378" w:type="dxa"/>
          </w:tcPr>
          <w:p w14:paraId="4FEEDB5C" w14:textId="7476F0D8"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Salou</w:t>
            </w:r>
          </w:p>
        </w:tc>
        <w:tc>
          <w:tcPr>
            <w:tcW w:w="1783" w:type="dxa"/>
          </w:tcPr>
          <w:p w14:paraId="1962400D" w14:textId="12027C5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693FEE37" w14:textId="0467EDF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4A2965C" w14:textId="2221F67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7C6F3437" w14:textId="0BF8771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r>
      <w:tr w:rsidR="00CF33EA" w:rsidRPr="00CF33EA" w14:paraId="2DB5BD5B" w14:textId="77777777" w:rsidTr="002C5FC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378" w:type="dxa"/>
          </w:tcPr>
          <w:p w14:paraId="3037C7E5" w14:textId="55FC801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Torrevieja</w:t>
            </w:r>
          </w:p>
        </w:tc>
        <w:tc>
          <w:tcPr>
            <w:tcW w:w="1783" w:type="dxa"/>
          </w:tcPr>
          <w:p w14:paraId="66FC5D14" w14:textId="52CC00E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5" w:type="dxa"/>
          </w:tcPr>
          <w:p w14:paraId="7A8BADA4" w14:textId="774B570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6,2%</w:t>
            </w:r>
          </w:p>
        </w:tc>
        <w:tc>
          <w:tcPr>
            <w:tcW w:w="1628" w:type="dxa"/>
          </w:tcPr>
          <w:p w14:paraId="5B916390" w14:textId="2055F7A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32" w:type="dxa"/>
          </w:tcPr>
          <w:p w14:paraId="73A5763B" w14:textId="1D0B0C0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r>
      <w:tr w:rsidR="00CF33EA" w:rsidRPr="00CF33EA" w14:paraId="0C4174C8" w14:textId="77777777" w:rsidTr="002C5FCC">
        <w:trPr>
          <w:trHeight w:val="370"/>
        </w:trPr>
        <w:tc>
          <w:tcPr>
            <w:cnfStyle w:val="001000000000" w:firstRow="0" w:lastRow="0" w:firstColumn="1" w:lastColumn="0" w:oddVBand="0" w:evenVBand="0" w:oddHBand="0" w:evenHBand="0" w:firstRowFirstColumn="0" w:firstRowLastColumn="0" w:lastRowFirstColumn="0" w:lastRowLastColumn="0"/>
            <w:tcW w:w="2378" w:type="dxa"/>
          </w:tcPr>
          <w:p w14:paraId="302E12B8" w14:textId="4BDA19A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Pamplona / Iruña</w:t>
            </w:r>
          </w:p>
        </w:tc>
        <w:tc>
          <w:tcPr>
            <w:tcW w:w="1783" w:type="dxa"/>
          </w:tcPr>
          <w:p w14:paraId="7290DB55" w14:textId="0916E7B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3A3B3873" w14:textId="4EC465B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0CF17543" w14:textId="5F7E2E0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2" w:type="dxa"/>
          </w:tcPr>
          <w:p w14:paraId="262C4AE2" w14:textId="06B9F1D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r>
      <w:tr w:rsidR="00CF33EA" w:rsidRPr="00CF33EA" w14:paraId="394F9452" w14:textId="77777777" w:rsidTr="002C5FC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78" w:type="dxa"/>
          </w:tcPr>
          <w:p w14:paraId="4629C45E" w14:textId="267F3FF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Castelldefels</w:t>
            </w:r>
          </w:p>
        </w:tc>
        <w:tc>
          <w:tcPr>
            <w:tcW w:w="1783" w:type="dxa"/>
          </w:tcPr>
          <w:p w14:paraId="4B5F2E54" w14:textId="7AC49F9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1D8120BD" w14:textId="642A858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28" w:type="dxa"/>
          </w:tcPr>
          <w:p w14:paraId="7DD1AC6D" w14:textId="4E51254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6FD0D385" w14:textId="1A10904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r>
      <w:tr w:rsidR="00CF33EA" w:rsidRPr="00CF33EA" w14:paraId="2F47F2BF" w14:textId="77777777" w:rsidTr="002C5FCC">
        <w:trPr>
          <w:trHeight w:val="269"/>
        </w:trPr>
        <w:tc>
          <w:tcPr>
            <w:cnfStyle w:val="001000000000" w:firstRow="0" w:lastRow="0" w:firstColumn="1" w:lastColumn="0" w:oddVBand="0" w:evenVBand="0" w:oddHBand="0" w:evenHBand="0" w:firstRowFirstColumn="0" w:firstRowLastColumn="0" w:lastRowFirstColumn="0" w:lastRowLastColumn="0"/>
            <w:tcW w:w="2378" w:type="dxa"/>
          </w:tcPr>
          <w:p w14:paraId="3CF9E322" w14:textId="087AD79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Jaén capital</w:t>
            </w:r>
          </w:p>
        </w:tc>
        <w:tc>
          <w:tcPr>
            <w:tcW w:w="1783" w:type="dxa"/>
          </w:tcPr>
          <w:p w14:paraId="598B64EB" w14:textId="6BACBA3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3,7%</w:t>
            </w:r>
          </w:p>
        </w:tc>
        <w:tc>
          <w:tcPr>
            <w:tcW w:w="1635" w:type="dxa"/>
          </w:tcPr>
          <w:p w14:paraId="53AB75D8" w14:textId="5C713A2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28" w:type="dxa"/>
          </w:tcPr>
          <w:p w14:paraId="73D4BD93" w14:textId="7ECFF5F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32" w:type="dxa"/>
          </w:tcPr>
          <w:p w14:paraId="4379B600" w14:textId="0B1B760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r>
      <w:tr w:rsidR="00CF33EA" w:rsidRPr="00CF33EA" w14:paraId="2BB53205" w14:textId="77777777" w:rsidTr="002C5FC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78" w:type="dxa"/>
          </w:tcPr>
          <w:p w14:paraId="76384D92" w14:textId="378C6D1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Girona capital</w:t>
            </w:r>
          </w:p>
        </w:tc>
        <w:tc>
          <w:tcPr>
            <w:tcW w:w="1783" w:type="dxa"/>
          </w:tcPr>
          <w:p w14:paraId="6904BF1D" w14:textId="2143120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7624BD15" w14:textId="2517999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7A76D100" w14:textId="156C2A2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32" w:type="dxa"/>
          </w:tcPr>
          <w:p w14:paraId="3B3CEF4D" w14:textId="7199A3A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r>
      <w:tr w:rsidR="00CF33EA" w:rsidRPr="00CF33EA" w14:paraId="21EE58AD" w14:textId="77777777" w:rsidTr="002C5FCC">
        <w:trPr>
          <w:trHeight w:val="355"/>
        </w:trPr>
        <w:tc>
          <w:tcPr>
            <w:cnfStyle w:val="001000000000" w:firstRow="0" w:lastRow="0" w:firstColumn="1" w:lastColumn="0" w:oddVBand="0" w:evenVBand="0" w:oddHBand="0" w:evenHBand="0" w:firstRowFirstColumn="0" w:firstRowLastColumn="0" w:lastRowFirstColumn="0" w:lastRowLastColumn="0"/>
            <w:tcW w:w="2378" w:type="dxa"/>
          </w:tcPr>
          <w:p w14:paraId="614CA382" w14:textId="2E294D0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El Puerto de Santa María</w:t>
            </w:r>
          </w:p>
        </w:tc>
        <w:tc>
          <w:tcPr>
            <w:tcW w:w="1783" w:type="dxa"/>
          </w:tcPr>
          <w:p w14:paraId="5429AD2F" w14:textId="017D31C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5DE5C0AF" w14:textId="3AEC760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521DE6E5" w14:textId="1C784A8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32" w:type="dxa"/>
          </w:tcPr>
          <w:p w14:paraId="602FB98E" w14:textId="4DD0D30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r>
      <w:tr w:rsidR="00CF33EA" w:rsidRPr="00CF33EA" w14:paraId="2DF1412D" w14:textId="77777777" w:rsidTr="002C5FC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378" w:type="dxa"/>
          </w:tcPr>
          <w:p w14:paraId="4FCCA164" w14:textId="5F3C51D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Logroño</w:t>
            </w:r>
          </w:p>
        </w:tc>
        <w:tc>
          <w:tcPr>
            <w:tcW w:w="1783" w:type="dxa"/>
          </w:tcPr>
          <w:p w14:paraId="78584A2C" w14:textId="281B811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c>
          <w:tcPr>
            <w:tcW w:w="1635" w:type="dxa"/>
          </w:tcPr>
          <w:p w14:paraId="6E2279CF" w14:textId="423411B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3BA7F5E8" w14:textId="62997D5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2" w:type="dxa"/>
          </w:tcPr>
          <w:p w14:paraId="35919AED" w14:textId="3569575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r>
      <w:tr w:rsidR="00CF33EA" w:rsidRPr="00CF33EA" w14:paraId="4A0EF841" w14:textId="77777777" w:rsidTr="002C5FCC">
        <w:trPr>
          <w:trHeight w:val="342"/>
        </w:trPr>
        <w:tc>
          <w:tcPr>
            <w:cnfStyle w:val="001000000000" w:firstRow="0" w:lastRow="0" w:firstColumn="1" w:lastColumn="0" w:oddVBand="0" w:evenVBand="0" w:oddHBand="0" w:evenHBand="0" w:firstRowFirstColumn="0" w:firstRowLastColumn="0" w:lastRowFirstColumn="0" w:lastRowLastColumn="0"/>
            <w:tcW w:w="2378" w:type="dxa"/>
          </w:tcPr>
          <w:p w14:paraId="1B5E3557" w14:textId="25490A1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Ciudad Real capital</w:t>
            </w:r>
          </w:p>
        </w:tc>
        <w:tc>
          <w:tcPr>
            <w:tcW w:w="1783" w:type="dxa"/>
          </w:tcPr>
          <w:p w14:paraId="083103DB" w14:textId="7E15BC0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5B6D9357" w14:textId="22DB029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28" w:type="dxa"/>
          </w:tcPr>
          <w:p w14:paraId="15BA65F2" w14:textId="46FEBDD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2" w:type="dxa"/>
          </w:tcPr>
          <w:p w14:paraId="2AE5B9A0" w14:textId="35C66F7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r>
      <w:tr w:rsidR="00CF33EA" w:rsidRPr="00CF33EA" w14:paraId="63D335EC" w14:textId="77777777" w:rsidTr="002C5FC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378" w:type="dxa"/>
          </w:tcPr>
          <w:p w14:paraId="3B56BA3E" w14:textId="18AE500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Mataró</w:t>
            </w:r>
          </w:p>
        </w:tc>
        <w:tc>
          <w:tcPr>
            <w:tcW w:w="1783" w:type="dxa"/>
          </w:tcPr>
          <w:p w14:paraId="0933B431" w14:textId="7241717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1F948336" w14:textId="53ABAAC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5,7%</w:t>
            </w:r>
          </w:p>
        </w:tc>
        <w:tc>
          <w:tcPr>
            <w:tcW w:w="1628" w:type="dxa"/>
          </w:tcPr>
          <w:p w14:paraId="1F7A6611" w14:textId="7BC3F44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5,4%</w:t>
            </w:r>
          </w:p>
        </w:tc>
        <w:tc>
          <w:tcPr>
            <w:tcW w:w="1632" w:type="dxa"/>
          </w:tcPr>
          <w:p w14:paraId="35AA5D8A" w14:textId="277E388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r>
      <w:tr w:rsidR="00CF33EA" w:rsidRPr="00CF33EA" w14:paraId="78A0B2B1" w14:textId="77777777" w:rsidTr="002C5FCC">
        <w:trPr>
          <w:trHeight w:val="234"/>
        </w:trPr>
        <w:tc>
          <w:tcPr>
            <w:cnfStyle w:val="001000000000" w:firstRow="0" w:lastRow="0" w:firstColumn="1" w:lastColumn="0" w:oddVBand="0" w:evenVBand="0" w:oddHBand="0" w:evenHBand="0" w:firstRowFirstColumn="0" w:firstRowLastColumn="0" w:lastRowFirstColumn="0" w:lastRowLastColumn="0"/>
            <w:tcW w:w="2378" w:type="dxa"/>
          </w:tcPr>
          <w:p w14:paraId="38C880D1" w14:textId="304B87D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Valladolid capital</w:t>
            </w:r>
          </w:p>
        </w:tc>
        <w:tc>
          <w:tcPr>
            <w:tcW w:w="1783" w:type="dxa"/>
          </w:tcPr>
          <w:p w14:paraId="7F02A2D8" w14:textId="5CA7BD3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232E3F44" w14:textId="2A12CCF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403DE4DA" w14:textId="2E4DB50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21814E2C" w14:textId="7625FE0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r>
      <w:tr w:rsidR="00CF33EA" w:rsidRPr="00CF33EA" w14:paraId="52322413" w14:textId="77777777" w:rsidTr="002C5FC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78" w:type="dxa"/>
          </w:tcPr>
          <w:p w14:paraId="47F41FCB" w14:textId="2A8FD08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Vitoria - Gasteiz</w:t>
            </w:r>
          </w:p>
        </w:tc>
        <w:tc>
          <w:tcPr>
            <w:tcW w:w="1783" w:type="dxa"/>
          </w:tcPr>
          <w:p w14:paraId="7B74935F" w14:textId="6A40821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4246A18B" w14:textId="47CAC60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2AB0190E" w14:textId="491AE98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0BDF378" w14:textId="287EDA9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r>
      <w:tr w:rsidR="00CF33EA" w:rsidRPr="00CF33EA" w14:paraId="2DC18ED7" w14:textId="77777777" w:rsidTr="002C5FCC">
        <w:trPr>
          <w:trHeight w:val="247"/>
        </w:trPr>
        <w:tc>
          <w:tcPr>
            <w:cnfStyle w:val="001000000000" w:firstRow="0" w:lastRow="0" w:firstColumn="1" w:lastColumn="0" w:oddVBand="0" w:evenVBand="0" w:oddHBand="0" w:evenHBand="0" w:firstRowFirstColumn="0" w:firstRowLastColumn="0" w:lastRowFirstColumn="0" w:lastRowLastColumn="0"/>
            <w:tcW w:w="2378" w:type="dxa"/>
          </w:tcPr>
          <w:p w14:paraId="689ED2CD" w14:textId="2594527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León capital</w:t>
            </w:r>
          </w:p>
        </w:tc>
        <w:tc>
          <w:tcPr>
            <w:tcW w:w="1783" w:type="dxa"/>
          </w:tcPr>
          <w:p w14:paraId="300A03E0" w14:textId="462D160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0B437674" w14:textId="4AB38A4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3623FDF5" w14:textId="64CC76F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32" w:type="dxa"/>
          </w:tcPr>
          <w:p w14:paraId="1DD2743A" w14:textId="12FC01C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37C8E4FC" w14:textId="77777777" w:rsidTr="002C5FC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78" w:type="dxa"/>
          </w:tcPr>
          <w:p w14:paraId="7591A9AA" w14:textId="68DBE27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Rincón de la Victoria</w:t>
            </w:r>
          </w:p>
        </w:tc>
        <w:tc>
          <w:tcPr>
            <w:tcW w:w="1783" w:type="dxa"/>
          </w:tcPr>
          <w:p w14:paraId="7026DD9C" w14:textId="568ACBA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1E109772" w14:textId="25B3FE9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D8EA7EF" w14:textId="053ACBC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32" w:type="dxa"/>
          </w:tcPr>
          <w:p w14:paraId="64CD6C84" w14:textId="3BA8AB3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78E4AFE5" w14:textId="77777777" w:rsidTr="002C5FCC">
        <w:trPr>
          <w:trHeight w:val="511"/>
        </w:trPr>
        <w:tc>
          <w:tcPr>
            <w:cnfStyle w:val="001000000000" w:firstRow="0" w:lastRow="0" w:firstColumn="1" w:lastColumn="0" w:oddVBand="0" w:evenVBand="0" w:oddHBand="0" w:evenHBand="0" w:firstRowFirstColumn="0" w:firstRowLastColumn="0" w:lastRowFirstColumn="0" w:lastRowLastColumn="0"/>
            <w:tcW w:w="2378" w:type="dxa"/>
          </w:tcPr>
          <w:p w14:paraId="31057A01" w14:textId="50BC7A7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 Bartolomé de Tirajana</w:t>
            </w:r>
          </w:p>
        </w:tc>
        <w:tc>
          <w:tcPr>
            <w:tcW w:w="1783" w:type="dxa"/>
          </w:tcPr>
          <w:p w14:paraId="3A2645C4" w14:textId="69B26D1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694F3C07" w14:textId="7D0FC0A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FBED1DB" w14:textId="605DBFF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768574F4" w14:textId="079990A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784A119F" w14:textId="77777777" w:rsidTr="002C5FC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78" w:type="dxa"/>
          </w:tcPr>
          <w:p w14:paraId="783CDCBF" w14:textId="294EA25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Adeje</w:t>
            </w:r>
          </w:p>
        </w:tc>
        <w:tc>
          <w:tcPr>
            <w:tcW w:w="1783" w:type="dxa"/>
          </w:tcPr>
          <w:p w14:paraId="51ED95A1" w14:textId="48B7D23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5" w:type="dxa"/>
          </w:tcPr>
          <w:p w14:paraId="22922046" w14:textId="4F08F25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AECEEA7" w14:textId="25466D7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E8C529C" w14:textId="19E34BD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74971B6F" w14:textId="77777777" w:rsidTr="002C5FCC">
        <w:trPr>
          <w:trHeight w:val="241"/>
        </w:trPr>
        <w:tc>
          <w:tcPr>
            <w:cnfStyle w:val="001000000000" w:firstRow="0" w:lastRow="0" w:firstColumn="1" w:lastColumn="0" w:oddVBand="0" w:evenVBand="0" w:oddHBand="0" w:evenHBand="0" w:firstRowFirstColumn="0" w:firstRowLastColumn="0" w:lastRowFirstColumn="0" w:lastRowLastColumn="0"/>
            <w:tcW w:w="2378" w:type="dxa"/>
          </w:tcPr>
          <w:p w14:paraId="4C92F0A1" w14:textId="3FE18BD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Granada capital</w:t>
            </w:r>
          </w:p>
        </w:tc>
        <w:tc>
          <w:tcPr>
            <w:tcW w:w="1783" w:type="dxa"/>
          </w:tcPr>
          <w:p w14:paraId="3C2631AC" w14:textId="4ABE7FE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c>
          <w:tcPr>
            <w:tcW w:w="1635" w:type="dxa"/>
          </w:tcPr>
          <w:p w14:paraId="204C5D84" w14:textId="093EE2F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28" w:type="dxa"/>
          </w:tcPr>
          <w:p w14:paraId="2CAC561D" w14:textId="4C951FB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32" w:type="dxa"/>
          </w:tcPr>
          <w:p w14:paraId="6A70631C" w14:textId="0FEE024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720075E4" w14:textId="77777777" w:rsidTr="002C5FC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8" w:type="dxa"/>
          </w:tcPr>
          <w:p w14:paraId="64047199" w14:textId="38DB098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Santander</w:t>
            </w:r>
          </w:p>
        </w:tc>
        <w:tc>
          <w:tcPr>
            <w:tcW w:w="1783" w:type="dxa"/>
          </w:tcPr>
          <w:p w14:paraId="1986F997" w14:textId="4608894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c>
          <w:tcPr>
            <w:tcW w:w="1635" w:type="dxa"/>
          </w:tcPr>
          <w:p w14:paraId="6A21C4C2" w14:textId="50876CD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c>
          <w:tcPr>
            <w:tcW w:w="1628" w:type="dxa"/>
          </w:tcPr>
          <w:p w14:paraId="2C863B71" w14:textId="766669B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2" w:type="dxa"/>
          </w:tcPr>
          <w:p w14:paraId="34A32648" w14:textId="51F2588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2573F0CA" w14:textId="77777777" w:rsidTr="002C5FCC">
        <w:trPr>
          <w:trHeight w:val="233"/>
        </w:trPr>
        <w:tc>
          <w:tcPr>
            <w:cnfStyle w:val="001000000000" w:firstRow="0" w:lastRow="0" w:firstColumn="1" w:lastColumn="0" w:oddVBand="0" w:evenVBand="0" w:oddHBand="0" w:evenHBand="0" w:firstRowFirstColumn="0" w:firstRowLastColumn="0" w:lastRowFirstColumn="0" w:lastRowLastColumn="0"/>
            <w:tcW w:w="2378" w:type="dxa"/>
          </w:tcPr>
          <w:p w14:paraId="16B78E96" w14:textId="593A7AE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Salamanca capital</w:t>
            </w:r>
          </w:p>
        </w:tc>
        <w:tc>
          <w:tcPr>
            <w:tcW w:w="1783" w:type="dxa"/>
          </w:tcPr>
          <w:p w14:paraId="1AE5D38E" w14:textId="338A87B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3,1%</w:t>
            </w:r>
          </w:p>
        </w:tc>
        <w:tc>
          <w:tcPr>
            <w:tcW w:w="1635" w:type="dxa"/>
          </w:tcPr>
          <w:p w14:paraId="7DF1B7DD" w14:textId="6484C14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28" w:type="dxa"/>
          </w:tcPr>
          <w:p w14:paraId="3D278BDA" w14:textId="53F8C10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312CF9B2" w14:textId="0911EE6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716E1B00" w14:textId="77777777" w:rsidTr="002C5FC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78" w:type="dxa"/>
          </w:tcPr>
          <w:p w14:paraId="173513D2" w14:textId="1492BD7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Santa Pola</w:t>
            </w:r>
          </w:p>
        </w:tc>
        <w:tc>
          <w:tcPr>
            <w:tcW w:w="1783" w:type="dxa"/>
          </w:tcPr>
          <w:p w14:paraId="6A460F2A" w14:textId="3E83B6BC" w:rsidR="00CF33EA" w:rsidRPr="00CF33EA" w:rsidRDefault="002C5FCC"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635" w:type="dxa"/>
          </w:tcPr>
          <w:p w14:paraId="1CC0C116" w14:textId="2E09945A" w:rsidR="00CF33EA" w:rsidRPr="00CF33EA" w:rsidRDefault="002C5FCC"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628" w:type="dxa"/>
          </w:tcPr>
          <w:p w14:paraId="29BC2204" w14:textId="3AB31D9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2" w:type="dxa"/>
          </w:tcPr>
          <w:p w14:paraId="3171AFB2" w14:textId="4FD8F44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6B3207AB" w14:textId="77777777" w:rsidTr="002C5FCC">
        <w:trPr>
          <w:trHeight w:val="269"/>
        </w:trPr>
        <w:tc>
          <w:tcPr>
            <w:cnfStyle w:val="001000000000" w:firstRow="0" w:lastRow="0" w:firstColumn="1" w:lastColumn="0" w:oddVBand="0" w:evenVBand="0" w:oddHBand="0" w:evenHBand="0" w:firstRowFirstColumn="0" w:firstRowLastColumn="0" w:lastRowFirstColumn="0" w:lastRowLastColumn="0"/>
            <w:tcW w:w="2378" w:type="dxa"/>
          </w:tcPr>
          <w:p w14:paraId="280EB8F3" w14:textId="5724A7A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Pinto</w:t>
            </w:r>
          </w:p>
        </w:tc>
        <w:tc>
          <w:tcPr>
            <w:tcW w:w="1783" w:type="dxa"/>
          </w:tcPr>
          <w:p w14:paraId="57DA161F" w14:textId="08DE976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648F86EA" w14:textId="76FD791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28" w:type="dxa"/>
          </w:tcPr>
          <w:p w14:paraId="7137AF2C" w14:textId="22615C8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004827F8" w14:textId="6E5267F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r>
      <w:tr w:rsidR="00CF33EA" w:rsidRPr="00CF33EA" w14:paraId="4D7B53B3"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795D1C43" w14:textId="48EA44FE"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Armilla</w:t>
            </w:r>
          </w:p>
        </w:tc>
        <w:tc>
          <w:tcPr>
            <w:tcW w:w="1783" w:type="dxa"/>
          </w:tcPr>
          <w:p w14:paraId="04122935" w14:textId="7DE513E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5" w:type="dxa"/>
          </w:tcPr>
          <w:p w14:paraId="47C39B43" w14:textId="11DF969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5,2%</w:t>
            </w:r>
          </w:p>
        </w:tc>
        <w:tc>
          <w:tcPr>
            <w:tcW w:w="1628" w:type="dxa"/>
          </w:tcPr>
          <w:p w14:paraId="36283E58" w14:textId="25BDDE5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0EC8A1D" w14:textId="5DFA06F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7391843B"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0F46D9B7" w14:textId="1EA4BA9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El Campello</w:t>
            </w:r>
          </w:p>
        </w:tc>
        <w:tc>
          <w:tcPr>
            <w:tcW w:w="1783" w:type="dxa"/>
          </w:tcPr>
          <w:p w14:paraId="2C1AF33C" w14:textId="2AC99D2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20F20FA7" w14:textId="22914489"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014F3EC2" w14:textId="060D1FF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32" w:type="dxa"/>
          </w:tcPr>
          <w:p w14:paraId="582737B8" w14:textId="6EC671B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5E2F4FDE"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08AB070" w14:textId="1C995BD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Avilés</w:t>
            </w:r>
          </w:p>
        </w:tc>
        <w:tc>
          <w:tcPr>
            <w:tcW w:w="1783" w:type="dxa"/>
          </w:tcPr>
          <w:p w14:paraId="539F8CD5" w14:textId="51F4E08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2AEAA08C" w14:textId="0D3FA09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061DD42F" w14:textId="5CA270B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4161C0D4" w14:textId="5D6F988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7F161CBD"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5817E318" w14:textId="16FBB3B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Llucmajor</w:t>
            </w:r>
          </w:p>
        </w:tc>
        <w:tc>
          <w:tcPr>
            <w:tcW w:w="1783" w:type="dxa"/>
          </w:tcPr>
          <w:p w14:paraId="276FFBB1" w14:textId="07DE1C8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0E178554" w14:textId="0DC2021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37629AB1" w14:textId="6BAC4F6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5CD55476" w14:textId="4900F7D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38AEF6FA"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0E5971C1" w14:textId="565F0549"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Vigo</w:t>
            </w:r>
          </w:p>
        </w:tc>
        <w:tc>
          <w:tcPr>
            <w:tcW w:w="1783" w:type="dxa"/>
          </w:tcPr>
          <w:p w14:paraId="186DAC97" w14:textId="2C68D13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3,3%</w:t>
            </w:r>
          </w:p>
        </w:tc>
        <w:tc>
          <w:tcPr>
            <w:tcW w:w="1635" w:type="dxa"/>
          </w:tcPr>
          <w:p w14:paraId="4282EE87" w14:textId="36C0E93F"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28" w:type="dxa"/>
          </w:tcPr>
          <w:p w14:paraId="34058A6F" w14:textId="7FE4F95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32" w:type="dxa"/>
          </w:tcPr>
          <w:p w14:paraId="539C928C" w14:textId="6EF2295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671A69C5"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2B45A0CD" w14:textId="3AE2B66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 Sebastián de los Reyes</w:t>
            </w:r>
          </w:p>
        </w:tc>
        <w:tc>
          <w:tcPr>
            <w:tcW w:w="1783" w:type="dxa"/>
          </w:tcPr>
          <w:p w14:paraId="293692FE" w14:textId="6E91A5B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c>
          <w:tcPr>
            <w:tcW w:w="1635" w:type="dxa"/>
          </w:tcPr>
          <w:p w14:paraId="2DB1EECB" w14:textId="689FD00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E22B764" w14:textId="74506C6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34E24268" w14:textId="0CF2032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40495949" w14:textId="77777777" w:rsidTr="002C5FC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78" w:type="dxa"/>
          </w:tcPr>
          <w:p w14:paraId="7B588A2C" w14:textId="2BF1A34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Torremolinos</w:t>
            </w:r>
          </w:p>
        </w:tc>
        <w:tc>
          <w:tcPr>
            <w:tcW w:w="1783" w:type="dxa"/>
          </w:tcPr>
          <w:p w14:paraId="0EB9B180" w14:textId="0AEB40E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3,9%</w:t>
            </w:r>
          </w:p>
        </w:tc>
        <w:tc>
          <w:tcPr>
            <w:tcW w:w="1635" w:type="dxa"/>
          </w:tcPr>
          <w:p w14:paraId="04DB2431" w14:textId="15E83F4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28" w:type="dxa"/>
          </w:tcPr>
          <w:p w14:paraId="6608111D" w14:textId="3DD85CC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5E8570E8" w14:textId="1569346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r>
      <w:tr w:rsidR="00CF33EA" w:rsidRPr="00CF33EA" w14:paraId="715CEC6F"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58F319AA" w14:textId="4238891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Málaga capital</w:t>
            </w:r>
          </w:p>
        </w:tc>
        <w:tc>
          <w:tcPr>
            <w:tcW w:w="1783" w:type="dxa"/>
          </w:tcPr>
          <w:p w14:paraId="012C67ED" w14:textId="4BD0E17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1F9BA86C" w14:textId="4882259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28" w:type="dxa"/>
          </w:tcPr>
          <w:p w14:paraId="3198E8FD" w14:textId="5277301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5,8%</w:t>
            </w:r>
          </w:p>
        </w:tc>
        <w:tc>
          <w:tcPr>
            <w:tcW w:w="1632" w:type="dxa"/>
          </w:tcPr>
          <w:p w14:paraId="522F0844" w14:textId="7ECA644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r>
      <w:tr w:rsidR="00CF33EA" w:rsidRPr="00CF33EA" w14:paraId="43220884"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14E74AAC" w14:textId="2E699CB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Castro-Urdiales</w:t>
            </w:r>
          </w:p>
        </w:tc>
        <w:tc>
          <w:tcPr>
            <w:tcW w:w="1783" w:type="dxa"/>
          </w:tcPr>
          <w:p w14:paraId="08287524" w14:textId="6EDD8C1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13229297" w14:textId="0C12C1B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28" w:type="dxa"/>
          </w:tcPr>
          <w:p w14:paraId="305E5A49" w14:textId="29D56F2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2" w:type="dxa"/>
          </w:tcPr>
          <w:p w14:paraId="2EBA7B89" w14:textId="1C67FBA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r>
      <w:tr w:rsidR="00CF33EA" w:rsidRPr="00CF33EA" w14:paraId="6BF056CC"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0BAD9050" w14:textId="4866F1E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Palencia capital</w:t>
            </w:r>
          </w:p>
        </w:tc>
        <w:tc>
          <w:tcPr>
            <w:tcW w:w="1783" w:type="dxa"/>
          </w:tcPr>
          <w:p w14:paraId="1C86172B" w14:textId="42EBB0A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5F3398BF" w14:textId="772AAE5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977C634" w14:textId="3201A73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4,9%</w:t>
            </w:r>
          </w:p>
        </w:tc>
        <w:tc>
          <w:tcPr>
            <w:tcW w:w="1632" w:type="dxa"/>
          </w:tcPr>
          <w:p w14:paraId="62FBAB87" w14:textId="20C0F59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r>
      <w:tr w:rsidR="00CF33EA" w:rsidRPr="00CF33EA" w14:paraId="7BF1913C"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7E3EBA81" w14:textId="0EB969C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Mijas</w:t>
            </w:r>
          </w:p>
        </w:tc>
        <w:tc>
          <w:tcPr>
            <w:tcW w:w="1783" w:type="dxa"/>
          </w:tcPr>
          <w:p w14:paraId="4785E45E" w14:textId="78E79F7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7696CD93" w14:textId="03569C1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12598208" w14:textId="5E15DF5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0EDE29AD" w14:textId="1A215CC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r>
      <w:tr w:rsidR="00CF33EA" w:rsidRPr="00CF33EA" w14:paraId="66ABFD7B" w14:textId="77777777" w:rsidTr="002C5FCC">
        <w:trPr>
          <w:trHeight w:val="269"/>
        </w:trPr>
        <w:tc>
          <w:tcPr>
            <w:cnfStyle w:val="001000000000" w:firstRow="0" w:lastRow="0" w:firstColumn="1" w:lastColumn="0" w:oddVBand="0" w:evenVBand="0" w:oddHBand="0" w:evenHBand="0" w:firstRowFirstColumn="0" w:firstRowLastColumn="0" w:lastRowFirstColumn="0" w:lastRowLastColumn="0"/>
            <w:tcW w:w="2378" w:type="dxa"/>
          </w:tcPr>
          <w:p w14:paraId="7D5D9E42" w14:textId="1E16FE6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Cádiz capital</w:t>
            </w:r>
          </w:p>
        </w:tc>
        <w:tc>
          <w:tcPr>
            <w:tcW w:w="1783" w:type="dxa"/>
          </w:tcPr>
          <w:p w14:paraId="0B8D46BC" w14:textId="2AAB1E5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45DF5E68" w14:textId="5851D46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28" w:type="dxa"/>
          </w:tcPr>
          <w:p w14:paraId="253599E5" w14:textId="2F7C542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2" w:type="dxa"/>
          </w:tcPr>
          <w:p w14:paraId="145D9F11" w14:textId="2403494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r>
      <w:tr w:rsidR="00CF33EA" w:rsidRPr="00CF33EA" w14:paraId="2B3899CA"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6F283B43" w14:textId="7BD98A6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Benalmádena</w:t>
            </w:r>
          </w:p>
        </w:tc>
        <w:tc>
          <w:tcPr>
            <w:tcW w:w="1783" w:type="dxa"/>
          </w:tcPr>
          <w:p w14:paraId="75766289" w14:textId="73B7CDC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59AF22DF" w14:textId="338040B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2ED99DA7" w14:textId="284BAA8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2" w:type="dxa"/>
          </w:tcPr>
          <w:p w14:paraId="6D81E4EF" w14:textId="5B0378E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r>
      <w:tr w:rsidR="00CF33EA" w:rsidRPr="00CF33EA" w14:paraId="655181AA"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570A2B1" w14:textId="208F4AF6"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Pontevedra capital</w:t>
            </w:r>
          </w:p>
        </w:tc>
        <w:tc>
          <w:tcPr>
            <w:tcW w:w="1783" w:type="dxa"/>
          </w:tcPr>
          <w:p w14:paraId="3D1E1EA4" w14:textId="6AD0B63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478A5836" w14:textId="29F6524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2166F945" w14:textId="54DEF8D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067583E4" w14:textId="08E7E11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r>
      <w:tr w:rsidR="00CF33EA" w:rsidRPr="00CF33EA" w14:paraId="6C7092A6"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02E84DAC" w14:textId="1062747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Benidorm</w:t>
            </w:r>
          </w:p>
        </w:tc>
        <w:tc>
          <w:tcPr>
            <w:tcW w:w="1783" w:type="dxa"/>
          </w:tcPr>
          <w:p w14:paraId="24F87D14" w14:textId="1993A89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6BE32794" w14:textId="0AC44CE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28" w:type="dxa"/>
          </w:tcPr>
          <w:p w14:paraId="04725C45" w14:textId="3AC140E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2" w:type="dxa"/>
          </w:tcPr>
          <w:p w14:paraId="324A6E27" w14:textId="1B5FB65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r>
      <w:tr w:rsidR="00CF33EA" w:rsidRPr="00CF33EA" w14:paraId="2CE5FBCB"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5B6EB42" w14:textId="39E9C48C"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lastRenderedPageBreak/>
              <w:t>Bilbao</w:t>
            </w:r>
          </w:p>
        </w:tc>
        <w:tc>
          <w:tcPr>
            <w:tcW w:w="1783" w:type="dxa"/>
          </w:tcPr>
          <w:p w14:paraId="456C0DAE" w14:textId="45E0AFE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3,7%</w:t>
            </w:r>
          </w:p>
        </w:tc>
        <w:tc>
          <w:tcPr>
            <w:tcW w:w="1635" w:type="dxa"/>
          </w:tcPr>
          <w:p w14:paraId="5D55A9B8" w14:textId="02CC6A0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3A5CEC0F" w14:textId="31A2EE1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6,0%</w:t>
            </w:r>
          </w:p>
        </w:tc>
        <w:tc>
          <w:tcPr>
            <w:tcW w:w="1632" w:type="dxa"/>
          </w:tcPr>
          <w:p w14:paraId="19D8CABA" w14:textId="0528B65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r>
      <w:tr w:rsidR="00CF33EA" w:rsidRPr="00CF33EA" w14:paraId="09E94452"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0DF95365" w14:textId="02D91272"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Madrid capital</w:t>
            </w:r>
          </w:p>
        </w:tc>
        <w:tc>
          <w:tcPr>
            <w:tcW w:w="1783" w:type="dxa"/>
          </w:tcPr>
          <w:p w14:paraId="31010975" w14:textId="4E89399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0FD49716" w14:textId="1D57C6A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28" w:type="dxa"/>
          </w:tcPr>
          <w:p w14:paraId="69B4E8B4" w14:textId="02B77E7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5,3%</w:t>
            </w:r>
          </w:p>
        </w:tc>
        <w:tc>
          <w:tcPr>
            <w:tcW w:w="1632" w:type="dxa"/>
          </w:tcPr>
          <w:p w14:paraId="5C5026B1" w14:textId="32100CD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r>
      <w:tr w:rsidR="00CF33EA" w:rsidRPr="00CF33EA" w14:paraId="11C7F77C"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54EEC678" w14:textId="570D307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Estepona</w:t>
            </w:r>
          </w:p>
        </w:tc>
        <w:tc>
          <w:tcPr>
            <w:tcW w:w="1783" w:type="dxa"/>
          </w:tcPr>
          <w:p w14:paraId="6740CAC6" w14:textId="7AABFB6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3BAFFE53" w14:textId="2844A69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5,5%</w:t>
            </w:r>
          </w:p>
        </w:tc>
        <w:tc>
          <w:tcPr>
            <w:tcW w:w="1628" w:type="dxa"/>
          </w:tcPr>
          <w:p w14:paraId="69BC7B4F" w14:textId="5CAD3F1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32" w:type="dxa"/>
          </w:tcPr>
          <w:p w14:paraId="7ED378A3" w14:textId="256A8DE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r>
      <w:tr w:rsidR="00CF33EA" w:rsidRPr="00CF33EA" w14:paraId="06EA355F"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7BA63976" w14:textId="358D9DD0"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Ourense capital</w:t>
            </w:r>
          </w:p>
        </w:tc>
        <w:tc>
          <w:tcPr>
            <w:tcW w:w="1783" w:type="dxa"/>
          </w:tcPr>
          <w:p w14:paraId="32F75430" w14:textId="14EC0BDB"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3,2%</w:t>
            </w:r>
          </w:p>
        </w:tc>
        <w:tc>
          <w:tcPr>
            <w:tcW w:w="1635" w:type="dxa"/>
          </w:tcPr>
          <w:p w14:paraId="556573B4" w14:textId="3E8F9B7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28" w:type="dxa"/>
          </w:tcPr>
          <w:p w14:paraId="3014980F" w14:textId="264CD67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4,8%</w:t>
            </w:r>
          </w:p>
        </w:tc>
        <w:tc>
          <w:tcPr>
            <w:tcW w:w="1632" w:type="dxa"/>
          </w:tcPr>
          <w:p w14:paraId="211A3EDC" w14:textId="6CCC54B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r>
      <w:tr w:rsidR="00CF33EA" w:rsidRPr="00CF33EA" w14:paraId="0E1E8365"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620E40DF" w14:textId="75DAE73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Altea</w:t>
            </w:r>
          </w:p>
        </w:tc>
        <w:tc>
          <w:tcPr>
            <w:tcW w:w="1783" w:type="dxa"/>
          </w:tcPr>
          <w:p w14:paraId="57DB902A" w14:textId="69E60B9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D367D57" w14:textId="39587B0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4E734387" w14:textId="1273773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36F2727A" w14:textId="72B1F02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r>
      <w:tr w:rsidR="00CF33EA" w:rsidRPr="00CF33EA" w14:paraId="09C7A013"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3A381B3" w14:textId="2F57846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Palma de Mallorca</w:t>
            </w:r>
          </w:p>
        </w:tc>
        <w:tc>
          <w:tcPr>
            <w:tcW w:w="1783" w:type="dxa"/>
          </w:tcPr>
          <w:p w14:paraId="72B378DB" w14:textId="4B7E404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8,8%</w:t>
            </w:r>
          </w:p>
        </w:tc>
        <w:tc>
          <w:tcPr>
            <w:tcW w:w="1635" w:type="dxa"/>
          </w:tcPr>
          <w:p w14:paraId="6A3058AD" w14:textId="4575934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5,6%</w:t>
            </w:r>
          </w:p>
        </w:tc>
        <w:tc>
          <w:tcPr>
            <w:tcW w:w="1628" w:type="dxa"/>
          </w:tcPr>
          <w:p w14:paraId="5BC6CD12" w14:textId="4A9EF0D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32" w:type="dxa"/>
          </w:tcPr>
          <w:p w14:paraId="74B61EC7" w14:textId="4E89515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r>
      <w:tr w:rsidR="00CF33EA" w:rsidRPr="00CF33EA" w14:paraId="002FCD35"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A549C0B" w14:textId="0502B1D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Fuengirola</w:t>
            </w:r>
          </w:p>
        </w:tc>
        <w:tc>
          <w:tcPr>
            <w:tcW w:w="1783" w:type="dxa"/>
          </w:tcPr>
          <w:p w14:paraId="2AF3331B" w14:textId="536DCEF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5" w:type="dxa"/>
          </w:tcPr>
          <w:p w14:paraId="4EFC55DE" w14:textId="36A99A3F"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4177154B" w14:textId="238F256D"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32" w:type="dxa"/>
          </w:tcPr>
          <w:p w14:paraId="1078AA74" w14:textId="459B8576"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r>
      <w:tr w:rsidR="00CF33EA" w:rsidRPr="00CF33EA" w14:paraId="21BD4824"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4E00C0C" w14:textId="7A5BE8E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Marbella</w:t>
            </w:r>
          </w:p>
        </w:tc>
        <w:tc>
          <w:tcPr>
            <w:tcW w:w="1783" w:type="dxa"/>
          </w:tcPr>
          <w:p w14:paraId="623AFF20" w14:textId="33034C2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5" w:type="dxa"/>
          </w:tcPr>
          <w:p w14:paraId="0C5A63E4" w14:textId="208E14D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5,0%</w:t>
            </w:r>
          </w:p>
        </w:tc>
        <w:tc>
          <w:tcPr>
            <w:tcW w:w="1628" w:type="dxa"/>
          </w:tcPr>
          <w:p w14:paraId="02B6DF93" w14:textId="05C35D2C"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2" w:type="dxa"/>
          </w:tcPr>
          <w:p w14:paraId="3CABB14A" w14:textId="32DA104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r>
      <w:tr w:rsidR="00CF33EA" w:rsidRPr="00CF33EA" w14:paraId="60CA0100"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758558E7" w14:textId="72AECBC7"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Majadahonda</w:t>
            </w:r>
          </w:p>
        </w:tc>
        <w:tc>
          <w:tcPr>
            <w:tcW w:w="1783" w:type="dxa"/>
          </w:tcPr>
          <w:p w14:paraId="17B08F3B" w14:textId="36CC91A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c>
          <w:tcPr>
            <w:tcW w:w="1635" w:type="dxa"/>
          </w:tcPr>
          <w:p w14:paraId="6B7380E7" w14:textId="60FC46A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4,7%</w:t>
            </w:r>
          </w:p>
        </w:tc>
        <w:tc>
          <w:tcPr>
            <w:tcW w:w="1628" w:type="dxa"/>
          </w:tcPr>
          <w:p w14:paraId="49252025" w14:textId="492E403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2" w:type="dxa"/>
          </w:tcPr>
          <w:p w14:paraId="304EF998" w14:textId="0E635561"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r>
      <w:tr w:rsidR="00CF33EA" w:rsidRPr="00CF33EA" w14:paraId="217F744F"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0955376" w14:textId="13CF2F5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Las Rozas de Madrid</w:t>
            </w:r>
          </w:p>
        </w:tc>
        <w:tc>
          <w:tcPr>
            <w:tcW w:w="1783" w:type="dxa"/>
          </w:tcPr>
          <w:p w14:paraId="3BAFB660" w14:textId="0E5748C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3,8%</w:t>
            </w:r>
          </w:p>
        </w:tc>
        <w:tc>
          <w:tcPr>
            <w:tcW w:w="1635" w:type="dxa"/>
          </w:tcPr>
          <w:p w14:paraId="5EF458EA" w14:textId="458F30D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4,6%</w:t>
            </w:r>
          </w:p>
        </w:tc>
        <w:tc>
          <w:tcPr>
            <w:tcW w:w="1628" w:type="dxa"/>
          </w:tcPr>
          <w:p w14:paraId="5F03F341" w14:textId="215267D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3597F42F" w14:textId="7165E5D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r>
      <w:tr w:rsidR="00CF33EA" w:rsidRPr="00CF33EA" w14:paraId="72CD1C9E"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19DCE3F" w14:textId="6D2E466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A Coruña capital</w:t>
            </w:r>
          </w:p>
        </w:tc>
        <w:tc>
          <w:tcPr>
            <w:tcW w:w="1783" w:type="dxa"/>
          </w:tcPr>
          <w:p w14:paraId="0DFE0EAC" w14:textId="2351037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3,0%</w:t>
            </w:r>
          </w:p>
        </w:tc>
        <w:tc>
          <w:tcPr>
            <w:tcW w:w="1635" w:type="dxa"/>
          </w:tcPr>
          <w:p w14:paraId="66859068" w14:textId="75FFB34A"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28" w:type="dxa"/>
          </w:tcPr>
          <w:p w14:paraId="2D01E144" w14:textId="6D8E18C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2" w:type="dxa"/>
          </w:tcPr>
          <w:p w14:paraId="3C2BAE5E" w14:textId="7F58ECD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r>
      <w:tr w:rsidR="00CF33EA" w:rsidRPr="00CF33EA" w14:paraId="56A95203"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1CFDCBF" w14:textId="11830BFD"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Barcelona capital</w:t>
            </w:r>
          </w:p>
        </w:tc>
        <w:tc>
          <w:tcPr>
            <w:tcW w:w="1783" w:type="dxa"/>
          </w:tcPr>
          <w:p w14:paraId="5E547542" w14:textId="6B6FA394"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3,7%</w:t>
            </w:r>
          </w:p>
        </w:tc>
        <w:tc>
          <w:tcPr>
            <w:tcW w:w="1635" w:type="dxa"/>
          </w:tcPr>
          <w:p w14:paraId="69235810" w14:textId="34E3473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28" w:type="dxa"/>
          </w:tcPr>
          <w:p w14:paraId="0BF65E05" w14:textId="0E30234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5,1%</w:t>
            </w:r>
          </w:p>
        </w:tc>
        <w:tc>
          <w:tcPr>
            <w:tcW w:w="1632" w:type="dxa"/>
          </w:tcPr>
          <w:p w14:paraId="05819121" w14:textId="67C574B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r>
      <w:tr w:rsidR="00CF33EA" w:rsidRPr="00CF33EA" w14:paraId="7EB344F0"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8BC31AE" w14:textId="1D1C67B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Calvià</w:t>
            </w:r>
          </w:p>
        </w:tc>
        <w:tc>
          <w:tcPr>
            <w:tcW w:w="1783" w:type="dxa"/>
          </w:tcPr>
          <w:p w14:paraId="26CAABF7" w14:textId="65C42814"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4833EEB5" w14:textId="31427B7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0B5976A4" w14:textId="5E87ECF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2" w:type="dxa"/>
          </w:tcPr>
          <w:p w14:paraId="02291FBD" w14:textId="1F9A539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4,2%</w:t>
            </w:r>
          </w:p>
        </w:tc>
      </w:tr>
      <w:tr w:rsidR="00CF33EA" w:rsidRPr="00CF33EA" w14:paraId="26E9B1AB"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3E689CA2" w14:textId="7E85807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Tres Cantos</w:t>
            </w:r>
          </w:p>
        </w:tc>
        <w:tc>
          <w:tcPr>
            <w:tcW w:w="1783" w:type="dxa"/>
          </w:tcPr>
          <w:p w14:paraId="4E4DBD8E" w14:textId="629F94A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5" w:type="dxa"/>
          </w:tcPr>
          <w:p w14:paraId="176DCE19" w14:textId="1F15AE2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6A8862EE" w14:textId="1DC68A20"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0D483A1A" w14:textId="64ADA87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r>
      <w:tr w:rsidR="00CF33EA" w:rsidRPr="00CF33EA" w14:paraId="78B85765"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6E51A5C4" w14:textId="7523E77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Sitges</w:t>
            </w:r>
          </w:p>
        </w:tc>
        <w:tc>
          <w:tcPr>
            <w:tcW w:w="1783" w:type="dxa"/>
          </w:tcPr>
          <w:p w14:paraId="4D513654" w14:textId="7D72C592"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3,1%</w:t>
            </w:r>
          </w:p>
        </w:tc>
        <w:tc>
          <w:tcPr>
            <w:tcW w:w="1635" w:type="dxa"/>
          </w:tcPr>
          <w:p w14:paraId="3F9E2489" w14:textId="3712650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28" w:type="dxa"/>
          </w:tcPr>
          <w:p w14:paraId="30EC6474" w14:textId="57BB9D08"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4,3%</w:t>
            </w:r>
          </w:p>
        </w:tc>
        <w:tc>
          <w:tcPr>
            <w:tcW w:w="1632" w:type="dxa"/>
          </w:tcPr>
          <w:p w14:paraId="77D670F5" w14:textId="538418AB"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r>
      <w:tr w:rsidR="00CF33EA" w:rsidRPr="00CF33EA" w14:paraId="38BFA333"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52FDA936" w14:textId="0DB32D05"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Boadilla del Monte</w:t>
            </w:r>
          </w:p>
        </w:tc>
        <w:tc>
          <w:tcPr>
            <w:tcW w:w="1783" w:type="dxa"/>
          </w:tcPr>
          <w:p w14:paraId="68516FA1" w14:textId="2DD2C49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17346CBA" w14:textId="09CC183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513BCB00" w14:textId="75CAB80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32" w:type="dxa"/>
          </w:tcPr>
          <w:p w14:paraId="7DE79803" w14:textId="7D028C2D"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r>
      <w:tr w:rsidR="00CF33EA" w:rsidRPr="00CF33EA" w14:paraId="0F53E4CC"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2AE4BBF6" w14:textId="65C89DFF"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Santiago de Compostela</w:t>
            </w:r>
          </w:p>
        </w:tc>
        <w:tc>
          <w:tcPr>
            <w:tcW w:w="1783" w:type="dxa"/>
          </w:tcPr>
          <w:p w14:paraId="240B9D71" w14:textId="5C621F0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3,2%</w:t>
            </w:r>
          </w:p>
        </w:tc>
        <w:tc>
          <w:tcPr>
            <w:tcW w:w="1635" w:type="dxa"/>
          </w:tcPr>
          <w:p w14:paraId="6CA3C00E" w14:textId="3B4CE56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c>
          <w:tcPr>
            <w:tcW w:w="1628" w:type="dxa"/>
          </w:tcPr>
          <w:p w14:paraId="610BC847" w14:textId="100A3B9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2" w:type="dxa"/>
          </w:tcPr>
          <w:p w14:paraId="1C0F3AEA" w14:textId="739C39FC"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r>
      <w:tr w:rsidR="00CF33EA" w:rsidRPr="00CF33EA" w14:paraId="4A7581E5"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207D2C05" w14:textId="4B69729B"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Sant Cugat del Vallès</w:t>
            </w:r>
          </w:p>
        </w:tc>
        <w:tc>
          <w:tcPr>
            <w:tcW w:w="1783" w:type="dxa"/>
          </w:tcPr>
          <w:p w14:paraId="7D0E8159" w14:textId="275E7A1A"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308522C0" w14:textId="6E7F1075"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E92FD7B" w14:textId="1BA7509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4,4%</w:t>
            </w:r>
          </w:p>
        </w:tc>
        <w:tc>
          <w:tcPr>
            <w:tcW w:w="1632" w:type="dxa"/>
          </w:tcPr>
          <w:p w14:paraId="681360CD" w14:textId="7CCC7777"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r>
      <w:tr w:rsidR="00CF33EA" w:rsidRPr="00CF33EA" w14:paraId="02985257"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19051DD6" w14:textId="4B1007AA"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Getxo</w:t>
            </w:r>
          </w:p>
        </w:tc>
        <w:tc>
          <w:tcPr>
            <w:tcW w:w="1783" w:type="dxa"/>
          </w:tcPr>
          <w:p w14:paraId="745666F1" w14:textId="4102F347"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3,1%</w:t>
            </w:r>
          </w:p>
        </w:tc>
        <w:tc>
          <w:tcPr>
            <w:tcW w:w="1635" w:type="dxa"/>
          </w:tcPr>
          <w:p w14:paraId="31B82157" w14:textId="293BC190"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7FE3CEC2" w14:textId="747D71D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2" w:type="dxa"/>
          </w:tcPr>
          <w:p w14:paraId="617FE59B" w14:textId="0B84948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r>
      <w:tr w:rsidR="00CF33EA" w:rsidRPr="00CF33EA" w14:paraId="5AAD5C48"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289B7DB8" w14:textId="7843CA73"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Pozuelo de Alarcón</w:t>
            </w:r>
          </w:p>
        </w:tc>
        <w:tc>
          <w:tcPr>
            <w:tcW w:w="1783" w:type="dxa"/>
          </w:tcPr>
          <w:p w14:paraId="7032B277" w14:textId="5BBA86D3"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3,5%</w:t>
            </w:r>
          </w:p>
        </w:tc>
        <w:tc>
          <w:tcPr>
            <w:tcW w:w="1635" w:type="dxa"/>
          </w:tcPr>
          <w:p w14:paraId="63F58008" w14:textId="1DD33FF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28" w:type="dxa"/>
          </w:tcPr>
          <w:p w14:paraId="5C3D9609" w14:textId="4C49D579"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4,5%</w:t>
            </w:r>
          </w:p>
        </w:tc>
        <w:tc>
          <w:tcPr>
            <w:tcW w:w="1632" w:type="dxa"/>
          </w:tcPr>
          <w:p w14:paraId="41B1BD06" w14:textId="478F6EA1"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r>
      <w:tr w:rsidR="00CF33EA" w:rsidRPr="00CF33EA" w14:paraId="291ED15A" w14:textId="77777777" w:rsidTr="002C5FCC">
        <w:trPr>
          <w:trHeight w:val="255"/>
        </w:trPr>
        <w:tc>
          <w:tcPr>
            <w:cnfStyle w:val="001000000000" w:firstRow="0" w:lastRow="0" w:firstColumn="1" w:lastColumn="0" w:oddVBand="0" w:evenVBand="0" w:oddHBand="0" w:evenHBand="0" w:firstRowFirstColumn="0" w:firstRowLastColumn="0" w:lastRowFirstColumn="0" w:lastRowLastColumn="0"/>
            <w:tcW w:w="2378" w:type="dxa"/>
          </w:tcPr>
          <w:p w14:paraId="577F7CED" w14:textId="1B0FBC41"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Eivissa</w:t>
            </w:r>
          </w:p>
        </w:tc>
        <w:tc>
          <w:tcPr>
            <w:tcW w:w="1783" w:type="dxa"/>
          </w:tcPr>
          <w:p w14:paraId="50E881D7" w14:textId="45B5CC7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35" w:type="dxa"/>
          </w:tcPr>
          <w:p w14:paraId="02C9E49C" w14:textId="6A713283"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0,0%</w:t>
            </w:r>
          </w:p>
        </w:tc>
        <w:tc>
          <w:tcPr>
            <w:tcW w:w="1628" w:type="dxa"/>
          </w:tcPr>
          <w:p w14:paraId="1653DD70" w14:textId="13ABCA85"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4,1%</w:t>
            </w:r>
          </w:p>
        </w:tc>
        <w:tc>
          <w:tcPr>
            <w:tcW w:w="1632" w:type="dxa"/>
          </w:tcPr>
          <w:p w14:paraId="2A62BDF9" w14:textId="40851E9E" w:rsidR="00CF33EA" w:rsidRPr="00CF33EA" w:rsidRDefault="00CF33EA" w:rsidP="00CF33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r>
      <w:tr w:rsidR="00CF33EA" w:rsidRPr="00CF33EA" w14:paraId="3BE7BF7A" w14:textId="77777777" w:rsidTr="002C5F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8" w:type="dxa"/>
          </w:tcPr>
          <w:p w14:paraId="47BA0C79" w14:textId="4DF4661E" w:rsidR="00CF33EA" w:rsidRPr="002C5FCC" w:rsidRDefault="00CF33EA" w:rsidP="00CF33EA">
            <w:pPr>
              <w:rPr>
                <w:rFonts w:ascii="Open Sans" w:hAnsi="Open Sans" w:cs="Open Sans"/>
                <w:b w:val="0"/>
                <w:bCs w:val="0"/>
                <w:color w:val="FFFFFF" w:themeColor="background1"/>
                <w:sz w:val="22"/>
                <w:szCs w:val="22"/>
              </w:rPr>
            </w:pPr>
            <w:r w:rsidRPr="002C5FCC">
              <w:rPr>
                <w:rFonts w:ascii="Open Sans" w:hAnsi="Open Sans" w:cs="Open Sans"/>
                <w:b w:val="0"/>
                <w:bCs w:val="0"/>
                <w:color w:val="FFFFFF" w:themeColor="background1"/>
                <w:sz w:val="22"/>
                <w:szCs w:val="22"/>
              </w:rPr>
              <w:t>Donostia - San Sebastián</w:t>
            </w:r>
          </w:p>
        </w:tc>
        <w:tc>
          <w:tcPr>
            <w:tcW w:w="1783" w:type="dxa"/>
          </w:tcPr>
          <w:p w14:paraId="477D6163" w14:textId="33FE7B1E"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2,8%</w:t>
            </w:r>
          </w:p>
        </w:tc>
        <w:tc>
          <w:tcPr>
            <w:tcW w:w="1635" w:type="dxa"/>
          </w:tcPr>
          <w:p w14:paraId="300DEE3B" w14:textId="44C60F28"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3,6%</w:t>
            </w:r>
          </w:p>
        </w:tc>
        <w:tc>
          <w:tcPr>
            <w:tcW w:w="1628" w:type="dxa"/>
          </w:tcPr>
          <w:p w14:paraId="21790A0E" w14:textId="7D404286"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4,0%</w:t>
            </w:r>
          </w:p>
        </w:tc>
        <w:tc>
          <w:tcPr>
            <w:tcW w:w="1632" w:type="dxa"/>
          </w:tcPr>
          <w:p w14:paraId="3B836C8A" w14:textId="25451C72" w:rsidR="00CF33EA" w:rsidRPr="00CF33EA" w:rsidRDefault="00CF33EA" w:rsidP="00CF33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CF33EA">
              <w:rPr>
                <w:rFonts w:ascii="Open Sans" w:hAnsi="Open Sans" w:cs="Open Sans"/>
                <w:color w:val="000000"/>
                <w:sz w:val="22"/>
                <w:szCs w:val="22"/>
              </w:rPr>
              <w:t>3,4%</w:t>
            </w:r>
          </w:p>
        </w:tc>
      </w:tr>
    </w:tbl>
    <w:p w14:paraId="07E9668D" w14:textId="77777777" w:rsidR="00B629FA" w:rsidRPr="00CA0C1F" w:rsidRDefault="00B629FA" w:rsidP="007E5768">
      <w:pPr>
        <w:jc w:val="both"/>
        <w:rPr>
          <w:rFonts w:ascii="Open Sans Light" w:hAnsi="Open Sans Light"/>
          <w:color w:val="404040"/>
          <w:lang w:val="es-ES"/>
        </w:rPr>
      </w:pPr>
    </w:p>
    <w:p w14:paraId="211B68F2" w14:textId="2C626B36" w:rsidR="00B629FA" w:rsidRPr="00B629FA" w:rsidRDefault="00B629FA" w:rsidP="00B629FA">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sidR="0074620F">
        <w:rPr>
          <w:rFonts w:ascii="Open Sans Light" w:hAnsi="Open Sans Light" w:cs="Open Sans Light"/>
          <w:b/>
          <w:iCs/>
          <w:color w:val="303AB2"/>
        </w:rPr>
        <w:t>4</w:t>
      </w:r>
      <w:r w:rsidRPr="007E5768">
        <w:rPr>
          <w:rFonts w:ascii="Open Sans Light" w:hAnsi="Open Sans Light" w:cs="Open Sans Light"/>
          <w:b/>
          <w:iCs/>
          <w:color w:val="303AB2"/>
        </w:rPr>
        <w:t xml:space="preserve">. Rentabilidad </w:t>
      </w:r>
      <w:r w:rsidR="000B6B0A">
        <w:rPr>
          <w:rFonts w:ascii="Open Sans Light" w:hAnsi="Open Sans Light" w:cs="Open Sans Light"/>
          <w:b/>
          <w:iCs/>
          <w:color w:val="303AB2"/>
        </w:rPr>
        <w:t xml:space="preserve">de la vivienda </w:t>
      </w:r>
      <w:r w:rsidRPr="007E5768">
        <w:rPr>
          <w:rFonts w:ascii="Open Sans Light" w:hAnsi="Open Sans Light" w:cs="Open Sans Light"/>
          <w:b/>
          <w:iCs/>
          <w:color w:val="303AB2"/>
        </w:rPr>
        <w:t xml:space="preserve">por distritos de </w:t>
      </w:r>
      <w:r>
        <w:rPr>
          <w:rFonts w:ascii="Open Sans Light" w:hAnsi="Open Sans Light" w:cs="Open Sans Light"/>
          <w:b/>
          <w:iCs/>
          <w:color w:val="303AB2"/>
        </w:rPr>
        <w:t>Madrid</w:t>
      </w:r>
      <w:r w:rsidRPr="007E5768">
        <w:rPr>
          <w:rFonts w:ascii="Open Sans Light" w:hAnsi="Open Sans Light" w:cs="Open Sans Light"/>
          <w:b/>
          <w:iCs/>
          <w:color w:val="303AB2"/>
        </w:rPr>
        <w:t xml:space="preserve"> (comparativa 201</w:t>
      </w:r>
      <w:r w:rsidR="002C5FCC">
        <w:rPr>
          <w:rFonts w:ascii="Open Sans Light" w:hAnsi="Open Sans Light" w:cs="Open Sans Light"/>
          <w:b/>
          <w:iCs/>
          <w:color w:val="303AB2"/>
        </w:rPr>
        <w:t xml:space="preserve">5, </w:t>
      </w:r>
      <w:r w:rsidRPr="007E5768">
        <w:rPr>
          <w:rFonts w:ascii="Open Sans Light" w:hAnsi="Open Sans Light" w:cs="Open Sans Light"/>
          <w:b/>
          <w:iCs/>
          <w:color w:val="303AB2"/>
        </w:rPr>
        <w:t>201</w:t>
      </w:r>
      <w:r w:rsidR="002C5FCC">
        <w:rPr>
          <w:rFonts w:ascii="Open Sans Light" w:hAnsi="Open Sans Light" w:cs="Open Sans Light"/>
          <w:b/>
          <w:iCs/>
          <w:color w:val="303AB2"/>
        </w:rPr>
        <w:t>9</w:t>
      </w:r>
      <w:r w:rsidRPr="007E5768">
        <w:rPr>
          <w:rFonts w:ascii="Open Sans Light" w:hAnsi="Open Sans Light" w:cs="Open Sans Light"/>
          <w:b/>
          <w:iCs/>
          <w:color w:val="303AB2"/>
        </w:rPr>
        <w:t xml:space="preserve"> </w:t>
      </w:r>
      <w:r w:rsidR="002C5FCC">
        <w:rPr>
          <w:rFonts w:ascii="Open Sans Light" w:hAnsi="Open Sans Light" w:cs="Open Sans Light"/>
          <w:b/>
          <w:iCs/>
          <w:color w:val="303AB2"/>
        </w:rPr>
        <w:t xml:space="preserve">y </w:t>
      </w:r>
      <w:r w:rsidRPr="007E5768">
        <w:rPr>
          <w:rFonts w:ascii="Open Sans Light" w:hAnsi="Open Sans Light" w:cs="Open Sans Light"/>
          <w:b/>
          <w:iCs/>
          <w:color w:val="303AB2"/>
        </w:rPr>
        <w:t>20</w:t>
      </w:r>
      <w:r w:rsidR="002C5FCC">
        <w:rPr>
          <w:rFonts w:ascii="Open Sans Light" w:hAnsi="Open Sans Light" w:cs="Open Sans Light"/>
          <w:b/>
          <w:iCs/>
          <w:color w:val="303AB2"/>
        </w:rPr>
        <w:t>20</w:t>
      </w:r>
      <w:r w:rsidRPr="007E5768">
        <w:rPr>
          <w:rFonts w:ascii="Open Sans Light" w:hAnsi="Open Sans Light" w:cs="Open Sans Light"/>
          <w:b/>
          <w:iCs/>
          <w:color w:val="303AB2"/>
        </w:rPr>
        <w:t>)</w:t>
      </w:r>
    </w:p>
    <w:tbl>
      <w:tblPr>
        <w:tblpPr w:leftFromText="141" w:rightFromText="141" w:vertAnchor="text" w:horzAnchor="margin" w:tblpY="40"/>
        <w:tblW w:w="88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44"/>
        <w:gridCol w:w="2133"/>
        <w:gridCol w:w="1956"/>
        <w:gridCol w:w="1947"/>
      </w:tblGrid>
      <w:tr w:rsidR="008C4239" w:rsidRPr="00CA0C1F" w14:paraId="459CEC9C" w14:textId="77777777" w:rsidTr="00CA0C1F">
        <w:trPr>
          <w:trHeight w:val="593"/>
        </w:trPr>
        <w:tc>
          <w:tcPr>
            <w:tcW w:w="2844" w:type="dxa"/>
            <w:tcBorders>
              <w:top w:val="single" w:sz="4" w:space="0" w:color="FFFFFF"/>
              <w:left w:val="single" w:sz="4" w:space="0" w:color="FFFFFF"/>
              <w:right w:val="nil"/>
            </w:tcBorders>
            <w:shd w:val="clear" w:color="auto" w:fill="4472C4"/>
          </w:tcPr>
          <w:p w14:paraId="3395C469" w14:textId="77777777" w:rsidR="00B629FA" w:rsidRPr="002C5FCC" w:rsidRDefault="00B629FA" w:rsidP="00CA0C1F">
            <w:pPr>
              <w:rPr>
                <w:rFonts w:ascii="Open Sans Light" w:hAnsi="Open Sans Light" w:cs="Open Sans Light"/>
                <w:b/>
                <w:bCs/>
                <w:color w:val="FFFFFF" w:themeColor="background1"/>
                <w:sz w:val="22"/>
                <w:szCs w:val="22"/>
              </w:rPr>
            </w:pPr>
            <w:r w:rsidRPr="002C5FCC">
              <w:rPr>
                <w:rFonts w:ascii="Open Sans Light" w:hAnsi="Open Sans Light" w:cs="Open Sans Light"/>
                <w:b/>
                <w:bCs/>
                <w:color w:val="FFFFFF" w:themeColor="background1"/>
                <w:sz w:val="22"/>
                <w:szCs w:val="22"/>
              </w:rPr>
              <w:t>Distritos de Madrid</w:t>
            </w:r>
          </w:p>
        </w:tc>
        <w:tc>
          <w:tcPr>
            <w:tcW w:w="2133" w:type="dxa"/>
            <w:tcBorders>
              <w:top w:val="single" w:sz="4" w:space="0" w:color="FFFFFF"/>
              <w:left w:val="nil"/>
              <w:right w:val="nil"/>
            </w:tcBorders>
            <w:shd w:val="clear" w:color="auto" w:fill="4472C4"/>
          </w:tcPr>
          <w:p w14:paraId="139CC857" w14:textId="77777777" w:rsidR="00B629FA" w:rsidRPr="00CA0C1F" w:rsidRDefault="00B629FA" w:rsidP="00CA0C1F">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 xml:space="preserve">Rentabilidad </w:t>
            </w:r>
          </w:p>
          <w:p w14:paraId="00BE5D11" w14:textId="038E23FE" w:rsidR="00B629FA" w:rsidRPr="00CA0C1F" w:rsidRDefault="00B629FA" w:rsidP="00CA0C1F">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201</w:t>
            </w:r>
            <w:r w:rsidR="002C5FCC">
              <w:rPr>
                <w:rStyle w:val="nfasis"/>
                <w:rFonts w:ascii="Open Sans Light" w:hAnsi="Open Sans Light" w:cs="Open Sans Light"/>
                <w:b/>
                <w:bCs/>
                <w:i w:val="0"/>
                <w:iCs w:val="0"/>
                <w:color w:val="FFFFFF"/>
                <w:sz w:val="22"/>
                <w:szCs w:val="22"/>
              </w:rPr>
              <w:t>5 (5 años)</w:t>
            </w:r>
          </w:p>
        </w:tc>
        <w:tc>
          <w:tcPr>
            <w:tcW w:w="1956" w:type="dxa"/>
            <w:tcBorders>
              <w:top w:val="single" w:sz="4" w:space="0" w:color="FFFFFF"/>
              <w:left w:val="nil"/>
              <w:right w:val="nil"/>
            </w:tcBorders>
            <w:shd w:val="clear" w:color="auto" w:fill="4472C4"/>
            <w:vAlign w:val="center"/>
          </w:tcPr>
          <w:p w14:paraId="22051624" w14:textId="77777777" w:rsidR="00B629FA" w:rsidRPr="00CA0C1F" w:rsidRDefault="00B629FA" w:rsidP="00CA0C1F">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Rentabilidad</w:t>
            </w:r>
          </w:p>
          <w:p w14:paraId="382F2910" w14:textId="728162C1" w:rsidR="00B629FA" w:rsidRPr="00CA0C1F" w:rsidRDefault="00B629FA" w:rsidP="00CA0C1F">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201</w:t>
            </w:r>
            <w:r w:rsidR="002C5FCC">
              <w:rPr>
                <w:rStyle w:val="nfasis"/>
                <w:rFonts w:ascii="Open Sans Light" w:hAnsi="Open Sans Light" w:cs="Open Sans Light"/>
                <w:b/>
                <w:bCs/>
                <w:i w:val="0"/>
                <w:iCs w:val="0"/>
                <w:color w:val="FFFFFF"/>
                <w:sz w:val="22"/>
                <w:szCs w:val="22"/>
              </w:rPr>
              <w:t>9 (1 año)</w:t>
            </w:r>
          </w:p>
        </w:tc>
        <w:tc>
          <w:tcPr>
            <w:tcW w:w="1947" w:type="dxa"/>
            <w:tcBorders>
              <w:top w:val="single" w:sz="4" w:space="0" w:color="FFFFFF"/>
              <w:left w:val="nil"/>
              <w:right w:val="single" w:sz="4" w:space="0" w:color="FFFFFF"/>
            </w:tcBorders>
            <w:shd w:val="clear" w:color="auto" w:fill="4472C4"/>
            <w:vAlign w:val="center"/>
          </w:tcPr>
          <w:p w14:paraId="044722D2" w14:textId="77777777" w:rsidR="00B629FA" w:rsidRPr="00CA0C1F" w:rsidRDefault="00B629FA" w:rsidP="00CA0C1F">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Rentabilidad</w:t>
            </w:r>
          </w:p>
          <w:p w14:paraId="380F7F8C" w14:textId="0AB4E4E2" w:rsidR="00B629FA" w:rsidRPr="00CA0C1F" w:rsidRDefault="00B629FA" w:rsidP="00CA0C1F">
            <w:pPr>
              <w:pStyle w:val="Texto"/>
              <w:jc w:val="center"/>
              <w:rPr>
                <w:rStyle w:val="nfasis"/>
                <w:rFonts w:ascii="Open Sans Light" w:hAnsi="Open Sans Light" w:cs="Open Sans Light"/>
                <w:b/>
                <w:bCs/>
                <w:color w:val="FFFFFF"/>
                <w:lang w:val="es-ES"/>
              </w:rPr>
            </w:pPr>
            <w:r w:rsidRPr="00CA0C1F">
              <w:rPr>
                <w:rStyle w:val="nfasis"/>
                <w:rFonts w:ascii="Open Sans Light" w:hAnsi="Open Sans Light" w:cs="Open Sans Light"/>
                <w:b/>
                <w:bCs/>
                <w:i w:val="0"/>
                <w:iCs w:val="0"/>
                <w:color w:val="FFFFFF"/>
                <w:lang w:val="es-ES"/>
              </w:rPr>
              <w:t>20</w:t>
            </w:r>
            <w:r w:rsidR="00205C70">
              <w:rPr>
                <w:rStyle w:val="nfasis"/>
                <w:rFonts w:ascii="Open Sans Light" w:hAnsi="Open Sans Light" w:cs="Open Sans Light"/>
                <w:b/>
                <w:bCs/>
                <w:i w:val="0"/>
                <w:iCs w:val="0"/>
                <w:color w:val="FFFFFF"/>
                <w:lang w:val="es-ES"/>
              </w:rPr>
              <w:t>20</w:t>
            </w:r>
          </w:p>
        </w:tc>
      </w:tr>
      <w:tr w:rsidR="002C5FCC" w:rsidRPr="00CA0C1F" w14:paraId="09200BA5" w14:textId="77777777" w:rsidTr="00CA0C1F">
        <w:trPr>
          <w:trHeight w:val="289"/>
        </w:trPr>
        <w:tc>
          <w:tcPr>
            <w:tcW w:w="2844" w:type="dxa"/>
            <w:tcBorders>
              <w:left w:val="single" w:sz="4" w:space="0" w:color="FFFFFF"/>
            </w:tcBorders>
            <w:shd w:val="clear" w:color="auto" w:fill="4472C4"/>
            <w:vAlign w:val="bottom"/>
          </w:tcPr>
          <w:p w14:paraId="302DF2D7" w14:textId="62F351F4"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Puente de Vallecas</w:t>
            </w:r>
          </w:p>
        </w:tc>
        <w:tc>
          <w:tcPr>
            <w:tcW w:w="2133" w:type="dxa"/>
            <w:shd w:val="clear" w:color="auto" w:fill="B4C6E7"/>
            <w:vAlign w:val="bottom"/>
          </w:tcPr>
          <w:p w14:paraId="6DC9F799" w14:textId="16E2619F"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7,3%</w:t>
            </w:r>
          </w:p>
        </w:tc>
        <w:tc>
          <w:tcPr>
            <w:tcW w:w="1956" w:type="dxa"/>
            <w:shd w:val="clear" w:color="auto" w:fill="B4C6E7"/>
            <w:vAlign w:val="bottom"/>
          </w:tcPr>
          <w:p w14:paraId="782C8C15" w14:textId="5F43E15A"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7,4%</w:t>
            </w:r>
          </w:p>
        </w:tc>
        <w:tc>
          <w:tcPr>
            <w:tcW w:w="1947" w:type="dxa"/>
            <w:shd w:val="clear" w:color="auto" w:fill="B4C6E7"/>
            <w:vAlign w:val="bottom"/>
          </w:tcPr>
          <w:p w14:paraId="60070A39" w14:textId="26F8C842"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7,3%</w:t>
            </w:r>
          </w:p>
        </w:tc>
      </w:tr>
      <w:tr w:rsidR="002C5FCC" w:rsidRPr="00CA0C1F" w14:paraId="0F229A41" w14:textId="77777777" w:rsidTr="00CA0C1F">
        <w:trPr>
          <w:trHeight w:val="289"/>
        </w:trPr>
        <w:tc>
          <w:tcPr>
            <w:tcW w:w="2844" w:type="dxa"/>
            <w:tcBorders>
              <w:left w:val="single" w:sz="4" w:space="0" w:color="FFFFFF"/>
            </w:tcBorders>
            <w:shd w:val="clear" w:color="auto" w:fill="4472C4"/>
            <w:vAlign w:val="bottom"/>
          </w:tcPr>
          <w:p w14:paraId="2D6B71BD" w14:textId="4EE73B31"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Villaverde</w:t>
            </w:r>
          </w:p>
        </w:tc>
        <w:tc>
          <w:tcPr>
            <w:tcW w:w="2133" w:type="dxa"/>
            <w:shd w:val="clear" w:color="auto" w:fill="D9E2F3"/>
            <w:vAlign w:val="bottom"/>
          </w:tcPr>
          <w:p w14:paraId="0DF72D5D" w14:textId="228C865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6,4%</w:t>
            </w:r>
          </w:p>
        </w:tc>
        <w:tc>
          <w:tcPr>
            <w:tcW w:w="1956" w:type="dxa"/>
            <w:shd w:val="clear" w:color="auto" w:fill="D9E2F3"/>
            <w:vAlign w:val="bottom"/>
          </w:tcPr>
          <w:p w14:paraId="5E940A1F" w14:textId="26495F44"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7,3%</w:t>
            </w:r>
          </w:p>
        </w:tc>
        <w:tc>
          <w:tcPr>
            <w:tcW w:w="1947" w:type="dxa"/>
            <w:shd w:val="clear" w:color="auto" w:fill="D9E2F3"/>
            <w:vAlign w:val="bottom"/>
          </w:tcPr>
          <w:p w14:paraId="70553015" w14:textId="77F7937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7,0%</w:t>
            </w:r>
          </w:p>
        </w:tc>
      </w:tr>
      <w:tr w:rsidR="002C5FCC" w:rsidRPr="00CA0C1F" w14:paraId="6F023169" w14:textId="77777777" w:rsidTr="00CA0C1F">
        <w:trPr>
          <w:trHeight w:val="289"/>
        </w:trPr>
        <w:tc>
          <w:tcPr>
            <w:tcW w:w="2844" w:type="dxa"/>
            <w:tcBorders>
              <w:left w:val="single" w:sz="4" w:space="0" w:color="FFFFFF"/>
            </w:tcBorders>
            <w:shd w:val="clear" w:color="auto" w:fill="4472C4"/>
            <w:vAlign w:val="bottom"/>
          </w:tcPr>
          <w:p w14:paraId="3D847692" w14:textId="33C0677B"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Usera</w:t>
            </w:r>
          </w:p>
        </w:tc>
        <w:tc>
          <w:tcPr>
            <w:tcW w:w="2133" w:type="dxa"/>
            <w:shd w:val="clear" w:color="auto" w:fill="B4C6E7"/>
            <w:vAlign w:val="bottom"/>
          </w:tcPr>
          <w:p w14:paraId="1DC59968" w14:textId="218EEA40"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6,7%</w:t>
            </w:r>
          </w:p>
        </w:tc>
        <w:tc>
          <w:tcPr>
            <w:tcW w:w="1956" w:type="dxa"/>
            <w:shd w:val="clear" w:color="auto" w:fill="B4C6E7"/>
            <w:vAlign w:val="bottom"/>
          </w:tcPr>
          <w:p w14:paraId="409AE081" w14:textId="3596B1D3"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7,0%</w:t>
            </w:r>
          </w:p>
        </w:tc>
        <w:tc>
          <w:tcPr>
            <w:tcW w:w="1947" w:type="dxa"/>
            <w:shd w:val="clear" w:color="auto" w:fill="B4C6E7"/>
            <w:vAlign w:val="bottom"/>
          </w:tcPr>
          <w:p w14:paraId="10A397C6" w14:textId="78518D3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6,6%</w:t>
            </w:r>
          </w:p>
        </w:tc>
      </w:tr>
      <w:tr w:rsidR="002C5FCC" w:rsidRPr="00CA0C1F" w14:paraId="76A9AAEA" w14:textId="77777777" w:rsidTr="00CA0C1F">
        <w:trPr>
          <w:trHeight w:val="289"/>
        </w:trPr>
        <w:tc>
          <w:tcPr>
            <w:tcW w:w="2844" w:type="dxa"/>
            <w:tcBorders>
              <w:left w:val="single" w:sz="4" w:space="0" w:color="FFFFFF"/>
            </w:tcBorders>
            <w:shd w:val="clear" w:color="auto" w:fill="4472C4"/>
            <w:vAlign w:val="bottom"/>
          </w:tcPr>
          <w:p w14:paraId="422E88F9" w14:textId="7E83D9BE"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Carabanchel</w:t>
            </w:r>
          </w:p>
        </w:tc>
        <w:tc>
          <w:tcPr>
            <w:tcW w:w="2133" w:type="dxa"/>
            <w:shd w:val="clear" w:color="auto" w:fill="D9E2F3"/>
            <w:vAlign w:val="bottom"/>
          </w:tcPr>
          <w:p w14:paraId="0E498DCE" w14:textId="3297F2AF"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6,5%</w:t>
            </w:r>
          </w:p>
        </w:tc>
        <w:tc>
          <w:tcPr>
            <w:tcW w:w="1956" w:type="dxa"/>
            <w:shd w:val="clear" w:color="auto" w:fill="D9E2F3"/>
            <w:vAlign w:val="bottom"/>
          </w:tcPr>
          <w:p w14:paraId="36D1C70B" w14:textId="381AD412"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6,5%</w:t>
            </w:r>
          </w:p>
        </w:tc>
        <w:tc>
          <w:tcPr>
            <w:tcW w:w="1947" w:type="dxa"/>
            <w:shd w:val="clear" w:color="auto" w:fill="D9E2F3"/>
            <w:vAlign w:val="bottom"/>
          </w:tcPr>
          <w:p w14:paraId="28CDB51C" w14:textId="46208AC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6,2%</w:t>
            </w:r>
          </w:p>
        </w:tc>
      </w:tr>
      <w:tr w:rsidR="002C5FCC" w:rsidRPr="00CA0C1F" w14:paraId="5BB25A8E" w14:textId="77777777" w:rsidTr="00CA0C1F">
        <w:trPr>
          <w:trHeight w:val="304"/>
        </w:trPr>
        <w:tc>
          <w:tcPr>
            <w:tcW w:w="2844" w:type="dxa"/>
            <w:tcBorders>
              <w:left w:val="single" w:sz="4" w:space="0" w:color="FFFFFF"/>
            </w:tcBorders>
            <w:shd w:val="clear" w:color="auto" w:fill="4472C4"/>
            <w:vAlign w:val="bottom"/>
          </w:tcPr>
          <w:p w14:paraId="660ED89A" w14:textId="5F9C0591"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Latina</w:t>
            </w:r>
          </w:p>
        </w:tc>
        <w:tc>
          <w:tcPr>
            <w:tcW w:w="2133" w:type="dxa"/>
            <w:shd w:val="clear" w:color="auto" w:fill="B4C6E7"/>
            <w:vAlign w:val="bottom"/>
          </w:tcPr>
          <w:p w14:paraId="6298870D" w14:textId="17576DEB"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6,3%</w:t>
            </w:r>
          </w:p>
        </w:tc>
        <w:tc>
          <w:tcPr>
            <w:tcW w:w="1956" w:type="dxa"/>
            <w:shd w:val="clear" w:color="auto" w:fill="B4C6E7"/>
            <w:vAlign w:val="bottom"/>
          </w:tcPr>
          <w:p w14:paraId="1081E846" w14:textId="4B3DE431"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6,4%</w:t>
            </w:r>
          </w:p>
        </w:tc>
        <w:tc>
          <w:tcPr>
            <w:tcW w:w="1947" w:type="dxa"/>
            <w:shd w:val="clear" w:color="auto" w:fill="B4C6E7"/>
            <w:vAlign w:val="bottom"/>
          </w:tcPr>
          <w:p w14:paraId="62B88425" w14:textId="5322E570"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6,1%</w:t>
            </w:r>
          </w:p>
        </w:tc>
      </w:tr>
      <w:tr w:rsidR="002C5FCC" w:rsidRPr="00CA0C1F" w14:paraId="00C3EE13" w14:textId="77777777" w:rsidTr="00CA0C1F">
        <w:trPr>
          <w:trHeight w:val="289"/>
        </w:trPr>
        <w:tc>
          <w:tcPr>
            <w:tcW w:w="2844" w:type="dxa"/>
            <w:tcBorders>
              <w:left w:val="single" w:sz="4" w:space="0" w:color="FFFFFF"/>
            </w:tcBorders>
            <w:shd w:val="clear" w:color="auto" w:fill="4472C4"/>
            <w:vAlign w:val="bottom"/>
          </w:tcPr>
          <w:p w14:paraId="6448CEA1" w14:textId="3F8A322A"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Villa de Vallecas</w:t>
            </w:r>
          </w:p>
        </w:tc>
        <w:tc>
          <w:tcPr>
            <w:tcW w:w="2133" w:type="dxa"/>
            <w:shd w:val="clear" w:color="auto" w:fill="D9E2F3"/>
            <w:vAlign w:val="bottom"/>
          </w:tcPr>
          <w:p w14:paraId="582BD68C" w14:textId="7F39576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5,5%</w:t>
            </w:r>
          </w:p>
        </w:tc>
        <w:tc>
          <w:tcPr>
            <w:tcW w:w="1956" w:type="dxa"/>
            <w:shd w:val="clear" w:color="auto" w:fill="D9E2F3"/>
            <w:vAlign w:val="bottom"/>
          </w:tcPr>
          <w:p w14:paraId="24D28D75" w14:textId="56C4B05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5,6%</w:t>
            </w:r>
          </w:p>
        </w:tc>
        <w:tc>
          <w:tcPr>
            <w:tcW w:w="1947" w:type="dxa"/>
            <w:shd w:val="clear" w:color="auto" w:fill="D9E2F3"/>
            <w:vAlign w:val="bottom"/>
          </w:tcPr>
          <w:p w14:paraId="3C8977C1" w14:textId="75FF3B42"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5,8%</w:t>
            </w:r>
          </w:p>
        </w:tc>
      </w:tr>
      <w:tr w:rsidR="002C5FCC" w:rsidRPr="00CA0C1F" w14:paraId="1D5447AD" w14:textId="77777777" w:rsidTr="00CA0C1F">
        <w:trPr>
          <w:trHeight w:val="289"/>
        </w:trPr>
        <w:tc>
          <w:tcPr>
            <w:tcW w:w="2844" w:type="dxa"/>
            <w:tcBorders>
              <w:left w:val="single" w:sz="4" w:space="0" w:color="FFFFFF"/>
            </w:tcBorders>
            <w:shd w:val="clear" w:color="auto" w:fill="4472C4"/>
            <w:vAlign w:val="bottom"/>
          </w:tcPr>
          <w:p w14:paraId="779102E6" w14:textId="6FE08CA9"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Vicálvaro</w:t>
            </w:r>
          </w:p>
        </w:tc>
        <w:tc>
          <w:tcPr>
            <w:tcW w:w="2133" w:type="dxa"/>
            <w:shd w:val="clear" w:color="auto" w:fill="B4C6E7"/>
            <w:vAlign w:val="bottom"/>
          </w:tcPr>
          <w:p w14:paraId="11293402" w14:textId="3A95F7B5"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0,0%</w:t>
            </w:r>
          </w:p>
        </w:tc>
        <w:tc>
          <w:tcPr>
            <w:tcW w:w="1956" w:type="dxa"/>
            <w:shd w:val="clear" w:color="auto" w:fill="B4C6E7"/>
            <w:vAlign w:val="bottom"/>
          </w:tcPr>
          <w:p w14:paraId="74BCF8E1" w14:textId="6651AD0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0,0%</w:t>
            </w:r>
          </w:p>
        </w:tc>
        <w:tc>
          <w:tcPr>
            <w:tcW w:w="1947" w:type="dxa"/>
            <w:shd w:val="clear" w:color="auto" w:fill="B4C6E7"/>
            <w:vAlign w:val="bottom"/>
          </w:tcPr>
          <w:p w14:paraId="10A4CCDF" w14:textId="5FC8593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5,4%</w:t>
            </w:r>
          </w:p>
        </w:tc>
      </w:tr>
      <w:tr w:rsidR="002C5FCC" w:rsidRPr="00CA0C1F" w14:paraId="238DE643" w14:textId="77777777" w:rsidTr="00CA0C1F">
        <w:trPr>
          <w:trHeight w:val="289"/>
        </w:trPr>
        <w:tc>
          <w:tcPr>
            <w:tcW w:w="2844" w:type="dxa"/>
            <w:tcBorders>
              <w:left w:val="single" w:sz="4" w:space="0" w:color="FFFFFF"/>
            </w:tcBorders>
            <w:shd w:val="clear" w:color="auto" w:fill="4472C4"/>
            <w:vAlign w:val="bottom"/>
          </w:tcPr>
          <w:p w14:paraId="454E8852" w14:textId="24601A6C"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Moratalaz</w:t>
            </w:r>
          </w:p>
        </w:tc>
        <w:tc>
          <w:tcPr>
            <w:tcW w:w="2133" w:type="dxa"/>
            <w:shd w:val="clear" w:color="auto" w:fill="D9E2F3"/>
            <w:vAlign w:val="bottom"/>
          </w:tcPr>
          <w:p w14:paraId="70D08EC6" w14:textId="274E767D"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5,5%</w:t>
            </w:r>
          </w:p>
        </w:tc>
        <w:tc>
          <w:tcPr>
            <w:tcW w:w="1956" w:type="dxa"/>
            <w:shd w:val="clear" w:color="auto" w:fill="D9E2F3"/>
            <w:vAlign w:val="bottom"/>
          </w:tcPr>
          <w:p w14:paraId="0C022BBB" w14:textId="7701EB7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0,0%</w:t>
            </w:r>
          </w:p>
        </w:tc>
        <w:tc>
          <w:tcPr>
            <w:tcW w:w="1947" w:type="dxa"/>
            <w:shd w:val="clear" w:color="auto" w:fill="D9E2F3"/>
            <w:vAlign w:val="bottom"/>
          </w:tcPr>
          <w:p w14:paraId="4A546AB1" w14:textId="382EC0A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5,2%</w:t>
            </w:r>
          </w:p>
        </w:tc>
      </w:tr>
      <w:tr w:rsidR="002C5FCC" w:rsidRPr="00CA0C1F" w14:paraId="6039202F" w14:textId="77777777" w:rsidTr="00CA0C1F">
        <w:trPr>
          <w:trHeight w:val="289"/>
        </w:trPr>
        <w:tc>
          <w:tcPr>
            <w:tcW w:w="2844" w:type="dxa"/>
            <w:tcBorders>
              <w:left w:val="single" w:sz="4" w:space="0" w:color="FFFFFF"/>
            </w:tcBorders>
            <w:shd w:val="clear" w:color="auto" w:fill="4472C4"/>
            <w:vAlign w:val="bottom"/>
          </w:tcPr>
          <w:p w14:paraId="15C769A4" w14:textId="0427FC30"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San Blas</w:t>
            </w:r>
          </w:p>
        </w:tc>
        <w:tc>
          <w:tcPr>
            <w:tcW w:w="2133" w:type="dxa"/>
            <w:shd w:val="clear" w:color="auto" w:fill="B4C6E7"/>
            <w:vAlign w:val="bottom"/>
          </w:tcPr>
          <w:p w14:paraId="1E2C6F21" w14:textId="307660E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6,1%</w:t>
            </w:r>
          </w:p>
        </w:tc>
        <w:tc>
          <w:tcPr>
            <w:tcW w:w="1956" w:type="dxa"/>
            <w:shd w:val="clear" w:color="auto" w:fill="B4C6E7"/>
            <w:vAlign w:val="bottom"/>
          </w:tcPr>
          <w:p w14:paraId="29B00175" w14:textId="1D83C9D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5,5%</w:t>
            </w:r>
          </w:p>
        </w:tc>
        <w:tc>
          <w:tcPr>
            <w:tcW w:w="1947" w:type="dxa"/>
            <w:shd w:val="clear" w:color="auto" w:fill="B4C6E7"/>
            <w:vAlign w:val="bottom"/>
          </w:tcPr>
          <w:p w14:paraId="6034AF62" w14:textId="40A595E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5,1%</w:t>
            </w:r>
          </w:p>
        </w:tc>
      </w:tr>
      <w:tr w:rsidR="002C5FCC" w:rsidRPr="00CA0C1F" w14:paraId="0CE556F2" w14:textId="77777777" w:rsidTr="00CA0C1F">
        <w:trPr>
          <w:trHeight w:val="289"/>
        </w:trPr>
        <w:tc>
          <w:tcPr>
            <w:tcW w:w="2844" w:type="dxa"/>
            <w:tcBorders>
              <w:left w:val="single" w:sz="4" w:space="0" w:color="FFFFFF"/>
            </w:tcBorders>
            <w:shd w:val="clear" w:color="auto" w:fill="4472C4"/>
            <w:vAlign w:val="bottom"/>
          </w:tcPr>
          <w:p w14:paraId="0A94A643" w14:textId="5A3F590F"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Ciudad Lineal</w:t>
            </w:r>
          </w:p>
        </w:tc>
        <w:tc>
          <w:tcPr>
            <w:tcW w:w="2133" w:type="dxa"/>
            <w:shd w:val="clear" w:color="auto" w:fill="D9E2F3"/>
            <w:vAlign w:val="bottom"/>
          </w:tcPr>
          <w:p w14:paraId="03BAFD22" w14:textId="36768AA4"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5,7%</w:t>
            </w:r>
          </w:p>
        </w:tc>
        <w:tc>
          <w:tcPr>
            <w:tcW w:w="1956" w:type="dxa"/>
            <w:shd w:val="clear" w:color="auto" w:fill="D9E2F3"/>
            <w:vAlign w:val="bottom"/>
          </w:tcPr>
          <w:p w14:paraId="378DBBF2" w14:textId="3FA77246"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5,0%</w:t>
            </w:r>
          </w:p>
        </w:tc>
        <w:tc>
          <w:tcPr>
            <w:tcW w:w="1947" w:type="dxa"/>
            <w:shd w:val="clear" w:color="auto" w:fill="D9E2F3"/>
            <w:vAlign w:val="bottom"/>
          </w:tcPr>
          <w:p w14:paraId="53700E67" w14:textId="0E3E66D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4,9%</w:t>
            </w:r>
          </w:p>
        </w:tc>
      </w:tr>
      <w:tr w:rsidR="002C5FCC" w:rsidRPr="00CA0C1F" w14:paraId="5C2E9A7D" w14:textId="77777777" w:rsidTr="00CA0C1F">
        <w:trPr>
          <w:trHeight w:val="304"/>
        </w:trPr>
        <w:tc>
          <w:tcPr>
            <w:tcW w:w="2844" w:type="dxa"/>
            <w:tcBorders>
              <w:left w:val="single" w:sz="4" w:space="0" w:color="FFFFFF"/>
            </w:tcBorders>
            <w:shd w:val="clear" w:color="auto" w:fill="4472C4"/>
            <w:vAlign w:val="bottom"/>
          </w:tcPr>
          <w:p w14:paraId="55452701" w14:textId="0DF0B60B"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Tetuán</w:t>
            </w:r>
          </w:p>
        </w:tc>
        <w:tc>
          <w:tcPr>
            <w:tcW w:w="2133" w:type="dxa"/>
            <w:shd w:val="clear" w:color="auto" w:fill="B4C6E7"/>
            <w:vAlign w:val="bottom"/>
          </w:tcPr>
          <w:p w14:paraId="58F627D4" w14:textId="03ABA5D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5,5%</w:t>
            </w:r>
          </w:p>
        </w:tc>
        <w:tc>
          <w:tcPr>
            <w:tcW w:w="1956" w:type="dxa"/>
            <w:shd w:val="clear" w:color="auto" w:fill="B4C6E7"/>
            <w:vAlign w:val="bottom"/>
          </w:tcPr>
          <w:p w14:paraId="7662E161" w14:textId="591A66C0"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5,1%</w:t>
            </w:r>
          </w:p>
        </w:tc>
        <w:tc>
          <w:tcPr>
            <w:tcW w:w="1947" w:type="dxa"/>
            <w:shd w:val="clear" w:color="auto" w:fill="B4C6E7"/>
            <w:vAlign w:val="bottom"/>
          </w:tcPr>
          <w:p w14:paraId="4A6D3F9F" w14:textId="362331AA"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4,7%</w:t>
            </w:r>
          </w:p>
        </w:tc>
      </w:tr>
      <w:tr w:rsidR="002C5FCC" w:rsidRPr="00CA0C1F" w14:paraId="2181E386" w14:textId="77777777" w:rsidTr="00CA0C1F">
        <w:trPr>
          <w:trHeight w:val="289"/>
        </w:trPr>
        <w:tc>
          <w:tcPr>
            <w:tcW w:w="2844" w:type="dxa"/>
            <w:tcBorders>
              <w:left w:val="single" w:sz="4" w:space="0" w:color="FFFFFF"/>
            </w:tcBorders>
            <w:shd w:val="clear" w:color="auto" w:fill="4472C4"/>
            <w:vAlign w:val="bottom"/>
          </w:tcPr>
          <w:p w14:paraId="02E9A48D" w14:textId="3156401B"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Barajas</w:t>
            </w:r>
          </w:p>
        </w:tc>
        <w:tc>
          <w:tcPr>
            <w:tcW w:w="2133" w:type="dxa"/>
            <w:shd w:val="clear" w:color="auto" w:fill="D9E2F3"/>
            <w:vAlign w:val="bottom"/>
          </w:tcPr>
          <w:p w14:paraId="585A615B" w14:textId="1811D31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4,7%</w:t>
            </w:r>
          </w:p>
        </w:tc>
        <w:tc>
          <w:tcPr>
            <w:tcW w:w="1956" w:type="dxa"/>
            <w:shd w:val="clear" w:color="auto" w:fill="D9E2F3"/>
            <w:vAlign w:val="bottom"/>
          </w:tcPr>
          <w:p w14:paraId="1E55B961" w14:textId="51031C6A"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4,3%</w:t>
            </w:r>
          </w:p>
        </w:tc>
        <w:tc>
          <w:tcPr>
            <w:tcW w:w="1947" w:type="dxa"/>
            <w:shd w:val="clear" w:color="auto" w:fill="D9E2F3"/>
            <w:vAlign w:val="bottom"/>
          </w:tcPr>
          <w:p w14:paraId="59B57622" w14:textId="024D7E7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4,3%</w:t>
            </w:r>
          </w:p>
        </w:tc>
      </w:tr>
      <w:tr w:rsidR="002C5FCC" w:rsidRPr="00CA0C1F" w14:paraId="20CB1C3B" w14:textId="77777777" w:rsidTr="00CA0C1F">
        <w:trPr>
          <w:trHeight w:val="289"/>
        </w:trPr>
        <w:tc>
          <w:tcPr>
            <w:tcW w:w="2844" w:type="dxa"/>
            <w:tcBorders>
              <w:left w:val="single" w:sz="4" w:space="0" w:color="FFFFFF"/>
            </w:tcBorders>
            <w:shd w:val="clear" w:color="auto" w:fill="4472C4"/>
            <w:vAlign w:val="bottom"/>
          </w:tcPr>
          <w:p w14:paraId="0F02581C" w14:textId="2CADF660"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Arganzuela</w:t>
            </w:r>
          </w:p>
        </w:tc>
        <w:tc>
          <w:tcPr>
            <w:tcW w:w="2133" w:type="dxa"/>
            <w:shd w:val="clear" w:color="auto" w:fill="B4C6E7"/>
            <w:vAlign w:val="bottom"/>
          </w:tcPr>
          <w:p w14:paraId="67FAE823" w14:textId="08241E74"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5,3%</w:t>
            </w:r>
          </w:p>
        </w:tc>
        <w:tc>
          <w:tcPr>
            <w:tcW w:w="1956" w:type="dxa"/>
            <w:shd w:val="clear" w:color="auto" w:fill="B4C6E7"/>
            <w:vAlign w:val="bottom"/>
          </w:tcPr>
          <w:p w14:paraId="1FA868E0" w14:textId="5F411095"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4,8%</w:t>
            </w:r>
          </w:p>
        </w:tc>
        <w:tc>
          <w:tcPr>
            <w:tcW w:w="1947" w:type="dxa"/>
            <w:shd w:val="clear" w:color="auto" w:fill="B4C6E7"/>
            <w:vAlign w:val="bottom"/>
          </w:tcPr>
          <w:p w14:paraId="1ACC0AE8" w14:textId="756CC3A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r>
      <w:tr w:rsidR="002C5FCC" w:rsidRPr="00CA0C1F" w14:paraId="7957E584" w14:textId="77777777" w:rsidTr="00CA0C1F">
        <w:trPr>
          <w:trHeight w:val="289"/>
        </w:trPr>
        <w:tc>
          <w:tcPr>
            <w:tcW w:w="2844" w:type="dxa"/>
            <w:tcBorders>
              <w:left w:val="single" w:sz="4" w:space="0" w:color="FFFFFF"/>
            </w:tcBorders>
            <w:shd w:val="clear" w:color="auto" w:fill="4472C4"/>
            <w:vAlign w:val="bottom"/>
          </w:tcPr>
          <w:p w14:paraId="2B06D4E2" w14:textId="1B0D256E"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Fuencarral</w:t>
            </w:r>
          </w:p>
        </w:tc>
        <w:tc>
          <w:tcPr>
            <w:tcW w:w="2133" w:type="dxa"/>
            <w:shd w:val="clear" w:color="auto" w:fill="D9E2F3"/>
            <w:vAlign w:val="bottom"/>
          </w:tcPr>
          <w:p w14:paraId="4021A696" w14:textId="5823858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4,6%</w:t>
            </w:r>
          </w:p>
        </w:tc>
        <w:tc>
          <w:tcPr>
            <w:tcW w:w="1956" w:type="dxa"/>
            <w:shd w:val="clear" w:color="auto" w:fill="D9E2F3"/>
            <w:vAlign w:val="bottom"/>
          </w:tcPr>
          <w:p w14:paraId="6600A314" w14:textId="16BB4E70"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c>
          <w:tcPr>
            <w:tcW w:w="1947" w:type="dxa"/>
            <w:shd w:val="clear" w:color="auto" w:fill="D9E2F3"/>
            <w:vAlign w:val="bottom"/>
          </w:tcPr>
          <w:p w14:paraId="417D2742" w14:textId="27FFD0A2"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r>
      <w:tr w:rsidR="002C5FCC" w:rsidRPr="00CA0C1F" w14:paraId="26CB1B05" w14:textId="77777777" w:rsidTr="00CA0C1F">
        <w:trPr>
          <w:trHeight w:val="289"/>
        </w:trPr>
        <w:tc>
          <w:tcPr>
            <w:tcW w:w="2844" w:type="dxa"/>
            <w:tcBorders>
              <w:left w:val="single" w:sz="4" w:space="0" w:color="FFFFFF"/>
            </w:tcBorders>
            <w:shd w:val="clear" w:color="auto" w:fill="4472C4"/>
            <w:vAlign w:val="bottom"/>
          </w:tcPr>
          <w:p w14:paraId="3C0CF14A" w14:textId="6950A736"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lastRenderedPageBreak/>
              <w:t>Hortaleza</w:t>
            </w:r>
          </w:p>
        </w:tc>
        <w:tc>
          <w:tcPr>
            <w:tcW w:w="2133" w:type="dxa"/>
            <w:shd w:val="clear" w:color="auto" w:fill="B4C6E7"/>
            <w:vAlign w:val="bottom"/>
          </w:tcPr>
          <w:p w14:paraId="579172EE" w14:textId="6517C3E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5,0%</w:t>
            </w:r>
          </w:p>
        </w:tc>
        <w:tc>
          <w:tcPr>
            <w:tcW w:w="1956" w:type="dxa"/>
            <w:shd w:val="clear" w:color="auto" w:fill="B4C6E7"/>
            <w:vAlign w:val="bottom"/>
          </w:tcPr>
          <w:p w14:paraId="01F30682" w14:textId="71B0B79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c>
          <w:tcPr>
            <w:tcW w:w="1947" w:type="dxa"/>
            <w:shd w:val="clear" w:color="auto" w:fill="B4C6E7"/>
            <w:vAlign w:val="bottom"/>
          </w:tcPr>
          <w:p w14:paraId="634D47DF" w14:textId="2902FB8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4,1%</w:t>
            </w:r>
          </w:p>
        </w:tc>
      </w:tr>
      <w:tr w:rsidR="002C5FCC" w:rsidRPr="00CA0C1F" w14:paraId="1D90F12B" w14:textId="77777777" w:rsidTr="00CA0C1F">
        <w:trPr>
          <w:trHeight w:val="289"/>
        </w:trPr>
        <w:tc>
          <w:tcPr>
            <w:tcW w:w="2844" w:type="dxa"/>
            <w:tcBorders>
              <w:left w:val="single" w:sz="4" w:space="0" w:color="FFFFFF"/>
            </w:tcBorders>
            <w:shd w:val="clear" w:color="auto" w:fill="4472C4"/>
            <w:vAlign w:val="bottom"/>
          </w:tcPr>
          <w:p w14:paraId="58D85399" w14:textId="0B861EA1"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Moncloa</w:t>
            </w:r>
          </w:p>
        </w:tc>
        <w:tc>
          <w:tcPr>
            <w:tcW w:w="2133" w:type="dxa"/>
            <w:shd w:val="clear" w:color="auto" w:fill="D9E2F3"/>
            <w:vAlign w:val="bottom"/>
          </w:tcPr>
          <w:p w14:paraId="7E0C0B0A" w14:textId="629FBBA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4,7%</w:t>
            </w:r>
          </w:p>
        </w:tc>
        <w:tc>
          <w:tcPr>
            <w:tcW w:w="1956" w:type="dxa"/>
            <w:shd w:val="clear" w:color="auto" w:fill="D9E2F3"/>
            <w:vAlign w:val="bottom"/>
          </w:tcPr>
          <w:p w14:paraId="2F108581" w14:textId="029F8C8B"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4,5%</w:t>
            </w:r>
          </w:p>
        </w:tc>
        <w:tc>
          <w:tcPr>
            <w:tcW w:w="1947" w:type="dxa"/>
            <w:shd w:val="clear" w:color="auto" w:fill="D9E2F3"/>
            <w:vAlign w:val="bottom"/>
          </w:tcPr>
          <w:p w14:paraId="27DE7DE8" w14:textId="3F024E02"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3,9%</w:t>
            </w:r>
          </w:p>
        </w:tc>
      </w:tr>
      <w:tr w:rsidR="002C5FCC" w:rsidRPr="00CA0C1F" w14:paraId="16E1BD1F" w14:textId="77777777" w:rsidTr="00CA0C1F">
        <w:trPr>
          <w:trHeight w:val="304"/>
        </w:trPr>
        <w:tc>
          <w:tcPr>
            <w:tcW w:w="2844" w:type="dxa"/>
            <w:tcBorders>
              <w:left w:val="single" w:sz="4" w:space="0" w:color="FFFFFF"/>
            </w:tcBorders>
            <w:shd w:val="clear" w:color="auto" w:fill="4472C4"/>
            <w:vAlign w:val="bottom"/>
          </w:tcPr>
          <w:p w14:paraId="5C80C7D3" w14:textId="42F52133"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Centro</w:t>
            </w:r>
          </w:p>
        </w:tc>
        <w:tc>
          <w:tcPr>
            <w:tcW w:w="2133" w:type="dxa"/>
            <w:shd w:val="clear" w:color="auto" w:fill="B4C6E7"/>
            <w:vAlign w:val="bottom"/>
          </w:tcPr>
          <w:p w14:paraId="537ED540" w14:textId="25B306BB"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4,9%</w:t>
            </w:r>
          </w:p>
        </w:tc>
        <w:tc>
          <w:tcPr>
            <w:tcW w:w="1956" w:type="dxa"/>
            <w:shd w:val="clear" w:color="auto" w:fill="B4C6E7"/>
            <w:vAlign w:val="bottom"/>
          </w:tcPr>
          <w:p w14:paraId="43C7CBCC" w14:textId="44838B7F"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4,3%</w:t>
            </w:r>
          </w:p>
        </w:tc>
        <w:tc>
          <w:tcPr>
            <w:tcW w:w="1947" w:type="dxa"/>
            <w:shd w:val="clear" w:color="auto" w:fill="B4C6E7"/>
            <w:vAlign w:val="bottom"/>
          </w:tcPr>
          <w:p w14:paraId="62E218E4" w14:textId="4EA40D8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3,9%</w:t>
            </w:r>
          </w:p>
        </w:tc>
      </w:tr>
      <w:tr w:rsidR="002C5FCC" w:rsidRPr="00CA0C1F" w14:paraId="1ACB2EA5" w14:textId="77777777" w:rsidTr="00CA0C1F">
        <w:trPr>
          <w:trHeight w:val="289"/>
        </w:trPr>
        <w:tc>
          <w:tcPr>
            <w:tcW w:w="2844" w:type="dxa"/>
            <w:tcBorders>
              <w:left w:val="single" w:sz="4" w:space="0" w:color="FFFFFF"/>
            </w:tcBorders>
            <w:shd w:val="clear" w:color="auto" w:fill="4472C4"/>
            <w:vAlign w:val="bottom"/>
          </w:tcPr>
          <w:p w14:paraId="6D20FD04" w14:textId="7B173892"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Retiro</w:t>
            </w:r>
          </w:p>
        </w:tc>
        <w:tc>
          <w:tcPr>
            <w:tcW w:w="2133" w:type="dxa"/>
            <w:shd w:val="clear" w:color="auto" w:fill="D9E2F3"/>
            <w:vAlign w:val="bottom"/>
          </w:tcPr>
          <w:p w14:paraId="2597697B" w14:textId="36F4231A"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4,6%</w:t>
            </w:r>
          </w:p>
        </w:tc>
        <w:tc>
          <w:tcPr>
            <w:tcW w:w="1956" w:type="dxa"/>
            <w:shd w:val="clear" w:color="auto" w:fill="D9E2F3"/>
            <w:vAlign w:val="bottom"/>
          </w:tcPr>
          <w:p w14:paraId="3CB6643B" w14:textId="68E8EFE9"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3,9%</w:t>
            </w:r>
          </w:p>
        </w:tc>
        <w:tc>
          <w:tcPr>
            <w:tcW w:w="1947" w:type="dxa"/>
            <w:shd w:val="clear" w:color="auto" w:fill="D9E2F3"/>
            <w:vAlign w:val="bottom"/>
          </w:tcPr>
          <w:p w14:paraId="3C300F63" w14:textId="3E82F835"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3,8%</w:t>
            </w:r>
          </w:p>
        </w:tc>
      </w:tr>
      <w:tr w:rsidR="002C5FCC" w:rsidRPr="00CA0C1F" w14:paraId="6C622AF9" w14:textId="77777777" w:rsidTr="00CA0C1F">
        <w:trPr>
          <w:trHeight w:val="289"/>
        </w:trPr>
        <w:tc>
          <w:tcPr>
            <w:tcW w:w="2844" w:type="dxa"/>
            <w:tcBorders>
              <w:left w:val="single" w:sz="4" w:space="0" w:color="FFFFFF"/>
            </w:tcBorders>
            <w:shd w:val="clear" w:color="auto" w:fill="4472C4"/>
            <w:vAlign w:val="bottom"/>
          </w:tcPr>
          <w:p w14:paraId="7FC93612" w14:textId="52D5A21C"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Chamberí</w:t>
            </w:r>
          </w:p>
        </w:tc>
        <w:tc>
          <w:tcPr>
            <w:tcW w:w="2133" w:type="dxa"/>
            <w:shd w:val="clear" w:color="auto" w:fill="B4C6E7"/>
            <w:vAlign w:val="bottom"/>
          </w:tcPr>
          <w:p w14:paraId="652C5157" w14:textId="195127C6"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4,7%</w:t>
            </w:r>
          </w:p>
        </w:tc>
        <w:tc>
          <w:tcPr>
            <w:tcW w:w="1956" w:type="dxa"/>
            <w:shd w:val="clear" w:color="auto" w:fill="B4C6E7"/>
            <w:vAlign w:val="bottom"/>
          </w:tcPr>
          <w:p w14:paraId="703959BC" w14:textId="264BB2E5"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4,0%</w:t>
            </w:r>
          </w:p>
        </w:tc>
        <w:tc>
          <w:tcPr>
            <w:tcW w:w="1947" w:type="dxa"/>
            <w:shd w:val="clear" w:color="auto" w:fill="B4C6E7"/>
            <w:vAlign w:val="bottom"/>
          </w:tcPr>
          <w:p w14:paraId="6334670C" w14:textId="3C7150D4"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3,7%</w:t>
            </w:r>
          </w:p>
        </w:tc>
      </w:tr>
      <w:tr w:rsidR="002C5FCC" w:rsidRPr="00CA0C1F" w14:paraId="2C73DD71" w14:textId="77777777" w:rsidTr="00CA0C1F">
        <w:trPr>
          <w:trHeight w:val="289"/>
        </w:trPr>
        <w:tc>
          <w:tcPr>
            <w:tcW w:w="2844" w:type="dxa"/>
            <w:tcBorders>
              <w:left w:val="single" w:sz="4" w:space="0" w:color="FFFFFF"/>
            </w:tcBorders>
            <w:shd w:val="clear" w:color="auto" w:fill="4472C4"/>
            <w:vAlign w:val="bottom"/>
          </w:tcPr>
          <w:p w14:paraId="0D1776B7" w14:textId="68CA631D"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Chamartín</w:t>
            </w:r>
          </w:p>
        </w:tc>
        <w:tc>
          <w:tcPr>
            <w:tcW w:w="2133" w:type="dxa"/>
            <w:shd w:val="clear" w:color="auto" w:fill="D9E2F3"/>
            <w:vAlign w:val="bottom"/>
          </w:tcPr>
          <w:p w14:paraId="5831FF74" w14:textId="1054508E"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c>
          <w:tcPr>
            <w:tcW w:w="1956" w:type="dxa"/>
            <w:shd w:val="clear" w:color="auto" w:fill="D9E2F3"/>
            <w:vAlign w:val="bottom"/>
          </w:tcPr>
          <w:p w14:paraId="1121EF18" w14:textId="428D5AC1"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4,0%</w:t>
            </w:r>
          </w:p>
        </w:tc>
        <w:tc>
          <w:tcPr>
            <w:tcW w:w="1947" w:type="dxa"/>
            <w:shd w:val="clear" w:color="auto" w:fill="D9E2F3"/>
            <w:vAlign w:val="bottom"/>
          </w:tcPr>
          <w:p w14:paraId="5DDE190D" w14:textId="6C5A9C38"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3,6%</w:t>
            </w:r>
          </w:p>
        </w:tc>
      </w:tr>
      <w:tr w:rsidR="002C5FCC" w:rsidRPr="00CA0C1F" w14:paraId="4CBDFB3E" w14:textId="77777777" w:rsidTr="00CA0C1F">
        <w:trPr>
          <w:trHeight w:val="289"/>
        </w:trPr>
        <w:tc>
          <w:tcPr>
            <w:tcW w:w="2844" w:type="dxa"/>
            <w:tcBorders>
              <w:left w:val="single" w:sz="4" w:space="0" w:color="FFFFFF"/>
              <w:bottom w:val="single" w:sz="4" w:space="0" w:color="FFFFFF"/>
            </w:tcBorders>
            <w:shd w:val="clear" w:color="auto" w:fill="4472C4"/>
            <w:vAlign w:val="bottom"/>
          </w:tcPr>
          <w:p w14:paraId="74030A18" w14:textId="791E530D" w:rsidR="002C5FCC" w:rsidRPr="002C5FCC" w:rsidRDefault="002C5FCC" w:rsidP="002C5FCC">
            <w:pPr>
              <w:rPr>
                <w:rFonts w:ascii="Open Sans" w:hAnsi="Open Sans" w:cs="Open Sans"/>
                <w:color w:val="FFFFFF" w:themeColor="background1"/>
                <w:sz w:val="22"/>
                <w:szCs w:val="22"/>
              </w:rPr>
            </w:pPr>
            <w:r w:rsidRPr="002C5FCC">
              <w:rPr>
                <w:rFonts w:ascii="Open Sans" w:hAnsi="Open Sans" w:cs="Open Sans"/>
                <w:color w:val="FFFFFF" w:themeColor="background1"/>
                <w:sz w:val="22"/>
                <w:szCs w:val="22"/>
              </w:rPr>
              <w:t>Salamanca</w:t>
            </w:r>
          </w:p>
        </w:tc>
        <w:tc>
          <w:tcPr>
            <w:tcW w:w="2133" w:type="dxa"/>
            <w:shd w:val="clear" w:color="auto" w:fill="B4C6E7"/>
            <w:vAlign w:val="bottom"/>
          </w:tcPr>
          <w:p w14:paraId="33A736F3" w14:textId="10446EFC"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4,2%</w:t>
            </w:r>
          </w:p>
        </w:tc>
        <w:tc>
          <w:tcPr>
            <w:tcW w:w="1956" w:type="dxa"/>
            <w:shd w:val="clear" w:color="auto" w:fill="B4C6E7"/>
            <w:vAlign w:val="bottom"/>
          </w:tcPr>
          <w:p w14:paraId="30F3E869" w14:textId="5A7B48A1"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3,6%</w:t>
            </w:r>
          </w:p>
        </w:tc>
        <w:tc>
          <w:tcPr>
            <w:tcW w:w="1947" w:type="dxa"/>
            <w:shd w:val="clear" w:color="auto" w:fill="B4C6E7"/>
            <w:vAlign w:val="bottom"/>
          </w:tcPr>
          <w:p w14:paraId="1827DFB6" w14:textId="3EED7BC7" w:rsidR="002C5FCC" w:rsidRPr="00CA0C1F" w:rsidRDefault="002C5FCC" w:rsidP="002C5FCC">
            <w:pPr>
              <w:jc w:val="center"/>
              <w:rPr>
                <w:rFonts w:ascii="Open Sans" w:hAnsi="Open Sans" w:cs="Open Sans"/>
                <w:color w:val="000000"/>
                <w:sz w:val="22"/>
                <w:szCs w:val="22"/>
              </w:rPr>
            </w:pPr>
            <w:r>
              <w:rPr>
                <w:rFonts w:ascii="Open Sans" w:hAnsi="Open Sans" w:cs="Open Sans"/>
                <w:color w:val="000000"/>
                <w:sz w:val="22"/>
                <w:szCs w:val="22"/>
              </w:rPr>
              <w:t>3,4%</w:t>
            </w:r>
          </w:p>
        </w:tc>
      </w:tr>
    </w:tbl>
    <w:p w14:paraId="797F40CB" w14:textId="77777777" w:rsidR="00B629FA" w:rsidRDefault="00B629FA" w:rsidP="007E5768">
      <w:pPr>
        <w:pStyle w:val="NormalWeb"/>
        <w:shd w:val="clear" w:color="auto" w:fill="FFFFFF"/>
        <w:spacing w:after="225" w:line="276" w:lineRule="auto"/>
        <w:ind w:right="-574"/>
        <w:rPr>
          <w:rFonts w:ascii="Open Sans Light" w:hAnsi="Open Sans Light" w:cs="Open Sans Light"/>
          <w:b/>
          <w:iCs/>
          <w:color w:val="303AB2"/>
        </w:rPr>
      </w:pPr>
    </w:p>
    <w:p w14:paraId="07A782C3" w14:textId="338CC992" w:rsidR="007E5768" w:rsidRPr="007E5768" w:rsidRDefault="007E5768" w:rsidP="007E5768">
      <w:pPr>
        <w:pStyle w:val="NormalWeb"/>
        <w:shd w:val="clear" w:color="auto" w:fill="FFFFFF"/>
        <w:spacing w:after="225" w:line="276" w:lineRule="auto"/>
        <w:ind w:right="-574"/>
        <w:rPr>
          <w:rFonts w:ascii="Open Sans Light" w:hAnsi="Open Sans Light" w:cs="Open Sans Light"/>
          <w:b/>
          <w:iCs/>
          <w:color w:val="303AB2"/>
        </w:rPr>
      </w:pPr>
      <w:r w:rsidRPr="007E5768">
        <w:rPr>
          <w:rFonts w:ascii="Open Sans Light" w:hAnsi="Open Sans Light" w:cs="Open Sans Light"/>
          <w:b/>
          <w:iCs/>
          <w:color w:val="303AB2"/>
        </w:rPr>
        <w:t xml:space="preserve">Tabla </w:t>
      </w:r>
      <w:r w:rsidR="0074620F">
        <w:rPr>
          <w:rFonts w:ascii="Open Sans Light" w:hAnsi="Open Sans Light" w:cs="Open Sans Light"/>
          <w:b/>
          <w:iCs/>
          <w:color w:val="303AB2"/>
        </w:rPr>
        <w:t>5</w:t>
      </w:r>
      <w:r w:rsidRPr="007E5768">
        <w:rPr>
          <w:rFonts w:ascii="Open Sans Light" w:hAnsi="Open Sans Light" w:cs="Open Sans Light"/>
          <w:b/>
          <w:iCs/>
          <w:color w:val="303AB2"/>
        </w:rPr>
        <w:t xml:space="preserve">. Rentabilidad </w:t>
      </w:r>
      <w:r w:rsidR="000B6B0A">
        <w:rPr>
          <w:rFonts w:ascii="Open Sans Light" w:hAnsi="Open Sans Light" w:cs="Open Sans Light"/>
          <w:b/>
          <w:iCs/>
          <w:color w:val="303AB2"/>
        </w:rPr>
        <w:t xml:space="preserve">de la vivienda </w:t>
      </w:r>
      <w:r w:rsidRPr="007E5768">
        <w:rPr>
          <w:rFonts w:ascii="Open Sans Light" w:hAnsi="Open Sans Light" w:cs="Open Sans Light"/>
          <w:b/>
          <w:iCs/>
          <w:color w:val="303AB2"/>
        </w:rPr>
        <w:t>por distritos de Barcelona (</w:t>
      </w:r>
      <w:r w:rsidR="00205C70" w:rsidRPr="007E5768">
        <w:rPr>
          <w:rFonts w:ascii="Open Sans Light" w:hAnsi="Open Sans Light" w:cs="Open Sans Light"/>
          <w:b/>
          <w:iCs/>
          <w:color w:val="303AB2"/>
        </w:rPr>
        <w:t>comparativa 201</w:t>
      </w:r>
      <w:r w:rsidR="00205C70">
        <w:rPr>
          <w:rFonts w:ascii="Open Sans Light" w:hAnsi="Open Sans Light" w:cs="Open Sans Light"/>
          <w:b/>
          <w:iCs/>
          <w:color w:val="303AB2"/>
        </w:rPr>
        <w:t xml:space="preserve">5, </w:t>
      </w:r>
      <w:r w:rsidR="00205C70" w:rsidRPr="007E5768">
        <w:rPr>
          <w:rFonts w:ascii="Open Sans Light" w:hAnsi="Open Sans Light" w:cs="Open Sans Light"/>
          <w:b/>
          <w:iCs/>
          <w:color w:val="303AB2"/>
        </w:rPr>
        <w:t>201</w:t>
      </w:r>
      <w:r w:rsidR="00205C70">
        <w:rPr>
          <w:rFonts w:ascii="Open Sans Light" w:hAnsi="Open Sans Light" w:cs="Open Sans Light"/>
          <w:b/>
          <w:iCs/>
          <w:color w:val="303AB2"/>
        </w:rPr>
        <w:t>9</w:t>
      </w:r>
      <w:r w:rsidR="00205C70" w:rsidRPr="007E5768">
        <w:rPr>
          <w:rFonts w:ascii="Open Sans Light" w:hAnsi="Open Sans Light" w:cs="Open Sans Light"/>
          <w:b/>
          <w:iCs/>
          <w:color w:val="303AB2"/>
        </w:rPr>
        <w:t xml:space="preserve"> </w:t>
      </w:r>
      <w:r w:rsidR="00205C70">
        <w:rPr>
          <w:rFonts w:ascii="Open Sans Light" w:hAnsi="Open Sans Light" w:cs="Open Sans Light"/>
          <w:b/>
          <w:iCs/>
          <w:color w:val="303AB2"/>
        </w:rPr>
        <w:t xml:space="preserve">y </w:t>
      </w:r>
      <w:r w:rsidR="00205C70" w:rsidRPr="007E5768">
        <w:rPr>
          <w:rFonts w:ascii="Open Sans Light" w:hAnsi="Open Sans Light" w:cs="Open Sans Light"/>
          <w:b/>
          <w:iCs/>
          <w:color w:val="303AB2"/>
        </w:rPr>
        <w:t>20</w:t>
      </w:r>
      <w:r w:rsidR="00205C70">
        <w:rPr>
          <w:rFonts w:ascii="Open Sans Light" w:hAnsi="Open Sans Light" w:cs="Open Sans Light"/>
          <w:b/>
          <w:iCs/>
          <w:color w:val="303AB2"/>
        </w:rPr>
        <w:t>20</w:t>
      </w:r>
      <w:r w:rsidR="00205C70" w:rsidRPr="007E5768">
        <w:rPr>
          <w:rFonts w:ascii="Open Sans Light" w:hAnsi="Open Sans Light" w:cs="Open Sans Light"/>
          <w:b/>
          <w:iCs/>
          <w:color w:val="303AB2"/>
        </w:rPr>
        <w:t>)</w:t>
      </w:r>
    </w:p>
    <w:tbl>
      <w:tblPr>
        <w:tblW w:w="9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0"/>
        <w:gridCol w:w="2127"/>
        <w:gridCol w:w="2218"/>
        <w:gridCol w:w="1972"/>
      </w:tblGrid>
      <w:tr w:rsidR="00205C70" w:rsidRPr="00CA0C1F" w14:paraId="0C09C22C" w14:textId="77777777" w:rsidTr="00CA0C1F">
        <w:trPr>
          <w:trHeight w:val="559"/>
        </w:trPr>
        <w:tc>
          <w:tcPr>
            <w:tcW w:w="2830" w:type="dxa"/>
            <w:tcBorders>
              <w:top w:val="single" w:sz="4" w:space="0" w:color="FFFFFF"/>
              <w:left w:val="single" w:sz="4" w:space="0" w:color="FFFFFF"/>
              <w:right w:val="nil"/>
            </w:tcBorders>
            <w:shd w:val="clear" w:color="auto" w:fill="4472C4"/>
          </w:tcPr>
          <w:p w14:paraId="15D65FDE" w14:textId="721F69BF" w:rsidR="00205C70" w:rsidRPr="00205C70" w:rsidRDefault="00205C70" w:rsidP="00205C70">
            <w:pPr>
              <w:rPr>
                <w:rFonts w:ascii="Open Sans Light" w:hAnsi="Open Sans Light" w:cs="Open Sans Light"/>
                <w:b/>
                <w:bCs/>
                <w:color w:val="FFFFFF" w:themeColor="background1"/>
                <w:sz w:val="22"/>
              </w:rPr>
            </w:pPr>
            <w:r w:rsidRPr="00205C70">
              <w:rPr>
                <w:rFonts w:ascii="Open Sans Light" w:hAnsi="Open Sans Light" w:cs="Open Sans Light"/>
                <w:b/>
                <w:bCs/>
                <w:color w:val="FFFFFF" w:themeColor="background1"/>
                <w:sz w:val="22"/>
                <w:szCs w:val="22"/>
              </w:rPr>
              <w:t>Distritos de Barcelona</w:t>
            </w:r>
          </w:p>
        </w:tc>
        <w:tc>
          <w:tcPr>
            <w:tcW w:w="2127" w:type="dxa"/>
            <w:tcBorders>
              <w:top w:val="single" w:sz="4" w:space="0" w:color="FFFFFF"/>
              <w:left w:val="nil"/>
              <w:right w:val="nil"/>
            </w:tcBorders>
            <w:shd w:val="clear" w:color="auto" w:fill="4472C4"/>
          </w:tcPr>
          <w:p w14:paraId="6D087F85" w14:textId="77777777" w:rsidR="00205C70" w:rsidRPr="00CA0C1F" w:rsidRDefault="00205C70" w:rsidP="00205C70">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 xml:space="preserve">Rentabilidad </w:t>
            </w:r>
          </w:p>
          <w:p w14:paraId="17253684" w14:textId="7A10F544" w:rsidR="00205C70" w:rsidRPr="00CA0C1F" w:rsidRDefault="00205C70" w:rsidP="00205C70">
            <w:pPr>
              <w:pStyle w:val="Listavistosa-nfasis11"/>
              <w:ind w:left="0"/>
              <w:jc w:val="center"/>
              <w:rPr>
                <w:rStyle w:val="nfasis"/>
                <w:rFonts w:ascii="Open Sans Light" w:hAnsi="Open Sans Light" w:cs="Open Sans Light"/>
                <w:b/>
                <w:bCs/>
                <w:i w:val="0"/>
                <w:iCs w:val="0"/>
                <w:color w:val="FFFFFF"/>
                <w:sz w:val="22"/>
              </w:rPr>
            </w:pPr>
            <w:r w:rsidRPr="00CA0C1F">
              <w:rPr>
                <w:rStyle w:val="nfasis"/>
                <w:rFonts w:ascii="Open Sans Light" w:hAnsi="Open Sans Light" w:cs="Open Sans Light"/>
                <w:b/>
                <w:bCs/>
                <w:i w:val="0"/>
                <w:iCs w:val="0"/>
                <w:color w:val="FFFFFF"/>
                <w:sz w:val="22"/>
                <w:szCs w:val="22"/>
              </w:rPr>
              <w:t>201</w:t>
            </w:r>
            <w:r>
              <w:rPr>
                <w:rStyle w:val="nfasis"/>
                <w:rFonts w:ascii="Open Sans Light" w:hAnsi="Open Sans Light" w:cs="Open Sans Light"/>
                <w:b/>
                <w:bCs/>
                <w:i w:val="0"/>
                <w:iCs w:val="0"/>
                <w:color w:val="FFFFFF"/>
                <w:sz w:val="22"/>
                <w:szCs w:val="22"/>
              </w:rPr>
              <w:t>5 (5 años)</w:t>
            </w:r>
          </w:p>
        </w:tc>
        <w:tc>
          <w:tcPr>
            <w:tcW w:w="2218" w:type="dxa"/>
            <w:tcBorders>
              <w:top w:val="single" w:sz="4" w:space="0" w:color="FFFFFF"/>
              <w:left w:val="nil"/>
              <w:right w:val="nil"/>
            </w:tcBorders>
            <w:shd w:val="clear" w:color="auto" w:fill="4472C4"/>
            <w:vAlign w:val="center"/>
          </w:tcPr>
          <w:p w14:paraId="0CB94E57" w14:textId="77777777" w:rsidR="00205C70" w:rsidRPr="00CA0C1F" w:rsidRDefault="00205C70" w:rsidP="00205C70">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Rentabilidad</w:t>
            </w:r>
          </w:p>
          <w:p w14:paraId="39FBE335" w14:textId="3BFF127B" w:rsidR="00205C70" w:rsidRPr="00CA0C1F" w:rsidRDefault="00205C70" w:rsidP="00205C70">
            <w:pPr>
              <w:pStyle w:val="Listavistosa-nfasis11"/>
              <w:ind w:left="0"/>
              <w:jc w:val="center"/>
              <w:rPr>
                <w:rStyle w:val="nfasis"/>
                <w:rFonts w:ascii="Open Sans Light" w:hAnsi="Open Sans Light" w:cs="Open Sans Light"/>
                <w:b/>
                <w:bCs/>
                <w:i w:val="0"/>
                <w:iCs w:val="0"/>
                <w:color w:val="FFFFFF"/>
                <w:sz w:val="22"/>
              </w:rPr>
            </w:pPr>
            <w:r w:rsidRPr="00CA0C1F">
              <w:rPr>
                <w:rStyle w:val="nfasis"/>
                <w:rFonts w:ascii="Open Sans Light" w:hAnsi="Open Sans Light" w:cs="Open Sans Light"/>
                <w:b/>
                <w:bCs/>
                <w:i w:val="0"/>
                <w:iCs w:val="0"/>
                <w:color w:val="FFFFFF"/>
                <w:sz w:val="22"/>
                <w:szCs w:val="22"/>
              </w:rPr>
              <w:t>201</w:t>
            </w:r>
            <w:r>
              <w:rPr>
                <w:rStyle w:val="nfasis"/>
                <w:rFonts w:ascii="Open Sans Light" w:hAnsi="Open Sans Light" w:cs="Open Sans Light"/>
                <w:b/>
                <w:bCs/>
                <w:i w:val="0"/>
                <w:iCs w:val="0"/>
                <w:color w:val="FFFFFF"/>
                <w:sz w:val="22"/>
                <w:szCs w:val="22"/>
              </w:rPr>
              <w:t>9 (1 año)</w:t>
            </w:r>
          </w:p>
        </w:tc>
        <w:tc>
          <w:tcPr>
            <w:tcW w:w="1972" w:type="dxa"/>
            <w:tcBorders>
              <w:top w:val="single" w:sz="4" w:space="0" w:color="FFFFFF"/>
              <w:left w:val="nil"/>
              <w:right w:val="single" w:sz="4" w:space="0" w:color="FFFFFF"/>
            </w:tcBorders>
            <w:shd w:val="clear" w:color="auto" w:fill="4472C4"/>
            <w:vAlign w:val="center"/>
          </w:tcPr>
          <w:p w14:paraId="75A8BA3C" w14:textId="77777777" w:rsidR="00205C70" w:rsidRPr="00CA0C1F" w:rsidRDefault="00205C70" w:rsidP="00205C70">
            <w:pPr>
              <w:pStyle w:val="Listavistosa-nfasis11"/>
              <w:ind w:left="0"/>
              <w:jc w:val="center"/>
              <w:rPr>
                <w:rStyle w:val="nfasis"/>
                <w:rFonts w:ascii="Open Sans Light" w:hAnsi="Open Sans Light" w:cs="Open Sans Light"/>
                <w:b/>
                <w:bCs/>
                <w:i w:val="0"/>
                <w:iCs w:val="0"/>
                <w:color w:val="FFFFFF"/>
                <w:sz w:val="22"/>
                <w:szCs w:val="22"/>
              </w:rPr>
            </w:pPr>
            <w:r w:rsidRPr="00CA0C1F">
              <w:rPr>
                <w:rStyle w:val="nfasis"/>
                <w:rFonts w:ascii="Open Sans Light" w:hAnsi="Open Sans Light" w:cs="Open Sans Light"/>
                <w:b/>
                <w:bCs/>
                <w:i w:val="0"/>
                <w:iCs w:val="0"/>
                <w:color w:val="FFFFFF"/>
                <w:sz w:val="22"/>
                <w:szCs w:val="22"/>
              </w:rPr>
              <w:t>Rentabilidad</w:t>
            </w:r>
          </w:p>
          <w:p w14:paraId="6172CC05" w14:textId="64FD8163" w:rsidR="00205C70" w:rsidRPr="00CA0C1F" w:rsidRDefault="00205C70" w:rsidP="00205C70">
            <w:pPr>
              <w:pStyle w:val="Texto"/>
              <w:jc w:val="center"/>
              <w:rPr>
                <w:rStyle w:val="nfasis"/>
                <w:rFonts w:ascii="Open Sans Light" w:hAnsi="Open Sans Light" w:cs="Open Sans Light"/>
                <w:b/>
                <w:bCs/>
                <w:color w:val="FFFFFF"/>
                <w:szCs w:val="24"/>
                <w:lang w:val="es-ES"/>
              </w:rPr>
            </w:pPr>
            <w:r w:rsidRPr="00CA0C1F">
              <w:rPr>
                <w:rStyle w:val="nfasis"/>
                <w:rFonts w:ascii="Open Sans Light" w:hAnsi="Open Sans Light" w:cs="Open Sans Light"/>
                <w:b/>
                <w:bCs/>
                <w:i w:val="0"/>
                <w:iCs w:val="0"/>
                <w:color w:val="FFFFFF"/>
                <w:lang w:val="es-ES"/>
              </w:rPr>
              <w:t>20</w:t>
            </w:r>
            <w:r>
              <w:rPr>
                <w:rStyle w:val="nfasis"/>
                <w:rFonts w:ascii="Open Sans Light" w:hAnsi="Open Sans Light" w:cs="Open Sans Light"/>
                <w:b/>
                <w:bCs/>
                <w:i w:val="0"/>
                <w:iCs w:val="0"/>
                <w:color w:val="FFFFFF"/>
                <w:lang w:val="es-ES"/>
              </w:rPr>
              <w:t>20</w:t>
            </w:r>
          </w:p>
        </w:tc>
      </w:tr>
      <w:tr w:rsidR="00205C70" w:rsidRPr="00CA0C1F" w14:paraId="7EA626E8" w14:textId="77777777" w:rsidTr="00CA0C1F">
        <w:trPr>
          <w:trHeight w:val="279"/>
        </w:trPr>
        <w:tc>
          <w:tcPr>
            <w:tcW w:w="2830" w:type="dxa"/>
            <w:tcBorders>
              <w:left w:val="single" w:sz="4" w:space="0" w:color="FFFFFF"/>
            </w:tcBorders>
            <w:shd w:val="clear" w:color="auto" w:fill="4472C4"/>
            <w:vAlign w:val="bottom"/>
          </w:tcPr>
          <w:p w14:paraId="6D6ACA1A" w14:textId="69F83F04"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Nou Barris</w:t>
            </w:r>
          </w:p>
        </w:tc>
        <w:tc>
          <w:tcPr>
            <w:tcW w:w="2127" w:type="dxa"/>
            <w:shd w:val="clear" w:color="auto" w:fill="B4C6E7"/>
            <w:vAlign w:val="bottom"/>
          </w:tcPr>
          <w:p w14:paraId="34D84986" w14:textId="6E953212"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6,3%</w:t>
            </w:r>
          </w:p>
        </w:tc>
        <w:tc>
          <w:tcPr>
            <w:tcW w:w="2218" w:type="dxa"/>
            <w:shd w:val="clear" w:color="auto" w:fill="B4C6E7"/>
            <w:vAlign w:val="bottom"/>
          </w:tcPr>
          <w:p w14:paraId="688959BE" w14:textId="0BFDEF46"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6,3%</w:t>
            </w:r>
          </w:p>
        </w:tc>
        <w:tc>
          <w:tcPr>
            <w:tcW w:w="1972" w:type="dxa"/>
            <w:shd w:val="clear" w:color="auto" w:fill="B4C6E7"/>
            <w:vAlign w:val="bottom"/>
          </w:tcPr>
          <w:p w14:paraId="7844B379" w14:textId="183970D6"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5,9%</w:t>
            </w:r>
          </w:p>
        </w:tc>
      </w:tr>
      <w:tr w:rsidR="00205C70" w:rsidRPr="00CA0C1F" w14:paraId="14397C58" w14:textId="77777777" w:rsidTr="00CA0C1F">
        <w:trPr>
          <w:trHeight w:val="279"/>
        </w:trPr>
        <w:tc>
          <w:tcPr>
            <w:tcW w:w="2830" w:type="dxa"/>
            <w:tcBorders>
              <w:left w:val="single" w:sz="4" w:space="0" w:color="FFFFFF"/>
            </w:tcBorders>
            <w:shd w:val="clear" w:color="auto" w:fill="4472C4"/>
            <w:vAlign w:val="bottom"/>
          </w:tcPr>
          <w:p w14:paraId="472F9F85" w14:textId="1D96290D"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Sant Andreu</w:t>
            </w:r>
          </w:p>
        </w:tc>
        <w:tc>
          <w:tcPr>
            <w:tcW w:w="2127" w:type="dxa"/>
            <w:shd w:val="clear" w:color="auto" w:fill="D9E2F3"/>
            <w:vAlign w:val="bottom"/>
          </w:tcPr>
          <w:p w14:paraId="09079A4B" w14:textId="4C74DB55"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5,0%</w:t>
            </w:r>
          </w:p>
        </w:tc>
        <w:tc>
          <w:tcPr>
            <w:tcW w:w="2218" w:type="dxa"/>
            <w:shd w:val="clear" w:color="auto" w:fill="D9E2F3"/>
            <w:vAlign w:val="bottom"/>
          </w:tcPr>
          <w:p w14:paraId="03B6F515" w14:textId="750C7426"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5,4%</w:t>
            </w:r>
          </w:p>
        </w:tc>
        <w:tc>
          <w:tcPr>
            <w:tcW w:w="1972" w:type="dxa"/>
            <w:shd w:val="clear" w:color="auto" w:fill="D9E2F3"/>
            <w:vAlign w:val="bottom"/>
          </w:tcPr>
          <w:p w14:paraId="1CE4E532" w14:textId="57818C95"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5,1%</w:t>
            </w:r>
          </w:p>
        </w:tc>
      </w:tr>
      <w:tr w:rsidR="00205C70" w:rsidRPr="00CA0C1F" w14:paraId="6B685BE4" w14:textId="77777777" w:rsidTr="00CA0C1F">
        <w:trPr>
          <w:trHeight w:val="294"/>
        </w:trPr>
        <w:tc>
          <w:tcPr>
            <w:tcW w:w="2830" w:type="dxa"/>
            <w:tcBorders>
              <w:left w:val="single" w:sz="4" w:space="0" w:color="FFFFFF"/>
            </w:tcBorders>
            <w:shd w:val="clear" w:color="auto" w:fill="4472C4"/>
            <w:vAlign w:val="bottom"/>
          </w:tcPr>
          <w:p w14:paraId="7C63F2E3" w14:textId="7D7DB7F8"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Sants - Montjuïc</w:t>
            </w:r>
          </w:p>
        </w:tc>
        <w:tc>
          <w:tcPr>
            <w:tcW w:w="2127" w:type="dxa"/>
            <w:shd w:val="clear" w:color="auto" w:fill="B4C6E7"/>
            <w:vAlign w:val="bottom"/>
          </w:tcPr>
          <w:p w14:paraId="2169F424" w14:textId="4D8B7B4E"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5,4%</w:t>
            </w:r>
          </w:p>
        </w:tc>
        <w:tc>
          <w:tcPr>
            <w:tcW w:w="2218" w:type="dxa"/>
            <w:shd w:val="clear" w:color="auto" w:fill="B4C6E7"/>
            <w:vAlign w:val="bottom"/>
          </w:tcPr>
          <w:p w14:paraId="78C7BE59" w14:textId="3C167F21"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4,9%</w:t>
            </w:r>
          </w:p>
        </w:tc>
        <w:tc>
          <w:tcPr>
            <w:tcW w:w="1972" w:type="dxa"/>
            <w:shd w:val="clear" w:color="auto" w:fill="B4C6E7"/>
            <w:vAlign w:val="bottom"/>
          </w:tcPr>
          <w:p w14:paraId="21DE6228" w14:textId="1C692CC3"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4,7%</w:t>
            </w:r>
          </w:p>
        </w:tc>
      </w:tr>
      <w:tr w:rsidR="00205C70" w:rsidRPr="00CA0C1F" w14:paraId="0B5FD36E" w14:textId="77777777" w:rsidTr="00CA0C1F">
        <w:trPr>
          <w:trHeight w:val="279"/>
        </w:trPr>
        <w:tc>
          <w:tcPr>
            <w:tcW w:w="2830" w:type="dxa"/>
            <w:tcBorders>
              <w:left w:val="single" w:sz="4" w:space="0" w:color="FFFFFF"/>
            </w:tcBorders>
            <w:shd w:val="clear" w:color="auto" w:fill="4472C4"/>
            <w:vAlign w:val="bottom"/>
          </w:tcPr>
          <w:p w14:paraId="1D9A1EFC" w14:textId="7E08D374"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Horta - Guinardó</w:t>
            </w:r>
          </w:p>
        </w:tc>
        <w:tc>
          <w:tcPr>
            <w:tcW w:w="2127" w:type="dxa"/>
            <w:shd w:val="clear" w:color="auto" w:fill="D9E2F3"/>
            <w:vAlign w:val="bottom"/>
          </w:tcPr>
          <w:p w14:paraId="3CA3656A" w14:textId="59EEEE8C"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5,4%</w:t>
            </w:r>
          </w:p>
        </w:tc>
        <w:tc>
          <w:tcPr>
            <w:tcW w:w="2218" w:type="dxa"/>
            <w:shd w:val="clear" w:color="auto" w:fill="D9E2F3"/>
            <w:vAlign w:val="bottom"/>
          </w:tcPr>
          <w:p w14:paraId="6376725D" w14:textId="11B115C3"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5,4%</w:t>
            </w:r>
          </w:p>
        </w:tc>
        <w:tc>
          <w:tcPr>
            <w:tcW w:w="1972" w:type="dxa"/>
            <w:shd w:val="clear" w:color="auto" w:fill="D9E2F3"/>
            <w:vAlign w:val="bottom"/>
          </w:tcPr>
          <w:p w14:paraId="520E5857" w14:textId="7D6A93A8"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4,7%</w:t>
            </w:r>
          </w:p>
        </w:tc>
      </w:tr>
      <w:tr w:rsidR="00205C70" w:rsidRPr="00CA0C1F" w14:paraId="7D8CB255" w14:textId="77777777" w:rsidTr="00CA0C1F">
        <w:trPr>
          <w:trHeight w:val="279"/>
        </w:trPr>
        <w:tc>
          <w:tcPr>
            <w:tcW w:w="2830" w:type="dxa"/>
            <w:tcBorders>
              <w:left w:val="single" w:sz="4" w:space="0" w:color="FFFFFF"/>
            </w:tcBorders>
            <w:shd w:val="clear" w:color="auto" w:fill="4472C4"/>
            <w:vAlign w:val="bottom"/>
          </w:tcPr>
          <w:p w14:paraId="763EE3EC" w14:textId="7494CD9C"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Sant Martí</w:t>
            </w:r>
          </w:p>
        </w:tc>
        <w:tc>
          <w:tcPr>
            <w:tcW w:w="2127" w:type="dxa"/>
            <w:shd w:val="clear" w:color="auto" w:fill="B4C6E7"/>
            <w:vAlign w:val="bottom"/>
          </w:tcPr>
          <w:p w14:paraId="65BAC114" w14:textId="3482BBBE"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5,2%</w:t>
            </w:r>
          </w:p>
        </w:tc>
        <w:tc>
          <w:tcPr>
            <w:tcW w:w="2218" w:type="dxa"/>
            <w:shd w:val="clear" w:color="auto" w:fill="B4C6E7"/>
            <w:vAlign w:val="bottom"/>
          </w:tcPr>
          <w:p w14:paraId="488E0F48" w14:textId="60162130"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4,8%</w:t>
            </w:r>
          </w:p>
        </w:tc>
        <w:tc>
          <w:tcPr>
            <w:tcW w:w="1972" w:type="dxa"/>
            <w:shd w:val="clear" w:color="auto" w:fill="B4C6E7"/>
            <w:vAlign w:val="bottom"/>
          </w:tcPr>
          <w:p w14:paraId="0CED1008" w14:textId="52F7AF5E"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4,2%</w:t>
            </w:r>
          </w:p>
        </w:tc>
      </w:tr>
      <w:tr w:rsidR="00205C70" w:rsidRPr="00CA0C1F" w14:paraId="019AA8DD" w14:textId="77777777" w:rsidTr="00CA0C1F">
        <w:trPr>
          <w:trHeight w:val="279"/>
        </w:trPr>
        <w:tc>
          <w:tcPr>
            <w:tcW w:w="2830" w:type="dxa"/>
            <w:tcBorders>
              <w:left w:val="single" w:sz="4" w:space="0" w:color="FFFFFF"/>
            </w:tcBorders>
            <w:shd w:val="clear" w:color="auto" w:fill="4472C4"/>
            <w:vAlign w:val="bottom"/>
          </w:tcPr>
          <w:p w14:paraId="19A26642" w14:textId="06BC0318"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Ciutat Vella</w:t>
            </w:r>
          </w:p>
        </w:tc>
        <w:tc>
          <w:tcPr>
            <w:tcW w:w="2127" w:type="dxa"/>
            <w:shd w:val="clear" w:color="auto" w:fill="D9E2F3"/>
            <w:vAlign w:val="bottom"/>
          </w:tcPr>
          <w:p w14:paraId="0639C3BA" w14:textId="2DF85688"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5,7%</w:t>
            </w:r>
          </w:p>
        </w:tc>
        <w:tc>
          <w:tcPr>
            <w:tcW w:w="2218" w:type="dxa"/>
            <w:shd w:val="clear" w:color="auto" w:fill="D9E2F3"/>
            <w:vAlign w:val="bottom"/>
          </w:tcPr>
          <w:p w14:paraId="71167090" w14:textId="7DAC3FD5"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5,0%</w:t>
            </w:r>
          </w:p>
        </w:tc>
        <w:tc>
          <w:tcPr>
            <w:tcW w:w="1972" w:type="dxa"/>
            <w:shd w:val="clear" w:color="auto" w:fill="D9E2F3"/>
            <w:vAlign w:val="bottom"/>
          </w:tcPr>
          <w:p w14:paraId="04E934C9" w14:textId="7C4DC4ED"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4,2%</w:t>
            </w:r>
          </w:p>
        </w:tc>
      </w:tr>
      <w:tr w:rsidR="00205C70" w:rsidRPr="00CA0C1F" w14:paraId="677319DC" w14:textId="77777777" w:rsidTr="00CA0C1F">
        <w:trPr>
          <w:trHeight w:val="279"/>
        </w:trPr>
        <w:tc>
          <w:tcPr>
            <w:tcW w:w="2830" w:type="dxa"/>
            <w:tcBorders>
              <w:left w:val="single" w:sz="4" w:space="0" w:color="FFFFFF"/>
            </w:tcBorders>
            <w:shd w:val="clear" w:color="auto" w:fill="4472C4"/>
            <w:vAlign w:val="bottom"/>
          </w:tcPr>
          <w:p w14:paraId="254CCF59" w14:textId="6C4A2834"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Gràcia</w:t>
            </w:r>
          </w:p>
        </w:tc>
        <w:tc>
          <w:tcPr>
            <w:tcW w:w="2127" w:type="dxa"/>
            <w:shd w:val="clear" w:color="auto" w:fill="B4C6E7"/>
            <w:vAlign w:val="bottom"/>
          </w:tcPr>
          <w:p w14:paraId="0EBB517E" w14:textId="25E62D04"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5,0%</w:t>
            </w:r>
          </w:p>
        </w:tc>
        <w:tc>
          <w:tcPr>
            <w:tcW w:w="2218" w:type="dxa"/>
            <w:shd w:val="clear" w:color="auto" w:fill="B4C6E7"/>
            <w:vAlign w:val="bottom"/>
          </w:tcPr>
          <w:p w14:paraId="43320AAE" w14:textId="2FA945D2"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4,4%</w:t>
            </w:r>
          </w:p>
        </w:tc>
        <w:tc>
          <w:tcPr>
            <w:tcW w:w="1972" w:type="dxa"/>
            <w:shd w:val="clear" w:color="auto" w:fill="B4C6E7"/>
            <w:vAlign w:val="bottom"/>
          </w:tcPr>
          <w:p w14:paraId="71D0845F" w14:textId="6958A6E3"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4,2%</w:t>
            </w:r>
          </w:p>
        </w:tc>
      </w:tr>
      <w:tr w:rsidR="00205C70" w:rsidRPr="00CA0C1F" w14:paraId="19946AB4" w14:textId="77777777" w:rsidTr="00CA0C1F">
        <w:trPr>
          <w:trHeight w:val="279"/>
        </w:trPr>
        <w:tc>
          <w:tcPr>
            <w:tcW w:w="2830" w:type="dxa"/>
            <w:tcBorders>
              <w:left w:val="single" w:sz="4" w:space="0" w:color="FFFFFF"/>
            </w:tcBorders>
            <w:shd w:val="clear" w:color="auto" w:fill="4472C4"/>
            <w:vAlign w:val="bottom"/>
          </w:tcPr>
          <w:p w14:paraId="45B3F5BF" w14:textId="7768CDE5"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Eixample</w:t>
            </w:r>
          </w:p>
        </w:tc>
        <w:tc>
          <w:tcPr>
            <w:tcW w:w="2127" w:type="dxa"/>
            <w:shd w:val="clear" w:color="auto" w:fill="D9E2F3"/>
            <w:vAlign w:val="bottom"/>
          </w:tcPr>
          <w:p w14:paraId="23E77EA6" w14:textId="151C94A1"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4,5%</w:t>
            </w:r>
          </w:p>
        </w:tc>
        <w:tc>
          <w:tcPr>
            <w:tcW w:w="2218" w:type="dxa"/>
            <w:shd w:val="clear" w:color="auto" w:fill="D9E2F3"/>
            <w:vAlign w:val="bottom"/>
          </w:tcPr>
          <w:p w14:paraId="02F26D1E" w14:textId="0B6CE44E"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4,0%</w:t>
            </w:r>
          </w:p>
        </w:tc>
        <w:tc>
          <w:tcPr>
            <w:tcW w:w="1972" w:type="dxa"/>
            <w:shd w:val="clear" w:color="auto" w:fill="D9E2F3"/>
            <w:vAlign w:val="bottom"/>
          </w:tcPr>
          <w:p w14:paraId="2950BDF7" w14:textId="0C9B0092"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3,7%</w:t>
            </w:r>
          </w:p>
        </w:tc>
      </w:tr>
      <w:tr w:rsidR="00205C70" w:rsidRPr="00CA0C1F" w14:paraId="6634CF41" w14:textId="77777777" w:rsidTr="00CA0C1F">
        <w:trPr>
          <w:trHeight w:val="294"/>
        </w:trPr>
        <w:tc>
          <w:tcPr>
            <w:tcW w:w="2830" w:type="dxa"/>
            <w:tcBorders>
              <w:left w:val="single" w:sz="4" w:space="0" w:color="FFFFFF"/>
            </w:tcBorders>
            <w:shd w:val="clear" w:color="auto" w:fill="4472C4"/>
            <w:vAlign w:val="bottom"/>
          </w:tcPr>
          <w:p w14:paraId="6DCE27D2" w14:textId="6F4407A3"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Les Corts</w:t>
            </w:r>
          </w:p>
        </w:tc>
        <w:tc>
          <w:tcPr>
            <w:tcW w:w="2127" w:type="dxa"/>
            <w:shd w:val="clear" w:color="auto" w:fill="B4C6E7"/>
            <w:vAlign w:val="bottom"/>
          </w:tcPr>
          <w:p w14:paraId="18DA987B" w14:textId="52E584B9"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4,3%</w:t>
            </w:r>
          </w:p>
        </w:tc>
        <w:tc>
          <w:tcPr>
            <w:tcW w:w="2218" w:type="dxa"/>
            <w:shd w:val="clear" w:color="auto" w:fill="B4C6E7"/>
            <w:vAlign w:val="bottom"/>
          </w:tcPr>
          <w:p w14:paraId="15185D76" w14:textId="047A3B33"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3,9%</w:t>
            </w:r>
          </w:p>
        </w:tc>
        <w:tc>
          <w:tcPr>
            <w:tcW w:w="1972" w:type="dxa"/>
            <w:shd w:val="clear" w:color="auto" w:fill="B4C6E7"/>
            <w:vAlign w:val="bottom"/>
          </w:tcPr>
          <w:p w14:paraId="62C622E0" w14:textId="3A1FC488"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3,4%</w:t>
            </w:r>
          </w:p>
        </w:tc>
      </w:tr>
      <w:tr w:rsidR="00205C70" w:rsidRPr="00CA0C1F" w14:paraId="24F9B221" w14:textId="77777777" w:rsidTr="00CA0C1F">
        <w:trPr>
          <w:trHeight w:val="279"/>
        </w:trPr>
        <w:tc>
          <w:tcPr>
            <w:tcW w:w="2830" w:type="dxa"/>
            <w:tcBorders>
              <w:left w:val="single" w:sz="4" w:space="0" w:color="FFFFFF"/>
              <w:bottom w:val="single" w:sz="4" w:space="0" w:color="FFFFFF"/>
            </w:tcBorders>
            <w:shd w:val="clear" w:color="auto" w:fill="4472C4"/>
            <w:vAlign w:val="bottom"/>
          </w:tcPr>
          <w:p w14:paraId="12FFCF53" w14:textId="3678C21B" w:rsidR="00205C70" w:rsidRPr="00205C70" w:rsidRDefault="00205C70" w:rsidP="00205C70">
            <w:pPr>
              <w:rPr>
                <w:rFonts w:ascii="Open Sans Light" w:hAnsi="Open Sans Light" w:cs="Open Sans Light"/>
                <w:color w:val="FFFFFF" w:themeColor="background1"/>
                <w:sz w:val="22"/>
                <w:szCs w:val="22"/>
              </w:rPr>
            </w:pPr>
            <w:r w:rsidRPr="00205C70">
              <w:rPr>
                <w:rFonts w:ascii="Open Sans" w:hAnsi="Open Sans" w:cs="Open Sans"/>
                <w:color w:val="FFFFFF" w:themeColor="background1"/>
                <w:sz w:val="22"/>
                <w:szCs w:val="22"/>
              </w:rPr>
              <w:t>Sarrià - Sant Gervasi</w:t>
            </w:r>
          </w:p>
        </w:tc>
        <w:tc>
          <w:tcPr>
            <w:tcW w:w="2127" w:type="dxa"/>
            <w:shd w:val="clear" w:color="auto" w:fill="D9E2F3"/>
            <w:vAlign w:val="bottom"/>
          </w:tcPr>
          <w:p w14:paraId="7AC16D67" w14:textId="18ED1C09"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4,2%</w:t>
            </w:r>
          </w:p>
        </w:tc>
        <w:tc>
          <w:tcPr>
            <w:tcW w:w="2218" w:type="dxa"/>
            <w:shd w:val="clear" w:color="auto" w:fill="D9E2F3"/>
            <w:vAlign w:val="bottom"/>
          </w:tcPr>
          <w:p w14:paraId="698F08D8" w14:textId="0B5B2C9C" w:rsidR="00205C70" w:rsidRPr="00CA0C1F" w:rsidRDefault="00205C70" w:rsidP="00205C70">
            <w:pPr>
              <w:jc w:val="center"/>
              <w:rPr>
                <w:rFonts w:ascii="Open Sans" w:hAnsi="Open Sans" w:cs="Open Sans"/>
                <w:color w:val="000000"/>
                <w:sz w:val="22"/>
                <w:szCs w:val="22"/>
              </w:rPr>
            </w:pPr>
            <w:r>
              <w:rPr>
                <w:rFonts w:ascii="Open Sans" w:hAnsi="Open Sans" w:cs="Open Sans"/>
                <w:color w:val="000000"/>
                <w:sz w:val="22"/>
                <w:szCs w:val="22"/>
              </w:rPr>
              <w:t>3,9%</w:t>
            </w:r>
          </w:p>
        </w:tc>
        <w:tc>
          <w:tcPr>
            <w:tcW w:w="1972" w:type="dxa"/>
            <w:shd w:val="clear" w:color="auto" w:fill="D9E2F3"/>
            <w:vAlign w:val="bottom"/>
          </w:tcPr>
          <w:p w14:paraId="2F532D32" w14:textId="62427BF0" w:rsidR="00205C70" w:rsidRPr="00CA0C1F" w:rsidRDefault="00205C70" w:rsidP="00205C70">
            <w:pPr>
              <w:jc w:val="center"/>
              <w:rPr>
                <w:rFonts w:ascii="Open Sans" w:hAnsi="Open Sans" w:cs="Open Sans"/>
                <w:b/>
                <w:bCs/>
                <w:color w:val="000000"/>
                <w:sz w:val="22"/>
                <w:szCs w:val="22"/>
              </w:rPr>
            </w:pPr>
            <w:r>
              <w:rPr>
                <w:rFonts w:ascii="Open Sans" w:hAnsi="Open Sans" w:cs="Open Sans"/>
                <w:color w:val="000000"/>
                <w:sz w:val="22"/>
                <w:szCs w:val="22"/>
              </w:rPr>
              <w:t>3,4%</w:t>
            </w:r>
          </w:p>
        </w:tc>
      </w:tr>
    </w:tbl>
    <w:p w14:paraId="7D857977" w14:textId="77777777" w:rsidR="00B668EA" w:rsidRDefault="00B668EA" w:rsidP="00753088">
      <w:pPr>
        <w:spacing w:line="276" w:lineRule="auto"/>
        <w:ind w:right="-574"/>
        <w:jc w:val="right"/>
        <w:rPr>
          <w:rFonts w:ascii="Open Sans Light" w:hAnsi="Open Sans Light" w:cs="Open Sans Light"/>
          <w:b/>
          <w:iCs/>
          <w:color w:val="303AB2"/>
          <w:szCs w:val="20"/>
          <w:lang w:val="es-ES"/>
        </w:rPr>
      </w:pPr>
    </w:p>
    <w:p w14:paraId="49EB6A65" w14:textId="77777777" w:rsidR="00924DB0" w:rsidRDefault="00924DB0" w:rsidP="00924DB0">
      <w:pPr>
        <w:spacing w:line="276" w:lineRule="auto"/>
        <w:ind w:right="-574"/>
        <w:jc w:val="right"/>
        <w:rPr>
          <w:rFonts w:ascii="Open Sans Light" w:eastAsia="Open Sans Light" w:hAnsi="Open Sans Light" w:cs="Open Sans Light"/>
          <w:b/>
          <w:color w:val="303AB2"/>
        </w:rPr>
      </w:pPr>
    </w:p>
    <w:p w14:paraId="0A30690C" w14:textId="77777777" w:rsidR="00924DB0" w:rsidRDefault="00924DB0" w:rsidP="00924DB0">
      <w:pPr>
        <w:spacing w:line="276" w:lineRule="auto"/>
        <w:ind w:right="-574"/>
        <w:jc w:val="right"/>
        <w:rPr>
          <w:rFonts w:ascii="Open Sans Light" w:eastAsia="Open Sans Light" w:hAnsi="Open Sans Light" w:cs="Open Sans Light"/>
          <w:b/>
          <w:color w:val="303AB2"/>
        </w:rPr>
      </w:pPr>
    </w:p>
    <w:p w14:paraId="2C32EBB3" w14:textId="675D87D2" w:rsidR="00924DB0" w:rsidRDefault="00924DB0" w:rsidP="00924DB0">
      <w:pPr>
        <w:spacing w:line="276" w:lineRule="auto"/>
        <w:ind w:right="-574"/>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3888FE74" w14:textId="77777777" w:rsidR="00924DB0" w:rsidRPr="005D22CA" w:rsidRDefault="00924DB0" w:rsidP="00924DB0">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r w:rsidRPr="005D22CA">
        <w:rPr>
          <w:rFonts w:ascii="Open Sans" w:eastAsia="Open Sans" w:hAnsi="Open Sans" w:cs="Open Sans"/>
          <w:color w:val="000000"/>
          <w:sz w:val="22"/>
          <w:szCs w:val="22"/>
        </w:rPr>
        <w:t>Portal inmobiliario que cuenta con inmuebles de segunda mano, promociones de obra nueva y viviendas de alquiler. Cada mes genera un tráfico de 25 millones de visitas (75% a través de dispositivos móviles) y 650 millones de páginas vistas y cada día la visitan un promedio de 500.000 usuarios únicos.</w:t>
      </w:r>
    </w:p>
    <w:p w14:paraId="7A968C77" w14:textId="77777777" w:rsidR="00924DB0" w:rsidRPr="005D22CA" w:rsidRDefault="00924DB0" w:rsidP="00924DB0">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r w:rsidRPr="005D22CA">
        <w:rPr>
          <w:rFonts w:ascii="Open Sans" w:eastAsia="Open Sans" w:hAnsi="Open Sans" w:cs="Open Sans"/>
          <w:color w:val="000000"/>
          <w:sz w:val="22"/>
          <w:szCs w:val="22"/>
        </w:rPr>
        <w:t>Mensualmente elabora el </w:t>
      </w:r>
      <w:hyperlink r:id="rId24">
        <w:r w:rsidRPr="005D22CA">
          <w:rPr>
            <w:rFonts w:ascii="Open Sans" w:eastAsia="Open Sans" w:hAnsi="Open Sans" w:cs="Open Sans"/>
            <w:color w:val="0000FF"/>
            <w:sz w:val="22"/>
            <w:szCs w:val="22"/>
            <w:u w:val="single"/>
          </w:rPr>
          <w:t>índice inmobiliario Fotocasa</w:t>
        </w:r>
      </w:hyperlink>
      <w:r w:rsidRPr="005D22CA">
        <w:rPr>
          <w:rFonts w:ascii="Open Sans" w:eastAsia="Open Sans" w:hAnsi="Open Sans" w:cs="Open Sans"/>
          <w:color w:val="000000"/>
          <w:sz w:val="22"/>
          <w:szCs w:val="22"/>
        </w:rPr>
        <w:t>, un informe de referencia sobre la evolución del precio medio de la vivienda en España, tanto en venta como en alquiler.</w:t>
      </w:r>
    </w:p>
    <w:bookmarkStart w:id="4" w:name="_heading=h.gjdgxs" w:colFirst="0" w:colLast="0"/>
    <w:bookmarkEnd w:id="4"/>
    <w:p w14:paraId="7C97B9BF" w14:textId="77777777" w:rsidR="00924DB0" w:rsidRPr="005D22CA" w:rsidRDefault="00924DB0" w:rsidP="00924DB0">
      <w:pPr>
        <w:pBdr>
          <w:top w:val="nil"/>
          <w:left w:val="nil"/>
          <w:bottom w:val="nil"/>
          <w:right w:val="nil"/>
          <w:between w:val="nil"/>
        </w:pBdr>
        <w:shd w:val="clear" w:color="auto" w:fill="FFFFFF"/>
        <w:spacing w:before="280" w:after="280"/>
        <w:ind w:right="-567"/>
        <w:jc w:val="both"/>
        <w:rPr>
          <w:rFonts w:ascii="Open Sans" w:eastAsia="Open Sans" w:hAnsi="Open Sans" w:cs="Open Sans"/>
          <w:color w:val="000000"/>
          <w:sz w:val="22"/>
          <w:szCs w:val="22"/>
        </w:rPr>
      </w:pPr>
      <w:r w:rsidRPr="005D22CA">
        <w:rPr>
          <w:rFonts w:cs="Calibri"/>
          <w:sz w:val="22"/>
          <w:szCs w:val="22"/>
        </w:rPr>
        <w:fldChar w:fldCharType="begin"/>
      </w:r>
      <w:r w:rsidRPr="005D22CA">
        <w:rPr>
          <w:sz w:val="22"/>
          <w:szCs w:val="22"/>
        </w:rPr>
        <w:instrText xml:space="preserve"> HYPERLINK "http://www.fotocasa.es/" \h </w:instrText>
      </w:r>
      <w:r w:rsidRPr="005D22CA">
        <w:rPr>
          <w:rFonts w:cs="Calibri"/>
          <w:sz w:val="22"/>
          <w:szCs w:val="22"/>
        </w:rPr>
        <w:fldChar w:fldCharType="separate"/>
      </w:r>
      <w:r w:rsidRPr="005D22CA">
        <w:rPr>
          <w:rFonts w:ascii="Open Sans" w:eastAsia="Open Sans" w:hAnsi="Open Sans" w:cs="Open Sans"/>
          <w:b/>
          <w:color w:val="0000FF"/>
          <w:sz w:val="22"/>
          <w:szCs w:val="22"/>
          <w:u w:val="single"/>
        </w:rPr>
        <w:t>Fotocasa</w:t>
      </w:r>
      <w:r w:rsidRPr="005D22CA">
        <w:rPr>
          <w:rFonts w:ascii="Open Sans" w:eastAsia="Open Sans" w:hAnsi="Open Sans" w:cs="Open Sans"/>
          <w:b/>
          <w:color w:val="0000FF"/>
          <w:sz w:val="22"/>
          <w:szCs w:val="22"/>
          <w:u w:val="single"/>
        </w:rPr>
        <w:fldChar w:fldCharType="end"/>
      </w:r>
      <w:r w:rsidRPr="005D22CA">
        <w:rPr>
          <w:rFonts w:ascii="Open Sans" w:eastAsia="Open Sans" w:hAnsi="Open Sans" w:cs="Open Sans"/>
          <w:color w:val="000000"/>
          <w:sz w:val="22"/>
          <w:szCs w:val="22"/>
        </w:rPr>
        <w:t> pertenece a </w:t>
      </w:r>
      <w:hyperlink r:id="rId25">
        <w:r w:rsidRPr="005D22CA">
          <w:rPr>
            <w:rFonts w:ascii="Open Sans" w:eastAsia="Open Sans" w:hAnsi="Open Sans" w:cs="Open Sans"/>
            <w:color w:val="0000FF"/>
            <w:sz w:val="22"/>
            <w:szCs w:val="22"/>
            <w:u w:val="single"/>
          </w:rPr>
          <w:t>Adevinta</w:t>
        </w:r>
      </w:hyperlink>
      <w:r w:rsidRPr="005D22CA">
        <w:rPr>
          <w:rFonts w:ascii="Open Sans" w:eastAsia="Open Sans" w:hAnsi="Open Sans" w:cs="Open Sans"/>
          <w:color w:val="000000"/>
          <w:sz w:val="22"/>
          <w:szCs w:val="22"/>
        </w:rPr>
        <w:t>, una empresa 100% especializada en Marketplace digitales y el único “pure player” del sector a nivel mundial. Con presencia en 12 países de Europa, América Latina y África del Norte, el conjunto de sus plataformas locales recibe un promedio de 1.500 millones de visitas cada mes.</w:t>
      </w:r>
    </w:p>
    <w:p w14:paraId="63BDD2CA" w14:textId="77777777" w:rsidR="00924DB0" w:rsidRPr="005D22CA" w:rsidRDefault="005F2143" w:rsidP="00924DB0">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hyperlink r:id="rId26" w:history="1">
        <w:r w:rsidR="00924DB0" w:rsidRPr="005D22CA">
          <w:rPr>
            <w:rStyle w:val="Hipervnculo"/>
            <w:rFonts w:ascii="Open Sans" w:eastAsia="Open Sans" w:hAnsi="Open Sans" w:cs="Open Sans"/>
            <w:sz w:val="22"/>
            <w:szCs w:val="22"/>
          </w:rPr>
          <w:t>Más información sobre Fotocasa</w:t>
        </w:r>
      </w:hyperlink>
      <w:r w:rsidR="00924DB0" w:rsidRPr="005D22CA">
        <w:rPr>
          <w:rFonts w:ascii="Open Sans" w:eastAsia="Open Sans" w:hAnsi="Open Sans" w:cs="Open Sans"/>
          <w:color w:val="000000"/>
          <w:sz w:val="22"/>
          <w:szCs w:val="22"/>
        </w:rPr>
        <w:t>.</w:t>
      </w:r>
    </w:p>
    <w:p w14:paraId="044C79B6" w14:textId="77777777" w:rsidR="00924DB0" w:rsidRPr="005D22CA" w:rsidRDefault="00924DB0" w:rsidP="00924DB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r w:rsidRPr="005D22CA">
        <w:rPr>
          <w:rFonts w:ascii="Open Sans" w:eastAsia="Open Sans" w:hAnsi="Open Sans" w:cs="Open Sans"/>
          <w:color w:val="000000"/>
          <w:sz w:val="22"/>
          <w:szCs w:val="22"/>
        </w:rPr>
        <w:lastRenderedPageBreak/>
        <w:t>En España, </w:t>
      </w:r>
      <w:hyperlink r:id="rId27">
        <w:r w:rsidRPr="005D22CA">
          <w:rPr>
            <w:rFonts w:ascii="Open Sans" w:eastAsia="Open Sans" w:hAnsi="Open Sans" w:cs="Open Sans"/>
            <w:color w:val="0000FF"/>
            <w:sz w:val="22"/>
            <w:szCs w:val="22"/>
            <w:u w:val="single"/>
          </w:rPr>
          <w:t>Adevinta</w:t>
        </w:r>
      </w:hyperlink>
      <w:r w:rsidRPr="005D22CA">
        <w:rPr>
          <w:rFonts w:ascii="Open Sans" w:eastAsia="Open Sans" w:hAnsi="Open Sans" w:cs="Open Sans"/>
          <w:color w:val="000000"/>
          <w:sz w:val="22"/>
          <w:szCs w:val="22"/>
        </w:rPr>
        <w:t>, antes Schibsted Spain, es una de las principales empresas del sector tecnológico del país y un referente de transformación digital. En sus 40 años de trayectoria en el mercado español de clasificados, los negocios de Adevinta han evolucionado del papel al online hasta convertirse en el referente de Internet en sectores relevantes como inmobiliaria (</w:t>
      </w:r>
      <w:hyperlink r:id="rId28">
        <w:r w:rsidRPr="005D22CA">
          <w:rPr>
            <w:rFonts w:ascii="Open Sans" w:eastAsia="Open Sans" w:hAnsi="Open Sans" w:cs="Open Sans"/>
            <w:color w:val="0000FF"/>
            <w:sz w:val="22"/>
            <w:szCs w:val="22"/>
            <w:u w:val="single"/>
          </w:rPr>
          <w:t>Fotocasa</w:t>
        </w:r>
      </w:hyperlink>
      <w:r w:rsidRPr="005D22CA">
        <w:rPr>
          <w:rFonts w:ascii="Open Sans" w:eastAsia="Open Sans" w:hAnsi="Open Sans" w:cs="Open Sans"/>
          <w:color w:val="000000"/>
          <w:sz w:val="22"/>
          <w:szCs w:val="22"/>
        </w:rPr>
        <w:t> y </w:t>
      </w:r>
      <w:hyperlink r:id="rId29">
        <w:r w:rsidRPr="005D22CA">
          <w:rPr>
            <w:rFonts w:ascii="Open Sans" w:eastAsia="Open Sans" w:hAnsi="Open Sans" w:cs="Open Sans"/>
            <w:color w:val="0000FF"/>
            <w:sz w:val="22"/>
            <w:szCs w:val="22"/>
            <w:u w:val="single"/>
          </w:rPr>
          <w:t>habitaclia</w:t>
        </w:r>
      </w:hyperlink>
      <w:r w:rsidRPr="005D22CA">
        <w:rPr>
          <w:rFonts w:ascii="Open Sans" w:eastAsia="Open Sans" w:hAnsi="Open Sans" w:cs="Open Sans"/>
          <w:color w:val="000000"/>
          <w:sz w:val="22"/>
          <w:szCs w:val="22"/>
        </w:rPr>
        <w:t>), empleo (</w:t>
      </w:r>
      <w:hyperlink r:id="rId30">
        <w:r w:rsidRPr="005D22CA">
          <w:rPr>
            <w:rFonts w:ascii="Open Sans" w:eastAsia="Open Sans" w:hAnsi="Open Sans" w:cs="Open Sans"/>
            <w:color w:val="0000FF"/>
            <w:sz w:val="22"/>
            <w:szCs w:val="22"/>
            <w:u w:val="single"/>
          </w:rPr>
          <w:t>Infojobs.net</w:t>
        </w:r>
      </w:hyperlink>
      <w:r w:rsidRPr="005D22CA">
        <w:rPr>
          <w:rFonts w:ascii="Open Sans" w:eastAsia="Open Sans" w:hAnsi="Open Sans" w:cs="Open Sans"/>
          <w:color w:val="000000"/>
          <w:sz w:val="22"/>
          <w:szCs w:val="22"/>
        </w:rPr>
        <w:t>), motor (</w:t>
      </w:r>
      <w:hyperlink r:id="rId31">
        <w:r w:rsidRPr="005D22CA">
          <w:rPr>
            <w:rFonts w:ascii="Open Sans" w:eastAsia="Open Sans" w:hAnsi="Open Sans" w:cs="Open Sans"/>
            <w:color w:val="0000FF"/>
            <w:sz w:val="22"/>
            <w:szCs w:val="22"/>
            <w:u w:val="single"/>
          </w:rPr>
          <w:t>coches.net</w:t>
        </w:r>
      </w:hyperlink>
      <w:r w:rsidRPr="005D22CA">
        <w:rPr>
          <w:rFonts w:ascii="Open Sans" w:eastAsia="Open Sans" w:hAnsi="Open Sans" w:cs="Open Sans"/>
          <w:color w:val="000000"/>
          <w:sz w:val="22"/>
          <w:szCs w:val="22"/>
        </w:rPr>
        <w:t> y </w:t>
      </w:r>
      <w:hyperlink r:id="rId32">
        <w:r w:rsidRPr="005D22CA">
          <w:rPr>
            <w:rFonts w:ascii="Open Sans" w:eastAsia="Open Sans" w:hAnsi="Open Sans" w:cs="Open Sans"/>
            <w:color w:val="0000FF"/>
            <w:sz w:val="22"/>
            <w:szCs w:val="22"/>
            <w:u w:val="single"/>
          </w:rPr>
          <w:t>motos.ne</w:t>
        </w:r>
      </w:hyperlink>
      <w:r w:rsidRPr="005D22CA">
        <w:rPr>
          <w:rFonts w:ascii="Open Sans" w:eastAsia="Open Sans" w:hAnsi="Open Sans" w:cs="Open Sans"/>
          <w:color w:val="0000FF"/>
          <w:sz w:val="22"/>
          <w:szCs w:val="22"/>
          <w:u w:val="single"/>
        </w:rPr>
        <w:t>t</w:t>
      </w:r>
      <w:r w:rsidRPr="005D22CA">
        <w:rPr>
          <w:rFonts w:ascii="Open Sans" w:eastAsia="Open Sans" w:hAnsi="Open Sans" w:cs="Open Sans"/>
          <w:color w:val="000000"/>
          <w:sz w:val="22"/>
          <w:szCs w:val="22"/>
        </w:rPr>
        <w:t>) y segunda mano (</w:t>
      </w:r>
      <w:hyperlink r:id="rId33">
        <w:r w:rsidRPr="005D22CA">
          <w:rPr>
            <w:rFonts w:ascii="Open Sans" w:eastAsia="Open Sans" w:hAnsi="Open Sans" w:cs="Open Sans"/>
            <w:color w:val="0000FF"/>
            <w:sz w:val="22"/>
            <w:szCs w:val="22"/>
            <w:u w:val="single"/>
          </w:rPr>
          <w:t>Milanuncios</w:t>
        </w:r>
      </w:hyperlink>
      <w:r w:rsidRPr="005D22CA">
        <w:rPr>
          <w:rFonts w:ascii="Open Sans" w:eastAsia="Open Sans" w:hAnsi="Open Sans" w:cs="Open Sans"/>
          <w:color w:val="000000"/>
          <w:sz w:val="22"/>
          <w:szCs w:val="22"/>
        </w:rPr>
        <w:t> y </w:t>
      </w:r>
      <w:hyperlink r:id="rId34">
        <w:r w:rsidRPr="005D22CA">
          <w:rPr>
            <w:rFonts w:ascii="Open Sans" w:eastAsia="Open Sans" w:hAnsi="Open Sans" w:cs="Open Sans"/>
            <w:color w:val="0000FF"/>
            <w:sz w:val="22"/>
            <w:szCs w:val="22"/>
            <w:u w:val="single"/>
          </w:rPr>
          <w:t>vibbo</w:t>
        </w:r>
      </w:hyperlink>
      <w:r w:rsidRPr="005D22CA">
        <w:rPr>
          <w:rFonts w:ascii="Open Sans" w:eastAsia="Open Sans" w:hAnsi="Open Sans" w:cs="Open Sans"/>
          <w:color w:val="000000"/>
          <w:sz w:val="22"/>
          <w:szCs w:val="22"/>
        </w:rPr>
        <w:t>). Sus más de 18 millones de usuarios al mes sitúan Adevinta entre las diez compañías con mayor audiencia de Internet en España (y la mayor empresa digital española). Adevinta cuenta en la actualidad con una plantilla de más de 1.000 empleados en España. </w:t>
      </w:r>
    </w:p>
    <w:p w14:paraId="04E5E4EE" w14:textId="77777777" w:rsidR="00924DB0" w:rsidRDefault="00924DB0" w:rsidP="00924DB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1"/>
          <w:szCs w:val="21"/>
        </w:rPr>
      </w:pPr>
    </w:p>
    <w:p w14:paraId="028C3F94" w14:textId="77777777" w:rsidR="00924DB0" w:rsidRDefault="00924DB0" w:rsidP="00924DB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Toda nuestra información la puedes encontrar en nuestra </w:t>
      </w:r>
      <w:hyperlink r:id="rId35" w:history="1">
        <w:r w:rsidRPr="002B2258">
          <w:rPr>
            <w:rStyle w:val="Hipervnculo"/>
            <w:rFonts w:ascii="Open Sans" w:eastAsia="Open Sans" w:hAnsi="Open Sans" w:cs="Open Sans"/>
            <w:sz w:val="21"/>
            <w:szCs w:val="21"/>
          </w:rPr>
          <w:t>Sala de Prensa</w:t>
        </w:r>
      </w:hyperlink>
      <w:r>
        <w:rPr>
          <w:rFonts w:ascii="Open Sans" w:eastAsia="Open Sans" w:hAnsi="Open Sans" w:cs="Open Sans"/>
          <w:color w:val="000000"/>
          <w:sz w:val="21"/>
          <w:szCs w:val="21"/>
        </w:rPr>
        <w:t xml:space="preserve">. </w:t>
      </w:r>
    </w:p>
    <w:p w14:paraId="596FBE52" w14:textId="77777777" w:rsidR="00924DB0" w:rsidRDefault="00924DB0" w:rsidP="00924DB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p>
    <w:p w14:paraId="2EE53A6A" w14:textId="77777777" w:rsidR="00924DB0" w:rsidRDefault="00924DB0" w:rsidP="00924DB0">
      <w:pPr>
        <w:spacing w:line="276" w:lineRule="auto"/>
        <w:ind w:right="-574"/>
        <w:rPr>
          <w:rFonts w:ascii="Open Sans Light" w:eastAsia="Open Sans Light" w:hAnsi="Open Sans Light" w:cs="Open Sans Light"/>
          <w:b/>
          <w:color w:val="303AB2"/>
        </w:rPr>
      </w:pPr>
    </w:p>
    <w:p w14:paraId="2AFED132" w14:textId="77777777" w:rsidR="00924DB0" w:rsidRDefault="00924DB0" w:rsidP="00924DB0">
      <w:pPr>
        <w:spacing w:line="276" w:lineRule="auto"/>
        <w:ind w:right="-574"/>
        <w:rPr>
          <w:rFonts w:ascii="Open Sans Light" w:eastAsia="Open Sans Light" w:hAnsi="Open Sans Light" w:cs="Open Sans Light"/>
          <w:b/>
          <w:color w:val="303AB2"/>
        </w:rPr>
      </w:pPr>
      <w:r w:rsidRPr="002B2258">
        <w:rPr>
          <w:rFonts w:ascii="Open Sans Light" w:eastAsia="Open Sans Light" w:hAnsi="Open Sans Light" w:cs="Open Sans Light"/>
          <w:b/>
          <w:color w:val="303AB2"/>
          <w:sz w:val="26"/>
          <w:szCs w:val="26"/>
        </w:rPr>
        <w:t xml:space="preserve">Llorente y Cuenca    </w:t>
      </w:r>
      <w:r w:rsidRPr="002B2258">
        <w:rPr>
          <w:rFonts w:ascii="Open Sans Light" w:eastAsia="Open Sans Light" w:hAnsi="Open Sans Light" w:cs="Open Sans Light"/>
          <w:b/>
          <w:color w:val="303AB2"/>
          <w:sz w:val="26"/>
          <w:szCs w:val="26"/>
        </w:rPr>
        <w:tab/>
      </w:r>
      <w:r>
        <w:rPr>
          <w:rFonts w:ascii="Open Sans Light" w:eastAsia="Open Sans Light" w:hAnsi="Open Sans Light" w:cs="Open Sans Light"/>
          <w:b/>
          <w:color w:val="303AB2"/>
        </w:rPr>
        <w:tab/>
      </w:r>
      <w:r>
        <w:rPr>
          <w:rFonts w:ascii="Open Sans Light" w:eastAsia="Open Sans Light" w:hAnsi="Open Sans Light" w:cs="Open Sans Light"/>
          <w:b/>
          <w:color w:val="303AB2"/>
        </w:rPr>
        <w:tab/>
        <w:t xml:space="preserve"> </w:t>
      </w:r>
      <w:r w:rsidRPr="002B2258">
        <w:rPr>
          <w:rFonts w:ascii="Open Sans Light" w:eastAsia="Open Sans Light" w:hAnsi="Open Sans Light" w:cs="Open Sans Light"/>
          <w:b/>
          <w:color w:val="303AB2"/>
          <w:sz w:val="26"/>
          <w:szCs w:val="26"/>
        </w:rPr>
        <w:t>Departamento Comunicación</w:t>
      </w:r>
      <w:r>
        <w:rPr>
          <w:rFonts w:ascii="Open Sans Light" w:eastAsia="Open Sans Light" w:hAnsi="Open Sans Light" w:cs="Open Sans Light"/>
          <w:b/>
          <w:color w:val="303AB2"/>
          <w:sz w:val="26"/>
          <w:szCs w:val="26"/>
        </w:rPr>
        <w:t xml:space="preserve"> </w:t>
      </w:r>
      <w:r w:rsidRPr="002B2258">
        <w:rPr>
          <w:rFonts w:ascii="Open Sans Light" w:eastAsia="Open Sans Light" w:hAnsi="Open Sans Light" w:cs="Open Sans Light"/>
          <w:b/>
          <w:color w:val="303AB2"/>
          <w:sz w:val="26"/>
          <w:szCs w:val="26"/>
        </w:rPr>
        <w:t>Fotocasa</w:t>
      </w:r>
    </w:p>
    <w:p w14:paraId="0CAC3918" w14:textId="77777777" w:rsidR="00924DB0" w:rsidRDefault="00924DB0" w:rsidP="00924DB0">
      <w:pPr>
        <w:pBdr>
          <w:top w:val="nil"/>
          <w:left w:val="nil"/>
          <w:bottom w:val="nil"/>
          <w:right w:val="nil"/>
          <w:between w:val="nil"/>
        </w:pBdr>
        <w:shd w:val="clear" w:color="auto" w:fill="FFFFFF"/>
        <w:spacing w:line="276" w:lineRule="auto"/>
        <w:ind w:right="-574"/>
        <w:rPr>
          <w:rFonts w:ascii="Open Sans" w:eastAsia="Open Sans" w:hAnsi="Open Sans" w:cs="Open Sans"/>
          <w:b/>
          <w:color w:val="000000"/>
          <w:sz w:val="21"/>
          <w:szCs w:val="21"/>
        </w:rPr>
      </w:pPr>
      <w:r w:rsidRPr="002B2258">
        <w:rPr>
          <w:rFonts w:ascii="Open Sans" w:eastAsia="Open Sans" w:hAnsi="Open Sans" w:cs="Open Sans"/>
          <w:b/>
          <w:color w:val="000000"/>
          <w:sz w:val="21"/>
          <w:szCs w:val="21"/>
        </w:rPr>
        <w:t>Ramon Torné</w:t>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t xml:space="preserve">                          Anaïs López </w:t>
      </w:r>
    </w:p>
    <w:p w14:paraId="4616FD99" w14:textId="77777777" w:rsidR="00924DB0" w:rsidRDefault="005F2143" w:rsidP="00924DB0">
      <w:pPr>
        <w:pBdr>
          <w:top w:val="nil"/>
          <w:left w:val="nil"/>
          <w:bottom w:val="nil"/>
          <w:right w:val="nil"/>
          <w:between w:val="nil"/>
        </w:pBdr>
        <w:shd w:val="clear" w:color="auto" w:fill="FFFFFF"/>
        <w:spacing w:line="276" w:lineRule="auto"/>
        <w:ind w:right="-574"/>
        <w:rPr>
          <w:rFonts w:ascii="Open Sans" w:eastAsia="Open Sans" w:hAnsi="Open Sans" w:cs="Open Sans"/>
          <w:color w:val="0000FF"/>
          <w:sz w:val="21"/>
          <w:szCs w:val="21"/>
          <w:u w:val="single"/>
        </w:rPr>
      </w:pPr>
      <w:hyperlink r:id="rId36" w:history="1">
        <w:r w:rsidR="00924DB0" w:rsidRPr="00CE2942">
          <w:rPr>
            <w:rStyle w:val="Hipervnculo"/>
            <w:rFonts w:ascii="Open Sans" w:eastAsia="Open Sans" w:hAnsi="Open Sans" w:cs="Open Sans"/>
            <w:sz w:val="21"/>
            <w:szCs w:val="21"/>
          </w:rPr>
          <w:t>rtorne@llorenteycuenca.com</w:t>
        </w:r>
      </w:hyperlink>
      <w:r w:rsidR="00924DB0">
        <w:rPr>
          <w:rFonts w:ascii="Open Sans" w:eastAsia="Open Sans" w:hAnsi="Open Sans" w:cs="Open Sans"/>
          <w:color w:val="0000FF"/>
          <w:sz w:val="21"/>
          <w:szCs w:val="21"/>
        </w:rPr>
        <w:tab/>
      </w:r>
      <w:r w:rsidR="00924DB0">
        <w:rPr>
          <w:rFonts w:ascii="Open Sans" w:eastAsia="Open Sans" w:hAnsi="Open Sans" w:cs="Open Sans"/>
          <w:color w:val="0000FF"/>
          <w:sz w:val="21"/>
          <w:szCs w:val="21"/>
        </w:rPr>
        <w:tab/>
      </w:r>
      <w:r w:rsidR="00924DB0">
        <w:rPr>
          <w:rFonts w:ascii="Open Sans" w:eastAsia="Open Sans" w:hAnsi="Open Sans" w:cs="Open Sans"/>
          <w:color w:val="0000FF"/>
          <w:sz w:val="21"/>
          <w:szCs w:val="21"/>
        </w:rPr>
        <w:tab/>
        <w:t xml:space="preserve">                                        </w:t>
      </w:r>
      <w:hyperlink r:id="rId37" w:history="1">
        <w:r w:rsidR="00924DB0" w:rsidRPr="00CE2942">
          <w:rPr>
            <w:rStyle w:val="Hipervnculo"/>
            <w:rFonts w:ascii="Open Sans" w:eastAsia="Open Sans" w:hAnsi="Open Sans" w:cs="Open Sans"/>
            <w:sz w:val="21"/>
            <w:szCs w:val="21"/>
          </w:rPr>
          <w:t>comunicacion@fotocasa.es</w:t>
        </w:r>
      </w:hyperlink>
    </w:p>
    <w:p w14:paraId="7B0BB30A" w14:textId="77777777" w:rsidR="00924DB0" w:rsidRDefault="00924DB0" w:rsidP="00924DB0">
      <w:pPr>
        <w:pBdr>
          <w:top w:val="nil"/>
          <w:left w:val="nil"/>
          <w:bottom w:val="nil"/>
          <w:right w:val="nil"/>
          <w:between w:val="nil"/>
        </w:pBdr>
        <w:shd w:val="clear" w:color="auto" w:fill="FFFFFF"/>
        <w:spacing w:line="276" w:lineRule="auto"/>
        <w:ind w:right="-574"/>
        <w:rPr>
          <w:rFonts w:ascii="Open Sans" w:eastAsia="Open Sans" w:hAnsi="Open Sans" w:cs="Open Sans"/>
          <w:color w:val="000000"/>
          <w:sz w:val="21"/>
          <w:szCs w:val="21"/>
        </w:rPr>
      </w:pPr>
      <w:r w:rsidRPr="002B2258">
        <w:rPr>
          <w:rFonts w:ascii="Open Sans" w:eastAsia="Open Sans" w:hAnsi="Open Sans" w:cs="Open Sans"/>
          <w:color w:val="000000"/>
          <w:sz w:val="21"/>
          <w:szCs w:val="21"/>
        </w:rPr>
        <w:t>638</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68</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19</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85</w:t>
      </w:r>
      <w:r>
        <w:rPr>
          <w:rFonts w:ascii="Open Sans" w:eastAsia="Open Sans" w:hAnsi="Open Sans" w:cs="Open Sans"/>
          <w:color w:val="000000"/>
          <w:sz w:val="21"/>
          <w:szCs w:val="21"/>
        </w:rPr>
        <w:t xml:space="preserve">      </w:t>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t xml:space="preserve">             620 66 29 26</w:t>
      </w:r>
    </w:p>
    <w:p w14:paraId="0AE08C62" w14:textId="77777777" w:rsidR="00924DB0" w:rsidRDefault="00924DB0" w:rsidP="00924DB0">
      <w:pPr>
        <w:shd w:val="clear" w:color="auto" w:fill="FFFFFF"/>
        <w:rPr>
          <w:rFonts w:ascii="Open Sans" w:eastAsia="Open Sans" w:hAnsi="Open Sans" w:cs="Open Sans"/>
          <w:color w:val="0000FF"/>
          <w:sz w:val="21"/>
          <w:szCs w:val="21"/>
          <w:u w:val="single"/>
        </w:rPr>
      </w:pPr>
      <w:r>
        <w:rPr>
          <w:rFonts w:ascii="Arial" w:hAnsi="Arial" w:cs="Arial"/>
          <w:color w:val="222222"/>
        </w:rPr>
        <w:tab/>
      </w:r>
      <w:r>
        <w:rPr>
          <w:rFonts w:ascii="Arial" w:hAnsi="Arial" w:cs="Arial"/>
          <w:color w:val="222222"/>
        </w:rPr>
        <w:tab/>
        <w:t xml:space="preserve">                </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 xml:space="preserve">     </w:t>
      </w:r>
    </w:p>
    <w:p w14:paraId="637647EB" w14:textId="77777777" w:rsidR="00924DB0" w:rsidRPr="002B2258" w:rsidRDefault="00924DB0" w:rsidP="00924DB0">
      <w:pPr>
        <w:shd w:val="clear" w:color="auto" w:fill="FFFFFF"/>
        <w:rPr>
          <w:rFonts w:ascii="Open Sans" w:eastAsia="Open Sans" w:hAnsi="Open Sans" w:cs="Open Sans"/>
          <w:b/>
          <w:color w:val="000000"/>
          <w:sz w:val="21"/>
          <w:szCs w:val="21"/>
        </w:rPr>
      </w:pPr>
      <w:r w:rsidRPr="002B2258">
        <w:rPr>
          <w:rFonts w:ascii="Open Sans" w:eastAsia="Open Sans" w:hAnsi="Open Sans" w:cs="Open Sans"/>
          <w:b/>
          <w:color w:val="000000"/>
          <w:sz w:val="21"/>
          <w:szCs w:val="21"/>
        </w:rPr>
        <w:t>Fanny Merino</w:t>
      </w:r>
    </w:p>
    <w:p w14:paraId="4BB1E4AD" w14:textId="77777777" w:rsidR="00924DB0" w:rsidRPr="002B2258" w:rsidRDefault="005F2143" w:rsidP="00924DB0">
      <w:pPr>
        <w:shd w:val="clear" w:color="auto" w:fill="FFFFFF"/>
        <w:rPr>
          <w:rFonts w:ascii="Open Sans" w:eastAsia="Open Sans" w:hAnsi="Open Sans" w:cs="Open Sans"/>
          <w:color w:val="0000FF"/>
          <w:sz w:val="21"/>
          <w:szCs w:val="21"/>
        </w:rPr>
      </w:pPr>
      <w:hyperlink r:id="rId38" w:tgtFrame="_blank" w:history="1">
        <w:r w:rsidR="00924DB0" w:rsidRPr="002B2258">
          <w:rPr>
            <w:rFonts w:ascii="Open Sans" w:eastAsia="Open Sans" w:hAnsi="Open Sans" w:cs="Open Sans"/>
            <w:color w:val="0000FF"/>
            <w:sz w:val="21"/>
            <w:szCs w:val="21"/>
          </w:rPr>
          <w:t>emerino@llorenteycuenca.com</w:t>
        </w:r>
      </w:hyperlink>
    </w:p>
    <w:p w14:paraId="029EA6AE" w14:textId="77777777" w:rsidR="00924DB0" w:rsidRDefault="00924DB0" w:rsidP="00924DB0">
      <w:pPr>
        <w:shd w:val="clear" w:color="auto" w:fill="FFFFFF"/>
        <w:rPr>
          <w:rFonts w:ascii="Open Sans" w:eastAsia="Open Sans" w:hAnsi="Open Sans" w:cs="Open Sans"/>
          <w:color w:val="000000"/>
          <w:sz w:val="21"/>
          <w:szCs w:val="21"/>
        </w:rPr>
      </w:pPr>
      <w:r w:rsidRPr="002B2258">
        <w:rPr>
          <w:rFonts w:ascii="Open Sans" w:eastAsia="Open Sans" w:hAnsi="Open Sans" w:cs="Open Sans"/>
          <w:color w:val="000000"/>
          <w:sz w:val="21"/>
          <w:szCs w:val="21"/>
        </w:rPr>
        <w:t>663</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35</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69</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75 </w:t>
      </w:r>
    </w:p>
    <w:p w14:paraId="1B6D0EEB" w14:textId="77777777" w:rsidR="00924DB0" w:rsidRDefault="00924DB0" w:rsidP="00924DB0">
      <w:pPr>
        <w:spacing w:line="276" w:lineRule="auto"/>
        <w:jc w:val="right"/>
      </w:pPr>
    </w:p>
    <w:p w14:paraId="41E21F92" w14:textId="77777777" w:rsidR="00924DB0" w:rsidRDefault="00924DB0" w:rsidP="00924DB0">
      <w:pPr>
        <w:pStyle w:val="NormalWeb"/>
        <w:shd w:val="clear" w:color="auto" w:fill="FFFFFF"/>
        <w:spacing w:line="276" w:lineRule="atLeast"/>
        <w:jc w:val="both"/>
      </w:pPr>
    </w:p>
    <w:p w14:paraId="31D8EA84" w14:textId="2FBE2234" w:rsidR="00B41A97" w:rsidRPr="00010ECE" w:rsidRDefault="00B41A97" w:rsidP="00924DB0">
      <w:pPr>
        <w:spacing w:line="276" w:lineRule="auto"/>
        <w:ind w:right="-574"/>
        <w:jc w:val="right"/>
        <w:rPr>
          <w:rFonts w:ascii="Open Sans" w:hAnsi="Open Sans" w:cs="Open Sans"/>
          <w:color w:val="000000"/>
          <w:sz w:val="21"/>
          <w:szCs w:val="21"/>
        </w:rPr>
      </w:pPr>
    </w:p>
    <w:sectPr w:rsidR="00B41A97" w:rsidRPr="00010ECE" w:rsidSect="007A55E0">
      <w:footerReference w:type="default" r:id="rId3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72CF" w14:textId="77777777" w:rsidR="005F2143" w:rsidRDefault="005F2143" w:rsidP="00DD4CA4">
      <w:r>
        <w:separator/>
      </w:r>
    </w:p>
  </w:endnote>
  <w:endnote w:type="continuationSeparator" w:id="0">
    <w:p w14:paraId="49390E49" w14:textId="77777777" w:rsidR="005F2143" w:rsidRDefault="005F2143"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National">
    <w:altName w:val="Corbel"/>
    <w:panose1 w:val="00000000000000000000"/>
    <w:charset w:val="4D"/>
    <w:family w:val="auto"/>
    <w:notTrueType/>
    <w:pitch w:val="variable"/>
    <w:sig w:usb0="00000001" w:usb1="5000207B" w:usb2="00000010" w:usb3="00000000" w:csb0="0000009B"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0B15" w14:textId="4ED0A2EA" w:rsidR="005A003F" w:rsidRDefault="005A003F">
    <w:pPr>
      <w:pStyle w:val="Piedepgina"/>
    </w:pPr>
    <w:r>
      <w:rPr>
        <w:noProof/>
      </w:rPr>
      <w:drawing>
        <wp:anchor distT="0" distB="0" distL="114300" distR="114300" simplePos="0" relativeHeight="251659264" behindDoc="1" locked="0" layoutInCell="1" allowOverlap="1" wp14:anchorId="708E4696" wp14:editId="6347A6A3">
          <wp:simplePos x="0" y="0"/>
          <wp:positionH relativeFrom="column">
            <wp:posOffset>-1068070</wp:posOffset>
          </wp:positionH>
          <wp:positionV relativeFrom="paragraph">
            <wp:posOffset>174625</wp:posOffset>
          </wp:positionV>
          <wp:extent cx="7670800" cy="451485"/>
          <wp:effectExtent l="0" t="0" r="6350" b="571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0" cy="451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DF07" w14:textId="77777777" w:rsidR="005F2143" w:rsidRDefault="005F2143" w:rsidP="00DD4CA4">
      <w:r>
        <w:separator/>
      </w:r>
    </w:p>
  </w:footnote>
  <w:footnote w:type="continuationSeparator" w:id="0">
    <w:p w14:paraId="265BEB31" w14:textId="77777777" w:rsidR="005F2143" w:rsidRDefault="005F2143"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5A0A67"/>
    <w:multiLevelType w:val="hybridMultilevel"/>
    <w:tmpl w:val="6EB47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C4E6B"/>
    <w:multiLevelType w:val="hybridMultilevel"/>
    <w:tmpl w:val="47F60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10ECE"/>
    <w:rsid w:val="00013D9B"/>
    <w:rsid w:val="00014EC0"/>
    <w:rsid w:val="0004274E"/>
    <w:rsid w:val="00045CCC"/>
    <w:rsid w:val="00063144"/>
    <w:rsid w:val="000733EB"/>
    <w:rsid w:val="000747F5"/>
    <w:rsid w:val="00075085"/>
    <w:rsid w:val="00084308"/>
    <w:rsid w:val="000943F6"/>
    <w:rsid w:val="000971B7"/>
    <w:rsid w:val="000A3C1F"/>
    <w:rsid w:val="000A4242"/>
    <w:rsid w:val="000B6B0A"/>
    <w:rsid w:val="000B6CBA"/>
    <w:rsid w:val="000C428A"/>
    <w:rsid w:val="000C4FBE"/>
    <w:rsid w:val="000C57FF"/>
    <w:rsid w:val="000C5BB4"/>
    <w:rsid w:val="000C6749"/>
    <w:rsid w:val="000D5041"/>
    <w:rsid w:val="000D64E2"/>
    <w:rsid w:val="000D75C0"/>
    <w:rsid w:val="000F5C82"/>
    <w:rsid w:val="00114C24"/>
    <w:rsid w:val="0013210E"/>
    <w:rsid w:val="0014290F"/>
    <w:rsid w:val="0014415E"/>
    <w:rsid w:val="001452AE"/>
    <w:rsid w:val="001517D2"/>
    <w:rsid w:val="00152FC9"/>
    <w:rsid w:val="001567C7"/>
    <w:rsid w:val="00161485"/>
    <w:rsid w:val="00165125"/>
    <w:rsid w:val="00165D49"/>
    <w:rsid w:val="001761D6"/>
    <w:rsid w:val="001828F3"/>
    <w:rsid w:val="001847B0"/>
    <w:rsid w:val="00190644"/>
    <w:rsid w:val="00196144"/>
    <w:rsid w:val="0019707E"/>
    <w:rsid w:val="001A3780"/>
    <w:rsid w:val="001B1C65"/>
    <w:rsid w:val="001C6F88"/>
    <w:rsid w:val="001E69C0"/>
    <w:rsid w:val="001E7664"/>
    <w:rsid w:val="001F7ECF"/>
    <w:rsid w:val="00201621"/>
    <w:rsid w:val="00205C70"/>
    <w:rsid w:val="00207B71"/>
    <w:rsid w:val="002136F0"/>
    <w:rsid w:val="0021639C"/>
    <w:rsid w:val="0024318A"/>
    <w:rsid w:val="00247090"/>
    <w:rsid w:val="00247D28"/>
    <w:rsid w:val="00261537"/>
    <w:rsid w:val="00267D6C"/>
    <w:rsid w:val="002710D2"/>
    <w:rsid w:val="00271BE9"/>
    <w:rsid w:val="00280368"/>
    <w:rsid w:val="00285782"/>
    <w:rsid w:val="00287080"/>
    <w:rsid w:val="00291355"/>
    <w:rsid w:val="00292293"/>
    <w:rsid w:val="002A35C0"/>
    <w:rsid w:val="002B55AA"/>
    <w:rsid w:val="002B6E3D"/>
    <w:rsid w:val="002B76EA"/>
    <w:rsid w:val="002C091D"/>
    <w:rsid w:val="002C4A56"/>
    <w:rsid w:val="002C5FCC"/>
    <w:rsid w:val="002E43BB"/>
    <w:rsid w:val="002E448C"/>
    <w:rsid w:val="002E4C90"/>
    <w:rsid w:val="002E5B91"/>
    <w:rsid w:val="002E6C7E"/>
    <w:rsid w:val="002F1AD6"/>
    <w:rsid w:val="002F1B74"/>
    <w:rsid w:val="002F2D4F"/>
    <w:rsid w:val="002F3F36"/>
    <w:rsid w:val="002F4615"/>
    <w:rsid w:val="002F5AA3"/>
    <w:rsid w:val="00303FA4"/>
    <w:rsid w:val="0030786F"/>
    <w:rsid w:val="00307DF9"/>
    <w:rsid w:val="003242DF"/>
    <w:rsid w:val="003429B3"/>
    <w:rsid w:val="00347D68"/>
    <w:rsid w:val="00351CB1"/>
    <w:rsid w:val="0035736D"/>
    <w:rsid w:val="00376709"/>
    <w:rsid w:val="003828C7"/>
    <w:rsid w:val="0039057C"/>
    <w:rsid w:val="00392BC4"/>
    <w:rsid w:val="00393365"/>
    <w:rsid w:val="003B0013"/>
    <w:rsid w:val="003D2610"/>
    <w:rsid w:val="003F4390"/>
    <w:rsid w:val="00400CD5"/>
    <w:rsid w:val="00401217"/>
    <w:rsid w:val="004029F8"/>
    <w:rsid w:val="00406C13"/>
    <w:rsid w:val="00410D15"/>
    <w:rsid w:val="0041117A"/>
    <w:rsid w:val="00414D1B"/>
    <w:rsid w:val="00420DED"/>
    <w:rsid w:val="00453FB5"/>
    <w:rsid w:val="00454F4C"/>
    <w:rsid w:val="004577E7"/>
    <w:rsid w:val="00461C69"/>
    <w:rsid w:val="00470ED1"/>
    <w:rsid w:val="00476118"/>
    <w:rsid w:val="00482C2F"/>
    <w:rsid w:val="0048419B"/>
    <w:rsid w:val="004A22D3"/>
    <w:rsid w:val="004B0DEC"/>
    <w:rsid w:val="004B44D0"/>
    <w:rsid w:val="004B5861"/>
    <w:rsid w:val="004D1F9E"/>
    <w:rsid w:val="004D2D9F"/>
    <w:rsid w:val="004D48B4"/>
    <w:rsid w:val="004D4951"/>
    <w:rsid w:val="004D7845"/>
    <w:rsid w:val="004E2F96"/>
    <w:rsid w:val="004F4D46"/>
    <w:rsid w:val="005029E9"/>
    <w:rsid w:val="00503F5B"/>
    <w:rsid w:val="005044A8"/>
    <w:rsid w:val="00505D85"/>
    <w:rsid w:val="00516A6D"/>
    <w:rsid w:val="00516F9C"/>
    <w:rsid w:val="00531421"/>
    <w:rsid w:val="005505BC"/>
    <w:rsid w:val="00560E7C"/>
    <w:rsid w:val="005763C5"/>
    <w:rsid w:val="00581903"/>
    <w:rsid w:val="0058194B"/>
    <w:rsid w:val="00582136"/>
    <w:rsid w:val="00585032"/>
    <w:rsid w:val="00587182"/>
    <w:rsid w:val="00593D08"/>
    <w:rsid w:val="005A003F"/>
    <w:rsid w:val="005A1AD1"/>
    <w:rsid w:val="005A4CB5"/>
    <w:rsid w:val="005B37BD"/>
    <w:rsid w:val="005D12D9"/>
    <w:rsid w:val="005D249B"/>
    <w:rsid w:val="005E0920"/>
    <w:rsid w:val="005E2D99"/>
    <w:rsid w:val="005E71CA"/>
    <w:rsid w:val="005F2143"/>
    <w:rsid w:val="005F6CA3"/>
    <w:rsid w:val="00606A1A"/>
    <w:rsid w:val="00611616"/>
    <w:rsid w:val="006245F1"/>
    <w:rsid w:val="006251BA"/>
    <w:rsid w:val="00637401"/>
    <w:rsid w:val="00637AA1"/>
    <w:rsid w:val="00650951"/>
    <w:rsid w:val="006618CC"/>
    <w:rsid w:val="0066713C"/>
    <w:rsid w:val="00674ED2"/>
    <w:rsid w:val="0069509F"/>
    <w:rsid w:val="00697184"/>
    <w:rsid w:val="006A69C9"/>
    <w:rsid w:val="006A6B8E"/>
    <w:rsid w:val="006C3E53"/>
    <w:rsid w:val="006D13CC"/>
    <w:rsid w:val="006D1E41"/>
    <w:rsid w:val="006D417B"/>
    <w:rsid w:val="006E7701"/>
    <w:rsid w:val="006F0E41"/>
    <w:rsid w:val="006F2116"/>
    <w:rsid w:val="006F6575"/>
    <w:rsid w:val="007027AA"/>
    <w:rsid w:val="0071058F"/>
    <w:rsid w:val="00714653"/>
    <w:rsid w:val="0072469A"/>
    <w:rsid w:val="00736F3A"/>
    <w:rsid w:val="00745C6B"/>
    <w:rsid w:val="0074620F"/>
    <w:rsid w:val="00753088"/>
    <w:rsid w:val="00756208"/>
    <w:rsid w:val="00760C69"/>
    <w:rsid w:val="0076156F"/>
    <w:rsid w:val="00766069"/>
    <w:rsid w:val="0077163F"/>
    <w:rsid w:val="00793775"/>
    <w:rsid w:val="007950E4"/>
    <w:rsid w:val="007A2DB6"/>
    <w:rsid w:val="007A55E0"/>
    <w:rsid w:val="007D01D7"/>
    <w:rsid w:val="007D5A08"/>
    <w:rsid w:val="007E5768"/>
    <w:rsid w:val="007E7286"/>
    <w:rsid w:val="007F191F"/>
    <w:rsid w:val="007F25F1"/>
    <w:rsid w:val="00804B23"/>
    <w:rsid w:val="00821FF7"/>
    <w:rsid w:val="0083043A"/>
    <w:rsid w:val="00835805"/>
    <w:rsid w:val="00847032"/>
    <w:rsid w:val="00856420"/>
    <w:rsid w:val="00861183"/>
    <w:rsid w:val="00863400"/>
    <w:rsid w:val="00871389"/>
    <w:rsid w:val="00871446"/>
    <w:rsid w:val="008871B3"/>
    <w:rsid w:val="008B1219"/>
    <w:rsid w:val="008B478E"/>
    <w:rsid w:val="008C2B02"/>
    <w:rsid w:val="008C4239"/>
    <w:rsid w:val="008C51E0"/>
    <w:rsid w:val="008D06DB"/>
    <w:rsid w:val="008D1CEE"/>
    <w:rsid w:val="008D2DD9"/>
    <w:rsid w:val="008D49AE"/>
    <w:rsid w:val="008E1900"/>
    <w:rsid w:val="008F079A"/>
    <w:rsid w:val="008F0CBA"/>
    <w:rsid w:val="008F6816"/>
    <w:rsid w:val="009120DE"/>
    <w:rsid w:val="00917B85"/>
    <w:rsid w:val="00924A99"/>
    <w:rsid w:val="00924DB0"/>
    <w:rsid w:val="00932659"/>
    <w:rsid w:val="00935960"/>
    <w:rsid w:val="0093735E"/>
    <w:rsid w:val="009409BA"/>
    <w:rsid w:val="00950B8E"/>
    <w:rsid w:val="00964BED"/>
    <w:rsid w:val="00972E67"/>
    <w:rsid w:val="009755F4"/>
    <w:rsid w:val="009843CD"/>
    <w:rsid w:val="009A056F"/>
    <w:rsid w:val="009A2F06"/>
    <w:rsid w:val="009A5E1C"/>
    <w:rsid w:val="009A6875"/>
    <w:rsid w:val="009B1CB5"/>
    <w:rsid w:val="009C0542"/>
    <w:rsid w:val="009C08C9"/>
    <w:rsid w:val="009D0826"/>
    <w:rsid w:val="009D2F77"/>
    <w:rsid w:val="009D718A"/>
    <w:rsid w:val="009E75F5"/>
    <w:rsid w:val="009F36EA"/>
    <w:rsid w:val="009F4539"/>
    <w:rsid w:val="00A0322B"/>
    <w:rsid w:val="00A1628B"/>
    <w:rsid w:val="00A2313F"/>
    <w:rsid w:val="00A300F0"/>
    <w:rsid w:val="00A338CE"/>
    <w:rsid w:val="00A536B3"/>
    <w:rsid w:val="00A56319"/>
    <w:rsid w:val="00A67FFC"/>
    <w:rsid w:val="00A76E50"/>
    <w:rsid w:val="00A84CA7"/>
    <w:rsid w:val="00A95883"/>
    <w:rsid w:val="00AA23C7"/>
    <w:rsid w:val="00AA49C9"/>
    <w:rsid w:val="00AD0C78"/>
    <w:rsid w:val="00AD0F7C"/>
    <w:rsid w:val="00AD62DD"/>
    <w:rsid w:val="00AE0893"/>
    <w:rsid w:val="00AE1825"/>
    <w:rsid w:val="00AE43A5"/>
    <w:rsid w:val="00AF163D"/>
    <w:rsid w:val="00AF2DF2"/>
    <w:rsid w:val="00B04900"/>
    <w:rsid w:val="00B10769"/>
    <w:rsid w:val="00B214AE"/>
    <w:rsid w:val="00B26980"/>
    <w:rsid w:val="00B41A97"/>
    <w:rsid w:val="00B45F97"/>
    <w:rsid w:val="00B52C33"/>
    <w:rsid w:val="00B6101B"/>
    <w:rsid w:val="00B629FA"/>
    <w:rsid w:val="00B668EA"/>
    <w:rsid w:val="00B70B30"/>
    <w:rsid w:val="00B7635A"/>
    <w:rsid w:val="00B82525"/>
    <w:rsid w:val="00B85F69"/>
    <w:rsid w:val="00B93AE4"/>
    <w:rsid w:val="00B97DF8"/>
    <w:rsid w:val="00BB00D1"/>
    <w:rsid w:val="00BB29FD"/>
    <w:rsid w:val="00BB3E05"/>
    <w:rsid w:val="00BC0BE4"/>
    <w:rsid w:val="00BC1D19"/>
    <w:rsid w:val="00BC2CF1"/>
    <w:rsid w:val="00BD0E86"/>
    <w:rsid w:val="00BD566A"/>
    <w:rsid w:val="00BF10C3"/>
    <w:rsid w:val="00BF6EEE"/>
    <w:rsid w:val="00C02020"/>
    <w:rsid w:val="00C22F37"/>
    <w:rsid w:val="00C30311"/>
    <w:rsid w:val="00C42D04"/>
    <w:rsid w:val="00C460B2"/>
    <w:rsid w:val="00C50C0E"/>
    <w:rsid w:val="00C70BC9"/>
    <w:rsid w:val="00C75837"/>
    <w:rsid w:val="00C82313"/>
    <w:rsid w:val="00C93EF4"/>
    <w:rsid w:val="00CA01A2"/>
    <w:rsid w:val="00CA0C1F"/>
    <w:rsid w:val="00CA516A"/>
    <w:rsid w:val="00CA535F"/>
    <w:rsid w:val="00CC2113"/>
    <w:rsid w:val="00CD129D"/>
    <w:rsid w:val="00CE6775"/>
    <w:rsid w:val="00CE77A1"/>
    <w:rsid w:val="00CE7816"/>
    <w:rsid w:val="00CF33EA"/>
    <w:rsid w:val="00CF684D"/>
    <w:rsid w:val="00D319F6"/>
    <w:rsid w:val="00D31A57"/>
    <w:rsid w:val="00D3252E"/>
    <w:rsid w:val="00D3495E"/>
    <w:rsid w:val="00D42D4B"/>
    <w:rsid w:val="00D476BA"/>
    <w:rsid w:val="00D52203"/>
    <w:rsid w:val="00D625D8"/>
    <w:rsid w:val="00D70E0A"/>
    <w:rsid w:val="00D74B76"/>
    <w:rsid w:val="00D77A13"/>
    <w:rsid w:val="00D8519D"/>
    <w:rsid w:val="00D860D3"/>
    <w:rsid w:val="00D917EB"/>
    <w:rsid w:val="00D91C64"/>
    <w:rsid w:val="00D92901"/>
    <w:rsid w:val="00DA6193"/>
    <w:rsid w:val="00DB6FAA"/>
    <w:rsid w:val="00DC238D"/>
    <w:rsid w:val="00DC68F0"/>
    <w:rsid w:val="00DC6B59"/>
    <w:rsid w:val="00DC7AC3"/>
    <w:rsid w:val="00DD147E"/>
    <w:rsid w:val="00DD4CA4"/>
    <w:rsid w:val="00DD4CE7"/>
    <w:rsid w:val="00DD758B"/>
    <w:rsid w:val="00DE6516"/>
    <w:rsid w:val="00DF0EA6"/>
    <w:rsid w:val="00E054C5"/>
    <w:rsid w:val="00E17B06"/>
    <w:rsid w:val="00E27ED9"/>
    <w:rsid w:val="00E33B18"/>
    <w:rsid w:val="00E44CE3"/>
    <w:rsid w:val="00E44D12"/>
    <w:rsid w:val="00E62230"/>
    <w:rsid w:val="00E84EE3"/>
    <w:rsid w:val="00E85536"/>
    <w:rsid w:val="00E95200"/>
    <w:rsid w:val="00EA6D87"/>
    <w:rsid w:val="00EA70F6"/>
    <w:rsid w:val="00EA721E"/>
    <w:rsid w:val="00EB7EA5"/>
    <w:rsid w:val="00EC4087"/>
    <w:rsid w:val="00EC43FB"/>
    <w:rsid w:val="00EC564A"/>
    <w:rsid w:val="00ED68B4"/>
    <w:rsid w:val="00ED6CFA"/>
    <w:rsid w:val="00ED6F55"/>
    <w:rsid w:val="00EE12AE"/>
    <w:rsid w:val="00EF42C0"/>
    <w:rsid w:val="00F00B64"/>
    <w:rsid w:val="00F05452"/>
    <w:rsid w:val="00F164D7"/>
    <w:rsid w:val="00F1774A"/>
    <w:rsid w:val="00F208DC"/>
    <w:rsid w:val="00F26D03"/>
    <w:rsid w:val="00F3137C"/>
    <w:rsid w:val="00F503CA"/>
    <w:rsid w:val="00F61123"/>
    <w:rsid w:val="00F640A6"/>
    <w:rsid w:val="00F65870"/>
    <w:rsid w:val="00F7206E"/>
    <w:rsid w:val="00F9754E"/>
    <w:rsid w:val="00FA3CB8"/>
    <w:rsid w:val="00FA4744"/>
    <w:rsid w:val="00FB2899"/>
    <w:rsid w:val="00FB324D"/>
    <w:rsid w:val="00FC278D"/>
    <w:rsid w:val="00FD6A4B"/>
    <w:rsid w:val="00FE1536"/>
    <w:rsid w:val="00FE4C89"/>
    <w:rsid w:val="00FE6386"/>
    <w:rsid w:val="00FF1C36"/>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DFF0"/>
  <w15:docId w15:val="{9FB972BF-DF11-49B5-8942-60CC4275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sz w:val="24"/>
      <w:szCs w:val="24"/>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709844459">
      <w:bodyDiv w:val="1"/>
      <w:marLeft w:val="0"/>
      <w:marRight w:val="0"/>
      <w:marTop w:val="0"/>
      <w:marBottom w:val="0"/>
      <w:divBdr>
        <w:top w:val="none" w:sz="0" w:space="0" w:color="auto"/>
        <w:left w:val="none" w:sz="0" w:space="0" w:color="auto"/>
        <w:bottom w:val="none" w:sz="0" w:space="0" w:color="auto"/>
        <w:right w:val="none" w:sz="0" w:space="0" w:color="auto"/>
      </w:divBdr>
    </w:div>
    <w:div w:id="819930218">
      <w:bodyDiv w:val="1"/>
      <w:marLeft w:val="0"/>
      <w:marRight w:val="0"/>
      <w:marTop w:val="0"/>
      <w:marBottom w:val="0"/>
      <w:divBdr>
        <w:top w:val="none" w:sz="0" w:space="0" w:color="auto"/>
        <w:left w:val="none" w:sz="0" w:space="0" w:color="auto"/>
        <w:bottom w:val="none" w:sz="0" w:space="0" w:color="auto"/>
        <w:right w:val="none" w:sz="0" w:space="0" w:color="auto"/>
      </w:divBdr>
    </w:div>
    <w:div w:id="1130631968">
      <w:bodyDiv w:val="1"/>
      <w:marLeft w:val="0"/>
      <w:marRight w:val="0"/>
      <w:marTop w:val="0"/>
      <w:marBottom w:val="0"/>
      <w:divBdr>
        <w:top w:val="none" w:sz="0" w:space="0" w:color="auto"/>
        <w:left w:val="none" w:sz="0" w:space="0" w:color="auto"/>
        <w:bottom w:val="none" w:sz="0" w:space="0" w:color="auto"/>
        <w:right w:val="none" w:sz="0" w:space="0" w:color="auto"/>
      </w:divBdr>
    </w:div>
    <w:div w:id="1226837432">
      <w:bodyDiv w:val="1"/>
      <w:marLeft w:val="0"/>
      <w:marRight w:val="0"/>
      <w:marTop w:val="0"/>
      <w:marBottom w:val="0"/>
      <w:divBdr>
        <w:top w:val="none" w:sz="0" w:space="0" w:color="auto"/>
        <w:left w:val="none" w:sz="0" w:space="0" w:color="auto"/>
        <w:bottom w:val="none" w:sz="0" w:space="0" w:color="auto"/>
        <w:right w:val="none" w:sz="0" w:space="0" w:color="auto"/>
      </w:divBdr>
    </w:div>
    <w:div w:id="1422531995">
      <w:bodyDiv w:val="1"/>
      <w:marLeft w:val="0"/>
      <w:marRight w:val="0"/>
      <w:marTop w:val="0"/>
      <w:marBottom w:val="0"/>
      <w:divBdr>
        <w:top w:val="none" w:sz="0" w:space="0" w:color="auto"/>
        <w:left w:val="none" w:sz="0" w:space="0" w:color="auto"/>
        <w:bottom w:val="none" w:sz="0" w:space="0" w:color="auto"/>
        <w:right w:val="none" w:sz="0" w:space="0" w:color="auto"/>
      </w:divBdr>
    </w:div>
    <w:div w:id="1423528755">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fotocasa.es/es/quienes-somos/" TargetMode="External"/><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hyperlink" Target="https://www.vibbo.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otocasa.es" TargetMode="External"/><Relationship Id="rId29" Type="http://schemas.openxmlformats.org/officeDocument/2006/relationships/hyperlink" Target="https://www.habitaclia.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casa.es" TargetMode="External"/><Relationship Id="rId24" Type="http://schemas.openxmlformats.org/officeDocument/2006/relationships/hyperlink" Target="https://www.fotocasa.es/indice/" TargetMode="External"/><Relationship Id="rId32" Type="http://schemas.openxmlformats.org/officeDocument/2006/relationships/hyperlink" Target="https://motos.coches.net/" TargetMode="External"/><Relationship Id="rId37" Type="http://schemas.openxmlformats.org/officeDocument/2006/relationships/hyperlink" Target="mailto:comunicacion@fotocasa.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fotocasa.es" TargetMode="External"/><Relationship Id="rId28" Type="http://schemas.openxmlformats.org/officeDocument/2006/relationships/hyperlink" Target="http://www.fotocasa.es/" TargetMode="External"/><Relationship Id="rId36" Type="http://schemas.openxmlformats.org/officeDocument/2006/relationships/hyperlink" Target="mailto:rtorne@llorenteycuenca.com" TargetMode="External"/><Relationship Id="rId10" Type="http://schemas.openxmlformats.org/officeDocument/2006/relationships/chart" Target="charts/chart1.xml"/><Relationship Id="rId19" Type="http://schemas.openxmlformats.org/officeDocument/2006/relationships/hyperlink" Target="http://www.fotocasa.es" TargetMode="External"/><Relationship Id="rId31" Type="http://schemas.openxmlformats.org/officeDocument/2006/relationships/hyperlink" Target="https://www.coches.net/" TargetMode="External"/><Relationship Id="rId4" Type="http://schemas.openxmlformats.org/officeDocument/2006/relationships/settings" Target="settings.xml"/><Relationship Id="rId9" Type="http://schemas.openxmlformats.org/officeDocument/2006/relationships/hyperlink" Target="http://www.fotocasa.es"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www.adevinta.com/" TargetMode="External"/><Relationship Id="rId30" Type="http://schemas.openxmlformats.org/officeDocument/2006/relationships/hyperlink" Target="https://www.infojobs.net/" TargetMode="External"/><Relationship Id="rId35" Type="http://schemas.openxmlformats.org/officeDocument/2006/relationships/hyperlink" Target="http://prensa.fotocasa.e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hyperlink" Target="https://www.adevinta.com/" TargetMode="External"/><Relationship Id="rId33" Type="http://schemas.openxmlformats.org/officeDocument/2006/relationships/hyperlink" Target="https://www.milanuncios.es/" TargetMode="External"/><Relationship Id="rId38" Type="http://schemas.openxmlformats.org/officeDocument/2006/relationships/hyperlink" Target="mailto:emerino@llorenteycuenc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ani\Google%20Drive\PATRI%20Y%20ELENA\001%20CLIENTES\01-SCHIBSTED\04-ESTUDIO%20NdP\RENTABILIDAD\NOTAS%20DE%20PRENSA\NdP%20enero%202020\Prensa%20Rentabilidad%20enero%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rani\Google%20Drive\PATRI%20Y%20ELENA\001%20CLIENTES\01-SCHIBSTED\04-ESTUDIO%20NdP\RENTABILIDAD\NOTAS%20DE%20PRENSA\NdP%20enero%202020\Prensa%20Rentabilidad%20enero%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04385300124597E-2"/>
          <c:y val="4.3960318519507088E-2"/>
          <c:w val="0.96060782777356746"/>
          <c:h val="0.75869692758993357"/>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7230-46A7-B919-AA4C90FEB780}"/>
              </c:ext>
            </c:extLst>
          </c:dPt>
          <c:dPt>
            <c:idx val="5"/>
            <c:invertIfNegative val="0"/>
            <c:bubble3D val="0"/>
            <c:spPr>
              <a:solidFill>
                <a:srgbClr val="92D050"/>
              </a:solidFill>
              <a:ln>
                <a:noFill/>
              </a:ln>
              <a:effectLst/>
            </c:spPr>
            <c:extLst>
              <c:ext xmlns:c16="http://schemas.microsoft.com/office/drawing/2014/chart" uri="{C3380CC4-5D6E-409C-BE32-E72D297353CC}">
                <c16:uniqueId val="{00000003-7230-46A7-B919-AA4C90FEB780}"/>
              </c:ext>
            </c:extLst>
          </c:dPt>
          <c:dPt>
            <c:idx val="10"/>
            <c:invertIfNegative val="0"/>
            <c:bubble3D val="0"/>
            <c:spPr>
              <a:solidFill>
                <a:srgbClr val="92D050"/>
              </a:solidFill>
              <a:ln>
                <a:noFill/>
              </a:ln>
              <a:effectLst/>
            </c:spPr>
            <c:extLst>
              <c:ext xmlns:c16="http://schemas.microsoft.com/office/drawing/2014/chart" uri="{C3380CC4-5D6E-409C-BE32-E72D297353CC}">
                <c16:uniqueId val="{00000005-7230-46A7-B919-AA4C90FEB780}"/>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Hoja1!$C$8:$C$18</c:f>
              <c:strCache>
                <c:ptCount val="11"/>
                <c:pt idx="0">
                  <c:v> DIC-10                10 años</c:v>
                </c:pt>
                <c:pt idx="1">
                  <c:v> DIC-11</c:v>
                </c:pt>
                <c:pt idx="2">
                  <c:v> DIC-12</c:v>
                </c:pt>
                <c:pt idx="3">
                  <c:v> DIC-13</c:v>
                </c:pt>
                <c:pt idx="4">
                  <c:v> DIC-14</c:v>
                </c:pt>
                <c:pt idx="5">
                  <c:v> DIC-15                5 años</c:v>
                </c:pt>
                <c:pt idx="6">
                  <c:v> DIC-16</c:v>
                </c:pt>
                <c:pt idx="7">
                  <c:v> DIC-17</c:v>
                </c:pt>
                <c:pt idx="8">
                  <c:v> DIC-18</c:v>
                </c:pt>
                <c:pt idx="9">
                  <c:v> DIC-19</c:v>
                </c:pt>
                <c:pt idx="10">
                  <c:v> DIC-20</c:v>
                </c:pt>
              </c:strCache>
            </c:strRef>
          </c:cat>
          <c:val>
            <c:numRef>
              <c:f>Hoja1!$D$8:$D$18</c:f>
              <c:numCache>
                <c:formatCode>0.0%</c:formatCode>
                <c:ptCount val="11"/>
                <c:pt idx="0">
                  <c:v>4.2731210308890134E-2</c:v>
                </c:pt>
                <c:pt idx="1">
                  <c:v>4.2994492290395599E-2</c:v>
                </c:pt>
                <c:pt idx="2">
                  <c:v>4.6228986147428729E-2</c:v>
                </c:pt>
                <c:pt idx="3">
                  <c:v>4.785734031512312E-2</c:v>
                </c:pt>
                <c:pt idx="4">
                  <c:v>4.9783162144262177E-2</c:v>
                </c:pt>
                <c:pt idx="5">
                  <c:v>5.2614758995687995E-2</c:v>
                </c:pt>
                <c:pt idx="6">
                  <c:v>5.4639073813132551E-2</c:v>
                </c:pt>
                <c:pt idx="7">
                  <c:v>6.1684022269016633E-2</c:v>
                </c:pt>
                <c:pt idx="8">
                  <c:v>6.2207106867722371E-2</c:v>
                </c:pt>
                <c:pt idx="9">
                  <c:v>6.6187705211143963E-2</c:v>
                </c:pt>
                <c:pt idx="10">
                  <c:v>6.8126935727193721E-2</c:v>
                </c:pt>
              </c:numCache>
            </c:numRef>
          </c:val>
          <c:extLst>
            <c:ext xmlns:c16="http://schemas.microsoft.com/office/drawing/2014/chart" uri="{C3380CC4-5D6E-409C-BE32-E72D297353CC}">
              <c16:uniqueId val="{00000006-7230-46A7-B919-AA4C90FEB780}"/>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1"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2128768355451495E-3"/>
          <c:y val="0.11080325580689697"/>
          <c:w val="0.98888410990783904"/>
          <c:h val="0.52828956351554324"/>
        </c:manualLayout>
      </c:layout>
      <c:barChart>
        <c:barDir val="col"/>
        <c:grouping val="clustered"/>
        <c:varyColors val="0"/>
        <c:ser>
          <c:idx val="0"/>
          <c:order val="0"/>
          <c:tx>
            <c:strRef>
              <c:f>Hoja1!$B$24</c:f>
              <c:strCache>
                <c:ptCount val="1"/>
                <c:pt idx="0">
                  <c:v>Columna2</c:v>
                </c:pt>
              </c:strCache>
            </c:strRef>
          </c:tx>
          <c:spPr>
            <a:solidFill>
              <a:schemeClr val="accent1"/>
            </a:solidFill>
            <a:ln>
              <a:noFill/>
            </a:ln>
            <a:effectLst/>
          </c:spPr>
          <c:invertIfNegative val="0"/>
          <c:dPt>
            <c:idx val="3"/>
            <c:invertIfNegative val="0"/>
            <c:bubble3D val="0"/>
            <c:spPr>
              <a:solidFill>
                <a:srgbClr val="92D050"/>
              </a:solidFill>
              <a:ln>
                <a:noFill/>
              </a:ln>
              <a:effectLst/>
            </c:spPr>
            <c:extLst>
              <c:ext xmlns:c16="http://schemas.microsoft.com/office/drawing/2014/chart" uri="{C3380CC4-5D6E-409C-BE32-E72D297353CC}">
                <c16:uniqueId val="{00000001-DC7B-448C-B7FB-EC376413EF9A}"/>
              </c:ext>
            </c:extLst>
          </c:dPt>
          <c:dPt>
            <c:idx val="13"/>
            <c:invertIfNegative val="0"/>
            <c:bubble3D val="0"/>
            <c:spPr>
              <a:solidFill>
                <a:srgbClr val="4472C4"/>
              </a:solidFill>
              <a:ln>
                <a:noFill/>
              </a:ln>
              <a:effectLst/>
            </c:spPr>
            <c:extLst>
              <c:ext xmlns:c16="http://schemas.microsoft.com/office/drawing/2014/chart" uri="{C3380CC4-5D6E-409C-BE32-E72D297353CC}">
                <c16:uniqueId val="{00000003-DC7B-448C-B7FB-EC376413EF9A}"/>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Hoja1!$A$25:$A$42</c:f>
              <c:strCache>
                <c:ptCount val="18"/>
                <c:pt idx="0">
                  <c:v>Navarra</c:v>
                </c:pt>
                <c:pt idx="1">
                  <c:v>Región de Murcia</c:v>
                </c:pt>
                <c:pt idx="2">
                  <c:v>Comunitat Valenciana</c:v>
                </c:pt>
                <c:pt idx="3">
                  <c:v>España</c:v>
                </c:pt>
                <c:pt idx="4">
                  <c:v>Cataluña</c:v>
                </c:pt>
                <c:pt idx="5">
                  <c:v>Aragón</c:v>
                </c:pt>
                <c:pt idx="6">
                  <c:v>Canarias</c:v>
                </c:pt>
                <c:pt idx="7">
                  <c:v>Castilla-La Mancha</c:v>
                </c:pt>
                <c:pt idx="8">
                  <c:v>Andalucía</c:v>
                </c:pt>
                <c:pt idx="9">
                  <c:v>Cantabria</c:v>
                </c:pt>
                <c:pt idx="10">
                  <c:v>Asturias</c:v>
                </c:pt>
                <c:pt idx="11">
                  <c:v>Castilla y León</c:v>
                </c:pt>
                <c:pt idx="12">
                  <c:v>La Rioja</c:v>
                </c:pt>
                <c:pt idx="13">
                  <c:v>Madrid</c:v>
                </c:pt>
                <c:pt idx="14">
                  <c:v>Extremadura</c:v>
                </c:pt>
                <c:pt idx="15">
                  <c:v>País Vasco</c:v>
                </c:pt>
                <c:pt idx="16">
                  <c:v>Galicia</c:v>
                </c:pt>
                <c:pt idx="17">
                  <c:v>Baleares</c:v>
                </c:pt>
              </c:strCache>
            </c:strRef>
          </c:cat>
          <c:val>
            <c:numRef>
              <c:f>Hoja1!$B$25:$B$42</c:f>
              <c:numCache>
                <c:formatCode>0.0%</c:formatCode>
                <c:ptCount val="18"/>
                <c:pt idx="0">
                  <c:v>7.1015582002284333E-2</c:v>
                </c:pt>
                <c:pt idx="1">
                  <c:v>6.9863865662359206E-2</c:v>
                </c:pt>
                <c:pt idx="2">
                  <c:v>6.916089513799463E-2</c:v>
                </c:pt>
                <c:pt idx="3">
                  <c:v>6.8126935727193721E-2</c:v>
                </c:pt>
                <c:pt idx="4">
                  <c:v>6.7732922635294499E-2</c:v>
                </c:pt>
                <c:pt idx="5">
                  <c:v>6.4953165008264993E-2</c:v>
                </c:pt>
                <c:pt idx="6">
                  <c:v>6.3866288451412359E-2</c:v>
                </c:pt>
                <c:pt idx="7">
                  <c:v>6.2904685033084384E-2</c:v>
                </c:pt>
                <c:pt idx="8">
                  <c:v>6.2503031772980847E-2</c:v>
                </c:pt>
                <c:pt idx="9">
                  <c:v>5.9927756435984178E-2</c:v>
                </c:pt>
                <c:pt idx="10">
                  <c:v>5.9841640442594664E-2</c:v>
                </c:pt>
                <c:pt idx="11">
                  <c:v>5.9463237349734417E-2</c:v>
                </c:pt>
                <c:pt idx="12">
                  <c:v>5.9294438835724543E-2</c:v>
                </c:pt>
                <c:pt idx="13">
                  <c:v>5.5319608054691868E-2</c:v>
                </c:pt>
                <c:pt idx="14">
                  <c:v>5.5015267763208538E-2</c:v>
                </c:pt>
                <c:pt idx="15">
                  <c:v>5.4711687808522931E-2</c:v>
                </c:pt>
                <c:pt idx="16">
                  <c:v>5.4376215440579509E-2</c:v>
                </c:pt>
                <c:pt idx="17">
                  <c:v>4.8321628761033436E-2</c:v>
                </c:pt>
              </c:numCache>
            </c:numRef>
          </c:val>
          <c:extLst>
            <c:ext xmlns:c16="http://schemas.microsoft.com/office/drawing/2014/chart" uri="{C3380CC4-5D6E-409C-BE32-E72D297353CC}">
              <c16:uniqueId val="{00000004-DC7B-448C-B7FB-EC376413EF9A}"/>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08F6-081E-4454-BD60-8822DFA5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15</Pages>
  <Words>2974</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Urrea Rodriguez</dc:creator>
  <cp:lastModifiedBy>Anaïs López García</cp:lastModifiedBy>
  <cp:revision>63</cp:revision>
  <dcterms:created xsi:type="dcterms:W3CDTF">2021-01-12T19:15:00Z</dcterms:created>
  <dcterms:modified xsi:type="dcterms:W3CDTF">2021-01-19T07:34:00Z</dcterms:modified>
</cp:coreProperties>
</file>