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9C05" w14:textId="77777777" w:rsidR="00200FCB" w:rsidRDefault="00FD6683">
      <w:pPr>
        <w:ind w:right="-574"/>
      </w:pPr>
      <w:r>
        <w:rPr>
          <w:noProof/>
        </w:rPr>
        <w:drawing>
          <wp:anchor distT="0" distB="0" distL="114300" distR="114300" simplePos="0" relativeHeight="251658240" behindDoc="0" locked="0" layoutInCell="1" hidden="0" allowOverlap="1" wp14:anchorId="2029C7A5" wp14:editId="7DDCD197">
            <wp:simplePos x="0" y="0"/>
            <wp:positionH relativeFrom="column">
              <wp:posOffset>4057015</wp:posOffset>
            </wp:positionH>
            <wp:positionV relativeFrom="paragraph">
              <wp:posOffset>-321944</wp:posOffset>
            </wp:positionV>
            <wp:extent cx="2465949" cy="668401"/>
            <wp:effectExtent l="0" t="0" r="0" b="0"/>
            <wp:wrapNone/>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618718" wp14:editId="0788534D">
            <wp:simplePos x="0" y="0"/>
            <wp:positionH relativeFrom="column">
              <wp:posOffset>-705780</wp:posOffset>
            </wp:positionH>
            <wp:positionV relativeFrom="paragraph">
              <wp:posOffset>-62506</wp:posOffset>
            </wp:positionV>
            <wp:extent cx="1748621" cy="400050"/>
            <wp:effectExtent l="0" t="0" r="0" b="0"/>
            <wp:wrapNone/>
            <wp:docPr id="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352D2969" w14:textId="77777777" w:rsidR="00200FCB" w:rsidRDefault="00200FCB">
      <w:pPr>
        <w:ind w:right="-574"/>
        <w:jc w:val="right"/>
        <w:rPr>
          <w:rFonts w:ascii="National" w:eastAsia="National" w:hAnsi="National" w:cs="National"/>
          <w:color w:val="303AB2"/>
          <w:sz w:val="36"/>
          <w:szCs w:val="36"/>
        </w:rPr>
      </w:pPr>
    </w:p>
    <w:p w14:paraId="209A6076" w14:textId="77777777" w:rsidR="00200FCB" w:rsidRDefault="00200FCB">
      <w:pPr>
        <w:ind w:right="-574"/>
        <w:jc w:val="right"/>
        <w:rPr>
          <w:rFonts w:ascii="National" w:eastAsia="National" w:hAnsi="National" w:cs="National"/>
          <w:color w:val="303AB2"/>
          <w:sz w:val="36"/>
          <w:szCs w:val="36"/>
        </w:rPr>
      </w:pPr>
    </w:p>
    <w:p w14:paraId="5D735500" w14:textId="77777777" w:rsidR="00200FCB" w:rsidRDefault="00FD6683">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ACUMULATIVO PRECIO DE LA VIVIENDA EN ESPAÑA</w:t>
      </w:r>
    </w:p>
    <w:p w14:paraId="2C90BB71" w14:textId="77777777" w:rsidR="00200FCB" w:rsidRDefault="00FD6683">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 xml:space="preserve">El precio del alquiler ha subido más del 50% en Canarias y la </w:t>
      </w:r>
      <w:proofErr w:type="spellStart"/>
      <w:r>
        <w:rPr>
          <w:rFonts w:ascii="National" w:eastAsia="National" w:hAnsi="National" w:cs="National"/>
          <w:b/>
          <w:color w:val="303AB2"/>
          <w:sz w:val="56"/>
          <w:szCs w:val="56"/>
        </w:rPr>
        <w:t>Comunitat</w:t>
      </w:r>
      <w:proofErr w:type="spellEnd"/>
      <w:r>
        <w:rPr>
          <w:rFonts w:ascii="National" w:eastAsia="National" w:hAnsi="National" w:cs="National"/>
          <w:b/>
          <w:color w:val="303AB2"/>
          <w:sz w:val="56"/>
          <w:szCs w:val="56"/>
        </w:rPr>
        <w:t xml:space="preserve"> Valenciana en cinco años</w:t>
      </w:r>
    </w:p>
    <w:p w14:paraId="47739ABE" w14:textId="77777777" w:rsidR="00200FCB" w:rsidRDefault="00200FCB">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390449CF" w14:textId="77777777" w:rsidR="00200FCB" w:rsidRDefault="00FD668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10 años el alquiler en España se ha encarecido un 32%</w:t>
      </w:r>
    </w:p>
    <w:p w14:paraId="74905B6B" w14:textId="77777777" w:rsidR="00200FCB" w:rsidRDefault="00FD668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2020 se ha pagado por una vivienda en alquiler en España un 50% más que en 2015, mientras que el incremento de hace un año (2019) apenas ha sido de un 0,1%  </w:t>
      </w:r>
    </w:p>
    <w:p w14:paraId="6110142D" w14:textId="77777777" w:rsidR="00200FCB" w:rsidRDefault="00FD6683">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más afectados por el incremento del precio del alquiler han sido los residentes de Valencia capital, con un incremento de un 61% </w:t>
      </w:r>
    </w:p>
    <w:p w14:paraId="40E2E960" w14:textId="77777777" w:rsidR="00200FCB" w:rsidRDefault="00200FCB">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5C1FD859" w14:textId="77777777" w:rsidR="00200FCB" w:rsidRDefault="00FD6683">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17 de febrero de 2021</w:t>
      </w:r>
    </w:p>
    <w:p w14:paraId="4CBBAB51"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 xml:space="preserve">El precio acumulativo de la vivienda en alquiler </w:t>
      </w:r>
      <w:r>
        <w:rPr>
          <w:rFonts w:ascii="Open Sans" w:eastAsia="Open Sans" w:hAnsi="Open Sans" w:cs="Open Sans"/>
          <w:color w:val="0D0D0D"/>
          <w:sz w:val="22"/>
          <w:szCs w:val="22"/>
        </w:rPr>
        <w:t xml:space="preserve">ha subido en </w:t>
      </w:r>
      <w:r>
        <w:rPr>
          <w:rFonts w:ascii="Open Sans" w:eastAsia="Open Sans" w:hAnsi="Open Sans" w:cs="Open Sans"/>
          <w:color w:val="000000"/>
          <w:sz w:val="22"/>
          <w:szCs w:val="22"/>
        </w:rPr>
        <w:t xml:space="preserve">España un 50% en cinco años y un 32% en 10 años, mientras que el acumulativo de hace un año apenas ha subido un 0,1%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 xml:space="preserve">Variación acumulativa de la vivienda en España en 2020”, </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de la vivienda en alquiler del mes de diciembre de los últimos 10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p>
    <w:p w14:paraId="0CB572D5" w14:textId="77777777" w:rsidR="00200FCB" w:rsidRDefault="00FD6683">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30"/>
          <w:szCs w:val="30"/>
        </w:rPr>
        <w:t>Variación acumulativa (%) por años en España</w:t>
      </w:r>
      <w:r>
        <w:rPr>
          <w:rFonts w:ascii="Times New Roman" w:eastAsia="Times New Roman" w:hAnsi="Times New Roman" w:cs="Times New Roman"/>
          <w:noProof/>
          <w:color w:val="000000"/>
          <w:sz w:val="22"/>
          <w:szCs w:val="22"/>
        </w:rPr>
        <w:drawing>
          <wp:inline distT="0" distB="0" distL="0" distR="0" wp14:anchorId="13F07190" wp14:editId="0A416AD2">
            <wp:extent cx="5786755" cy="2400300"/>
            <wp:effectExtent l="0" t="0" r="0" b="0"/>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15A41F"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“La demanda de vivienda en alquiler ha sido muy intensa en los últimos años en nuestro país y ha ocasionado que los precios suban mucho en poco tiempo. Esto, sumado a la escasez de oferta de vivienda en alquiler explica los grandes incrementos que se han ido registrando durante los últimos años. De hecho, en nueve comunidades autónomas se han superado durante 2020 los precios alcanzados durante los años de la burbuja inmobiliaria y ahora mismo se encuentran en máximos históricos”, explica Anaïs López, directora de Comunicación de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1145EFD0"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“No obstante, la pandemia está trayendo un cambio de tendencia en el mercado del alquiler y los precios están ya empezando a caer con fuerza en algunos puntos de España, como Madrid y Barcelona donde los precios están cayendo más de un -10%, debido a que la oferta se ha incrementado casi un 50% y la demanda ha retrocedido durante los últimos meses. De hecho, según el último informe publicado por </w:t>
      </w:r>
      <w:r>
        <w:rPr>
          <w:rFonts w:ascii="Open Sans" w:eastAsia="Open Sans" w:hAnsi="Open Sans" w:cs="Open Sans"/>
          <w:b/>
          <w:color w:val="000000"/>
          <w:sz w:val="22"/>
          <w:szCs w:val="22"/>
        </w:rPr>
        <w:t>Fotocasa</w:t>
      </w:r>
      <w:r>
        <w:rPr>
          <w:rFonts w:ascii="Open Sans" w:eastAsia="Open Sans" w:hAnsi="Open Sans" w:cs="Open Sans"/>
          <w:color w:val="000000"/>
          <w:sz w:val="22"/>
          <w:szCs w:val="22"/>
        </w:rPr>
        <w:t xml:space="preserve"> “</w:t>
      </w:r>
      <w:hyperlink r:id="rId13">
        <w:r>
          <w:rPr>
            <w:rFonts w:ascii="Open Sans" w:eastAsia="Open Sans" w:hAnsi="Open Sans" w:cs="Open Sans"/>
            <w:color w:val="0000FF"/>
            <w:sz w:val="22"/>
            <w:szCs w:val="22"/>
            <w:u w:val="single"/>
          </w:rPr>
          <w:t>Medio año de pandemia: impacto en el sector inmobiliario</w:t>
        </w:r>
      </w:hyperlink>
      <w:r>
        <w:rPr>
          <w:rFonts w:ascii="Open Sans" w:eastAsia="Open Sans" w:hAnsi="Open Sans" w:cs="Open Sans"/>
          <w:color w:val="000000"/>
          <w:sz w:val="22"/>
          <w:szCs w:val="22"/>
        </w:rPr>
        <w:t xml:space="preserve">” la demanda de vivienda en alquiler en nuestro país ha descendido del 49% que buscaban en febrero de 2020 al 44% después de la pandemia. Estos cambios en la oferta y la demanda pueden hacer que el alquiler caiga con fuerza durante este 2021”, apunta la directora de Comunicación. </w:t>
      </w:r>
    </w:p>
    <w:p w14:paraId="430DBB08"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Analizando los precios que se pagaban por el alquiler en 2015, </w:t>
      </w:r>
      <w:r>
        <w:rPr>
          <w:rFonts w:ascii="Open Sans" w:eastAsia="Open Sans" w:hAnsi="Open Sans" w:cs="Open Sans"/>
          <w:b/>
          <w:color w:val="000000"/>
          <w:sz w:val="22"/>
          <w:szCs w:val="22"/>
        </w:rPr>
        <w:t xml:space="preserve">el precio medio del metro cuadrado de la vivienda en alquiler ha aumentado un 50% en España </w:t>
      </w:r>
      <w:r>
        <w:rPr>
          <w:rFonts w:ascii="Open Sans" w:eastAsia="Open Sans" w:hAnsi="Open Sans" w:cs="Open Sans"/>
          <w:color w:val="000000"/>
          <w:sz w:val="22"/>
          <w:szCs w:val="22"/>
        </w:rPr>
        <w:t>(de 7,10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diciembre de 2015, a los 10,65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diciembre de 2020).  </w:t>
      </w:r>
    </w:p>
    <w:p w14:paraId="00CCEBCA"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los españoles en 2015 debían pagar por el alquiler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una media de 568 euros/mes (diciembre de 2015, 7,13 €/m</w:t>
      </w:r>
      <w:r>
        <w:rPr>
          <w:rFonts w:ascii="Open Sans" w:eastAsia="Open Sans" w:hAnsi="Open Sans" w:cs="Open Sans"/>
          <w:color w:val="000000"/>
          <w:sz w:val="22"/>
          <w:szCs w:val="22"/>
          <w:vertAlign w:val="superscript"/>
        </w:rPr>
        <w:t xml:space="preserve">2 </w:t>
      </w:r>
      <w:r>
        <w:rPr>
          <w:rFonts w:ascii="Open Sans" w:eastAsia="Open Sans" w:hAnsi="Open Sans" w:cs="Open Sans"/>
          <w:color w:val="000000"/>
          <w:sz w:val="22"/>
          <w:szCs w:val="22"/>
        </w:rPr>
        <w:t>al mes) frente a los 852 euros (diciembre de 2020, 10,82 €/m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que se paga como media en España en 2020. </w:t>
      </w:r>
    </w:p>
    <w:p w14:paraId="507E5B9B" w14:textId="77777777" w:rsidR="00200FCB" w:rsidRDefault="00FD668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CCAA con porcentajes (%) acumulativo  </w:t>
      </w:r>
    </w:p>
    <w:p w14:paraId="1A8D1E22" w14:textId="77777777" w:rsidR="00200FCB" w:rsidRDefault="00200FCB">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875"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268"/>
        <w:gridCol w:w="2126"/>
        <w:gridCol w:w="2081"/>
      </w:tblGrid>
      <w:tr w:rsidR="00200FCB" w14:paraId="250C5BA7" w14:textId="77777777">
        <w:trPr>
          <w:trHeight w:val="767"/>
        </w:trPr>
        <w:tc>
          <w:tcPr>
            <w:tcW w:w="2400" w:type="dxa"/>
            <w:shd w:val="clear" w:color="auto" w:fill="ACB9CA"/>
            <w:vAlign w:val="center"/>
          </w:tcPr>
          <w:p w14:paraId="32C9AE9B" w14:textId="77777777" w:rsidR="00200FCB" w:rsidRDefault="00FD6683">
            <w:pPr>
              <w:rPr>
                <w:rFonts w:ascii="Open Sans" w:eastAsia="Open Sans" w:hAnsi="Open Sans" w:cs="Open Sans"/>
                <w:b/>
                <w:color w:val="000000"/>
                <w:sz w:val="22"/>
                <w:szCs w:val="22"/>
              </w:rPr>
            </w:pPr>
            <w:r>
              <w:rPr>
                <w:rFonts w:ascii="Open Sans" w:eastAsia="Open Sans" w:hAnsi="Open Sans" w:cs="Open Sans"/>
                <w:b/>
                <w:color w:val="000000"/>
                <w:sz w:val="22"/>
                <w:szCs w:val="22"/>
              </w:rPr>
              <w:t>CCAA</w:t>
            </w:r>
          </w:p>
        </w:tc>
        <w:tc>
          <w:tcPr>
            <w:tcW w:w="2268" w:type="dxa"/>
            <w:shd w:val="clear" w:color="auto" w:fill="ACB9CA"/>
            <w:vAlign w:val="center"/>
          </w:tcPr>
          <w:p w14:paraId="7E3C493F"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 Acumulativo      10 años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2010)</w:t>
            </w:r>
          </w:p>
        </w:tc>
        <w:tc>
          <w:tcPr>
            <w:tcW w:w="2126" w:type="dxa"/>
            <w:shd w:val="clear" w:color="auto" w:fill="ACB9CA"/>
            <w:vAlign w:val="center"/>
          </w:tcPr>
          <w:p w14:paraId="69D2E707"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 Acumulativo      5 años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2015)</w:t>
            </w:r>
          </w:p>
        </w:tc>
        <w:tc>
          <w:tcPr>
            <w:tcW w:w="2081" w:type="dxa"/>
            <w:shd w:val="clear" w:color="auto" w:fill="ACB9CA"/>
            <w:vAlign w:val="center"/>
          </w:tcPr>
          <w:p w14:paraId="5AF5DC2C"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 Acumulativo      1 año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2019)</w:t>
            </w:r>
          </w:p>
        </w:tc>
      </w:tr>
      <w:tr w:rsidR="00200FCB" w14:paraId="638A310E" w14:textId="77777777">
        <w:trPr>
          <w:trHeight w:val="224"/>
        </w:trPr>
        <w:tc>
          <w:tcPr>
            <w:tcW w:w="2400" w:type="dxa"/>
            <w:shd w:val="clear" w:color="auto" w:fill="auto"/>
            <w:vAlign w:val="bottom"/>
          </w:tcPr>
          <w:p w14:paraId="6624DD1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268" w:type="dxa"/>
            <w:shd w:val="clear" w:color="auto" w:fill="auto"/>
            <w:vAlign w:val="bottom"/>
          </w:tcPr>
          <w:p w14:paraId="2F41FFB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126" w:type="dxa"/>
            <w:shd w:val="clear" w:color="auto" w:fill="auto"/>
            <w:vAlign w:val="bottom"/>
          </w:tcPr>
          <w:p w14:paraId="11FBD2D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081" w:type="dxa"/>
            <w:vAlign w:val="bottom"/>
          </w:tcPr>
          <w:p w14:paraId="04D46743"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0,4%</w:t>
            </w:r>
          </w:p>
        </w:tc>
      </w:tr>
      <w:tr w:rsidR="00200FCB" w14:paraId="653BFA33" w14:textId="77777777">
        <w:trPr>
          <w:trHeight w:val="224"/>
        </w:trPr>
        <w:tc>
          <w:tcPr>
            <w:tcW w:w="2400" w:type="dxa"/>
            <w:shd w:val="clear" w:color="auto" w:fill="auto"/>
            <w:vAlign w:val="bottom"/>
          </w:tcPr>
          <w:p w14:paraId="4788DD5F"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268" w:type="dxa"/>
            <w:shd w:val="clear" w:color="auto" w:fill="auto"/>
            <w:vAlign w:val="bottom"/>
          </w:tcPr>
          <w:p w14:paraId="68A165F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w:t>
            </w:r>
          </w:p>
        </w:tc>
        <w:tc>
          <w:tcPr>
            <w:tcW w:w="2126" w:type="dxa"/>
            <w:shd w:val="clear" w:color="auto" w:fill="auto"/>
            <w:vAlign w:val="bottom"/>
          </w:tcPr>
          <w:p w14:paraId="12D0C5F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81" w:type="dxa"/>
            <w:vAlign w:val="bottom"/>
          </w:tcPr>
          <w:p w14:paraId="6E4842EA"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-1,8%</w:t>
            </w:r>
          </w:p>
        </w:tc>
      </w:tr>
      <w:tr w:rsidR="00200FCB" w14:paraId="5034AA3C" w14:textId="77777777">
        <w:trPr>
          <w:trHeight w:val="224"/>
        </w:trPr>
        <w:tc>
          <w:tcPr>
            <w:tcW w:w="2400" w:type="dxa"/>
            <w:shd w:val="clear" w:color="auto" w:fill="auto"/>
            <w:vAlign w:val="bottom"/>
          </w:tcPr>
          <w:p w14:paraId="48FA65A5"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268" w:type="dxa"/>
            <w:shd w:val="clear" w:color="auto" w:fill="auto"/>
            <w:vAlign w:val="bottom"/>
          </w:tcPr>
          <w:p w14:paraId="491A531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w:t>
            </w:r>
          </w:p>
        </w:tc>
        <w:tc>
          <w:tcPr>
            <w:tcW w:w="2126" w:type="dxa"/>
            <w:shd w:val="clear" w:color="auto" w:fill="auto"/>
            <w:vAlign w:val="bottom"/>
          </w:tcPr>
          <w:p w14:paraId="11F285A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81" w:type="dxa"/>
            <w:vAlign w:val="bottom"/>
          </w:tcPr>
          <w:p w14:paraId="1FFD3706"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1,0%</w:t>
            </w:r>
          </w:p>
        </w:tc>
      </w:tr>
      <w:tr w:rsidR="00200FCB" w14:paraId="60703997" w14:textId="77777777">
        <w:trPr>
          <w:trHeight w:val="224"/>
        </w:trPr>
        <w:tc>
          <w:tcPr>
            <w:tcW w:w="2400" w:type="dxa"/>
            <w:shd w:val="clear" w:color="auto" w:fill="auto"/>
            <w:vAlign w:val="bottom"/>
          </w:tcPr>
          <w:p w14:paraId="0F739D76"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268" w:type="dxa"/>
            <w:shd w:val="clear" w:color="auto" w:fill="auto"/>
            <w:vAlign w:val="bottom"/>
          </w:tcPr>
          <w:p w14:paraId="616C6D4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126" w:type="dxa"/>
            <w:shd w:val="clear" w:color="auto" w:fill="auto"/>
            <w:vAlign w:val="bottom"/>
          </w:tcPr>
          <w:p w14:paraId="17A99D4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81" w:type="dxa"/>
            <w:vAlign w:val="bottom"/>
          </w:tcPr>
          <w:p w14:paraId="61038E20"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-0,8%</w:t>
            </w:r>
          </w:p>
        </w:tc>
      </w:tr>
      <w:tr w:rsidR="00200FCB" w14:paraId="20D3DD84" w14:textId="77777777">
        <w:trPr>
          <w:trHeight w:val="224"/>
        </w:trPr>
        <w:tc>
          <w:tcPr>
            <w:tcW w:w="2400" w:type="dxa"/>
            <w:shd w:val="clear" w:color="auto" w:fill="auto"/>
            <w:vAlign w:val="bottom"/>
          </w:tcPr>
          <w:p w14:paraId="4C5E392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268" w:type="dxa"/>
            <w:shd w:val="clear" w:color="auto" w:fill="auto"/>
            <w:vAlign w:val="bottom"/>
          </w:tcPr>
          <w:p w14:paraId="55C2C10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126" w:type="dxa"/>
            <w:shd w:val="clear" w:color="auto" w:fill="auto"/>
            <w:vAlign w:val="bottom"/>
          </w:tcPr>
          <w:p w14:paraId="2B7487D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2081" w:type="dxa"/>
            <w:vAlign w:val="bottom"/>
          </w:tcPr>
          <w:p w14:paraId="308CB3A0"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0,0%</w:t>
            </w:r>
          </w:p>
        </w:tc>
      </w:tr>
      <w:tr w:rsidR="00200FCB" w14:paraId="6D085C88" w14:textId="77777777">
        <w:trPr>
          <w:trHeight w:val="224"/>
        </w:trPr>
        <w:tc>
          <w:tcPr>
            <w:tcW w:w="2400" w:type="dxa"/>
            <w:shd w:val="clear" w:color="auto" w:fill="auto"/>
            <w:vAlign w:val="bottom"/>
          </w:tcPr>
          <w:p w14:paraId="7AE5C30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268" w:type="dxa"/>
            <w:shd w:val="clear" w:color="auto" w:fill="auto"/>
            <w:vAlign w:val="bottom"/>
          </w:tcPr>
          <w:p w14:paraId="5B76E41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shd w:val="clear" w:color="auto" w:fill="auto"/>
            <w:vAlign w:val="bottom"/>
          </w:tcPr>
          <w:p w14:paraId="7B19216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081" w:type="dxa"/>
            <w:vAlign w:val="bottom"/>
          </w:tcPr>
          <w:p w14:paraId="0E22EDC5"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-0,6%</w:t>
            </w:r>
          </w:p>
        </w:tc>
      </w:tr>
      <w:tr w:rsidR="00200FCB" w14:paraId="05959E64" w14:textId="77777777">
        <w:trPr>
          <w:trHeight w:val="224"/>
        </w:trPr>
        <w:tc>
          <w:tcPr>
            <w:tcW w:w="2400" w:type="dxa"/>
            <w:shd w:val="clear" w:color="auto" w:fill="auto"/>
            <w:vAlign w:val="bottom"/>
          </w:tcPr>
          <w:p w14:paraId="74D2AF8F"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2268" w:type="dxa"/>
            <w:shd w:val="clear" w:color="auto" w:fill="auto"/>
            <w:vAlign w:val="bottom"/>
          </w:tcPr>
          <w:p w14:paraId="51A5FF5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shd w:val="clear" w:color="auto" w:fill="auto"/>
            <w:vAlign w:val="bottom"/>
          </w:tcPr>
          <w:p w14:paraId="68420A0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81" w:type="dxa"/>
            <w:vAlign w:val="bottom"/>
          </w:tcPr>
          <w:p w14:paraId="488731FD"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0,3%</w:t>
            </w:r>
          </w:p>
        </w:tc>
      </w:tr>
      <w:tr w:rsidR="00200FCB" w14:paraId="7A5387CC" w14:textId="77777777">
        <w:trPr>
          <w:trHeight w:val="224"/>
        </w:trPr>
        <w:tc>
          <w:tcPr>
            <w:tcW w:w="2400" w:type="dxa"/>
            <w:shd w:val="clear" w:color="auto" w:fill="auto"/>
            <w:vAlign w:val="bottom"/>
          </w:tcPr>
          <w:p w14:paraId="57EA0FE2"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268" w:type="dxa"/>
            <w:shd w:val="clear" w:color="auto" w:fill="auto"/>
            <w:vAlign w:val="bottom"/>
          </w:tcPr>
          <w:p w14:paraId="49703BB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w:t>
            </w:r>
          </w:p>
        </w:tc>
        <w:tc>
          <w:tcPr>
            <w:tcW w:w="2126" w:type="dxa"/>
            <w:shd w:val="clear" w:color="auto" w:fill="auto"/>
            <w:vAlign w:val="bottom"/>
          </w:tcPr>
          <w:p w14:paraId="71B0144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81" w:type="dxa"/>
            <w:vAlign w:val="bottom"/>
          </w:tcPr>
          <w:p w14:paraId="0B05D89C"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2,1%</w:t>
            </w:r>
          </w:p>
        </w:tc>
      </w:tr>
      <w:tr w:rsidR="00200FCB" w14:paraId="668FDD80" w14:textId="77777777">
        <w:trPr>
          <w:trHeight w:val="224"/>
        </w:trPr>
        <w:tc>
          <w:tcPr>
            <w:tcW w:w="2400" w:type="dxa"/>
            <w:shd w:val="clear" w:color="auto" w:fill="auto"/>
            <w:vAlign w:val="bottom"/>
          </w:tcPr>
          <w:p w14:paraId="718DA6F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268" w:type="dxa"/>
            <w:shd w:val="clear" w:color="auto" w:fill="auto"/>
            <w:vAlign w:val="bottom"/>
          </w:tcPr>
          <w:p w14:paraId="624BA70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126" w:type="dxa"/>
            <w:shd w:val="clear" w:color="auto" w:fill="auto"/>
            <w:vAlign w:val="bottom"/>
          </w:tcPr>
          <w:p w14:paraId="0B547CA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81" w:type="dxa"/>
            <w:vAlign w:val="bottom"/>
          </w:tcPr>
          <w:p w14:paraId="433F1831"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-0,6%</w:t>
            </w:r>
          </w:p>
        </w:tc>
      </w:tr>
      <w:tr w:rsidR="00200FCB" w14:paraId="20ED5B11" w14:textId="77777777">
        <w:trPr>
          <w:trHeight w:val="224"/>
        </w:trPr>
        <w:tc>
          <w:tcPr>
            <w:tcW w:w="2400" w:type="dxa"/>
            <w:shd w:val="clear" w:color="auto" w:fill="auto"/>
            <w:vAlign w:val="bottom"/>
          </w:tcPr>
          <w:p w14:paraId="38315F34" w14:textId="77777777" w:rsidR="00200FCB" w:rsidRDefault="00FD6683">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w:t>
            </w:r>
          </w:p>
        </w:tc>
        <w:tc>
          <w:tcPr>
            <w:tcW w:w="2268" w:type="dxa"/>
            <w:shd w:val="clear" w:color="auto" w:fill="auto"/>
            <w:vAlign w:val="bottom"/>
          </w:tcPr>
          <w:p w14:paraId="591E105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126" w:type="dxa"/>
            <w:shd w:val="clear" w:color="auto" w:fill="auto"/>
            <w:vAlign w:val="bottom"/>
          </w:tcPr>
          <w:p w14:paraId="71662AF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081" w:type="dxa"/>
            <w:vAlign w:val="bottom"/>
          </w:tcPr>
          <w:p w14:paraId="778ABFCF"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-0,1%</w:t>
            </w:r>
          </w:p>
        </w:tc>
      </w:tr>
      <w:tr w:rsidR="00200FCB" w14:paraId="7E599287" w14:textId="77777777">
        <w:trPr>
          <w:trHeight w:val="224"/>
        </w:trPr>
        <w:tc>
          <w:tcPr>
            <w:tcW w:w="2400" w:type="dxa"/>
            <w:shd w:val="clear" w:color="auto" w:fill="auto"/>
            <w:vAlign w:val="bottom"/>
          </w:tcPr>
          <w:p w14:paraId="4CCB602F"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Extremadura</w:t>
            </w:r>
          </w:p>
        </w:tc>
        <w:tc>
          <w:tcPr>
            <w:tcW w:w="2268" w:type="dxa"/>
            <w:shd w:val="clear" w:color="auto" w:fill="auto"/>
            <w:vAlign w:val="bottom"/>
          </w:tcPr>
          <w:p w14:paraId="3135D01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w:t>
            </w:r>
          </w:p>
        </w:tc>
        <w:tc>
          <w:tcPr>
            <w:tcW w:w="2126" w:type="dxa"/>
            <w:shd w:val="clear" w:color="auto" w:fill="auto"/>
            <w:vAlign w:val="bottom"/>
          </w:tcPr>
          <w:p w14:paraId="787C636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81" w:type="dxa"/>
            <w:vAlign w:val="bottom"/>
          </w:tcPr>
          <w:p w14:paraId="56FE8C4F"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1,9%</w:t>
            </w:r>
          </w:p>
        </w:tc>
      </w:tr>
      <w:tr w:rsidR="00200FCB" w14:paraId="4FD1F1AF" w14:textId="77777777">
        <w:trPr>
          <w:trHeight w:val="224"/>
        </w:trPr>
        <w:tc>
          <w:tcPr>
            <w:tcW w:w="2400" w:type="dxa"/>
            <w:shd w:val="clear" w:color="auto" w:fill="auto"/>
            <w:vAlign w:val="bottom"/>
          </w:tcPr>
          <w:p w14:paraId="4D575175"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268" w:type="dxa"/>
            <w:shd w:val="clear" w:color="auto" w:fill="auto"/>
            <w:vAlign w:val="bottom"/>
          </w:tcPr>
          <w:p w14:paraId="29DCDEA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shd w:val="clear" w:color="auto" w:fill="auto"/>
            <w:vAlign w:val="bottom"/>
          </w:tcPr>
          <w:p w14:paraId="19559A4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081" w:type="dxa"/>
            <w:vAlign w:val="bottom"/>
          </w:tcPr>
          <w:p w14:paraId="040BB2AB"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1,6%</w:t>
            </w:r>
          </w:p>
        </w:tc>
      </w:tr>
      <w:tr w:rsidR="00200FCB" w14:paraId="387A8987" w14:textId="77777777">
        <w:trPr>
          <w:trHeight w:val="224"/>
        </w:trPr>
        <w:tc>
          <w:tcPr>
            <w:tcW w:w="2400" w:type="dxa"/>
            <w:shd w:val="clear" w:color="auto" w:fill="auto"/>
            <w:vAlign w:val="bottom"/>
          </w:tcPr>
          <w:p w14:paraId="44319CD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268" w:type="dxa"/>
            <w:shd w:val="clear" w:color="auto" w:fill="auto"/>
            <w:vAlign w:val="bottom"/>
          </w:tcPr>
          <w:p w14:paraId="3E59DA6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shd w:val="clear" w:color="auto" w:fill="auto"/>
            <w:vAlign w:val="bottom"/>
          </w:tcPr>
          <w:p w14:paraId="181BE75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81" w:type="dxa"/>
            <w:vAlign w:val="bottom"/>
          </w:tcPr>
          <w:p w14:paraId="018723F1"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3,1%</w:t>
            </w:r>
          </w:p>
        </w:tc>
      </w:tr>
      <w:tr w:rsidR="00200FCB" w14:paraId="7F0C30A2" w14:textId="77777777">
        <w:trPr>
          <w:trHeight w:val="224"/>
        </w:trPr>
        <w:tc>
          <w:tcPr>
            <w:tcW w:w="2400" w:type="dxa"/>
            <w:shd w:val="clear" w:color="auto" w:fill="auto"/>
            <w:vAlign w:val="bottom"/>
          </w:tcPr>
          <w:p w14:paraId="4FFAC3A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268" w:type="dxa"/>
            <w:shd w:val="clear" w:color="auto" w:fill="auto"/>
            <w:vAlign w:val="bottom"/>
          </w:tcPr>
          <w:p w14:paraId="622FD6A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126" w:type="dxa"/>
            <w:shd w:val="clear" w:color="auto" w:fill="auto"/>
            <w:vAlign w:val="bottom"/>
          </w:tcPr>
          <w:p w14:paraId="604A6C0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81" w:type="dxa"/>
            <w:vAlign w:val="bottom"/>
          </w:tcPr>
          <w:p w14:paraId="221E4A11"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-0,9%</w:t>
            </w:r>
          </w:p>
        </w:tc>
      </w:tr>
      <w:tr w:rsidR="00200FCB" w14:paraId="414CA661" w14:textId="77777777">
        <w:trPr>
          <w:trHeight w:val="224"/>
        </w:trPr>
        <w:tc>
          <w:tcPr>
            <w:tcW w:w="2400" w:type="dxa"/>
            <w:shd w:val="clear" w:color="auto" w:fill="auto"/>
            <w:vAlign w:val="bottom"/>
          </w:tcPr>
          <w:p w14:paraId="11B2BB7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268" w:type="dxa"/>
            <w:shd w:val="clear" w:color="auto" w:fill="auto"/>
            <w:vAlign w:val="bottom"/>
          </w:tcPr>
          <w:p w14:paraId="10CEFE4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shd w:val="clear" w:color="auto" w:fill="auto"/>
            <w:vAlign w:val="bottom"/>
          </w:tcPr>
          <w:p w14:paraId="6FFDC42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081" w:type="dxa"/>
            <w:vAlign w:val="bottom"/>
          </w:tcPr>
          <w:p w14:paraId="755B0E9D"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-0,7%</w:t>
            </w:r>
          </w:p>
        </w:tc>
      </w:tr>
      <w:tr w:rsidR="00200FCB" w14:paraId="78950C94" w14:textId="77777777">
        <w:trPr>
          <w:trHeight w:val="224"/>
        </w:trPr>
        <w:tc>
          <w:tcPr>
            <w:tcW w:w="2400" w:type="dxa"/>
            <w:shd w:val="clear" w:color="auto" w:fill="auto"/>
            <w:vAlign w:val="bottom"/>
          </w:tcPr>
          <w:p w14:paraId="3497AF2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268" w:type="dxa"/>
            <w:shd w:val="clear" w:color="auto" w:fill="auto"/>
            <w:vAlign w:val="bottom"/>
          </w:tcPr>
          <w:p w14:paraId="3A26614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126" w:type="dxa"/>
            <w:shd w:val="clear" w:color="auto" w:fill="auto"/>
            <w:vAlign w:val="bottom"/>
          </w:tcPr>
          <w:p w14:paraId="6D6F986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81" w:type="dxa"/>
            <w:vAlign w:val="bottom"/>
          </w:tcPr>
          <w:p w14:paraId="6D372BB7"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-0,8%</w:t>
            </w:r>
          </w:p>
        </w:tc>
      </w:tr>
      <w:tr w:rsidR="00200FCB" w14:paraId="42969477" w14:textId="77777777">
        <w:trPr>
          <w:trHeight w:val="224"/>
        </w:trPr>
        <w:tc>
          <w:tcPr>
            <w:tcW w:w="2400" w:type="dxa"/>
            <w:shd w:val="clear" w:color="auto" w:fill="auto"/>
            <w:vAlign w:val="bottom"/>
          </w:tcPr>
          <w:p w14:paraId="091088C6"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268" w:type="dxa"/>
            <w:shd w:val="clear" w:color="auto" w:fill="auto"/>
            <w:vAlign w:val="bottom"/>
          </w:tcPr>
          <w:p w14:paraId="5A5BC2E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shd w:val="clear" w:color="auto" w:fill="auto"/>
            <w:vAlign w:val="bottom"/>
          </w:tcPr>
          <w:p w14:paraId="0D513A3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081" w:type="dxa"/>
            <w:vAlign w:val="bottom"/>
          </w:tcPr>
          <w:p w14:paraId="00331418" w14:textId="77777777" w:rsidR="00200FCB" w:rsidRDefault="00FD6683">
            <w:pPr>
              <w:jc w:val="center"/>
              <w:rPr>
                <w:rFonts w:ascii="Open Sans" w:eastAsia="Open Sans" w:hAnsi="Open Sans" w:cs="Open Sans"/>
                <w:color w:val="FF0000"/>
                <w:sz w:val="22"/>
                <w:szCs w:val="22"/>
              </w:rPr>
            </w:pPr>
            <w:r>
              <w:rPr>
                <w:rFonts w:ascii="Open Sans" w:eastAsia="Open Sans" w:hAnsi="Open Sans" w:cs="Open Sans"/>
                <w:color w:val="9C0006"/>
                <w:sz w:val="22"/>
                <w:szCs w:val="22"/>
              </w:rPr>
              <w:t>-2,2%</w:t>
            </w:r>
          </w:p>
        </w:tc>
      </w:tr>
      <w:tr w:rsidR="00200FCB" w14:paraId="60A137E4" w14:textId="77777777">
        <w:trPr>
          <w:trHeight w:val="224"/>
        </w:trPr>
        <w:tc>
          <w:tcPr>
            <w:tcW w:w="2400" w:type="dxa"/>
            <w:shd w:val="clear" w:color="auto" w:fill="ACB9CA"/>
            <w:vAlign w:val="bottom"/>
          </w:tcPr>
          <w:p w14:paraId="25CA7878" w14:textId="77777777" w:rsidR="00200FCB" w:rsidRDefault="00FD6683">
            <w:pPr>
              <w:rPr>
                <w:rFonts w:ascii="Open Sans" w:eastAsia="Open Sans" w:hAnsi="Open Sans" w:cs="Open Sans"/>
                <w:b/>
                <w:color w:val="000000"/>
                <w:sz w:val="22"/>
                <w:szCs w:val="22"/>
              </w:rPr>
            </w:pPr>
            <w:r>
              <w:rPr>
                <w:rFonts w:ascii="Open Sans" w:eastAsia="Open Sans" w:hAnsi="Open Sans" w:cs="Open Sans"/>
                <w:b/>
                <w:color w:val="000000"/>
                <w:sz w:val="22"/>
                <w:szCs w:val="22"/>
              </w:rPr>
              <w:t>España</w:t>
            </w:r>
          </w:p>
        </w:tc>
        <w:tc>
          <w:tcPr>
            <w:tcW w:w="2268" w:type="dxa"/>
            <w:shd w:val="clear" w:color="auto" w:fill="ACB9CA"/>
            <w:vAlign w:val="bottom"/>
          </w:tcPr>
          <w:p w14:paraId="637C5049" w14:textId="77777777" w:rsidR="00200FCB" w:rsidRDefault="00FD6683">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2126" w:type="dxa"/>
            <w:shd w:val="clear" w:color="auto" w:fill="ACB9CA"/>
            <w:vAlign w:val="bottom"/>
          </w:tcPr>
          <w:p w14:paraId="3320DF4E" w14:textId="77777777" w:rsidR="00200FCB" w:rsidRDefault="00FD6683">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50%</w:t>
            </w:r>
          </w:p>
        </w:tc>
        <w:tc>
          <w:tcPr>
            <w:tcW w:w="2081" w:type="dxa"/>
            <w:shd w:val="clear" w:color="auto" w:fill="ACB9CA"/>
            <w:vAlign w:val="bottom"/>
          </w:tcPr>
          <w:p w14:paraId="0F238490" w14:textId="77777777" w:rsidR="00200FCB" w:rsidRDefault="00FD6683">
            <w:pPr>
              <w:jc w:val="center"/>
              <w:rPr>
                <w:rFonts w:ascii="Open Sans" w:eastAsia="Open Sans" w:hAnsi="Open Sans" w:cs="Open Sans"/>
                <w:b/>
                <w:color w:val="FF0000"/>
                <w:sz w:val="22"/>
                <w:szCs w:val="22"/>
              </w:rPr>
            </w:pPr>
            <w:r>
              <w:rPr>
                <w:rFonts w:ascii="Open Sans" w:eastAsia="Open Sans" w:hAnsi="Open Sans" w:cs="Open Sans"/>
                <w:b/>
                <w:color w:val="000000"/>
                <w:sz w:val="22"/>
                <w:szCs w:val="22"/>
              </w:rPr>
              <w:t>0,1%</w:t>
            </w:r>
          </w:p>
        </w:tc>
      </w:tr>
    </w:tbl>
    <w:p w14:paraId="23EA0CC8"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 xml:space="preserve">“Respecto a la Comunidades Autónomas, ahora mismo en nueve de ellas se han alcanzado los precios máximos de la burbuja inmobiliaria. Se trata de Navarra, Castilla y León, la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Andalucía, Baleares, Cataluña, Madrid, País Vasco y Canarias. En estas comunidades los precios durante 2020 han llegado a las cotas más altas jamás registradas en el </w:t>
      </w:r>
      <w:r>
        <w:rPr>
          <w:rFonts w:ascii="Open Sans" w:eastAsia="Open Sans" w:hAnsi="Open Sans" w:cs="Open Sans"/>
          <w:b/>
          <w:color w:val="000000"/>
          <w:sz w:val="22"/>
          <w:szCs w:val="22"/>
        </w:rPr>
        <w:t>Índice Inmobiliario Fotocasa</w:t>
      </w:r>
      <w:r>
        <w:rPr>
          <w:rFonts w:ascii="Open Sans" w:eastAsia="Open Sans" w:hAnsi="Open Sans" w:cs="Open Sans"/>
          <w:color w:val="000000"/>
          <w:sz w:val="22"/>
          <w:szCs w:val="22"/>
        </w:rPr>
        <w:t xml:space="preserve">, que estudia el precio del alquiler desde el año 2006. No obstante, en cuatro de estas comunidades los precios interanuales ya han empezado a caer a buen ritmo: un -7,7% en Baleares, un -5,1% en Madrid, un -3,5% en Canarias y un -1,0% en Cataluña”, explica Anaïs López.  </w:t>
      </w:r>
    </w:p>
    <w:p w14:paraId="64F91E29" w14:textId="2C8BC906" w:rsidR="00200FCB" w:rsidRDefault="00FD668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canarios y valencianos son los más afectados por el incremento del alquiler</w:t>
      </w:r>
    </w:p>
    <w:p w14:paraId="4406EC00"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las comunidades autónomas que más se han visto afectadas por el incremento del alquiler estos últimos cinco años, cuatro de ellas superan el 50% de incremento desde 2015,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r>
        <w:rPr>
          <w:rFonts w:ascii="Open Sans" w:eastAsia="Open Sans" w:hAnsi="Open Sans" w:cs="Open Sans"/>
          <w:color w:val="000000"/>
          <w:sz w:val="22"/>
          <w:szCs w:val="22"/>
        </w:rPr>
        <w:t xml:space="preserve">El precio de la vivienda de alquiler en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ha pasado de 5,34 €/m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diciembre de 2015 a 8,28 €/m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diciembre de 2020 (55% de incremento) y en Canarias de 6,14 €/m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a 9,40 €/m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(53%), en los últimos cinco años.</w:t>
      </w:r>
    </w:p>
    <w:p w14:paraId="5898A56C"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las CCAA según el incremento acumulativo</w:t>
      </w:r>
      <w:r>
        <w:rPr>
          <w:rFonts w:ascii="Open Sans" w:eastAsia="Open Sans" w:hAnsi="Open Sans" w:cs="Open Sans"/>
          <w:color w:val="FF0000"/>
          <w:sz w:val="22"/>
          <w:szCs w:val="22"/>
        </w:rPr>
        <w:t xml:space="preserve"> </w:t>
      </w:r>
      <w:r>
        <w:rPr>
          <w:rFonts w:ascii="Open Sans" w:eastAsia="Open Sans" w:hAnsi="Open Sans" w:cs="Open Sans"/>
          <w:color w:val="000000"/>
          <w:sz w:val="22"/>
          <w:szCs w:val="22"/>
        </w:rPr>
        <w:t>de sus alquileres de los últimos 5 años en España es:</w:t>
      </w:r>
      <w:r>
        <w:rPr>
          <w:rFonts w:ascii="Times New Roman" w:eastAsia="Times New Roman" w:hAnsi="Times New Roman" w:cs="Times New Roman"/>
          <w:color w:val="000000"/>
        </w:rPr>
        <w:t xml:space="preserve">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(55%), Canarias (53%), Navarra (46%), Cataluña (44%), Andalucía (42%), Madrid (41%), Galicia (34%), Región de Murcia (34%), Cantabria (34%), La Rioja (33%), Castilla-La Mancha (32%), Baleares (31%), País Vasco (31%), Aragón (29%), Asturias (28%), Castilla y León (26%) y Extremadura (24%).</w:t>
      </w:r>
    </w:p>
    <w:p w14:paraId="730F0FE0" w14:textId="77777777" w:rsidR="00200FCB" w:rsidRDefault="00FD6683">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30"/>
          <w:szCs w:val="30"/>
        </w:rPr>
        <w:lastRenderedPageBreak/>
        <w:t>Comparativa del acumulativo del alquiler en España</w:t>
      </w:r>
      <w:r>
        <w:rPr>
          <w:noProof/>
        </w:rPr>
        <w:drawing>
          <wp:anchor distT="0" distB="0" distL="114300" distR="114300" simplePos="0" relativeHeight="251660288" behindDoc="0" locked="0" layoutInCell="1" hidden="0" allowOverlap="1" wp14:anchorId="0AABB509" wp14:editId="784CDD54">
            <wp:simplePos x="0" y="0"/>
            <wp:positionH relativeFrom="column">
              <wp:posOffset>-473325</wp:posOffset>
            </wp:positionH>
            <wp:positionV relativeFrom="paragraph">
              <wp:posOffset>507365</wp:posOffset>
            </wp:positionV>
            <wp:extent cx="6551930" cy="1762760"/>
            <wp:effectExtent l="0" t="0" r="0" b="0"/>
            <wp:wrapSquare wrapText="bothSides" distT="0" distB="0" distL="114300" distR="11430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551930" cy="1762760"/>
                    </a:xfrm>
                    <a:prstGeom prst="rect">
                      <a:avLst/>
                    </a:prstGeom>
                    <a:ln/>
                  </pic:spPr>
                </pic:pic>
              </a:graphicData>
            </a:graphic>
          </wp:anchor>
        </w:drawing>
      </w:r>
    </w:p>
    <w:p w14:paraId="23E0F6F1" w14:textId="77777777" w:rsidR="00200FCB" w:rsidRDefault="00200FCB">
      <w:pPr>
        <w:pBdr>
          <w:top w:val="nil"/>
          <w:left w:val="nil"/>
          <w:bottom w:val="nil"/>
          <w:right w:val="nil"/>
          <w:between w:val="nil"/>
        </w:pBdr>
        <w:shd w:val="clear" w:color="auto" w:fill="FFFFFF"/>
        <w:spacing w:before="280" w:after="280"/>
        <w:ind w:right="-574"/>
        <w:jc w:val="center"/>
        <w:rPr>
          <w:rFonts w:ascii="National" w:eastAsia="National" w:hAnsi="National" w:cs="National"/>
          <w:b/>
          <w:color w:val="303AB2"/>
          <w:sz w:val="30"/>
          <w:szCs w:val="30"/>
        </w:rPr>
      </w:pPr>
    </w:p>
    <w:p w14:paraId="086E4B0E" w14:textId="77777777" w:rsidR="00200FCB" w:rsidRDefault="00FD6683">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Times New Roman" w:eastAsia="Times New Roman" w:hAnsi="Times New Roman" w:cs="Times New Roman"/>
          <w:noProof/>
          <w:color w:val="000000"/>
        </w:rPr>
        <w:drawing>
          <wp:inline distT="0" distB="0" distL="0" distR="0" wp14:anchorId="37D3CF29" wp14:editId="53BF243F">
            <wp:extent cx="4133850" cy="161925"/>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133850" cy="161925"/>
                    </a:xfrm>
                    <a:prstGeom prst="rect">
                      <a:avLst/>
                    </a:prstGeom>
                    <a:ln/>
                  </pic:spPr>
                </pic:pic>
              </a:graphicData>
            </a:graphic>
          </wp:inline>
        </w:drawing>
      </w:r>
    </w:p>
    <w:p w14:paraId="0A4200DA" w14:textId="1BE6372F"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capitales de provincia</w:t>
      </w:r>
    </w:p>
    <w:p w14:paraId="2127577B"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capital de Valencia es la única ciudad de España cuyo incremento acumulativo es superior al 50%, en concreto, el precio de diciembre de 2020 es un 61% más respecto al año 2015, según el estudio de </w:t>
      </w:r>
      <w:hyperlink r:id="rId17">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7D53CA91"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una vivienda de 80 metros cuadrados en régimen de alquiler en Valencia capital se pagaba 479 euros al mes hace 5 años (5,99 €/m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2015), mientras que en 2020 se ha pagado 772 euros al mes (9,65 €/m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2020).</w:t>
      </w:r>
    </w:p>
    <w:p w14:paraId="128F286C"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diez ciudades con mayor incremento acumulativo de los alquileres en España son: Valencia capital (61,1%), Castellón de la Plana / Castelló de la Plana (44,5%), Pontevedra capital (43,4%), Pamplona / Iruña (41,7%), Santa Cruz de Tenerife capital (41,2%), Las Palmas de Gran Canaria (40,5%), Logroño (38,3%), Granada capital (34,7%), Murcia capital (34,1%) y A Coruña capital (34,0%).</w:t>
      </w:r>
    </w:p>
    <w:p w14:paraId="190E6192" w14:textId="77777777" w:rsidR="00200FCB" w:rsidRDefault="00FD668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diez ciudades menos afectadas por el incremento del alquiler desde 2015 son: Barcelona capital (5,8%), Ciudad Real capital (8,1%), Palencia capital (9,9%), Jaén capital (12,6%), Córdoba capital (13,0%), Salamanca capital (16,3%), Ávila capital (19,0%), Cádiz capital (19,4%), Bilbao (21,3%) y Burgos capital (22,1%).</w:t>
      </w:r>
    </w:p>
    <w:p w14:paraId="186E8FBE" w14:textId="77777777" w:rsidR="00EA137F" w:rsidRDefault="00EA137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184E3D06" w14:textId="77777777" w:rsidR="00EA137F" w:rsidRDefault="00EA137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50FB44EA" w14:textId="77777777" w:rsidR="00EA137F" w:rsidRDefault="00EA137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6DFB37E7" w14:textId="77777777" w:rsidR="00EA137F" w:rsidRDefault="00EA137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57C1E991" w14:textId="528FB40D" w:rsidR="00200FCB" w:rsidRDefault="00FD668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Capitales con porcentaje (%) acumulativo</w:t>
      </w:r>
      <w:r>
        <w:rPr>
          <w:rFonts w:ascii="National" w:eastAsia="National" w:hAnsi="National" w:cs="National"/>
          <w:b/>
          <w:color w:val="FF0000"/>
          <w:sz w:val="28"/>
          <w:szCs w:val="28"/>
        </w:rPr>
        <w:t xml:space="preserve"> </w:t>
      </w:r>
    </w:p>
    <w:p w14:paraId="452A3D1D" w14:textId="77777777" w:rsidR="00200FCB" w:rsidRDefault="00200FCB">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19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3389"/>
        <w:gridCol w:w="1988"/>
        <w:gridCol w:w="1984"/>
        <w:gridCol w:w="1833"/>
      </w:tblGrid>
      <w:tr w:rsidR="00200FCB" w14:paraId="184F5BCE" w14:textId="77777777">
        <w:trPr>
          <w:trHeight w:val="780"/>
        </w:trPr>
        <w:tc>
          <w:tcPr>
            <w:tcW w:w="3389" w:type="dxa"/>
            <w:shd w:val="clear" w:color="auto" w:fill="ACB9CA"/>
            <w:vAlign w:val="center"/>
          </w:tcPr>
          <w:p w14:paraId="0077486C" w14:textId="77777777" w:rsidR="00200FCB" w:rsidRDefault="00FD6683">
            <w:pPr>
              <w:rPr>
                <w:rFonts w:ascii="Open Sans" w:eastAsia="Open Sans" w:hAnsi="Open Sans" w:cs="Open Sans"/>
                <w:b/>
                <w:color w:val="0D0D0D"/>
                <w:sz w:val="22"/>
                <w:szCs w:val="22"/>
              </w:rPr>
            </w:pPr>
            <w:r>
              <w:rPr>
                <w:rFonts w:ascii="Open Sans" w:eastAsia="Open Sans" w:hAnsi="Open Sans" w:cs="Open Sans"/>
                <w:b/>
                <w:color w:val="0D0D0D"/>
                <w:sz w:val="22"/>
                <w:szCs w:val="22"/>
              </w:rPr>
              <w:t>Ciudad</w:t>
            </w:r>
          </w:p>
        </w:tc>
        <w:tc>
          <w:tcPr>
            <w:tcW w:w="1988" w:type="dxa"/>
            <w:shd w:val="clear" w:color="auto" w:fill="ACB9CA"/>
            <w:vAlign w:val="center"/>
          </w:tcPr>
          <w:p w14:paraId="7B220443"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Acumulativo         10 años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2010)</w:t>
            </w:r>
          </w:p>
        </w:tc>
        <w:tc>
          <w:tcPr>
            <w:tcW w:w="1984" w:type="dxa"/>
            <w:shd w:val="clear" w:color="auto" w:fill="ACB9CA"/>
            <w:vAlign w:val="center"/>
          </w:tcPr>
          <w:p w14:paraId="630A84E9"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Acumulativo         5 años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2015)</w:t>
            </w:r>
          </w:p>
        </w:tc>
        <w:tc>
          <w:tcPr>
            <w:tcW w:w="1833" w:type="dxa"/>
            <w:shd w:val="clear" w:color="auto" w:fill="ACB9CA"/>
            <w:vAlign w:val="center"/>
          </w:tcPr>
          <w:p w14:paraId="2599CCB7" w14:textId="77777777" w:rsidR="00200FCB" w:rsidRDefault="00FD6683">
            <w:pPr>
              <w:jc w:val="center"/>
              <w:rPr>
                <w:rFonts w:ascii="Open Sans" w:eastAsia="Open Sans" w:hAnsi="Open Sans" w:cs="Open Sans"/>
                <w:b/>
                <w:color w:val="0D0D0D"/>
                <w:sz w:val="22"/>
                <w:szCs w:val="22"/>
              </w:rPr>
            </w:pPr>
            <w:r>
              <w:rPr>
                <w:rFonts w:ascii="Open Sans" w:eastAsia="Open Sans" w:hAnsi="Open Sans" w:cs="Open Sans"/>
                <w:b/>
                <w:color w:val="0D0D0D"/>
                <w:sz w:val="22"/>
                <w:szCs w:val="22"/>
              </w:rPr>
              <w:t xml:space="preserve">Acumulativo         1 año        </w:t>
            </w:r>
            <w:proofErr w:type="gramStart"/>
            <w:r>
              <w:rPr>
                <w:rFonts w:ascii="Open Sans" w:eastAsia="Open Sans" w:hAnsi="Open Sans" w:cs="Open Sans"/>
                <w:b/>
                <w:color w:val="0D0D0D"/>
                <w:sz w:val="22"/>
                <w:szCs w:val="22"/>
              </w:rPr>
              <w:t xml:space="preserve">   (</w:t>
            </w:r>
            <w:proofErr w:type="gramEnd"/>
            <w:r>
              <w:rPr>
                <w:rFonts w:ascii="Open Sans" w:eastAsia="Open Sans" w:hAnsi="Open Sans" w:cs="Open Sans"/>
                <w:b/>
                <w:color w:val="0D0D0D"/>
                <w:sz w:val="22"/>
                <w:szCs w:val="22"/>
              </w:rPr>
              <w:t>2020 vs 2019)</w:t>
            </w:r>
          </w:p>
        </w:tc>
      </w:tr>
      <w:tr w:rsidR="00200FCB" w14:paraId="36098D10" w14:textId="77777777">
        <w:trPr>
          <w:trHeight w:val="229"/>
        </w:trPr>
        <w:tc>
          <w:tcPr>
            <w:tcW w:w="3389" w:type="dxa"/>
            <w:shd w:val="clear" w:color="auto" w:fill="auto"/>
            <w:vAlign w:val="bottom"/>
          </w:tcPr>
          <w:p w14:paraId="3781A0B7"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988" w:type="dxa"/>
            <w:vAlign w:val="bottom"/>
          </w:tcPr>
          <w:p w14:paraId="02FF4CC6"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41,4%</w:t>
            </w:r>
          </w:p>
        </w:tc>
        <w:tc>
          <w:tcPr>
            <w:tcW w:w="1984" w:type="dxa"/>
            <w:shd w:val="clear" w:color="auto" w:fill="auto"/>
            <w:vAlign w:val="bottom"/>
          </w:tcPr>
          <w:p w14:paraId="1730F59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61,1%</w:t>
            </w:r>
          </w:p>
        </w:tc>
        <w:tc>
          <w:tcPr>
            <w:tcW w:w="1833" w:type="dxa"/>
            <w:vAlign w:val="bottom"/>
          </w:tcPr>
          <w:p w14:paraId="4C49608B"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-0,1%</w:t>
            </w:r>
          </w:p>
        </w:tc>
      </w:tr>
      <w:tr w:rsidR="00200FCB" w14:paraId="2E65715D" w14:textId="77777777">
        <w:trPr>
          <w:trHeight w:val="229"/>
        </w:trPr>
        <w:tc>
          <w:tcPr>
            <w:tcW w:w="3389" w:type="dxa"/>
            <w:shd w:val="clear" w:color="auto" w:fill="auto"/>
            <w:vAlign w:val="bottom"/>
          </w:tcPr>
          <w:p w14:paraId="27756D1D"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988" w:type="dxa"/>
            <w:vAlign w:val="bottom"/>
          </w:tcPr>
          <w:p w14:paraId="5EE7C44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20,9%</w:t>
            </w:r>
          </w:p>
        </w:tc>
        <w:tc>
          <w:tcPr>
            <w:tcW w:w="1984" w:type="dxa"/>
            <w:shd w:val="clear" w:color="auto" w:fill="auto"/>
            <w:vAlign w:val="bottom"/>
          </w:tcPr>
          <w:p w14:paraId="7C60DFD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44,5%</w:t>
            </w:r>
          </w:p>
        </w:tc>
        <w:tc>
          <w:tcPr>
            <w:tcW w:w="1833" w:type="dxa"/>
            <w:vAlign w:val="bottom"/>
          </w:tcPr>
          <w:p w14:paraId="2B77CFA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0,4%</w:t>
            </w:r>
          </w:p>
        </w:tc>
      </w:tr>
      <w:tr w:rsidR="00200FCB" w14:paraId="0C1DEAD2" w14:textId="77777777">
        <w:trPr>
          <w:trHeight w:val="229"/>
        </w:trPr>
        <w:tc>
          <w:tcPr>
            <w:tcW w:w="3389" w:type="dxa"/>
            <w:shd w:val="clear" w:color="auto" w:fill="auto"/>
            <w:vAlign w:val="bottom"/>
          </w:tcPr>
          <w:p w14:paraId="04BACBC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988" w:type="dxa"/>
            <w:vAlign w:val="bottom"/>
          </w:tcPr>
          <w:p w14:paraId="0D27BC8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13,7%</w:t>
            </w:r>
          </w:p>
        </w:tc>
        <w:tc>
          <w:tcPr>
            <w:tcW w:w="1984" w:type="dxa"/>
            <w:shd w:val="clear" w:color="auto" w:fill="auto"/>
            <w:vAlign w:val="bottom"/>
          </w:tcPr>
          <w:p w14:paraId="4879365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43,4%</w:t>
            </w:r>
          </w:p>
        </w:tc>
        <w:tc>
          <w:tcPr>
            <w:tcW w:w="1833" w:type="dxa"/>
            <w:vAlign w:val="bottom"/>
          </w:tcPr>
          <w:p w14:paraId="6D26FF52"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-2,1%</w:t>
            </w:r>
          </w:p>
        </w:tc>
      </w:tr>
      <w:tr w:rsidR="00200FCB" w14:paraId="57F7D262" w14:textId="77777777">
        <w:trPr>
          <w:trHeight w:val="229"/>
        </w:trPr>
        <w:tc>
          <w:tcPr>
            <w:tcW w:w="3389" w:type="dxa"/>
            <w:shd w:val="clear" w:color="auto" w:fill="auto"/>
            <w:vAlign w:val="bottom"/>
          </w:tcPr>
          <w:p w14:paraId="72C641D8"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988" w:type="dxa"/>
            <w:vAlign w:val="bottom"/>
          </w:tcPr>
          <w:p w14:paraId="3AD8E73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20,1%</w:t>
            </w:r>
          </w:p>
        </w:tc>
        <w:tc>
          <w:tcPr>
            <w:tcW w:w="1984" w:type="dxa"/>
            <w:shd w:val="clear" w:color="auto" w:fill="auto"/>
            <w:vAlign w:val="bottom"/>
          </w:tcPr>
          <w:p w14:paraId="2E2B0A9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41,7%</w:t>
            </w:r>
          </w:p>
        </w:tc>
        <w:tc>
          <w:tcPr>
            <w:tcW w:w="1833" w:type="dxa"/>
            <w:vAlign w:val="bottom"/>
          </w:tcPr>
          <w:p w14:paraId="4442F68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w:t>
            </w:r>
          </w:p>
        </w:tc>
      </w:tr>
      <w:tr w:rsidR="00200FCB" w14:paraId="72B476A2" w14:textId="77777777">
        <w:trPr>
          <w:trHeight w:val="229"/>
        </w:trPr>
        <w:tc>
          <w:tcPr>
            <w:tcW w:w="3389" w:type="dxa"/>
            <w:shd w:val="clear" w:color="auto" w:fill="auto"/>
            <w:vAlign w:val="bottom"/>
          </w:tcPr>
          <w:p w14:paraId="594EEEC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988" w:type="dxa"/>
            <w:vAlign w:val="bottom"/>
          </w:tcPr>
          <w:p w14:paraId="442B988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21,6%</w:t>
            </w:r>
          </w:p>
        </w:tc>
        <w:tc>
          <w:tcPr>
            <w:tcW w:w="1984" w:type="dxa"/>
            <w:shd w:val="clear" w:color="auto" w:fill="auto"/>
            <w:vAlign w:val="bottom"/>
          </w:tcPr>
          <w:p w14:paraId="5786F7B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41,2%</w:t>
            </w:r>
          </w:p>
        </w:tc>
        <w:tc>
          <w:tcPr>
            <w:tcW w:w="1833" w:type="dxa"/>
            <w:vAlign w:val="bottom"/>
          </w:tcPr>
          <w:p w14:paraId="6FD8FED0"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-2,6%</w:t>
            </w:r>
          </w:p>
        </w:tc>
      </w:tr>
      <w:tr w:rsidR="00200FCB" w14:paraId="0E708495" w14:textId="77777777">
        <w:trPr>
          <w:trHeight w:val="229"/>
        </w:trPr>
        <w:tc>
          <w:tcPr>
            <w:tcW w:w="3389" w:type="dxa"/>
            <w:shd w:val="clear" w:color="auto" w:fill="auto"/>
            <w:vAlign w:val="bottom"/>
          </w:tcPr>
          <w:p w14:paraId="10381579"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988" w:type="dxa"/>
            <w:vAlign w:val="bottom"/>
          </w:tcPr>
          <w:p w14:paraId="529C76B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35,8%</w:t>
            </w:r>
          </w:p>
        </w:tc>
        <w:tc>
          <w:tcPr>
            <w:tcW w:w="1984" w:type="dxa"/>
            <w:shd w:val="clear" w:color="auto" w:fill="auto"/>
            <w:vAlign w:val="bottom"/>
          </w:tcPr>
          <w:p w14:paraId="5783D17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40,5%</w:t>
            </w:r>
          </w:p>
        </w:tc>
        <w:tc>
          <w:tcPr>
            <w:tcW w:w="1833" w:type="dxa"/>
            <w:vAlign w:val="bottom"/>
          </w:tcPr>
          <w:p w14:paraId="77082496"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0,0%</w:t>
            </w:r>
          </w:p>
        </w:tc>
      </w:tr>
      <w:tr w:rsidR="00200FCB" w14:paraId="65697F6C" w14:textId="77777777">
        <w:trPr>
          <w:trHeight w:val="229"/>
        </w:trPr>
        <w:tc>
          <w:tcPr>
            <w:tcW w:w="3389" w:type="dxa"/>
            <w:shd w:val="clear" w:color="auto" w:fill="auto"/>
            <w:vAlign w:val="bottom"/>
          </w:tcPr>
          <w:p w14:paraId="0D9B05C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988" w:type="dxa"/>
            <w:vAlign w:val="bottom"/>
          </w:tcPr>
          <w:p w14:paraId="0F3A296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w:t>
            </w:r>
          </w:p>
        </w:tc>
        <w:tc>
          <w:tcPr>
            <w:tcW w:w="1984" w:type="dxa"/>
            <w:shd w:val="clear" w:color="auto" w:fill="auto"/>
            <w:vAlign w:val="bottom"/>
          </w:tcPr>
          <w:p w14:paraId="4552C9B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38,3%</w:t>
            </w:r>
          </w:p>
        </w:tc>
        <w:tc>
          <w:tcPr>
            <w:tcW w:w="1833" w:type="dxa"/>
            <w:vAlign w:val="bottom"/>
          </w:tcPr>
          <w:p w14:paraId="1410D935"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3,8%</w:t>
            </w:r>
          </w:p>
        </w:tc>
      </w:tr>
      <w:tr w:rsidR="00200FCB" w14:paraId="6BDCD803" w14:textId="77777777">
        <w:trPr>
          <w:trHeight w:val="229"/>
        </w:trPr>
        <w:tc>
          <w:tcPr>
            <w:tcW w:w="3389" w:type="dxa"/>
            <w:shd w:val="clear" w:color="auto" w:fill="auto"/>
            <w:vAlign w:val="bottom"/>
          </w:tcPr>
          <w:p w14:paraId="1B4A42C7"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988" w:type="dxa"/>
            <w:vAlign w:val="bottom"/>
          </w:tcPr>
          <w:p w14:paraId="0AF09F6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23,2%</w:t>
            </w:r>
          </w:p>
        </w:tc>
        <w:tc>
          <w:tcPr>
            <w:tcW w:w="1984" w:type="dxa"/>
            <w:shd w:val="clear" w:color="auto" w:fill="auto"/>
            <w:vAlign w:val="bottom"/>
          </w:tcPr>
          <w:p w14:paraId="4C1F83A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34,7%</w:t>
            </w:r>
          </w:p>
        </w:tc>
        <w:tc>
          <w:tcPr>
            <w:tcW w:w="1833" w:type="dxa"/>
            <w:vAlign w:val="bottom"/>
          </w:tcPr>
          <w:p w14:paraId="700ADD68"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w:t>
            </w:r>
          </w:p>
        </w:tc>
      </w:tr>
      <w:tr w:rsidR="00200FCB" w14:paraId="3B4724F2" w14:textId="77777777">
        <w:trPr>
          <w:trHeight w:val="229"/>
        </w:trPr>
        <w:tc>
          <w:tcPr>
            <w:tcW w:w="3389" w:type="dxa"/>
            <w:shd w:val="clear" w:color="auto" w:fill="auto"/>
            <w:vAlign w:val="bottom"/>
          </w:tcPr>
          <w:p w14:paraId="1257E766"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988" w:type="dxa"/>
            <w:vAlign w:val="bottom"/>
          </w:tcPr>
          <w:p w14:paraId="5154F4B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17,4%</w:t>
            </w:r>
          </w:p>
        </w:tc>
        <w:tc>
          <w:tcPr>
            <w:tcW w:w="1984" w:type="dxa"/>
            <w:shd w:val="clear" w:color="auto" w:fill="auto"/>
            <w:vAlign w:val="bottom"/>
          </w:tcPr>
          <w:p w14:paraId="433D075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34,1%</w:t>
            </w:r>
          </w:p>
        </w:tc>
        <w:tc>
          <w:tcPr>
            <w:tcW w:w="1833" w:type="dxa"/>
            <w:vAlign w:val="bottom"/>
          </w:tcPr>
          <w:p w14:paraId="174E8B6A"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-2,7%</w:t>
            </w:r>
          </w:p>
        </w:tc>
      </w:tr>
      <w:tr w:rsidR="00200FCB" w14:paraId="6DF11D5F" w14:textId="77777777">
        <w:trPr>
          <w:trHeight w:val="229"/>
        </w:trPr>
        <w:tc>
          <w:tcPr>
            <w:tcW w:w="3389" w:type="dxa"/>
            <w:shd w:val="clear" w:color="auto" w:fill="auto"/>
            <w:vAlign w:val="bottom"/>
          </w:tcPr>
          <w:p w14:paraId="33611DA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988" w:type="dxa"/>
            <w:vAlign w:val="bottom"/>
          </w:tcPr>
          <w:p w14:paraId="2FBC2D7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22,0%</w:t>
            </w:r>
          </w:p>
        </w:tc>
        <w:tc>
          <w:tcPr>
            <w:tcW w:w="1984" w:type="dxa"/>
            <w:shd w:val="clear" w:color="auto" w:fill="auto"/>
            <w:vAlign w:val="bottom"/>
          </w:tcPr>
          <w:p w14:paraId="61283FB6"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34,0%</w:t>
            </w:r>
          </w:p>
        </w:tc>
        <w:tc>
          <w:tcPr>
            <w:tcW w:w="1833" w:type="dxa"/>
            <w:vAlign w:val="bottom"/>
          </w:tcPr>
          <w:p w14:paraId="60210607"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0,7%</w:t>
            </w:r>
          </w:p>
        </w:tc>
      </w:tr>
      <w:tr w:rsidR="00200FCB" w14:paraId="63AD88A6" w14:textId="77777777">
        <w:trPr>
          <w:trHeight w:val="229"/>
        </w:trPr>
        <w:tc>
          <w:tcPr>
            <w:tcW w:w="3389" w:type="dxa"/>
            <w:shd w:val="clear" w:color="auto" w:fill="auto"/>
            <w:vAlign w:val="bottom"/>
          </w:tcPr>
          <w:p w14:paraId="5600B5C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988" w:type="dxa"/>
            <w:vAlign w:val="bottom"/>
          </w:tcPr>
          <w:p w14:paraId="74498AD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w:t>
            </w:r>
          </w:p>
        </w:tc>
        <w:tc>
          <w:tcPr>
            <w:tcW w:w="1984" w:type="dxa"/>
            <w:shd w:val="clear" w:color="auto" w:fill="auto"/>
            <w:vAlign w:val="bottom"/>
          </w:tcPr>
          <w:p w14:paraId="44608996"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33,1%</w:t>
            </w:r>
          </w:p>
        </w:tc>
        <w:tc>
          <w:tcPr>
            <w:tcW w:w="1833" w:type="dxa"/>
            <w:vAlign w:val="bottom"/>
          </w:tcPr>
          <w:p w14:paraId="468B28EB"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-2,0%</w:t>
            </w:r>
          </w:p>
        </w:tc>
      </w:tr>
      <w:tr w:rsidR="00200FCB" w14:paraId="7A05918A" w14:textId="77777777">
        <w:trPr>
          <w:trHeight w:val="229"/>
        </w:trPr>
        <w:tc>
          <w:tcPr>
            <w:tcW w:w="3389" w:type="dxa"/>
            <w:shd w:val="clear" w:color="auto" w:fill="auto"/>
            <w:vAlign w:val="bottom"/>
          </w:tcPr>
          <w:p w14:paraId="13603AE0"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988" w:type="dxa"/>
            <w:vAlign w:val="bottom"/>
          </w:tcPr>
          <w:p w14:paraId="6DBF4C6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84" w:type="dxa"/>
            <w:shd w:val="clear" w:color="auto" w:fill="auto"/>
            <w:vAlign w:val="bottom"/>
          </w:tcPr>
          <w:p w14:paraId="5EE42CD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32,5%</w:t>
            </w:r>
          </w:p>
        </w:tc>
        <w:tc>
          <w:tcPr>
            <w:tcW w:w="1833" w:type="dxa"/>
            <w:vAlign w:val="bottom"/>
          </w:tcPr>
          <w:p w14:paraId="7299314F"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4,2%</w:t>
            </w:r>
          </w:p>
        </w:tc>
      </w:tr>
      <w:tr w:rsidR="00200FCB" w14:paraId="4DA44CB9" w14:textId="77777777">
        <w:trPr>
          <w:trHeight w:val="229"/>
        </w:trPr>
        <w:tc>
          <w:tcPr>
            <w:tcW w:w="3389" w:type="dxa"/>
            <w:shd w:val="clear" w:color="auto" w:fill="auto"/>
            <w:vAlign w:val="bottom"/>
          </w:tcPr>
          <w:p w14:paraId="42AD666D"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988" w:type="dxa"/>
            <w:vAlign w:val="bottom"/>
          </w:tcPr>
          <w:p w14:paraId="113F30D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vAlign w:val="bottom"/>
          </w:tcPr>
          <w:p w14:paraId="4041D916"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32,1%</w:t>
            </w:r>
          </w:p>
        </w:tc>
        <w:tc>
          <w:tcPr>
            <w:tcW w:w="1833" w:type="dxa"/>
            <w:vAlign w:val="bottom"/>
          </w:tcPr>
          <w:p w14:paraId="3931FC2E"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200FCB" w14:paraId="11A2F9B3" w14:textId="77777777">
        <w:trPr>
          <w:trHeight w:val="229"/>
        </w:trPr>
        <w:tc>
          <w:tcPr>
            <w:tcW w:w="3389" w:type="dxa"/>
            <w:shd w:val="clear" w:color="auto" w:fill="auto"/>
            <w:vAlign w:val="bottom"/>
          </w:tcPr>
          <w:p w14:paraId="33203125"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988" w:type="dxa"/>
            <w:vAlign w:val="bottom"/>
          </w:tcPr>
          <w:p w14:paraId="750A2D6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984" w:type="dxa"/>
            <w:shd w:val="clear" w:color="auto" w:fill="auto"/>
            <w:vAlign w:val="bottom"/>
          </w:tcPr>
          <w:p w14:paraId="227CEE3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31,8%</w:t>
            </w:r>
          </w:p>
        </w:tc>
        <w:tc>
          <w:tcPr>
            <w:tcW w:w="1833" w:type="dxa"/>
            <w:vAlign w:val="bottom"/>
          </w:tcPr>
          <w:p w14:paraId="2DCC4C97"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-4,3%</w:t>
            </w:r>
          </w:p>
        </w:tc>
      </w:tr>
      <w:tr w:rsidR="00200FCB" w14:paraId="22678B01" w14:textId="77777777">
        <w:trPr>
          <w:trHeight w:val="229"/>
        </w:trPr>
        <w:tc>
          <w:tcPr>
            <w:tcW w:w="3389" w:type="dxa"/>
            <w:shd w:val="clear" w:color="auto" w:fill="auto"/>
            <w:vAlign w:val="bottom"/>
          </w:tcPr>
          <w:p w14:paraId="34520E6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988" w:type="dxa"/>
            <w:vAlign w:val="bottom"/>
          </w:tcPr>
          <w:p w14:paraId="4AFEB4F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30,2%</w:t>
            </w:r>
          </w:p>
        </w:tc>
        <w:tc>
          <w:tcPr>
            <w:tcW w:w="1984" w:type="dxa"/>
            <w:shd w:val="clear" w:color="auto" w:fill="auto"/>
            <w:vAlign w:val="bottom"/>
          </w:tcPr>
          <w:p w14:paraId="28707E9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31,6%</w:t>
            </w:r>
          </w:p>
        </w:tc>
        <w:tc>
          <w:tcPr>
            <w:tcW w:w="1833" w:type="dxa"/>
            <w:vAlign w:val="bottom"/>
          </w:tcPr>
          <w:p w14:paraId="7EB5E037"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-1,2%</w:t>
            </w:r>
          </w:p>
        </w:tc>
      </w:tr>
      <w:tr w:rsidR="00200FCB" w14:paraId="3F50C49F" w14:textId="77777777">
        <w:trPr>
          <w:trHeight w:val="229"/>
        </w:trPr>
        <w:tc>
          <w:tcPr>
            <w:tcW w:w="3389" w:type="dxa"/>
            <w:shd w:val="clear" w:color="auto" w:fill="auto"/>
            <w:vAlign w:val="bottom"/>
          </w:tcPr>
          <w:p w14:paraId="794C63ED"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988" w:type="dxa"/>
            <w:vAlign w:val="bottom"/>
          </w:tcPr>
          <w:p w14:paraId="02A26EA4"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32,2%</w:t>
            </w:r>
          </w:p>
        </w:tc>
        <w:tc>
          <w:tcPr>
            <w:tcW w:w="1984" w:type="dxa"/>
            <w:shd w:val="clear" w:color="auto" w:fill="auto"/>
            <w:vAlign w:val="bottom"/>
          </w:tcPr>
          <w:p w14:paraId="2C7B40A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30,2%</w:t>
            </w:r>
          </w:p>
        </w:tc>
        <w:tc>
          <w:tcPr>
            <w:tcW w:w="1833" w:type="dxa"/>
            <w:vAlign w:val="bottom"/>
          </w:tcPr>
          <w:p w14:paraId="0F6C0D8E"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-1,8%</w:t>
            </w:r>
          </w:p>
        </w:tc>
      </w:tr>
      <w:tr w:rsidR="00200FCB" w14:paraId="32790A03" w14:textId="77777777">
        <w:trPr>
          <w:trHeight w:val="229"/>
        </w:trPr>
        <w:tc>
          <w:tcPr>
            <w:tcW w:w="3389" w:type="dxa"/>
            <w:shd w:val="clear" w:color="auto" w:fill="auto"/>
            <w:vAlign w:val="bottom"/>
          </w:tcPr>
          <w:p w14:paraId="1893DEE8"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988" w:type="dxa"/>
            <w:vAlign w:val="bottom"/>
          </w:tcPr>
          <w:p w14:paraId="7BDB274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w:t>
            </w:r>
          </w:p>
        </w:tc>
        <w:tc>
          <w:tcPr>
            <w:tcW w:w="1984" w:type="dxa"/>
            <w:shd w:val="clear" w:color="auto" w:fill="auto"/>
            <w:vAlign w:val="bottom"/>
          </w:tcPr>
          <w:p w14:paraId="217E7CB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30,0%</w:t>
            </w:r>
          </w:p>
        </w:tc>
        <w:tc>
          <w:tcPr>
            <w:tcW w:w="1833" w:type="dxa"/>
            <w:vAlign w:val="bottom"/>
          </w:tcPr>
          <w:p w14:paraId="0C83AC6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-2,6%</w:t>
            </w:r>
          </w:p>
        </w:tc>
      </w:tr>
      <w:tr w:rsidR="00200FCB" w14:paraId="1B90EBEA" w14:textId="77777777">
        <w:trPr>
          <w:trHeight w:val="229"/>
        </w:trPr>
        <w:tc>
          <w:tcPr>
            <w:tcW w:w="3389" w:type="dxa"/>
            <w:shd w:val="clear" w:color="auto" w:fill="auto"/>
            <w:vAlign w:val="bottom"/>
          </w:tcPr>
          <w:p w14:paraId="6881E9D5"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988" w:type="dxa"/>
            <w:vAlign w:val="bottom"/>
          </w:tcPr>
          <w:p w14:paraId="5AF47AE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84" w:type="dxa"/>
            <w:shd w:val="clear" w:color="auto" w:fill="auto"/>
            <w:vAlign w:val="bottom"/>
          </w:tcPr>
          <w:p w14:paraId="701CBB2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29,8%</w:t>
            </w:r>
          </w:p>
        </w:tc>
        <w:tc>
          <w:tcPr>
            <w:tcW w:w="1833" w:type="dxa"/>
            <w:vAlign w:val="bottom"/>
          </w:tcPr>
          <w:p w14:paraId="19458877"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-0,9%</w:t>
            </w:r>
          </w:p>
        </w:tc>
      </w:tr>
      <w:tr w:rsidR="00200FCB" w14:paraId="49C4FE8F" w14:textId="77777777">
        <w:trPr>
          <w:trHeight w:val="229"/>
        </w:trPr>
        <w:tc>
          <w:tcPr>
            <w:tcW w:w="3389" w:type="dxa"/>
            <w:shd w:val="clear" w:color="auto" w:fill="auto"/>
            <w:vAlign w:val="bottom"/>
          </w:tcPr>
          <w:p w14:paraId="21B729B4"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988" w:type="dxa"/>
            <w:vAlign w:val="bottom"/>
          </w:tcPr>
          <w:p w14:paraId="0AC7B2F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17,3%</w:t>
            </w:r>
          </w:p>
        </w:tc>
        <w:tc>
          <w:tcPr>
            <w:tcW w:w="1984" w:type="dxa"/>
            <w:shd w:val="clear" w:color="auto" w:fill="auto"/>
            <w:vAlign w:val="bottom"/>
          </w:tcPr>
          <w:p w14:paraId="2A2A4A2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29,1%</w:t>
            </w:r>
          </w:p>
        </w:tc>
        <w:tc>
          <w:tcPr>
            <w:tcW w:w="1833" w:type="dxa"/>
            <w:vAlign w:val="bottom"/>
          </w:tcPr>
          <w:p w14:paraId="336BCDDA"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0,0%</w:t>
            </w:r>
          </w:p>
        </w:tc>
      </w:tr>
      <w:tr w:rsidR="00200FCB" w14:paraId="413393AF" w14:textId="77777777">
        <w:trPr>
          <w:trHeight w:val="229"/>
        </w:trPr>
        <w:tc>
          <w:tcPr>
            <w:tcW w:w="3389" w:type="dxa"/>
            <w:shd w:val="clear" w:color="auto" w:fill="auto"/>
            <w:vAlign w:val="bottom"/>
          </w:tcPr>
          <w:p w14:paraId="2566900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988" w:type="dxa"/>
            <w:vAlign w:val="bottom"/>
          </w:tcPr>
          <w:p w14:paraId="6AB08C2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vAlign w:val="bottom"/>
          </w:tcPr>
          <w:p w14:paraId="11FE6B3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29,0%</w:t>
            </w:r>
          </w:p>
        </w:tc>
        <w:tc>
          <w:tcPr>
            <w:tcW w:w="1833" w:type="dxa"/>
            <w:vAlign w:val="bottom"/>
          </w:tcPr>
          <w:p w14:paraId="686336A0"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w:t>
            </w:r>
          </w:p>
        </w:tc>
      </w:tr>
      <w:tr w:rsidR="00200FCB" w14:paraId="6097E076" w14:textId="77777777">
        <w:trPr>
          <w:trHeight w:val="229"/>
        </w:trPr>
        <w:tc>
          <w:tcPr>
            <w:tcW w:w="3389" w:type="dxa"/>
            <w:shd w:val="clear" w:color="auto" w:fill="auto"/>
            <w:vAlign w:val="bottom"/>
          </w:tcPr>
          <w:p w14:paraId="72B56834"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988" w:type="dxa"/>
            <w:vAlign w:val="bottom"/>
          </w:tcPr>
          <w:p w14:paraId="346B859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w:t>
            </w:r>
          </w:p>
        </w:tc>
        <w:tc>
          <w:tcPr>
            <w:tcW w:w="1984" w:type="dxa"/>
            <w:shd w:val="clear" w:color="auto" w:fill="auto"/>
            <w:vAlign w:val="bottom"/>
          </w:tcPr>
          <w:p w14:paraId="1BF168B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28,6%</w:t>
            </w:r>
          </w:p>
        </w:tc>
        <w:tc>
          <w:tcPr>
            <w:tcW w:w="1833" w:type="dxa"/>
            <w:vAlign w:val="bottom"/>
          </w:tcPr>
          <w:p w14:paraId="174C2E46"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200FCB" w14:paraId="5EE49FE8" w14:textId="77777777">
        <w:trPr>
          <w:trHeight w:val="229"/>
        </w:trPr>
        <w:tc>
          <w:tcPr>
            <w:tcW w:w="3389" w:type="dxa"/>
            <w:shd w:val="clear" w:color="auto" w:fill="auto"/>
            <w:vAlign w:val="bottom"/>
          </w:tcPr>
          <w:p w14:paraId="3D8AEF1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988" w:type="dxa"/>
            <w:vAlign w:val="bottom"/>
          </w:tcPr>
          <w:p w14:paraId="16028E7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w:t>
            </w:r>
          </w:p>
        </w:tc>
        <w:tc>
          <w:tcPr>
            <w:tcW w:w="1984" w:type="dxa"/>
            <w:shd w:val="clear" w:color="auto" w:fill="auto"/>
            <w:vAlign w:val="bottom"/>
          </w:tcPr>
          <w:p w14:paraId="7B1F0CB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28,6%</w:t>
            </w:r>
          </w:p>
        </w:tc>
        <w:tc>
          <w:tcPr>
            <w:tcW w:w="1833" w:type="dxa"/>
            <w:vAlign w:val="bottom"/>
          </w:tcPr>
          <w:p w14:paraId="7136D05E"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0,6%</w:t>
            </w:r>
          </w:p>
        </w:tc>
      </w:tr>
      <w:tr w:rsidR="00200FCB" w14:paraId="40A94BB0" w14:textId="77777777">
        <w:trPr>
          <w:trHeight w:val="229"/>
        </w:trPr>
        <w:tc>
          <w:tcPr>
            <w:tcW w:w="3389" w:type="dxa"/>
            <w:shd w:val="clear" w:color="auto" w:fill="auto"/>
            <w:vAlign w:val="bottom"/>
          </w:tcPr>
          <w:p w14:paraId="03D76791"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988" w:type="dxa"/>
            <w:vAlign w:val="bottom"/>
          </w:tcPr>
          <w:p w14:paraId="79ACE8C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24,6%</w:t>
            </w:r>
          </w:p>
        </w:tc>
        <w:tc>
          <w:tcPr>
            <w:tcW w:w="1984" w:type="dxa"/>
            <w:shd w:val="clear" w:color="auto" w:fill="auto"/>
            <w:vAlign w:val="bottom"/>
          </w:tcPr>
          <w:p w14:paraId="796C43C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28,0%</w:t>
            </w:r>
          </w:p>
        </w:tc>
        <w:tc>
          <w:tcPr>
            <w:tcW w:w="1833" w:type="dxa"/>
            <w:vAlign w:val="bottom"/>
          </w:tcPr>
          <w:p w14:paraId="49724AB8"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0,9%</w:t>
            </w:r>
          </w:p>
        </w:tc>
      </w:tr>
      <w:tr w:rsidR="00200FCB" w14:paraId="29D9DCC3" w14:textId="77777777">
        <w:trPr>
          <w:trHeight w:val="229"/>
        </w:trPr>
        <w:tc>
          <w:tcPr>
            <w:tcW w:w="3389" w:type="dxa"/>
            <w:shd w:val="clear" w:color="auto" w:fill="auto"/>
            <w:vAlign w:val="bottom"/>
          </w:tcPr>
          <w:p w14:paraId="39C9666B"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988" w:type="dxa"/>
            <w:vAlign w:val="bottom"/>
          </w:tcPr>
          <w:p w14:paraId="7E6AFBA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w:t>
            </w:r>
          </w:p>
        </w:tc>
        <w:tc>
          <w:tcPr>
            <w:tcW w:w="1984" w:type="dxa"/>
            <w:shd w:val="clear" w:color="auto" w:fill="auto"/>
            <w:vAlign w:val="bottom"/>
          </w:tcPr>
          <w:p w14:paraId="6944F4E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27,3%</w:t>
            </w:r>
          </w:p>
        </w:tc>
        <w:tc>
          <w:tcPr>
            <w:tcW w:w="1833" w:type="dxa"/>
            <w:vAlign w:val="bottom"/>
          </w:tcPr>
          <w:p w14:paraId="15744DD0"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0,0%</w:t>
            </w:r>
          </w:p>
        </w:tc>
      </w:tr>
      <w:tr w:rsidR="00200FCB" w14:paraId="48A6C55E" w14:textId="77777777">
        <w:trPr>
          <w:trHeight w:val="229"/>
        </w:trPr>
        <w:tc>
          <w:tcPr>
            <w:tcW w:w="3389" w:type="dxa"/>
            <w:shd w:val="clear" w:color="auto" w:fill="auto"/>
            <w:vAlign w:val="bottom"/>
          </w:tcPr>
          <w:p w14:paraId="25F6E129"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988" w:type="dxa"/>
            <w:vAlign w:val="bottom"/>
          </w:tcPr>
          <w:p w14:paraId="0B289DD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37,6%</w:t>
            </w:r>
          </w:p>
        </w:tc>
        <w:tc>
          <w:tcPr>
            <w:tcW w:w="1984" w:type="dxa"/>
            <w:shd w:val="clear" w:color="auto" w:fill="auto"/>
            <w:vAlign w:val="bottom"/>
          </w:tcPr>
          <w:p w14:paraId="303C009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26,9%</w:t>
            </w:r>
          </w:p>
        </w:tc>
        <w:tc>
          <w:tcPr>
            <w:tcW w:w="1833" w:type="dxa"/>
            <w:vAlign w:val="bottom"/>
          </w:tcPr>
          <w:p w14:paraId="08EEB51D"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-0,1%</w:t>
            </w:r>
          </w:p>
        </w:tc>
      </w:tr>
      <w:tr w:rsidR="00200FCB" w14:paraId="60A14C53" w14:textId="77777777">
        <w:trPr>
          <w:trHeight w:val="229"/>
        </w:trPr>
        <w:tc>
          <w:tcPr>
            <w:tcW w:w="3389" w:type="dxa"/>
            <w:shd w:val="clear" w:color="auto" w:fill="auto"/>
            <w:vAlign w:val="bottom"/>
          </w:tcPr>
          <w:p w14:paraId="40EE8AF4"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988" w:type="dxa"/>
            <w:vAlign w:val="bottom"/>
          </w:tcPr>
          <w:p w14:paraId="1A558A6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27,6%</w:t>
            </w:r>
          </w:p>
        </w:tc>
        <w:tc>
          <w:tcPr>
            <w:tcW w:w="1984" w:type="dxa"/>
            <w:shd w:val="clear" w:color="auto" w:fill="auto"/>
            <w:vAlign w:val="bottom"/>
          </w:tcPr>
          <w:p w14:paraId="5EAA9FF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26,6%</w:t>
            </w:r>
          </w:p>
        </w:tc>
        <w:tc>
          <w:tcPr>
            <w:tcW w:w="1833" w:type="dxa"/>
            <w:vAlign w:val="bottom"/>
          </w:tcPr>
          <w:p w14:paraId="52C81382"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-1,1%</w:t>
            </w:r>
          </w:p>
        </w:tc>
      </w:tr>
      <w:tr w:rsidR="00200FCB" w14:paraId="3DF9C371" w14:textId="77777777">
        <w:trPr>
          <w:trHeight w:val="229"/>
        </w:trPr>
        <w:tc>
          <w:tcPr>
            <w:tcW w:w="3389" w:type="dxa"/>
            <w:shd w:val="clear" w:color="auto" w:fill="auto"/>
            <w:vAlign w:val="bottom"/>
          </w:tcPr>
          <w:p w14:paraId="26F9EDC9"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988" w:type="dxa"/>
            <w:vAlign w:val="bottom"/>
          </w:tcPr>
          <w:p w14:paraId="5D24057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vAlign w:val="bottom"/>
          </w:tcPr>
          <w:p w14:paraId="49F3ABE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25,8%</w:t>
            </w:r>
          </w:p>
        </w:tc>
        <w:tc>
          <w:tcPr>
            <w:tcW w:w="1833" w:type="dxa"/>
            <w:vAlign w:val="bottom"/>
          </w:tcPr>
          <w:p w14:paraId="2417BEA7"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-1,2%</w:t>
            </w:r>
          </w:p>
        </w:tc>
      </w:tr>
      <w:tr w:rsidR="00200FCB" w14:paraId="16678325" w14:textId="77777777">
        <w:trPr>
          <w:trHeight w:val="229"/>
        </w:trPr>
        <w:tc>
          <w:tcPr>
            <w:tcW w:w="3389" w:type="dxa"/>
            <w:shd w:val="clear" w:color="auto" w:fill="auto"/>
            <w:vAlign w:val="bottom"/>
          </w:tcPr>
          <w:p w14:paraId="31CB976D"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988" w:type="dxa"/>
            <w:vAlign w:val="bottom"/>
          </w:tcPr>
          <w:p w14:paraId="6A7CEE1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w:t>
            </w:r>
          </w:p>
        </w:tc>
        <w:tc>
          <w:tcPr>
            <w:tcW w:w="1984" w:type="dxa"/>
            <w:shd w:val="clear" w:color="auto" w:fill="auto"/>
            <w:vAlign w:val="bottom"/>
          </w:tcPr>
          <w:p w14:paraId="55C7AD3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25,5%</w:t>
            </w:r>
          </w:p>
        </w:tc>
        <w:tc>
          <w:tcPr>
            <w:tcW w:w="1833" w:type="dxa"/>
            <w:vAlign w:val="bottom"/>
          </w:tcPr>
          <w:p w14:paraId="684E142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2,7%</w:t>
            </w:r>
          </w:p>
        </w:tc>
      </w:tr>
      <w:tr w:rsidR="00200FCB" w14:paraId="1F418549" w14:textId="77777777">
        <w:trPr>
          <w:trHeight w:val="229"/>
        </w:trPr>
        <w:tc>
          <w:tcPr>
            <w:tcW w:w="3389" w:type="dxa"/>
            <w:shd w:val="clear" w:color="auto" w:fill="auto"/>
            <w:vAlign w:val="bottom"/>
          </w:tcPr>
          <w:p w14:paraId="1C1EE2A8"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988" w:type="dxa"/>
            <w:vAlign w:val="bottom"/>
          </w:tcPr>
          <w:p w14:paraId="67EA140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14,2%</w:t>
            </w:r>
          </w:p>
        </w:tc>
        <w:tc>
          <w:tcPr>
            <w:tcW w:w="1984" w:type="dxa"/>
            <w:shd w:val="clear" w:color="auto" w:fill="auto"/>
            <w:vAlign w:val="bottom"/>
          </w:tcPr>
          <w:p w14:paraId="1A1052C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25,3%</w:t>
            </w:r>
          </w:p>
        </w:tc>
        <w:tc>
          <w:tcPr>
            <w:tcW w:w="1833" w:type="dxa"/>
            <w:vAlign w:val="bottom"/>
          </w:tcPr>
          <w:p w14:paraId="7F4543A8"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0,1%</w:t>
            </w:r>
          </w:p>
        </w:tc>
      </w:tr>
      <w:tr w:rsidR="00200FCB" w14:paraId="031FF09D" w14:textId="77777777">
        <w:trPr>
          <w:trHeight w:val="229"/>
        </w:trPr>
        <w:tc>
          <w:tcPr>
            <w:tcW w:w="3389" w:type="dxa"/>
            <w:shd w:val="clear" w:color="auto" w:fill="auto"/>
            <w:vAlign w:val="bottom"/>
          </w:tcPr>
          <w:p w14:paraId="2FA301B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988" w:type="dxa"/>
            <w:vAlign w:val="bottom"/>
          </w:tcPr>
          <w:p w14:paraId="1B86565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1984" w:type="dxa"/>
            <w:shd w:val="clear" w:color="auto" w:fill="auto"/>
            <w:vAlign w:val="bottom"/>
          </w:tcPr>
          <w:p w14:paraId="0BAA7D8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25,1%</w:t>
            </w:r>
          </w:p>
        </w:tc>
        <w:tc>
          <w:tcPr>
            <w:tcW w:w="1833" w:type="dxa"/>
            <w:vAlign w:val="bottom"/>
          </w:tcPr>
          <w:p w14:paraId="269D7F0E"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w:t>
            </w:r>
          </w:p>
        </w:tc>
      </w:tr>
      <w:tr w:rsidR="00200FCB" w14:paraId="4DC60250" w14:textId="77777777">
        <w:trPr>
          <w:trHeight w:val="229"/>
        </w:trPr>
        <w:tc>
          <w:tcPr>
            <w:tcW w:w="3389" w:type="dxa"/>
            <w:shd w:val="clear" w:color="auto" w:fill="auto"/>
            <w:vAlign w:val="bottom"/>
          </w:tcPr>
          <w:p w14:paraId="7B5E772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988" w:type="dxa"/>
            <w:vAlign w:val="bottom"/>
          </w:tcPr>
          <w:p w14:paraId="720EBF6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984" w:type="dxa"/>
            <w:shd w:val="clear" w:color="auto" w:fill="auto"/>
            <w:vAlign w:val="bottom"/>
          </w:tcPr>
          <w:p w14:paraId="3AD1E34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24,8%</w:t>
            </w:r>
          </w:p>
        </w:tc>
        <w:tc>
          <w:tcPr>
            <w:tcW w:w="1833" w:type="dxa"/>
            <w:vAlign w:val="bottom"/>
          </w:tcPr>
          <w:p w14:paraId="210812CD"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0,6%</w:t>
            </w:r>
          </w:p>
        </w:tc>
      </w:tr>
      <w:tr w:rsidR="00200FCB" w14:paraId="46523A88" w14:textId="77777777">
        <w:trPr>
          <w:trHeight w:val="229"/>
        </w:trPr>
        <w:tc>
          <w:tcPr>
            <w:tcW w:w="3389" w:type="dxa"/>
            <w:shd w:val="clear" w:color="auto" w:fill="auto"/>
            <w:vAlign w:val="bottom"/>
          </w:tcPr>
          <w:p w14:paraId="4053879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988" w:type="dxa"/>
            <w:vAlign w:val="bottom"/>
          </w:tcPr>
          <w:p w14:paraId="5F864FA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8,3%</w:t>
            </w:r>
          </w:p>
        </w:tc>
        <w:tc>
          <w:tcPr>
            <w:tcW w:w="1984" w:type="dxa"/>
            <w:shd w:val="clear" w:color="auto" w:fill="auto"/>
            <w:vAlign w:val="bottom"/>
          </w:tcPr>
          <w:p w14:paraId="3EA992C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24,6%</w:t>
            </w:r>
          </w:p>
        </w:tc>
        <w:tc>
          <w:tcPr>
            <w:tcW w:w="1833" w:type="dxa"/>
            <w:vAlign w:val="bottom"/>
          </w:tcPr>
          <w:p w14:paraId="0A71AEF9"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-0,9%</w:t>
            </w:r>
          </w:p>
        </w:tc>
      </w:tr>
      <w:tr w:rsidR="00200FCB" w14:paraId="2CAB3285" w14:textId="77777777">
        <w:trPr>
          <w:trHeight w:val="229"/>
        </w:trPr>
        <w:tc>
          <w:tcPr>
            <w:tcW w:w="3389" w:type="dxa"/>
            <w:shd w:val="clear" w:color="auto" w:fill="auto"/>
            <w:vAlign w:val="bottom"/>
          </w:tcPr>
          <w:p w14:paraId="5B9C5676"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988" w:type="dxa"/>
            <w:vAlign w:val="bottom"/>
          </w:tcPr>
          <w:p w14:paraId="17ADCBA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w:t>
            </w:r>
          </w:p>
        </w:tc>
        <w:tc>
          <w:tcPr>
            <w:tcW w:w="1984" w:type="dxa"/>
            <w:shd w:val="clear" w:color="auto" w:fill="auto"/>
            <w:vAlign w:val="bottom"/>
          </w:tcPr>
          <w:p w14:paraId="016A96E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24,5%</w:t>
            </w:r>
          </w:p>
        </w:tc>
        <w:tc>
          <w:tcPr>
            <w:tcW w:w="1833" w:type="dxa"/>
            <w:vAlign w:val="bottom"/>
          </w:tcPr>
          <w:p w14:paraId="712B7EC5"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2,3%</w:t>
            </w:r>
          </w:p>
        </w:tc>
      </w:tr>
      <w:tr w:rsidR="00200FCB" w14:paraId="369F41BD" w14:textId="77777777">
        <w:trPr>
          <w:trHeight w:val="229"/>
        </w:trPr>
        <w:tc>
          <w:tcPr>
            <w:tcW w:w="3389" w:type="dxa"/>
            <w:shd w:val="clear" w:color="auto" w:fill="auto"/>
            <w:vAlign w:val="bottom"/>
          </w:tcPr>
          <w:p w14:paraId="3EBDED5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988" w:type="dxa"/>
            <w:vAlign w:val="bottom"/>
          </w:tcPr>
          <w:p w14:paraId="1747C27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w:t>
            </w:r>
          </w:p>
        </w:tc>
        <w:tc>
          <w:tcPr>
            <w:tcW w:w="1984" w:type="dxa"/>
            <w:shd w:val="clear" w:color="auto" w:fill="auto"/>
            <w:vAlign w:val="bottom"/>
          </w:tcPr>
          <w:p w14:paraId="36FCBD4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23,0%</w:t>
            </w:r>
          </w:p>
        </w:tc>
        <w:tc>
          <w:tcPr>
            <w:tcW w:w="1833" w:type="dxa"/>
            <w:vAlign w:val="bottom"/>
          </w:tcPr>
          <w:p w14:paraId="18F62968"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4,3%</w:t>
            </w:r>
          </w:p>
        </w:tc>
      </w:tr>
      <w:tr w:rsidR="00200FCB" w14:paraId="0F6A33C9" w14:textId="77777777">
        <w:trPr>
          <w:trHeight w:val="229"/>
        </w:trPr>
        <w:tc>
          <w:tcPr>
            <w:tcW w:w="3389" w:type="dxa"/>
            <w:shd w:val="clear" w:color="auto" w:fill="auto"/>
            <w:vAlign w:val="bottom"/>
          </w:tcPr>
          <w:p w14:paraId="16A9CA07"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988" w:type="dxa"/>
            <w:vAlign w:val="bottom"/>
          </w:tcPr>
          <w:p w14:paraId="0AB82445"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984" w:type="dxa"/>
            <w:shd w:val="clear" w:color="auto" w:fill="auto"/>
            <w:vAlign w:val="bottom"/>
          </w:tcPr>
          <w:p w14:paraId="5554279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22,1%</w:t>
            </w:r>
          </w:p>
        </w:tc>
        <w:tc>
          <w:tcPr>
            <w:tcW w:w="1833" w:type="dxa"/>
            <w:vAlign w:val="bottom"/>
          </w:tcPr>
          <w:p w14:paraId="18805C86"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0,9%</w:t>
            </w:r>
          </w:p>
        </w:tc>
      </w:tr>
      <w:tr w:rsidR="00200FCB" w14:paraId="522C4F81" w14:textId="77777777">
        <w:trPr>
          <w:trHeight w:val="229"/>
        </w:trPr>
        <w:tc>
          <w:tcPr>
            <w:tcW w:w="3389" w:type="dxa"/>
            <w:shd w:val="clear" w:color="auto" w:fill="auto"/>
            <w:vAlign w:val="bottom"/>
          </w:tcPr>
          <w:p w14:paraId="785154D9"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988" w:type="dxa"/>
            <w:vAlign w:val="bottom"/>
          </w:tcPr>
          <w:p w14:paraId="6330F6D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w:t>
            </w:r>
          </w:p>
        </w:tc>
        <w:tc>
          <w:tcPr>
            <w:tcW w:w="1984" w:type="dxa"/>
            <w:shd w:val="clear" w:color="auto" w:fill="auto"/>
            <w:vAlign w:val="bottom"/>
          </w:tcPr>
          <w:p w14:paraId="6879EF5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21,3%</w:t>
            </w:r>
          </w:p>
        </w:tc>
        <w:tc>
          <w:tcPr>
            <w:tcW w:w="1833" w:type="dxa"/>
            <w:vAlign w:val="bottom"/>
          </w:tcPr>
          <w:p w14:paraId="28E0C68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-0,1%</w:t>
            </w:r>
          </w:p>
        </w:tc>
      </w:tr>
      <w:tr w:rsidR="00200FCB" w14:paraId="4A73EA36" w14:textId="77777777">
        <w:trPr>
          <w:trHeight w:val="229"/>
        </w:trPr>
        <w:tc>
          <w:tcPr>
            <w:tcW w:w="3389" w:type="dxa"/>
            <w:shd w:val="clear" w:color="auto" w:fill="auto"/>
            <w:vAlign w:val="bottom"/>
          </w:tcPr>
          <w:p w14:paraId="08F2DF62"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Cádiz capital</w:t>
            </w:r>
          </w:p>
        </w:tc>
        <w:tc>
          <w:tcPr>
            <w:tcW w:w="1988" w:type="dxa"/>
            <w:vAlign w:val="bottom"/>
          </w:tcPr>
          <w:p w14:paraId="68706C1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984" w:type="dxa"/>
            <w:shd w:val="clear" w:color="auto" w:fill="auto"/>
            <w:vAlign w:val="bottom"/>
          </w:tcPr>
          <w:p w14:paraId="3BEED49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19,4%</w:t>
            </w:r>
          </w:p>
        </w:tc>
        <w:tc>
          <w:tcPr>
            <w:tcW w:w="1833" w:type="dxa"/>
            <w:vAlign w:val="bottom"/>
          </w:tcPr>
          <w:p w14:paraId="545E8DD4"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w:t>
            </w:r>
          </w:p>
        </w:tc>
      </w:tr>
      <w:tr w:rsidR="00200FCB" w14:paraId="78D7A6D3" w14:textId="77777777">
        <w:trPr>
          <w:trHeight w:val="229"/>
        </w:trPr>
        <w:tc>
          <w:tcPr>
            <w:tcW w:w="3389" w:type="dxa"/>
            <w:shd w:val="clear" w:color="auto" w:fill="auto"/>
            <w:vAlign w:val="bottom"/>
          </w:tcPr>
          <w:p w14:paraId="5BECFE8B"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988" w:type="dxa"/>
            <w:vAlign w:val="bottom"/>
          </w:tcPr>
          <w:p w14:paraId="2DEE0E0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984" w:type="dxa"/>
            <w:shd w:val="clear" w:color="auto" w:fill="auto"/>
            <w:vAlign w:val="bottom"/>
          </w:tcPr>
          <w:p w14:paraId="209D4C8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w:t>
            </w:r>
          </w:p>
        </w:tc>
        <w:tc>
          <w:tcPr>
            <w:tcW w:w="1833" w:type="dxa"/>
            <w:vAlign w:val="bottom"/>
          </w:tcPr>
          <w:p w14:paraId="4D8EC2E5"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-3,9%</w:t>
            </w:r>
          </w:p>
        </w:tc>
      </w:tr>
      <w:tr w:rsidR="00200FCB" w14:paraId="1DD08393" w14:textId="77777777">
        <w:trPr>
          <w:trHeight w:val="229"/>
        </w:trPr>
        <w:tc>
          <w:tcPr>
            <w:tcW w:w="3389" w:type="dxa"/>
            <w:shd w:val="clear" w:color="auto" w:fill="auto"/>
            <w:vAlign w:val="bottom"/>
          </w:tcPr>
          <w:p w14:paraId="0427F27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988" w:type="dxa"/>
            <w:vAlign w:val="bottom"/>
          </w:tcPr>
          <w:p w14:paraId="0B8DF5A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17,5%</w:t>
            </w:r>
          </w:p>
        </w:tc>
        <w:tc>
          <w:tcPr>
            <w:tcW w:w="1984" w:type="dxa"/>
            <w:shd w:val="clear" w:color="auto" w:fill="auto"/>
            <w:vAlign w:val="bottom"/>
          </w:tcPr>
          <w:p w14:paraId="6016F95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w:t>
            </w:r>
          </w:p>
        </w:tc>
        <w:tc>
          <w:tcPr>
            <w:tcW w:w="1833" w:type="dxa"/>
            <w:vAlign w:val="bottom"/>
          </w:tcPr>
          <w:p w14:paraId="6C6946DD"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-0,6%</w:t>
            </w:r>
          </w:p>
        </w:tc>
      </w:tr>
      <w:tr w:rsidR="00200FCB" w14:paraId="3106B6DD" w14:textId="77777777">
        <w:trPr>
          <w:trHeight w:val="229"/>
        </w:trPr>
        <w:tc>
          <w:tcPr>
            <w:tcW w:w="3389" w:type="dxa"/>
            <w:shd w:val="clear" w:color="auto" w:fill="auto"/>
            <w:vAlign w:val="bottom"/>
          </w:tcPr>
          <w:p w14:paraId="63545878"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988" w:type="dxa"/>
            <w:vAlign w:val="bottom"/>
          </w:tcPr>
          <w:p w14:paraId="35D2EB0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984" w:type="dxa"/>
            <w:shd w:val="clear" w:color="auto" w:fill="auto"/>
            <w:vAlign w:val="bottom"/>
          </w:tcPr>
          <w:p w14:paraId="778F59E9"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w:t>
            </w:r>
          </w:p>
        </w:tc>
        <w:tc>
          <w:tcPr>
            <w:tcW w:w="1833" w:type="dxa"/>
            <w:vAlign w:val="bottom"/>
          </w:tcPr>
          <w:p w14:paraId="51792ED6"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-0,1%</w:t>
            </w:r>
          </w:p>
        </w:tc>
      </w:tr>
      <w:tr w:rsidR="00200FCB" w14:paraId="18E13161" w14:textId="77777777">
        <w:trPr>
          <w:trHeight w:val="229"/>
        </w:trPr>
        <w:tc>
          <w:tcPr>
            <w:tcW w:w="3389" w:type="dxa"/>
            <w:shd w:val="clear" w:color="auto" w:fill="auto"/>
            <w:vAlign w:val="bottom"/>
          </w:tcPr>
          <w:p w14:paraId="69A1FE12"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988" w:type="dxa"/>
            <w:vAlign w:val="bottom"/>
          </w:tcPr>
          <w:p w14:paraId="069CE4D0"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-6,1%</w:t>
            </w:r>
          </w:p>
        </w:tc>
        <w:tc>
          <w:tcPr>
            <w:tcW w:w="1984" w:type="dxa"/>
            <w:shd w:val="clear" w:color="auto" w:fill="auto"/>
            <w:vAlign w:val="bottom"/>
          </w:tcPr>
          <w:p w14:paraId="4C02C51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w:t>
            </w:r>
          </w:p>
        </w:tc>
        <w:tc>
          <w:tcPr>
            <w:tcW w:w="1833" w:type="dxa"/>
            <w:vAlign w:val="bottom"/>
          </w:tcPr>
          <w:p w14:paraId="21501924"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-2,2%</w:t>
            </w:r>
          </w:p>
        </w:tc>
      </w:tr>
      <w:tr w:rsidR="00200FCB" w14:paraId="342ABDB2" w14:textId="77777777">
        <w:trPr>
          <w:trHeight w:val="229"/>
        </w:trPr>
        <w:tc>
          <w:tcPr>
            <w:tcW w:w="3389" w:type="dxa"/>
            <w:shd w:val="clear" w:color="auto" w:fill="auto"/>
            <w:vAlign w:val="bottom"/>
          </w:tcPr>
          <w:p w14:paraId="12300BAA"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988" w:type="dxa"/>
            <w:vAlign w:val="bottom"/>
          </w:tcPr>
          <w:p w14:paraId="583C3FC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vAlign w:val="bottom"/>
          </w:tcPr>
          <w:p w14:paraId="1A6809B8"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1833" w:type="dxa"/>
            <w:vAlign w:val="bottom"/>
          </w:tcPr>
          <w:p w14:paraId="24498973"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200FCB" w14:paraId="2CC77F78" w14:textId="77777777">
        <w:trPr>
          <w:trHeight w:val="229"/>
        </w:trPr>
        <w:tc>
          <w:tcPr>
            <w:tcW w:w="3389" w:type="dxa"/>
            <w:shd w:val="clear" w:color="auto" w:fill="auto"/>
            <w:vAlign w:val="bottom"/>
          </w:tcPr>
          <w:p w14:paraId="66BC22FD"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988" w:type="dxa"/>
            <w:vAlign w:val="bottom"/>
          </w:tcPr>
          <w:p w14:paraId="5A972F22"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9C0006"/>
                <w:sz w:val="22"/>
                <w:szCs w:val="22"/>
              </w:rPr>
              <w:t>-7,1%</w:t>
            </w:r>
          </w:p>
        </w:tc>
        <w:tc>
          <w:tcPr>
            <w:tcW w:w="1984" w:type="dxa"/>
            <w:shd w:val="clear" w:color="auto" w:fill="auto"/>
            <w:vAlign w:val="bottom"/>
          </w:tcPr>
          <w:p w14:paraId="74F8026A"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1833" w:type="dxa"/>
            <w:vAlign w:val="bottom"/>
          </w:tcPr>
          <w:p w14:paraId="69819F41"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-0,2%</w:t>
            </w:r>
          </w:p>
        </w:tc>
      </w:tr>
      <w:tr w:rsidR="00200FCB" w14:paraId="4ACB6811" w14:textId="77777777">
        <w:trPr>
          <w:trHeight w:val="229"/>
        </w:trPr>
        <w:tc>
          <w:tcPr>
            <w:tcW w:w="3389" w:type="dxa"/>
            <w:shd w:val="clear" w:color="auto" w:fill="auto"/>
            <w:vAlign w:val="bottom"/>
          </w:tcPr>
          <w:p w14:paraId="7C71E5EC"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988" w:type="dxa"/>
            <w:vAlign w:val="bottom"/>
          </w:tcPr>
          <w:p w14:paraId="388E8BF1"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22,7%</w:t>
            </w:r>
          </w:p>
        </w:tc>
        <w:tc>
          <w:tcPr>
            <w:tcW w:w="1984" w:type="dxa"/>
            <w:shd w:val="clear" w:color="auto" w:fill="auto"/>
            <w:vAlign w:val="bottom"/>
          </w:tcPr>
          <w:p w14:paraId="4F9B641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33" w:type="dxa"/>
            <w:vAlign w:val="bottom"/>
          </w:tcPr>
          <w:p w14:paraId="175C4B8F"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-1,0%</w:t>
            </w:r>
          </w:p>
        </w:tc>
      </w:tr>
      <w:tr w:rsidR="00200FCB" w14:paraId="748F5842" w14:textId="77777777">
        <w:trPr>
          <w:trHeight w:val="229"/>
        </w:trPr>
        <w:tc>
          <w:tcPr>
            <w:tcW w:w="3389" w:type="dxa"/>
            <w:shd w:val="clear" w:color="auto" w:fill="auto"/>
            <w:vAlign w:val="bottom"/>
          </w:tcPr>
          <w:p w14:paraId="78643A1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988" w:type="dxa"/>
          </w:tcPr>
          <w:p w14:paraId="3814EC4E"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tcPr>
          <w:p w14:paraId="15BA3A7D"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3" w:type="dxa"/>
            <w:vAlign w:val="bottom"/>
          </w:tcPr>
          <w:p w14:paraId="24629232"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200FCB" w14:paraId="2BD27218" w14:textId="77777777">
        <w:trPr>
          <w:trHeight w:val="229"/>
        </w:trPr>
        <w:tc>
          <w:tcPr>
            <w:tcW w:w="3389" w:type="dxa"/>
            <w:shd w:val="clear" w:color="auto" w:fill="auto"/>
            <w:vAlign w:val="bottom"/>
          </w:tcPr>
          <w:p w14:paraId="3A39E2D9"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988" w:type="dxa"/>
          </w:tcPr>
          <w:p w14:paraId="59C076DF"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tcPr>
          <w:p w14:paraId="479D3343"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3" w:type="dxa"/>
            <w:vAlign w:val="bottom"/>
          </w:tcPr>
          <w:p w14:paraId="74C45A8B"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200FCB" w14:paraId="44FE3D73" w14:textId="77777777">
        <w:trPr>
          <w:trHeight w:val="229"/>
        </w:trPr>
        <w:tc>
          <w:tcPr>
            <w:tcW w:w="3389" w:type="dxa"/>
            <w:shd w:val="clear" w:color="auto" w:fill="auto"/>
            <w:vAlign w:val="bottom"/>
          </w:tcPr>
          <w:p w14:paraId="436FD644"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988" w:type="dxa"/>
          </w:tcPr>
          <w:p w14:paraId="347BB67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tcPr>
          <w:p w14:paraId="09148D57"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3" w:type="dxa"/>
            <w:vAlign w:val="bottom"/>
          </w:tcPr>
          <w:p w14:paraId="747EF15C"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r w:rsidR="00200FCB" w14:paraId="0598ADF0" w14:textId="77777777">
        <w:trPr>
          <w:trHeight w:val="229"/>
        </w:trPr>
        <w:tc>
          <w:tcPr>
            <w:tcW w:w="3389" w:type="dxa"/>
            <w:shd w:val="clear" w:color="auto" w:fill="auto"/>
            <w:vAlign w:val="bottom"/>
          </w:tcPr>
          <w:p w14:paraId="68883553" w14:textId="77777777" w:rsidR="00200FCB" w:rsidRDefault="00FD6683">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988" w:type="dxa"/>
          </w:tcPr>
          <w:p w14:paraId="4C72951B"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84" w:type="dxa"/>
            <w:shd w:val="clear" w:color="auto" w:fill="auto"/>
          </w:tcPr>
          <w:p w14:paraId="62CF127C" w14:textId="77777777" w:rsidR="00200FCB" w:rsidRDefault="00FD6683">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3" w:type="dxa"/>
            <w:vAlign w:val="bottom"/>
          </w:tcPr>
          <w:p w14:paraId="3D050B8B" w14:textId="77777777" w:rsidR="00200FCB" w:rsidRDefault="00FD6683">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w:t>
            </w:r>
          </w:p>
        </w:tc>
      </w:tr>
    </w:tbl>
    <w:p w14:paraId="4D558CE1" w14:textId="77777777" w:rsidR="00200FCB" w:rsidRDefault="00200FCB">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660A7285" w14:textId="77777777" w:rsidR="00200FCB" w:rsidRDefault="00200FCB">
      <w:pPr>
        <w:spacing w:line="276" w:lineRule="auto"/>
        <w:ind w:right="-574"/>
        <w:jc w:val="right"/>
        <w:rPr>
          <w:rFonts w:ascii="Open Sans Light" w:eastAsia="Open Sans Light" w:hAnsi="Open Sans Light" w:cs="Open Sans Light"/>
          <w:b/>
          <w:color w:val="303AB2"/>
        </w:rPr>
      </w:pPr>
    </w:p>
    <w:p w14:paraId="6EE62E41" w14:textId="77777777" w:rsidR="00FB1EC9" w:rsidRDefault="00FB1EC9">
      <w:pPr>
        <w:spacing w:line="276" w:lineRule="auto"/>
        <w:ind w:right="-716"/>
        <w:jc w:val="right"/>
        <w:rPr>
          <w:rFonts w:ascii="Open Sans Light" w:eastAsia="Open Sans Light" w:hAnsi="Open Sans Light" w:cs="Open Sans Light"/>
          <w:b/>
          <w:color w:val="303AB2"/>
        </w:rPr>
      </w:pPr>
    </w:p>
    <w:p w14:paraId="3A7E26DD" w14:textId="1CEDEE93" w:rsidR="00200FCB" w:rsidRDefault="00FD668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4A5ACE0" w14:textId="77777777" w:rsidR="00200FCB" w:rsidRDefault="00FD6683">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32E5D6E1" w14:textId="77777777" w:rsidR="00200FCB" w:rsidRDefault="00FD6683">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67156D9" w14:textId="77777777" w:rsidR="00200FCB" w:rsidRDefault="00F14233">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9">
        <w:r w:rsidR="00FD6683">
          <w:rPr>
            <w:rFonts w:ascii="Open Sans" w:eastAsia="Open Sans" w:hAnsi="Open Sans" w:cs="Open Sans"/>
            <w:color w:val="0000FF"/>
            <w:sz w:val="22"/>
            <w:szCs w:val="22"/>
            <w:u w:val="single"/>
          </w:rPr>
          <w:t>Más información sobre Fotocasa</w:t>
        </w:r>
      </w:hyperlink>
      <w:r w:rsidR="00FD6683">
        <w:rPr>
          <w:rFonts w:ascii="Open Sans" w:eastAsia="Open Sans" w:hAnsi="Open Sans" w:cs="Open Sans"/>
          <w:color w:val="000000"/>
          <w:sz w:val="22"/>
          <w:szCs w:val="22"/>
        </w:rPr>
        <w:t>.</w:t>
      </w:r>
    </w:p>
    <w:p w14:paraId="351D85E5" w14:textId="77777777" w:rsidR="00200FCB" w:rsidRDefault="00FD668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48A66B79" w14:textId="77777777" w:rsidR="00200FCB" w:rsidRDefault="00200FCB">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375CD29" w14:textId="23E59070" w:rsidR="00200FCB" w:rsidRDefault="00FD668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38E2E0C5" w14:textId="77777777" w:rsidR="00FB1EC9" w:rsidRDefault="00FB1EC9">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784CDCAE" w14:textId="77777777" w:rsidR="00200FCB" w:rsidRPr="00EA137F" w:rsidRDefault="00200FCB">
      <w:pPr>
        <w:spacing w:line="276" w:lineRule="auto"/>
        <w:ind w:right="-716"/>
        <w:rPr>
          <w:rFonts w:ascii="Open Sans Light" w:eastAsia="Open Sans Light" w:hAnsi="Open Sans Light" w:cs="Open Sans Light"/>
          <w:b/>
          <w:color w:val="303AB2"/>
          <w:sz w:val="22"/>
          <w:szCs w:val="22"/>
        </w:rPr>
      </w:pPr>
    </w:p>
    <w:p w14:paraId="37BAE617" w14:textId="0F895DF1" w:rsidR="00200FCB" w:rsidRPr="00EA137F" w:rsidRDefault="00FD6683">
      <w:pPr>
        <w:spacing w:line="276" w:lineRule="auto"/>
        <w:ind w:right="-716"/>
        <w:rPr>
          <w:rFonts w:ascii="Open Sans Light" w:eastAsia="Open Sans Light" w:hAnsi="Open Sans Light" w:cs="Open Sans Light"/>
          <w:b/>
          <w:color w:val="303AB2"/>
          <w:sz w:val="22"/>
          <w:szCs w:val="22"/>
        </w:rPr>
      </w:pPr>
      <w:r w:rsidRPr="00EA137F">
        <w:rPr>
          <w:rFonts w:ascii="Open Sans Light" w:eastAsia="Open Sans Light" w:hAnsi="Open Sans Light" w:cs="Open Sans Light"/>
          <w:b/>
          <w:color w:val="303AB2"/>
        </w:rPr>
        <w:lastRenderedPageBreak/>
        <w:t xml:space="preserve">Llorente y Cuenca    </w:t>
      </w:r>
      <w:r w:rsidRPr="00EA137F">
        <w:rPr>
          <w:rFonts w:ascii="Open Sans Light" w:eastAsia="Open Sans Light" w:hAnsi="Open Sans Light" w:cs="Open Sans Light"/>
          <w:b/>
          <w:color w:val="303AB2"/>
        </w:rPr>
        <w:tab/>
      </w:r>
      <w:r w:rsidRPr="00EA137F">
        <w:rPr>
          <w:rFonts w:ascii="Open Sans Light" w:eastAsia="Open Sans Light" w:hAnsi="Open Sans Light" w:cs="Open Sans Light"/>
          <w:b/>
          <w:color w:val="303AB2"/>
          <w:sz w:val="22"/>
          <w:szCs w:val="22"/>
        </w:rPr>
        <w:tab/>
      </w:r>
      <w:r w:rsidRPr="00EA137F">
        <w:rPr>
          <w:rFonts w:ascii="Open Sans Light" w:eastAsia="Open Sans Light" w:hAnsi="Open Sans Light" w:cs="Open Sans Light"/>
          <w:b/>
          <w:color w:val="303AB2"/>
          <w:sz w:val="22"/>
          <w:szCs w:val="22"/>
        </w:rPr>
        <w:tab/>
        <w:t xml:space="preserve">        </w:t>
      </w:r>
      <w:r w:rsidRPr="00EA137F">
        <w:rPr>
          <w:rFonts w:ascii="Open Sans Light" w:eastAsia="Open Sans Light" w:hAnsi="Open Sans Light" w:cs="Open Sans Light"/>
          <w:b/>
          <w:color w:val="303AB2"/>
        </w:rPr>
        <w:t>Departamento Comunicación Fotocasa</w:t>
      </w:r>
    </w:p>
    <w:p w14:paraId="1819C2F8" w14:textId="72D5B55D" w:rsidR="00200FCB" w:rsidRPr="00EA137F" w:rsidRDefault="00FD6683">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sidRPr="00EA137F">
        <w:rPr>
          <w:rFonts w:ascii="Open Sans" w:eastAsia="Open Sans" w:hAnsi="Open Sans" w:cs="Open Sans"/>
          <w:b/>
          <w:color w:val="000000"/>
          <w:sz w:val="19"/>
          <w:szCs w:val="19"/>
        </w:rPr>
        <w:t>Ramon Torné</w:t>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r>
      <w:r w:rsidRPr="00EA137F">
        <w:rPr>
          <w:rFonts w:ascii="Open Sans" w:eastAsia="Open Sans" w:hAnsi="Open Sans" w:cs="Open Sans"/>
          <w:b/>
          <w:color w:val="000000"/>
          <w:sz w:val="19"/>
          <w:szCs w:val="19"/>
        </w:rPr>
        <w:tab/>
        <w:t xml:space="preserve">                         </w:t>
      </w:r>
      <w:r w:rsidR="00EA137F">
        <w:rPr>
          <w:rFonts w:ascii="Open Sans" w:eastAsia="Open Sans" w:hAnsi="Open Sans" w:cs="Open Sans"/>
          <w:b/>
          <w:color w:val="000000"/>
          <w:sz w:val="19"/>
          <w:szCs w:val="19"/>
        </w:rPr>
        <w:t xml:space="preserve">      </w:t>
      </w:r>
      <w:r w:rsidRPr="00EA137F">
        <w:rPr>
          <w:rFonts w:ascii="Open Sans" w:eastAsia="Open Sans" w:hAnsi="Open Sans" w:cs="Open Sans"/>
          <w:b/>
          <w:color w:val="000000"/>
          <w:sz w:val="19"/>
          <w:szCs w:val="19"/>
        </w:rPr>
        <w:t xml:space="preserve">Anaïs López </w:t>
      </w:r>
    </w:p>
    <w:p w14:paraId="2F5969EE" w14:textId="19B5E0C9" w:rsidR="00200FCB" w:rsidRPr="00EA137F" w:rsidRDefault="00F14233">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5">
        <w:r w:rsidR="00FD6683" w:rsidRPr="00EA137F">
          <w:rPr>
            <w:rFonts w:ascii="Open Sans" w:eastAsia="Open Sans" w:hAnsi="Open Sans" w:cs="Open Sans"/>
            <w:color w:val="0000FF"/>
            <w:sz w:val="19"/>
            <w:szCs w:val="19"/>
            <w:u w:val="single"/>
          </w:rPr>
          <w:t>rtorne@llorenteycuenca.com</w:t>
        </w:r>
      </w:hyperlink>
      <w:r w:rsidR="00FD6683" w:rsidRPr="00EA137F">
        <w:rPr>
          <w:rFonts w:ascii="Open Sans" w:eastAsia="Open Sans" w:hAnsi="Open Sans" w:cs="Open Sans"/>
          <w:color w:val="0000FF"/>
          <w:sz w:val="19"/>
          <w:szCs w:val="19"/>
        </w:rPr>
        <w:tab/>
      </w:r>
      <w:r w:rsidR="00FD6683" w:rsidRPr="00EA137F">
        <w:rPr>
          <w:rFonts w:ascii="Open Sans" w:eastAsia="Open Sans" w:hAnsi="Open Sans" w:cs="Open Sans"/>
          <w:color w:val="0000FF"/>
          <w:sz w:val="19"/>
          <w:szCs w:val="19"/>
        </w:rPr>
        <w:tab/>
      </w:r>
      <w:r w:rsidR="00FD6683" w:rsidRPr="00EA137F">
        <w:rPr>
          <w:rFonts w:ascii="Open Sans" w:eastAsia="Open Sans" w:hAnsi="Open Sans" w:cs="Open Sans"/>
          <w:color w:val="0000FF"/>
          <w:sz w:val="19"/>
          <w:szCs w:val="19"/>
        </w:rPr>
        <w:tab/>
        <w:t xml:space="preserve">                                     </w:t>
      </w:r>
      <w:r w:rsidR="00EA137F">
        <w:rPr>
          <w:rFonts w:ascii="Open Sans" w:eastAsia="Open Sans" w:hAnsi="Open Sans" w:cs="Open Sans"/>
          <w:color w:val="0000FF"/>
          <w:sz w:val="19"/>
          <w:szCs w:val="19"/>
        </w:rPr>
        <w:t xml:space="preserve">             </w:t>
      </w:r>
      <w:hyperlink r:id="rId26" w:history="1">
        <w:r w:rsidR="00EA137F" w:rsidRPr="00C81DE3">
          <w:rPr>
            <w:rStyle w:val="Hipervnculo"/>
            <w:rFonts w:ascii="Open Sans" w:eastAsia="Open Sans" w:hAnsi="Open Sans" w:cs="Open Sans"/>
            <w:sz w:val="19"/>
            <w:szCs w:val="19"/>
          </w:rPr>
          <w:t>comunicacion@fotocasa.es</w:t>
        </w:r>
      </w:hyperlink>
    </w:p>
    <w:p w14:paraId="14418E07" w14:textId="0B9B9BC9" w:rsidR="00200FCB" w:rsidRPr="00EA137F" w:rsidRDefault="00FD6683">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sidRPr="00EA137F">
        <w:rPr>
          <w:rFonts w:ascii="Open Sans" w:eastAsia="Open Sans" w:hAnsi="Open Sans" w:cs="Open Sans"/>
          <w:color w:val="000000"/>
          <w:sz w:val="19"/>
          <w:szCs w:val="19"/>
        </w:rPr>
        <w:t xml:space="preserve">638 68 19 85      </w:t>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r>
      <w:r w:rsidRPr="00EA137F">
        <w:rPr>
          <w:rFonts w:ascii="Open Sans" w:eastAsia="Open Sans" w:hAnsi="Open Sans" w:cs="Open Sans"/>
          <w:color w:val="000000"/>
          <w:sz w:val="19"/>
          <w:szCs w:val="19"/>
        </w:rPr>
        <w:tab/>
        <w:t xml:space="preserve">          </w:t>
      </w:r>
      <w:r w:rsidR="00EA137F">
        <w:rPr>
          <w:rFonts w:ascii="Open Sans" w:eastAsia="Open Sans" w:hAnsi="Open Sans" w:cs="Open Sans"/>
          <w:color w:val="000000"/>
          <w:sz w:val="19"/>
          <w:szCs w:val="19"/>
        </w:rPr>
        <w:t xml:space="preserve">                   </w:t>
      </w:r>
      <w:r w:rsidRPr="00EA137F">
        <w:rPr>
          <w:rFonts w:ascii="Open Sans" w:eastAsia="Open Sans" w:hAnsi="Open Sans" w:cs="Open Sans"/>
          <w:color w:val="000000"/>
          <w:sz w:val="19"/>
          <w:szCs w:val="19"/>
        </w:rPr>
        <w:t xml:space="preserve">  620 66 29 26</w:t>
      </w:r>
    </w:p>
    <w:p w14:paraId="31F26FB8" w14:textId="77777777" w:rsidR="00200FCB" w:rsidRPr="00EA137F" w:rsidRDefault="00FD6683">
      <w:pPr>
        <w:shd w:val="clear" w:color="auto" w:fill="FFFFFF"/>
        <w:ind w:right="-716"/>
        <w:rPr>
          <w:rFonts w:ascii="Open Sans" w:eastAsia="Open Sans" w:hAnsi="Open Sans" w:cs="Open Sans"/>
          <w:color w:val="0000FF"/>
          <w:sz w:val="19"/>
          <w:szCs w:val="19"/>
          <w:u w:val="single"/>
        </w:rPr>
      </w:pPr>
      <w:r w:rsidRPr="00EA137F">
        <w:rPr>
          <w:rFonts w:ascii="Arial" w:eastAsia="Arial" w:hAnsi="Arial" w:cs="Arial"/>
          <w:color w:val="222222"/>
          <w:sz w:val="22"/>
          <w:szCs w:val="22"/>
        </w:rPr>
        <w:tab/>
      </w:r>
      <w:r w:rsidRPr="00EA137F">
        <w:rPr>
          <w:rFonts w:ascii="Arial" w:eastAsia="Arial" w:hAnsi="Arial" w:cs="Arial"/>
          <w:color w:val="222222"/>
          <w:sz w:val="22"/>
          <w:szCs w:val="22"/>
        </w:rPr>
        <w:tab/>
        <w:t xml:space="preserve">                </w:t>
      </w:r>
      <w:r w:rsidRPr="00EA137F">
        <w:rPr>
          <w:rFonts w:ascii="Arial" w:eastAsia="Arial" w:hAnsi="Arial" w:cs="Arial"/>
          <w:color w:val="222222"/>
          <w:sz w:val="22"/>
          <w:szCs w:val="22"/>
        </w:rPr>
        <w:tab/>
      </w:r>
      <w:r w:rsidRPr="00EA137F">
        <w:rPr>
          <w:rFonts w:ascii="Arial" w:eastAsia="Arial" w:hAnsi="Arial" w:cs="Arial"/>
          <w:color w:val="222222"/>
          <w:sz w:val="22"/>
          <w:szCs w:val="22"/>
        </w:rPr>
        <w:tab/>
      </w:r>
      <w:r w:rsidRPr="00EA137F">
        <w:rPr>
          <w:rFonts w:ascii="Arial" w:eastAsia="Arial" w:hAnsi="Arial" w:cs="Arial"/>
          <w:color w:val="222222"/>
          <w:sz w:val="22"/>
          <w:szCs w:val="22"/>
        </w:rPr>
        <w:tab/>
      </w:r>
      <w:r w:rsidRPr="00EA137F">
        <w:rPr>
          <w:rFonts w:ascii="Arial" w:eastAsia="Arial" w:hAnsi="Arial" w:cs="Arial"/>
          <w:color w:val="222222"/>
          <w:sz w:val="22"/>
          <w:szCs w:val="22"/>
        </w:rPr>
        <w:tab/>
      </w:r>
      <w:r w:rsidRPr="00EA137F">
        <w:rPr>
          <w:rFonts w:ascii="Arial" w:eastAsia="Arial" w:hAnsi="Arial" w:cs="Arial"/>
          <w:color w:val="222222"/>
          <w:sz w:val="22"/>
          <w:szCs w:val="22"/>
        </w:rPr>
        <w:tab/>
      </w:r>
      <w:r w:rsidRPr="00EA137F">
        <w:rPr>
          <w:rFonts w:ascii="Arial" w:eastAsia="Arial" w:hAnsi="Arial" w:cs="Arial"/>
          <w:color w:val="222222"/>
          <w:sz w:val="22"/>
          <w:szCs w:val="22"/>
        </w:rPr>
        <w:tab/>
        <w:t xml:space="preserve">     </w:t>
      </w:r>
    </w:p>
    <w:p w14:paraId="3CB4C321" w14:textId="77777777" w:rsidR="00200FCB" w:rsidRPr="00EA137F" w:rsidRDefault="00FD6683">
      <w:pPr>
        <w:shd w:val="clear" w:color="auto" w:fill="FFFFFF"/>
        <w:ind w:right="-716"/>
        <w:rPr>
          <w:rFonts w:ascii="Open Sans" w:eastAsia="Open Sans" w:hAnsi="Open Sans" w:cs="Open Sans"/>
          <w:b/>
          <w:color w:val="000000"/>
          <w:sz w:val="19"/>
          <w:szCs w:val="19"/>
        </w:rPr>
      </w:pPr>
      <w:r w:rsidRPr="00EA137F">
        <w:rPr>
          <w:rFonts w:ascii="Open Sans" w:eastAsia="Open Sans" w:hAnsi="Open Sans" w:cs="Open Sans"/>
          <w:b/>
          <w:color w:val="000000"/>
          <w:sz w:val="19"/>
          <w:szCs w:val="19"/>
        </w:rPr>
        <w:t>Fanny Merino</w:t>
      </w:r>
    </w:p>
    <w:p w14:paraId="7DAEA84B" w14:textId="77777777" w:rsidR="00200FCB" w:rsidRPr="00EA137F" w:rsidRDefault="00F14233">
      <w:pPr>
        <w:shd w:val="clear" w:color="auto" w:fill="FFFFFF"/>
        <w:ind w:right="-716"/>
        <w:rPr>
          <w:rFonts w:ascii="Open Sans" w:eastAsia="Open Sans" w:hAnsi="Open Sans" w:cs="Open Sans"/>
          <w:color w:val="0000FF"/>
          <w:sz w:val="19"/>
          <w:szCs w:val="19"/>
        </w:rPr>
      </w:pPr>
      <w:hyperlink r:id="rId27">
        <w:r w:rsidR="00FD6683" w:rsidRPr="00EA137F">
          <w:rPr>
            <w:rFonts w:ascii="Open Sans" w:eastAsia="Open Sans" w:hAnsi="Open Sans" w:cs="Open Sans"/>
            <w:color w:val="0000FF"/>
            <w:sz w:val="19"/>
            <w:szCs w:val="19"/>
          </w:rPr>
          <w:t>emerino@llorenteycuenca.com</w:t>
        </w:r>
      </w:hyperlink>
    </w:p>
    <w:p w14:paraId="307B473F" w14:textId="77777777" w:rsidR="00200FCB" w:rsidRPr="00EA137F" w:rsidRDefault="00FD6683">
      <w:pPr>
        <w:shd w:val="clear" w:color="auto" w:fill="FFFFFF"/>
        <w:ind w:right="-716"/>
        <w:rPr>
          <w:rFonts w:ascii="Open Sans" w:eastAsia="Open Sans" w:hAnsi="Open Sans" w:cs="Open Sans"/>
          <w:color w:val="000000"/>
          <w:sz w:val="19"/>
          <w:szCs w:val="19"/>
        </w:rPr>
      </w:pPr>
      <w:r w:rsidRPr="00EA137F">
        <w:rPr>
          <w:rFonts w:ascii="Open Sans" w:eastAsia="Open Sans" w:hAnsi="Open Sans" w:cs="Open Sans"/>
          <w:color w:val="000000"/>
          <w:sz w:val="19"/>
          <w:szCs w:val="19"/>
        </w:rPr>
        <w:t>663 35 69 75 </w:t>
      </w:r>
    </w:p>
    <w:p w14:paraId="04691B6D" w14:textId="77777777" w:rsidR="00200FCB" w:rsidRPr="00EA137F" w:rsidRDefault="00200FCB">
      <w:pPr>
        <w:spacing w:line="276" w:lineRule="auto"/>
        <w:ind w:right="-716"/>
        <w:jc w:val="right"/>
        <w:rPr>
          <w:sz w:val="22"/>
          <w:szCs w:val="22"/>
        </w:rPr>
      </w:pPr>
    </w:p>
    <w:p w14:paraId="4F4DC86A" w14:textId="77777777" w:rsidR="00200FCB" w:rsidRPr="00EA137F" w:rsidRDefault="00200FCB">
      <w:pPr>
        <w:spacing w:line="276" w:lineRule="auto"/>
        <w:ind w:right="-716"/>
        <w:jc w:val="right"/>
        <w:rPr>
          <w:rFonts w:ascii="Open Sans" w:eastAsia="Open Sans" w:hAnsi="Open Sans" w:cs="Open Sans"/>
          <w:color w:val="000000"/>
          <w:sz w:val="19"/>
          <w:szCs w:val="19"/>
        </w:rPr>
      </w:pPr>
    </w:p>
    <w:p w14:paraId="760E5D9A" w14:textId="77777777" w:rsidR="00200FCB" w:rsidRDefault="00200FCB">
      <w:pPr>
        <w:spacing w:line="276" w:lineRule="auto"/>
        <w:ind w:right="-574"/>
        <w:jc w:val="right"/>
        <w:rPr>
          <w:rFonts w:ascii="Open Sans" w:eastAsia="Open Sans" w:hAnsi="Open Sans" w:cs="Open Sans"/>
          <w:color w:val="000000"/>
          <w:sz w:val="21"/>
          <w:szCs w:val="21"/>
        </w:rPr>
      </w:pPr>
    </w:p>
    <w:sectPr w:rsidR="00200FCB">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7C6A" w14:textId="77777777" w:rsidR="00F14233" w:rsidRDefault="00F14233">
      <w:r>
        <w:separator/>
      </w:r>
    </w:p>
  </w:endnote>
  <w:endnote w:type="continuationSeparator" w:id="0">
    <w:p w14:paraId="6DEFD0EC" w14:textId="77777777" w:rsidR="00F14233" w:rsidRDefault="00F1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8259" w14:textId="77777777" w:rsidR="00200FCB" w:rsidRDefault="00FD668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3E4C3C4" wp14:editId="3A3713A4">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D9ADC" w14:textId="77777777" w:rsidR="00F14233" w:rsidRDefault="00F14233">
      <w:r>
        <w:separator/>
      </w:r>
    </w:p>
  </w:footnote>
  <w:footnote w:type="continuationSeparator" w:id="0">
    <w:p w14:paraId="126DB0F7" w14:textId="77777777" w:rsidR="00F14233" w:rsidRDefault="00F1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C7A8C"/>
    <w:multiLevelType w:val="multilevel"/>
    <w:tmpl w:val="4FD031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CB"/>
    <w:rsid w:val="00200FCB"/>
    <w:rsid w:val="00EA137F"/>
    <w:rsid w:val="00F14233"/>
    <w:rsid w:val="00FB1EC9"/>
    <w:rsid w:val="00FD6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E0F0"/>
  <w15:docId w15:val="{CA5EE2F9-63D7-4BA8-9AAD-1231A107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fotocasa.es/medio-ano-de-pandemia-impacto-en-el-sector-inmobiliario/" TargetMode="External"/><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INCREMENTOS%20A&#209;OS\ALQUILER\2020\DICIEMBRE%202020\PRENSA%20VENTA%20ACUMULATIVO%20DIC%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VENTA ACUMULATIVO DIC 2020.xlsx]ALQUILER CCAA!TablaDinámica3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6731118965839038E-2"/>
          <c:y val="9.1444329176779832E-2"/>
          <c:w val="0.90353778417555475"/>
          <c:h val="0.69128873886940589"/>
        </c:manualLayout>
      </c:layout>
      <c:barChart>
        <c:barDir val="col"/>
        <c:grouping val="clustered"/>
        <c:varyColors val="0"/>
        <c:ser>
          <c:idx val="0"/>
          <c:order val="0"/>
          <c:tx>
            <c:strRef>
              <c:f>'ALQUILER CCAA'!$L$27</c:f>
              <c:strCache>
                <c:ptCount val="1"/>
                <c:pt idx="0">
                  <c:v>Total</c:v>
                </c:pt>
              </c:strCache>
            </c:strRef>
          </c:tx>
          <c:spPr>
            <a:solidFill>
              <a:srgbClr val="8497B0"/>
            </a:solidFill>
            <a:ln>
              <a:noFill/>
            </a:ln>
            <a:effectLst/>
          </c:spPr>
          <c:invertIfNegative val="0"/>
          <c:dLbls>
            <c:dLbl>
              <c:idx val="0"/>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E97-42C6-A926-0F256CD9FE63}"/>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E97-42C6-A926-0F256CD9FE6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'ALQUILER CCAA'!$K$28:$K$30</c:f>
              <c:strCache>
                <c:ptCount val="3"/>
                <c:pt idx="0">
                  <c:v>  Acumulativo (%) de 10 años (2010 vs 2020)</c:v>
                </c:pt>
                <c:pt idx="1">
                  <c:v>  Acumulativo (%) de 5 años  (2020 vs 2015)</c:v>
                </c:pt>
                <c:pt idx="2">
                  <c:v>  Acumulativo (%) de 1 año (2020 vs 2019)</c:v>
                </c:pt>
              </c:strCache>
            </c:strRef>
          </c:cat>
          <c:val>
            <c:numRef>
              <c:f>'ALQUILER CCAA'!$L$28:$L$30</c:f>
              <c:numCache>
                <c:formatCode>0.0%</c:formatCode>
                <c:ptCount val="3"/>
                <c:pt idx="0">
                  <c:v>0.32239327106702859</c:v>
                </c:pt>
                <c:pt idx="1">
                  <c:v>0.50000000000000011</c:v>
                </c:pt>
                <c:pt idx="2">
                  <c:v>9.3984962406013027E-4</c:v>
                </c:pt>
              </c:numCache>
            </c:numRef>
          </c:val>
          <c:extLst>
            <c:ext xmlns:c16="http://schemas.microsoft.com/office/drawing/2014/chart" uri="{C3380CC4-5D6E-409C-BE32-E72D297353CC}">
              <c16:uniqueId val="{00000000-1E97-42C6-A926-0F256CD9FE63}"/>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EyX/n91WzG5ZOAKD64UhPnkaA==">AMUW2mWB/+2xLdN4xI2RaVQXF6aQFa2o0wtTJRA1RWzcXGo/GvmjnCrSBKwLYqk3hHLyG56Y/UTr/EoMHOuAJs0lj1Dl3GrUjAUXS3+G5aHOyOPkzcx4lH30QzJsw5M806XqNDqQ0lVo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1709</Words>
  <Characters>9400</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2021-02-05T16:01:00Z</dcterms:created>
  <dcterms:modified xsi:type="dcterms:W3CDTF">2021-02-17T07:13:00Z</dcterms:modified>
</cp:coreProperties>
</file>