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D2DB" w14:textId="381348DE" w:rsidR="00A84CA7" w:rsidRDefault="00034E35" w:rsidP="007937D5">
      <w:pPr>
        <w:ind w:right="-574"/>
      </w:pPr>
      <w:r w:rsidRPr="008C4E00">
        <w:rPr>
          <w:b/>
          <w:noProof/>
          <w:sz w:val="32"/>
        </w:rPr>
        <w:drawing>
          <wp:anchor distT="0" distB="0" distL="114300" distR="114300" simplePos="0" relativeHeight="251653120" behindDoc="0" locked="0" layoutInCell="1" allowOverlap="1" wp14:anchorId="7B7A2095" wp14:editId="470A4815">
            <wp:simplePos x="0" y="0"/>
            <wp:positionH relativeFrom="column">
              <wp:posOffset>-705781</wp:posOffset>
            </wp:positionH>
            <wp:positionV relativeFrom="paragraph">
              <wp:posOffset>-62507</wp:posOffset>
            </wp:positionV>
            <wp:extent cx="1748621" cy="4000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621"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2ED0D652" wp14:editId="1CBADAAA">
            <wp:simplePos x="0" y="0"/>
            <wp:positionH relativeFrom="column">
              <wp:posOffset>4057015</wp:posOffset>
            </wp:positionH>
            <wp:positionV relativeFrom="paragraph">
              <wp:posOffset>-321945</wp:posOffset>
            </wp:positionV>
            <wp:extent cx="2431065" cy="658946"/>
            <wp:effectExtent l="0" t="0" r="762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65949" cy="668401"/>
                    </a:xfrm>
                    <a:prstGeom prst="rect">
                      <a:avLst/>
                    </a:prstGeom>
                  </pic:spPr>
                </pic:pic>
              </a:graphicData>
            </a:graphic>
            <wp14:sizeRelH relativeFrom="margin">
              <wp14:pctWidth>0</wp14:pctWidth>
            </wp14:sizeRelH>
            <wp14:sizeRelV relativeFrom="margin">
              <wp14:pctHeight>0</wp14:pctHeight>
            </wp14:sizeRelV>
          </wp:anchor>
        </w:drawing>
      </w:r>
    </w:p>
    <w:p w14:paraId="2D82FF5D" w14:textId="77777777" w:rsidR="000034A6" w:rsidRDefault="000034A6" w:rsidP="007937D5">
      <w:pPr>
        <w:ind w:right="-574"/>
        <w:jc w:val="right"/>
        <w:rPr>
          <w:rFonts w:ascii="National" w:hAnsi="National"/>
          <w:color w:val="303AB2"/>
          <w:sz w:val="36"/>
          <w:szCs w:val="36"/>
        </w:rPr>
      </w:pPr>
    </w:p>
    <w:p w14:paraId="158B6A87" w14:textId="77777777" w:rsidR="00A84CA7" w:rsidRDefault="00A84CA7" w:rsidP="007937D5">
      <w:pPr>
        <w:ind w:right="-574"/>
        <w:jc w:val="right"/>
        <w:rPr>
          <w:rFonts w:ascii="National" w:hAnsi="National"/>
          <w:color w:val="303AB2"/>
          <w:sz w:val="36"/>
          <w:szCs w:val="36"/>
        </w:rPr>
      </w:pPr>
    </w:p>
    <w:p w14:paraId="4B2B618F" w14:textId="2F68661B" w:rsidR="00DE052F" w:rsidRPr="00DE052F" w:rsidRDefault="00CD1A17" w:rsidP="007937D5">
      <w:pPr>
        <w:spacing w:line="276" w:lineRule="auto"/>
        <w:ind w:right="-574"/>
        <w:jc w:val="center"/>
        <w:rPr>
          <w:rFonts w:ascii="National" w:hAnsi="National"/>
          <w:b/>
          <w:bCs/>
          <w:iCs/>
          <w:color w:val="1DBDC5"/>
          <w:sz w:val="30"/>
          <w:lang w:val="es-ES"/>
        </w:rPr>
      </w:pPr>
      <w:r>
        <w:rPr>
          <w:rFonts w:ascii="National" w:hAnsi="National"/>
          <w:b/>
          <w:bCs/>
          <w:iCs/>
          <w:color w:val="1DBDC5"/>
          <w:sz w:val="30"/>
          <w:lang w:val="es-ES"/>
        </w:rPr>
        <w:t xml:space="preserve">ANÁLISIS </w:t>
      </w:r>
      <w:r w:rsidR="0091359C">
        <w:rPr>
          <w:rFonts w:ascii="National" w:hAnsi="National"/>
          <w:b/>
          <w:bCs/>
          <w:iCs/>
          <w:color w:val="1DBDC5"/>
          <w:sz w:val="30"/>
          <w:lang w:val="es-ES"/>
        </w:rPr>
        <w:t>ACUMULATIVO PRECIO DE LA VIVIENDA</w:t>
      </w:r>
      <w:r>
        <w:rPr>
          <w:rFonts w:ascii="National" w:hAnsi="National"/>
          <w:b/>
          <w:bCs/>
          <w:iCs/>
          <w:color w:val="1DBDC5"/>
          <w:sz w:val="30"/>
          <w:lang w:val="es-ES"/>
        </w:rPr>
        <w:t xml:space="preserve"> EN ESPAÑA</w:t>
      </w:r>
    </w:p>
    <w:p w14:paraId="2ABF5D48" w14:textId="0EA500C8" w:rsidR="00170702" w:rsidRDefault="00E16A8D" w:rsidP="00170702">
      <w:pPr>
        <w:pStyle w:val="Prrafodelista"/>
        <w:spacing w:line="276" w:lineRule="auto"/>
        <w:ind w:left="284" w:right="-574"/>
        <w:jc w:val="center"/>
        <w:rPr>
          <w:rFonts w:ascii="Open Sans" w:hAnsi="Open Sans" w:cs="Open Sans"/>
          <w:sz w:val="22"/>
          <w:szCs w:val="22"/>
        </w:rPr>
      </w:pPr>
      <w:r>
        <w:rPr>
          <w:rFonts w:ascii="National" w:hAnsi="National"/>
          <w:b/>
          <w:bCs/>
          <w:iCs/>
          <w:color w:val="303AB2"/>
          <w:sz w:val="56"/>
          <w:szCs w:val="144"/>
          <w:lang w:val="es-ES"/>
        </w:rPr>
        <w:t>El precio de la vivienda de segunda mano ha caído un -30% en los últimos 15 años</w:t>
      </w:r>
    </w:p>
    <w:p w14:paraId="4B9D3214" w14:textId="611E023F" w:rsidR="005F6A96" w:rsidRDefault="00B63DBE" w:rsidP="007D3B4D">
      <w:pPr>
        <w:pStyle w:val="Prrafodelista"/>
        <w:spacing w:line="276" w:lineRule="auto"/>
        <w:ind w:left="284" w:right="-574"/>
        <w:jc w:val="center"/>
        <w:rPr>
          <w:rFonts w:ascii="Open Sans" w:hAnsi="Open Sans" w:cs="Open Sans"/>
          <w:sz w:val="22"/>
          <w:szCs w:val="22"/>
        </w:rPr>
      </w:pPr>
      <w:r w:rsidRPr="00B63DBE">
        <w:rPr>
          <w:rFonts w:ascii="National" w:hAnsi="National"/>
          <w:b/>
          <w:bCs/>
          <w:iCs/>
          <w:color w:val="303AB2"/>
          <w:sz w:val="56"/>
          <w:szCs w:val="144"/>
          <w:lang w:val="es-ES"/>
        </w:rPr>
        <w:t xml:space="preserve"> </w:t>
      </w:r>
    </w:p>
    <w:p w14:paraId="278CA91B" w14:textId="3B872AE4" w:rsidR="00170702" w:rsidRDefault="00E16A8D" w:rsidP="009E08E6">
      <w:pPr>
        <w:pStyle w:val="Prrafodelista"/>
        <w:numPr>
          <w:ilvl w:val="0"/>
          <w:numId w:val="8"/>
        </w:numPr>
        <w:spacing w:line="276" w:lineRule="auto"/>
        <w:ind w:left="284" w:right="-574"/>
        <w:jc w:val="both"/>
        <w:rPr>
          <w:rFonts w:ascii="Open Sans" w:hAnsi="Open Sans" w:cs="Open Sans"/>
          <w:sz w:val="22"/>
          <w:szCs w:val="22"/>
        </w:rPr>
      </w:pPr>
      <w:r>
        <w:rPr>
          <w:rFonts w:ascii="Open Sans" w:hAnsi="Open Sans" w:cs="Open Sans"/>
          <w:sz w:val="22"/>
          <w:szCs w:val="22"/>
        </w:rPr>
        <w:t>Ha caído un -17% en los últimos 10 años y, en cambio, ha subido un 16% en los últimos cinco años</w:t>
      </w:r>
      <w:r w:rsidR="00ED419C">
        <w:rPr>
          <w:rFonts w:ascii="Open Sans" w:hAnsi="Open Sans" w:cs="Open Sans"/>
          <w:sz w:val="22"/>
          <w:szCs w:val="22"/>
        </w:rPr>
        <w:t xml:space="preserve"> </w:t>
      </w:r>
    </w:p>
    <w:p w14:paraId="376D667E" w14:textId="23D75F90" w:rsidR="00ED419C" w:rsidRPr="00022FC5" w:rsidRDefault="00022FC5" w:rsidP="009E08E6">
      <w:pPr>
        <w:pStyle w:val="Prrafodelista"/>
        <w:numPr>
          <w:ilvl w:val="0"/>
          <w:numId w:val="8"/>
        </w:numPr>
        <w:spacing w:line="276" w:lineRule="auto"/>
        <w:ind w:left="284" w:right="-574"/>
        <w:jc w:val="both"/>
        <w:rPr>
          <w:rFonts w:ascii="Open Sans" w:hAnsi="Open Sans" w:cs="Open Sans"/>
          <w:sz w:val="22"/>
          <w:szCs w:val="22"/>
        </w:rPr>
      </w:pPr>
      <w:r w:rsidRPr="00022FC5">
        <w:rPr>
          <w:rFonts w:ascii="Open Sans" w:hAnsi="Open Sans" w:cs="Open Sans"/>
          <w:sz w:val="22"/>
          <w:szCs w:val="22"/>
        </w:rPr>
        <w:t>Navarra, Murcia y Aragón son las comunidades que más han caído en los últimos 15 años</w:t>
      </w:r>
    </w:p>
    <w:p w14:paraId="1879DE7F" w14:textId="549862AE" w:rsidR="00022FC5" w:rsidRPr="00022FC5" w:rsidRDefault="00022FC5" w:rsidP="009E08E6">
      <w:pPr>
        <w:pStyle w:val="Prrafodelista"/>
        <w:numPr>
          <w:ilvl w:val="0"/>
          <w:numId w:val="8"/>
        </w:numPr>
        <w:spacing w:line="276" w:lineRule="auto"/>
        <w:ind w:left="284" w:right="-574"/>
        <w:jc w:val="both"/>
        <w:rPr>
          <w:rFonts w:ascii="Open Sans" w:hAnsi="Open Sans" w:cs="Open Sans"/>
          <w:sz w:val="22"/>
          <w:szCs w:val="22"/>
        </w:rPr>
      </w:pPr>
      <w:r w:rsidRPr="00022FC5">
        <w:rPr>
          <w:rFonts w:ascii="Open Sans" w:hAnsi="Open Sans" w:cs="Open Sans"/>
          <w:sz w:val="22"/>
          <w:szCs w:val="22"/>
        </w:rPr>
        <w:t>Baleares es la comunidad que más ha subido en los últimos 5 años, en concreto se ha incrementado el precio un 51% en el último lustro</w:t>
      </w:r>
    </w:p>
    <w:p w14:paraId="2215ADD6" w14:textId="750E9249" w:rsidR="00F65A5B" w:rsidRDefault="00F65A5B" w:rsidP="005E255E">
      <w:pPr>
        <w:pStyle w:val="Prrafodelista"/>
        <w:spacing w:line="276" w:lineRule="auto"/>
        <w:ind w:left="284" w:right="-574"/>
        <w:rPr>
          <w:rFonts w:ascii="Open Sans" w:hAnsi="Open Sans" w:cs="Open Sans"/>
          <w:sz w:val="22"/>
          <w:szCs w:val="22"/>
        </w:rPr>
      </w:pPr>
    </w:p>
    <w:p w14:paraId="4B0EFBFF" w14:textId="77777777" w:rsidR="00022FC5" w:rsidRPr="00F65A5B" w:rsidRDefault="00022FC5" w:rsidP="005E255E">
      <w:pPr>
        <w:pStyle w:val="Prrafodelista"/>
        <w:spacing w:line="276" w:lineRule="auto"/>
        <w:ind w:left="284" w:right="-574"/>
        <w:rPr>
          <w:rFonts w:ascii="Open Sans Light" w:hAnsi="Open Sans Light" w:cs="Open Sans Light"/>
          <w:b/>
          <w:iCs/>
          <w:color w:val="303AB2"/>
          <w:szCs w:val="20"/>
          <w:lang w:val="es-ES"/>
        </w:rPr>
      </w:pPr>
    </w:p>
    <w:p w14:paraId="591FA1E5" w14:textId="21E79C03" w:rsidR="002A35C0" w:rsidRPr="002A35C0" w:rsidRDefault="002D35EA" w:rsidP="00DE57E6">
      <w:pPr>
        <w:pStyle w:val="Prrafodelista"/>
        <w:spacing w:line="276" w:lineRule="auto"/>
        <w:ind w:left="0"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753088">
        <w:rPr>
          <w:rFonts w:ascii="Open Sans Light" w:hAnsi="Open Sans Light" w:cs="Open Sans Light"/>
          <w:b/>
          <w:iCs/>
          <w:color w:val="303AB2"/>
          <w:szCs w:val="20"/>
          <w:lang w:val="es-ES"/>
        </w:rPr>
        <w:t xml:space="preserve">, </w:t>
      </w:r>
      <w:r w:rsidR="00B63DBE">
        <w:rPr>
          <w:rFonts w:ascii="Open Sans Light" w:hAnsi="Open Sans Light" w:cs="Open Sans Light"/>
          <w:b/>
          <w:iCs/>
          <w:color w:val="303AB2"/>
          <w:szCs w:val="20"/>
          <w:lang w:val="es-ES"/>
        </w:rPr>
        <w:t>24</w:t>
      </w:r>
      <w:r w:rsidR="00A70933">
        <w:rPr>
          <w:rFonts w:ascii="Open Sans Light" w:hAnsi="Open Sans Light" w:cs="Open Sans Light"/>
          <w:b/>
          <w:iCs/>
          <w:color w:val="303AB2"/>
          <w:szCs w:val="20"/>
          <w:lang w:val="es-ES"/>
        </w:rPr>
        <w:t xml:space="preserve"> de </w:t>
      </w:r>
      <w:r w:rsidR="00C31EC9">
        <w:rPr>
          <w:rFonts w:ascii="Open Sans Light" w:hAnsi="Open Sans Light" w:cs="Open Sans Light"/>
          <w:b/>
          <w:iCs/>
          <w:color w:val="303AB2"/>
          <w:szCs w:val="20"/>
          <w:lang w:val="es-ES"/>
        </w:rPr>
        <w:t>febrero</w:t>
      </w:r>
      <w:r w:rsidR="002A35C0" w:rsidRPr="002A35C0">
        <w:rPr>
          <w:rFonts w:ascii="Open Sans Light" w:hAnsi="Open Sans Light" w:cs="Open Sans Light"/>
          <w:b/>
          <w:iCs/>
          <w:color w:val="303AB2"/>
          <w:szCs w:val="20"/>
          <w:lang w:val="es-ES"/>
        </w:rPr>
        <w:t xml:space="preserve"> de 20</w:t>
      </w:r>
      <w:r w:rsidR="007937D5">
        <w:rPr>
          <w:rFonts w:ascii="Open Sans Light" w:hAnsi="Open Sans Light" w:cs="Open Sans Light"/>
          <w:b/>
          <w:iCs/>
          <w:color w:val="303AB2"/>
          <w:szCs w:val="20"/>
          <w:lang w:val="es-ES"/>
        </w:rPr>
        <w:t>2</w:t>
      </w:r>
      <w:r w:rsidR="00C31EC9">
        <w:rPr>
          <w:rFonts w:ascii="Open Sans Light" w:hAnsi="Open Sans Light" w:cs="Open Sans Light"/>
          <w:b/>
          <w:iCs/>
          <w:color w:val="303AB2"/>
          <w:szCs w:val="20"/>
          <w:lang w:val="es-ES"/>
        </w:rPr>
        <w:t>1</w:t>
      </w:r>
    </w:p>
    <w:p w14:paraId="32D1BEA4" w14:textId="3E462F2D" w:rsidR="00833BF4" w:rsidRDefault="00A36820" w:rsidP="00BD2FBF">
      <w:pPr>
        <w:pStyle w:val="NormalWeb"/>
        <w:shd w:val="clear" w:color="auto" w:fill="FFFFFF"/>
        <w:spacing w:after="225" w:line="276" w:lineRule="auto"/>
        <w:ind w:right="-574"/>
        <w:jc w:val="both"/>
        <w:rPr>
          <w:color w:val="000000"/>
        </w:rPr>
      </w:pPr>
      <w:r>
        <w:rPr>
          <w:rFonts w:ascii="Open Sans" w:hAnsi="Open Sans" w:cs="Open Sans"/>
          <w:color w:val="000000"/>
          <w:sz w:val="22"/>
          <w:szCs w:val="22"/>
        </w:rPr>
        <w:t xml:space="preserve">El precio acumulativo de la vivienda en </w:t>
      </w:r>
      <w:r w:rsidR="00B231C2">
        <w:rPr>
          <w:rFonts w:ascii="Open Sans" w:hAnsi="Open Sans" w:cs="Open Sans"/>
          <w:color w:val="000000"/>
          <w:sz w:val="22"/>
          <w:szCs w:val="22"/>
        </w:rPr>
        <w:t>venta</w:t>
      </w:r>
      <w:r>
        <w:rPr>
          <w:rFonts w:ascii="Open Sans" w:hAnsi="Open Sans" w:cs="Open Sans"/>
          <w:color w:val="000000"/>
          <w:sz w:val="22"/>
          <w:szCs w:val="22"/>
        </w:rPr>
        <w:t xml:space="preserve"> </w:t>
      </w:r>
      <w:r w:rsidR="004D0E4B" w:rsidRPr="008D20D0">
        <w:rPr>
          <w:rFonts w:ascii="Open Sans" w:hAnsi="Open Sans" w:cs="Open Sans"/>
          <w:color w:val="0D0D0D" w:themeColor="text1" w:themeTint="F2"/>
          <w:sz w:val="22"/>
          <w:szCs w:val="22"/>
        </w:rPr>
        <w:t xml:space="preserve">ha </w:t>
      </w:r>
      <w:r w:rsidR="00504F5F">
        <w:rPr>
          <w:rFonts w:ascii="Open Sans" w:hAnsi="Open Sans" w:cs="Open Sans"/>
          <w:color w:val="0D0D0D" w:themeColor="text1" w:themeTint="F2"/>
          <w:sz w:val="22"/>
          <w:szCs w:val="22"/>
        </w:rPr>
        <w:t>subido</w:t>
      </w:r>
      <w:r w:rsidRPr="008D20D0">
        <w:rPr>
          <w:rFonts w:ascii="Open Sans" w:hAnsi="Open Sans" w:cs="Open Sans"/>
          <w:color w:val="0D0D0D" w:themeColor="text1" w:themeTint="F2"/>
          <w:sz w:val="22"/>
          <w:szCs w:val="22"/>
        </w:rPr>
        <w:t xml:space="preserve"> en </w:t>
      </w:r>
      <w:r>
        <w:rPr>
          <w:rFonts w:ascii="Open Sans" w:hAnsi="Open Sans" w:cs="Open Sans"/>
          <w:color w:val="000000"/>
          <w:sz w:val="22"/>
          <w:szCs w:val="22"/>
        </w:rPr>
        <w:t xml:space="preserve">España un </w:t>
      </w:r>
      <w:r w:rsidR="00504F5F">
        <w:rPr>
          <w:rFonts w:ascii="Open Sans" w:hAnsi="Open Sans" w:cs="Open Sans"/>
          <w:color w:val="000000"/>
          <w:sz w:val="22"/>
          <w:szCs w:val="22"/>
        </w:rPr>
        <w:t>16</w:t>
      </w:r>
      <w:r>
        <w:rPr>
          <w:rFonts w:ascii="Open Sans" w:hAnsi="Open Sans" w:cs="Open Sans"/>
          <w:color w:val="000000"/>
          <w:sz w:val="22"/>
          <w:szCs w:val="22"/>
        </w:rPr>
        <w:t xml:space="preserve">% </w:t>
      </w:r>
      <w:r w:rsidR="00C31EC9">
        <w:rPr>
          <w:rFonts w:ascii="Open Sans" w:hAnsi="Open Sans" w:cs="Open Sans"/>
          <w:color w:val="000000"/>
          <w:sz w:val="22"/>
          <w:szCs w:val="22"/>
        </w:rPr>
        <w:t xml:space="preserve">en </w:t>
      </w:r>
      <w:r w:rsidR="00504F5F">
        <w:rPr>
          <w:rFonts w:ascii="Open Sans" w:hAnsi="Open Sans" w:cs="Open Sans"/>
          <w:color w:val="000000"/>
          <w:sz w:val="22"/>
          <w:szCs w:val="22"/>
        </w:rPr>
        <w:t>5</w:t>
      </w:r>
      <w:r w:rsidR="00C31EC9">
        <w:rPr>
          <w:rFonts w:ascii="Open Sans" w:hAnsi="Open Sans" w:cs="Open Sans"/>
          <w:color w:val="000000"/>
          <w:sz w:val="22"/>
          <w:szCs w:val="22"/>
        </w:rPr>
        <w:t xml:space="preserve"> años y</w:t>
      </w:r>
      <w:r w:rsidR="002D672F">
        <w:rPr>
          <w:rFonts w:ascii="Open Sans" w:hAnsi="Open Sans" w:cs="Open Sans"/>
          <w:color w:val="000000"/>
          <w:sz w:val="22"/>
          <w:szCs w:val="22"/>
        </w:rPr>
        <w:t xml:space="preserve"> ha caído </w:t>
      </w:r>
      <w:r w:rsidR="00C31EC9">
        <w:rPr>
          <w:rFonts w:ascii="Open Sans" w:hAnsi="Open Sans" w:cs="Open Sans"/>
          <w:color w:val="000000"/>
          <w:sz w:val="22"/>
          <w:szCs w:val="22"/>
        </w:rPr>
        <w:t xml:space="preserve">un </w:t>
      </w:r>
      <w:r w:rsidR="00B63DBE">
        <w:rPr>
          <w:rFonts w:ascii="Open Sans" w:hAnsi="Open Sans" w:cs="Open Sans"/>
          <w:color w:val="000000"/>
          <w:sz w:val="22"/>
          <w:szCs w:val="22"/>
        </w:rPr>
        <w:t>-</w:t>
      </w:r>
      <w:r w:rsidR="002D672F">
        <w:rPr>
          <w:rFonts w:ascii="Open Sans" w:hAnsi="Open Sans" w:cs="Open Sans"/>
          <w:color w:val="000000"/>
          <w:sz w:val="22"/>
          <w:szCs w:val="22"/>
        </w:rPr>
        <w:t>17</w:t>
      </w:r>
      <w:r w:rsidR="00C31EC9">
        <w:rPr>
          <w:rFonts w:ascii="Open Sans" w:hAnsi="Open Sans" w:cs="Open Sans"/>
          <w:color w:val="000000"/>
          <w:sz w:val="22"/>
          <w:szCs w:val="22"/>
        </w:rPr>
        <w:t>% en 1</w:t>
      </w:r>
      <w:r w:rsidR="002D672F">
        <w:rPr>
          <w:rFonts w:ascii="Open Sans" w:hAnsi="Open Sans" w:cs="Open Sans"/>
          <w:color w:val="000000"/>
          <w:sz w:val="22"/>
          <w:szCs w:val="22"/>
        </w:rPr>
        <w:t>0</w:t>
      </w:r>
      <w:r w:rsidR="00C31EC9">
        <w:rPr>
          <w:rFonts w:ascii="Open Sans" w:hAnsi="Open Sans" w:cs="Open Sans"/>
          <w:color w:val="000000"/>
          <w:sz w:val="22"/>
          <w:szCs w:val="22"/>
        </w:rPr>
        <w:t xml:space="preserve"> años</w:t>
      </w:r>
      <w:r w:rsidR="00022FC5">
        <w:rPr>
          <w:rFonts w:ascii="Open Sans" w:hAnsi="Open Sans" w:cs="Open Sans"/>
          <w:color w:val="000000"/>
          <w:sz w:val="22"/>
          <w:szCs w:val="22"/>
        </w:rPr>
        <w:t xml:space="preserve"> y un -30% en los últimos 15 años</w:t>
      </w:r>
      <w:r w:rsidR="00833BF4">
        <w:rPr>
          <w:rFonts w:ascii="Open Sans" w:hAnsi="Open Sans" w:cs="Open Sans"/>
          <w:color w:val="000000"/>
          <w:sz w:val="22"/>
          <w:szCs w:val="22"/>
        </w:rPr>
        <w:t>,</w:t>
      </w:r>
      <w:r w:rsidR="00022FC5">
        <w:rPr>
          <w:rFonts w:ascii="Open Sans" w:hAnsi="Open Sans" w:cs="Open Sans"/>
          <w:color w:val="000000"/>
          <w:sz w:val="22"/>
          <w:szCs w:val="22"/>
        </w:rPr>
        <w:t xml:space="preserve"> </w:t>
      </w:r>
      <w:r w:rsidRPr="008376CF">
        <w:rPr>
          <w:rFonts w:ascii="Open Sans" w:hAnsi="Open Sans" w:cs="Open Sans"/>
          <w:color w:val="000000"/>
          <w:sz w:val="22"/>
          <w:szCs w:val="22"/>
        </w:rPr>
        <w:t xml:space="preserve">según el estudio </w:t>
      </w:r>
      <w:r w:rsidRPr="008376CF">
        <w:rPr>
          <w:rFonts w:ascii="Open Sans" w:hAnsi="Open Sans" w:cs="Open Sans"/>
          <w:b/>
          <w:bCs/>
          <w:color w:val="000000"/>
          <w:sz w:val="22"/>
          <w:szCs w:val="22"/>
        </w:rPr>
        <w:t>“</w:t>
      </w:r>
      <w:r>
        <w:rPr>
          <w:rFonts w:ascii="Open Sans" w:hAnsi="Open Sans" w:cs="Open Sans"/>
          <w:b/>
          <w:bCs/>
          <w:i/>
          <w:iCs/>
          <w:color w:val="000000"/>
          <w:sz w:val="22"/>
          <w:szCs w:val="22"/>
        </w:rPr>
        <w:t>Variación acumulativa de la vivienda</w:t>
      </w:r>
      <w:r w:rsidR="007F702A">
        <w:rPr>
          <w:rFonts w:ascii="Open Sans" w:hAnsi="Open Sans" w:cs="Open Sans"/>
          <w:b/>
          <w:bCs/>
          <w:i/>
          <w:iCs/>
          <w:color w:val="000000"/>
          <w:sz w:val="22"/>
          <w:szCs w:val="22"/>
        </w:rPr>
        <w:t xml:space="preserve"> en España</w:t>
      </w:r>
      <w:r w:rsidR="00376DE0">
        <w:rPr>
          <w:rFonts w:ascii="Open Sans" w:hAnsi="Open Sans" w:cs="Open Sans"/>
          <w:b/>
          <w:bCs/>
          <w:i/>
          <w:iCs/>
          <w:color w:val="000000"/>
          <w:sz w:val="22"/>
          <w:szCs w:val="22"/>
        </w:rPr>
        <w:t xml:space="preserve"> en 2020</w:t>
      </w:r>
      <w:r>
        <w:rPr>
          <w:rFonts w:ascii="Open Sans" w:hAnsi="Open Sans" w:cs="Open Sans"/>
          <w:b/>
          <w:bCs/>
          <w:i/>
          <w:iCs/>
          <w:color w:val="000000"/>
          <w:sz w:val="22"/>
          <w:szCs w:val="22"/>
        </w:rPr>
        <w:t>”</w:t>
      </w:r>
      <w:r w:rsidR="00C31EC9">
        <w:rPr>
          <w:rFonts w:ascii="Open Sans" w:hAnsi="Open Sans" w:cs="Open Sans"/>
          <w:b/>
          <w:bCs/>
          <w:i/>
          <w:iCs/>
          <w:color w:val="000000"/>
          <w:sz w:val="22"/>
          <w:szCs w:val="22"/>
        </w:rPr>
        <w:t>,</w:t>
      </w:r>
      <w:r>
        <w:rPr>
          <w:rFonts w:ascii="Open Sans" w:hAnsi="Open Sans" w:cs="Open Sans"/>
          <w:b/>
          <w:bCs/>
          <w:i/>
          <w:iCs/>
          <w:color w:val="000000"/>
          <w:sz w:val="22"/>
          <w:szCs w:val="22"/>
        </w:rPr>
        <w:t xml:space="preserve"> </w:t>
      </w:r>
      <w:r>
        <w:rPr>
          <w:rFonts w:ascii="Open Sans" w:hAnsi="Open Sans" w:cs="Open Sans"/>
          <w:color w:val="000000"/>
          <w:sz w:val="22"/>
          <w:szCs w:val="22"/>
        </w:rPr>
        <w:t>basado en</w:t>
      </w:r>
      <w:r w:rsidRPr="008376CF">
        <w:rPr>
          <w:rFonts w:ascii="Open Sans" w:hAnsi="Open Sans" w:cs="Open Sans"/>
          <w:color w:val="000000"/>
          <w:sz w:val="22"/>
          <w:szCs w:val="22"/>
        </w:rPr>
        <w:t xml:space="preserve"> los </w:t>
      </w:r>
      <w:r w:rsidR="00C31EC9">
        <w:rPr>
          <w:rFonts w:ascii="Open Sans" w:hAnsi="Open Sans" w:cs="Open Sans"/>
          <w:color w:val="000000"/>
          <w:sz w:val="22"/>
          <w:szCs w:val="22"/>
        </w:rPr>
        <w:t xml:space="preserve">precios de la vivienda en </w:t>
      </w:r>
      <w:r w:rsidR="00B231C2">
        <w:rPr>
          <w:rFonts w:ascii="Open Sans" w:hAnsi="Open Sans" w:cs="Open Sans"/>
          <w:color w:val="000000"/>
          <w:sz w:val="22"/>
          <w:szCs w:val="22"/>
        </w:rPr>
        <w:t>venta</w:t>
      </w:r>
      <w:r w:rsidRPr="008376CF">
        <w:rPr>
          <w:rFonts w:ascii="Open Sans" w:hAnsi="Open Sans" w:cs="Open Sans"/>
          <w:color w:val="000000"/>
          <w:sz w:val="22"/>
          <w:szCs w:val="22"/>
        </w:rPr>
        <w:t xml:space="preserve"> </w:t>
      </w:r>
      <w:r>
        <w:rPr>
          <w:rFonts w:ascii="Open Sans" w:hAnsi="Open Sans" w:cs="Open Sans"/>
          <w:color w:val="000000"/>
          <w:sz w:val="22"/>
          <w:szCs w:val="22"/>
        </w:rPr>
        <w:t>d</w:t>
      </w:r>
      <w:r w:rsidR="009309B9">
        <w:rPr>
          <w:rFonts w:ascii="Open Sans" w:hAnsi="Open Sans" w:cs="Open Sans"/>
          <w:color w:val="000000"/>
          <w:sz w:val="22"/>
          <w:szCs w:val="22"/>
        </w:rPr>
        <w:t>el mes de diciembre</w:t>
      </w:r>
      <w:r>
        <w:rPr>
          <w:rFonts w:ascii="Open Sans" w:hAnsi="Open Sans" w:cs="Open Sans"/>
          <w:color w:val="000000"/>
          <w:sz w:val="22"/>
          <w:szCs w:val="22"/>
        </w:rPr>
        <w:t xml:space="preserve"> </w:t>
      </w:r>
      <w:r w:rsidR="009309B9">
        <w:rPr>
          <w:rFonts w:ascii="Open Sans" w:hAnsi="Open Sans" w:cs="Open Sans"/>
          <w:color w:val="000000"/>
          <w:sz w:val="22"/>
          <w:szCs w:val="22"/>
        </w:rPr>
        <w:t>de los últimos 1</w:t>
      </w:r>
      <w:r w:rsidR="00B63DBE">
        <w:rPr>
          <w:rFonts w:ascii="Open Sans" w:hAnsi="Open Sans" w:cs="Open Sans"/>
          <w:color w:val="000000"/>
          <w:sz w:val="22"/>
          <w:szCs w:val="22"/>
        </w:rPr>
        <w:t>5</w:t>
      </w:r>
      <w:r w:rsidR="009309B9">
        <w:rPr>
          <w:rFonts w:ascii="Open Sans" w:hAnsi="Open Sans" w:cs="Open Sans"/>
          <w:color w:val="000000"/>
          <w:sz w:val="22"/>
          <w:szCs w:val="22"/>
        </w:rPr>
        <w:t xml:space="preserve"> años del </w:t>
      </w:r>
      <w:r w:rsidRPr="008376CF">
        <w:rPr>
          <w:rFonts w:ascii="Open Sans" w:hAnsi="Open Sans" w:cs="Open Sans"/>
          <w:color w:val="000000"/>
          <w:sz w:val="22"/>
          <w:szCs w:val="22"/>
        </w:rPr>
        <w:t xml:space="preserve">Índice Inmobiliario </w:t>
      </w:r>
      <w:hyperlink r:id="rId10" w:history="1">
        <w:r w:rsidRPr="008376CF">
          <w:rPr>
            <w:rStyle w:val="Hipervnculo"/>
            <w:rFonts w:ascii="Open Sans" w:hAnsi="Open Sans" w:cs="Open Sans"/>
            <w:sz w:val="22"/>
            <w:szCs w:val="22"/>
          </w:rPr>
          <w:t>Fotocasa</w:t>
        </w:r>
      </w:hyperlink>
      <w:r w:rsidR="001651B5">
        <w:rPr>
          <w:rStyle w:val="Hipervnculo"/>
          <w:rFonts w:ascii="Open Sans" w:hAnsi="Open Sans" w:cs="Open Sans"/>
          <w:sz w:val="22"/>
          <w:szCs w:val="22"/>
        </w:rPr>
        <w:t>.</w:t>
      </w:r>
      <w:r w:rsidR="001651B5" w:rsidRPr="001651B5">
        <w:rPr>
          <w:color w:val="000000"/>
        </w:rPr>
        <w:t xml:space="preserve"> </w:t>
      </w:r>
    </w:p>
    <w:p w14:paraId="7B938E6A" w14:textId="4F0045EF" w:rsidR="00583D8D" w:rsidRDefault="00CE47E3" w:rsidP="00583D8D">
      <w:pPr>
        <w:pStyle w:val="NormalWeb"/>
        <w:shd w:val="clear" w:color="auto" w:fill="FFFFFF"/>
        <w:spacing w:after="225" w:line="276" w:lineRule="auto"/>
        <w:ind w:right="-574"/>
        <w:jc w:val="center"/>
        <w:rPr>
          <w:noProof/>
        </w:rPr>
      </w:pPr>
      <w:r>
        <w:rPr>
          <w:rFonts w:ascii="National" w:hAnsi="National"/>
          <w:b/>
          <w:bCs/>
          <w:iCs/>
          <w:color w:val="303AB2"/>
          <w:sz w:val="28"/>
          <w:szCs w:val="160"/>
        </w:rPr>
        <w:t>Variación acumulativa</w:t>
      </w:r>
      <w:r w:rsidR="00833BF4">
        <w:rPr>
          <w:rFonts w:ascii="National" w:hAnsi="National"/>
          <w:b/>
          <w:bCs/>
          <w:iCs/>
          <w:color w:val="303AB2"/>
          <w:sz w:val="28"/>
          <w:szCs w:val="160"/>
        </w:rPr>
        <w:t xml:space="preserve"> (%) por </w:t>
      </w:r>
      <w:r>
        <w:rPr>
          <w:rFonts w:ascii="National" w:hAnsi="National"/>
          <w:b/>
          <w:bCs/>
          <w:iCs/>
          <w:color w:val="303AB2"/>
          <w:sz w:val="28"/>
          <w:szCs w:val="160"/>
        </w:rPr>
        <w:t xml:space="preserve">años </w:t>
      </w:r>
      <w:r w:rsidR="0037410B">
        <w:rPr>
          <w:rFonts w:ascii="National" w:hAnsi="National"/>
          <w:b/>
          <w:bCs/>
          <w:iCs/>
          <w:color w:val="303AB2"/>
          <w:sz w:val="28"/>
          <w:szCs w:val="160"/>
        </w:rPr>
        <w:t>en España</w:t>
      </w:r>
      <w:r w:rsidR="00497F29" w:rsidRPr="00497F29">
        <w:rPr>
          <w:noProof/>
        </w:rPr>
        <w:t xml:space="preserve"> </w:t>
      </w:r>
      <w:r w:rsidR="00E72108">
        <w:rPr>
          <w:noProof/>
        </w:rPr>
        <w:drawing>
          <wp:inline distT="0" distB="0" distL="0" distR="0" wp14:anchorId="6682CA9D" wp14:editId="0B98848C">
            <wp:extent cx="5400675" cy="2619375"/>
            <wp:effectExtent l="0" t="0" r="0" b="0"/>
            <wp:docPr id="9" name="Gráfico 9">
              <a:extLst xmlns:a="http://schemas.openxmlformats.org/drawingml/2006/main">
                <a:ext uri="{FF2B5EF4-FFF2-40B4-BE49-F238E27FC236}">
                  <a16:creationId xmlns:a16="http://schemas.microsoft.com/office/drawing/2014/main" id="{D914368D-93BE-4BB9-8027-2AA886413C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87D1B1" w14:textId="336F1922" w:rsidR="00022FC5" w:rsidRDefault="00022FC5" w:rsidP="00583D8D">
      <w:pPr>
        <w:pStyle w:val="NormalWeb"/>
        <w:shd w:val="clear" w:color="auto" w:fill="FFFFFF"/>
        <w:spacing w:after="225" w:line="276" w:lineRule="auto"/>
        <w:ind w:right="-574"/>
        <w:jc w:val="center"/>
        <w:rPr>
          <w:color w:val="000000"/>
        </w:rPr>
      </w:pPr>
    </w:p>
    <w:p w14:paraId="48240937" w14:textId="65220DEA" w:rsidR="00D346DC" w:rsidRDefault="00D346DC" w:rsidP="00D346DC">
      <w:pPr>
        <w:pStyle w:val="NormalWeb"/>
        <w:shd w:val="clear" w:color="auto" w:fill="FFFFFF"/>
        <w:spacing w:after="225" w:line="276" w:lineRule="auto"/>
        <w:ind w:right="-574"/>
        <w:jc w:val="both"/>
        <w:rPr>
          <w:color w:val="000000"/>
        </w:rPr>
      </w:pPr>
      <w:r w:rsidRPr="00D346DC">
        <w:rPr>
          <w:rFonts w:ascii="Open Sans" w:hAnsi="Open Sans" w:cs="Open Sans"/>
          <w:color w:val="0D0D0D" w:themeColor="text1" w:themeTint="F2"/>
          <w:sz w:val="22"/>
          <w:szCs w:val="22"/>
        </w:rPr>
        <w:lastRenderedPageBreak/>
        <w:t>“El precio de la vivienda de segunda mano se ha ido incrementando de forma ininterrumpida desde octubre de 2016</w:t>
      </w:r>
      <w:r>
        <w:rPr>
          <w:rFonts w:ascii="Open Sans" w:hAnsi="Open Sans" w:cs="Open Sans"/>
          <w:color w:val="0D0D0D" w:themeColor="text1" w:themeTint="F2"/>
          <w:sz w:val="22"/>
          <w:szCs w:val="22"/>
        </w:rPr>
        <w:t xml:space="preserve"> hasta finales de 2019</w:t>
      </w:r>
      <w:r w:rsidRPr="00D346DC">
        <w:rPr>
          <w:rFonts w:ascii="Open Sans" w:hAnsi="Open Sans" w:cs="Open Sans"/>
          <w:color w:val="0D0D0D" w:themeColor="text1" w:themeTint="F2"/>
          <w:sz w:val="22"/>
          <w:szCs w:val="22"/>
        </w:rPr>
        <w:t xml:space="preserve">. Probablemente como consecuencia de la recuperación económica del país después de la gran crisis. Lo que explica que el precio acumulativo </w:t>
      </w:r>
      <w:r>
        <w:rPr>
          <w:rFonts w:ascii="Open Sans" w:hAnsi="Open Sans" w:cs="Open Sans"/>
          <w:color w:val="0D0D0D" w:themeColor="text1" w:themeTint="F2"/>
          <w:sz w:val="22"/>
          <w:szCs w:val="22"/>
        </w:rPr>
        <w:t>se haya incrementado un 16%</w:t>
      </w:r>
      <w:r w:rsidRPr="00D346DC">
        <w:rPr>
          <w:rFonts w:ascii="Open Sans" w:hAnsi="Open Sans" w:cs="Open Sans"/>
          <w:color w:val="0D0D0D" w:themeColor="text1" w:themeTint="F2"/>
          <w:sz w:val="22"/>
          <w:szCs w:val="22"/>
        </w:rPr>
        <w:t xml:space="preserve"> en comparación con </w:t>
      </w:r>
      <w:r>
        <w:rPr>
          <w:rFonts w:ascii="Open Sans" w:hAnsi="Open Sans" w:cs="Open Sans"/>
          <w:color w:val="0D0D0D" w:themeColor="text1" w:themeTint="F2"/>
          <w:sz w:val="22"/>
          <w:szCs w:val="22"/>
        </w:rPr>
        <w:t>los diez años anteriores</w:t>
      </w:r>
      <w:r w:rsidRPr="00D346DC">
        <w:rPr>
          <w:rFonts w:ascii="Open Sans" w:hAnsi="Open Sans" w:cs="Open Sans"/>
          <w:color w:val="0D0D0D" w:themeColor="text1" w:themeTint="F2"/>
          <w:sz w:val="22"/>
          <w:szCs w:val="22"/>
        </w:rPr>
        <w:t xml:space="preserve">. A </w:t>
      </w:r>
      <w:r>
        <w:rPr>
          <w:rFonts w:ascii="Open Sans" w:hAnsi="Open Sans" w:cs="Open Sans"/>
          <w:color w:val="0D0D0D" w:themeColor="text1" w:themeTint="F2"/>
          <w:sz w:val="22"/>
          <w:szCs w:val="22"/>
        </w:rPr>
        <w:t>nivel anual</w:t>
      </w:r>
      <w:r w:rsidRPr="00D346DC">
        <w:rPr>
          <w:rFonts w:ascii="Open Sans" w:hAnsi="Open Sans" w:cs="Open Sans"/>
          <w:color w:val="0D0D0D" w:themeColor="text1" w:themeTint="F2"/>
          <w:sz w:val="22"/>
          <w:szCs w:val="22"/>
        </w:rPr>
        <w:t xml:space="preserve"> hemos cerrado el año</w:t>
      </w:r>
      <w:r>
        <w:rPr>
          <w:rFonts w:ascii="Open Sans" w:hAnsi="Open Sans" w:cs="Open Sans"/>
          <w:color w:val="0D0D0D" w:themeColor="text1" w:themeTint="F2"/>
          <w:sz w:val="22"/>
          <w:szCs w:val="22"/>
        </w:rPr>
        <w:t xml:space="preserve"> 2020</w:t>
      </w:r>
      <w:r w:rsidRPr="00D346DC">
        <w:rPr>
          <w:rFonts w:ascii="Open Sans" w:hAnsi="Open Sans" w:cs="Open Sans"/>
          <w:color w:val="0D0D0D" w:themeColor="text1" w:themeTint="F2"/>
          <w:sz w:val="22"/>
          <w:szCs w:val="22"/>
        </w:rPr>
        <w:t xml:space="preserve"> con leves subidas causadas por la gran demanda de compraventa que se ha despertado con mucha fuerza tras el confinamiento y las restricciones de movilidad, por lo que podríamos continuar con </w:t>
      </w:r>
      <w:r>
        <w:rPr>
          <w:rFonts w:ascii="Open Sans" w:hAnsi="Open Sans" w:cs="Open Sans"/>
          <w:color w:val="0D0D0D" w:themeColor="text1" w:themeTint="F2"/>
          <w:sz w:val="22"/>
          <w:szCs w:val="22"/>
        </w:rPr>
        <w:t>incrementos del precio de la vivienda de segunda mano en los próximos meses si continúa esta gran demanda de vivienda para comprar</w:t>
      </w:r>
      <w:r w:rsidRPr="00D346DC">
        <w:rPr>
          <w:rFonts w:ascii="Open Sans" w:hAnsi="Open Sans" w:cs="Open Sans"/>
          <w:color w:val="0D0D0D" w:themeColor="text1" w:themeTint="F2"/>
          <w:sz w:val="22"/>
          <w:szCs w:val="22"/>
        </w:rPr>
        <w:t xml:space="preserve">”, explica Anaïs López, directora de Comunicación de </w:t>
      </w:r>
      <w:hyperlink r:id="rId12" w:history="1">
        <w:r w:rsidRPr="008376CF">
          <w:rPr>
            <w:rStyle w:val="Hipervnculo"/>
            <w:rFonts w:ascii="Open Sans" w:hAnsi="Open Sans" w:cs="Open Sans"/>
            <w:sz w:val="22"/>
            <w:szCs w:val="22"/>
          </w:rPr>
          <w:t>Fotocasa</w:t>
        </w:r>
      </w:hyperlink>
      <w:r w:rsidRPr="00D346DC">
        <w:rPr>
          <w:rFonts w:ascii="Open Sans" w:hAnsi="Open Sans" w:cs="Open Sans"/>
          <w:color w:val="0D0D0D" w:themeColor="text1" w:themeTint="F2"/>
          <w:sz w:val="22"/>
          <w:szCs w:val="22"/>
        </w:rPr>
        <w:t>. </w:t>
      </w:r>
    </w:p>
    <w:p w14:paraId="0831D63B" w14:textId="15FAC5C9" w:rsidR="00583D8D" w:rsidRDefault="00FB61E9" w:rsidP="00583D8D">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t>CCAA con p</w:t>
      </w:r>
      <w:r w:rsidR="00583D8D" w:rsidRPr="00D82713">
        <w:rPr>
          <w:rFonts w:ascii="National" w:hAnsi="National"/>
          <w:b/>
          <w:bCs/>
          <w:iCs/>
          <w:color w:val="303AB2"/>
          <w:sz w:val="28"/>
          <w:szCs w:val="160"/>
          <w:lang w:val="es-ES"/>
        </w:rPr>
        <w:t xml:space="preserve">orcentajes (%) </w:t>
      </w:r>
      <w:r w:rsidR="00583D8D">
        <w:rPr>
          <w:rFonts w:ascii="National" w:hAnsi="National"/>
          <w:b/>
          <w:bCs/>
          <w:iCs/>
          <w:color w:val="303AB2"/>
          <w:sz w:val="28"/>
          <w:szCs w:val="160"/>
          <w:lang w:val="es-ES"/>
        </w:rPr>
        <w:t>acumulativo</w:t>
      </w:r>
      <w:r w:rsidR="00014CED">
        <w:rPr>
          <w:rFonts w:ascii="National" w:hAnsi="National"/>
          <w:b/>
          <w:bCs/>
          <w:iCs/>
          <w:color w:val="303AB2"/>
          <w:sz w:val="28"/>
          <w:szCs w:val="160"/>
          <w:lang w:val="es-ES"/>
        </w:rPr>
        <w:t xml:space="preserve"> </w:t>
      </w:r>
      <w:r w:rsidR="00583D8D">
        <w:rPr>
          <w:rFonts w:ascii="National" w:hAnsi="National"/>
          <w:b/>
          <w:bCs/>
          <w:iCs/>
          <w:color w:val="303AB2"/>
          <w:sz w:val="28"/>
          <w:szCs w:val="160"/>
          <w:lang w:val="es-ES"/>
        </w:rPr>
        <w:t xml:space="preserve"> </w:t>
      </w:r>
    </w:p>
    <w:p w14:paraId="7AF4375F" w14:textId="77777777" w:rsidR="00583D8D" w:rsidRDefault="00583D8D" w:rsidP="00583D8D">
      <w:pPr>
        <w:pStyle w:val="Prrafodelista"/>
        <w:spacing w:line="276" w:lineRule="auto"/>
        <w:ind w:left="0" w:right="-574"/>
        <w:jc w:val="center"/>
        <w:rPr>
          <w:rFonts w:ascii="National" w:hAnsi="National"/>
          <w:b/>
          <w:bCs/>
          <w:iCs/>
          <w:color w:val="303AB2"/>
          <w:sz w:val="30"/>
          <w:szCs w:val="180"/>
          <w:lang w:val="es-ES"/>
        </w:rPr>
      </w:pPr>
    </w:p>
    <w:tbl>
      <w:tblPr>
        <w:tblW w:w="8982"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1935"/>
        <w:gridCol w:w="1828"/>
        <w:gridCol w:w="1828"/>
        <w:gridCol w:w="1714"/>
        <w:gridCol w:w="1677"/>
      </w:tblGrid>
      <w:tr w:rsidR="002A62A4" w:rsidRPr="002A62A4" w14:paraId="20F3689B" w14:textId="77777777" w:rsidTr="002A62A4">
        <w:trPr>
          <w:trHeight w:val="738"/>
        </w:trPr>
        <w:tc>
          <w:tcPr>
            <w:tcW w:w="1935" w:type="dxa"/>
            <w:shd w:val="clear" w:color="auto" w:fill="ACB9CA"/>
            <w:vAlign w:val="center"/>
            <w:hideMark/>
          </w:tcPr>
          <w:p w14:paraId="05FD4295" w14:textId="77777777" w:rsidR="002A62A4" w:rsidRPr="002A62A4" w:rsidRDefault="002A62A4" w:rsidP="006E1AA8">
            <w:pPr>
              <w:rPr>
                <w:rFonts w:ascii="Open Sans" w:eastAsia="Times New Roman" w:hAnsi="Open Sans" w:cs="Open Sans"/>
                <w:b/>
                <w:bCs/>
                <w:color w:val="000000" w:themeColor="text1"/>
                <w:sz w:val="20"/>
                <w:szCs w:val="20"/>
                <w:lang w:val="es-ES" w:eastAsia="es-ES"/>
              </w:rPr>
            </w:pPr>
            <w:r w:rsidRPr="002A62A4">
              <w:rPr>
                <w:rFonts w:ascii="Open Sans" w:eastAsia="Times New Roman" w:hAnsi="Open Sans" w:cs="Open Sans"/>
                <w:b/>
                <w:bCs/>
                <w:color w:val="000000" w:themeColor="text1"/>
                <w:sz w:val="20"/>
                <w:szCs w:val="20"/>
                <w:lang w:val="es-ES" w:eastAsia="es-ES"/>
              </w:rPr>
              <w:t>CCAA</w:t>
            </w:r>
          </w:p>
        </w:tc>
        <w:tc>
          <w:tcPr>
            <w:tcW w:w="1828" w:type="dxa"/>
            <w:shd w:val="clear" w:color="auto" w:fill="ACB9CA"/>
          </w:tcPr>
          <w:p w14:paraId="0FE4DDE8" w14:textId="5D17DA1B" w:rsidR="002A62A4" w:rsidRPr="002A62A4" w:rsidRDefault="002A62A4" w:rsidP="006E1AA8">
            <w:pPr>
              <w:jc w:val="center"/>
              <w:rPr>
                <w:rFonts w:ascii="Open Sans" w:hAnsi="Open Sans" w:cs="Open Sans"/>
                <w:b/>
                <w:bCs/>
                <w:color w:val="0D0D0D" w:themeColor="text1" w:themeTint="F2"/>
                <w:sz w:val="20"/>
                <w:szCs w:val="20"/>
              </w:rPr>
            </w:pPr>
            <w:r w:rsidRPr="002A62A4">
              <w:rPr>
                <w:rFonts w:ascii="Open Sans" w:hAnsi="Open Sans" w:cs="Open Sans"/>
                <w:b/>
                <w:bCs/>
                <w:color w:val="0D0D0D" w:themeColor="text1" w:themeTint="F2"/>
                <w:sz w:val="20"/>
                <w:szCs w:val="20"/>
              </w:rPr>
              <w:t xml:space="preserve">(%) Acumulativo      15 años          </w:t>
            </w:r>
            <w:proofErr w:type="gramStart"/>
            <w:r w:rsidRPr="002A62A4">
              <w:rPr>
                <w:rFonts w:ascii="Open Sans" w:hAnsi="Open Sans" w:cs="Open Sans"/>
                <w:b/>
                <w:bCs/>
                <w:color w:val="0D0D0D" w:themeColor="text1" w:themeTint="F2"/>
                <w:sz w:val="20"/>
                <w:szCs w:val="20"/>
              </w:rPr>
              <w:t xml:space="preserve">   (</w:t>
            </w:r>
            <w:proofErr w:type="gramEnd"/>
            <w:r w:rsidRPr="002A62A4">
              <w:rPr>
                <w:rFonts w:ascii="Open Sans" w:hAnsi="Open Sans" w:cs="Open Sans"/>
                <w:b/>
                <w:bCs/>
                <w:color w:val="0D0D0D" w:themeColor="text1" w:themeTint="F2"/>
                <w:sz w:val="20"/>
                <w:szCs w:val="20"/>
              </w:rPr>
              <w:t>2020 vs 2005)</w:t>
            </w:r>
          </w:p>
        </w:tc>
        <w:tc>
          <w:tcPr>
            <w:tcW w:w="1828" w:type="dxa"/>
            <w:shd w:val="clear" w:color="auto" w:fill="ACB9CA"/>
            <w:vAlign w:val="center"/>
            <w:hideMark/>
          </w:tcPr>
          <w:p w14:paraId="5FF00666" w14:textId="2DAE399C" w:rsidR="002A62A4" w:rsidRPr="002A62A4" w:rsidRDefault="002A62A4" w:rsidP="006E1AA8">
            <w:pPr>
              <w:jc w:val="center"/>
              <w:rPr>
                <w:rFonts w:ascii="Open Sans" w:eastAsia="Times New Roman" w:hAnsi="Open Sans" w:cs="Open Sans"/>
                <w:b/>
                <w:bCs/>
                <w:color w:val="0D0D0D" w:themeColor="text1" w:themeTint="F2"/>
                <w:sz w:val="20"/>
                <w:szCs w:val="20"/>
                <w:lang w:val="es-ES" w:eastAsia="es-ES"/>
              </w:rPr>
            </w:pPr>
            <w:r w:rsidRPr="002A62A4">
              <w:rPr>
                <w:rFonts w:ascii="Open Sans" w:hAnsi="Open Sans" w:cs="Open Sans"/>
                <w:b/>
                <w:bCs/>
                <w:color w:val="0D0D0D" w:themeColor="text1" w:themeTint="F2"/>
                <w:sz w:val="20"/>
                <w:szCs w:val="20"/>
              </w:rPr>
              <w:t xml:space="preserve">(%) Acumulativo      10 años          </w:t>
            </w:r>
            <w:proofErr w:type="gramStart"/>
            <w:r w:rsidRPr="002A62A4">
              <w:rPr>
                <w:rFonts w:ascii="Open Sans" w:hAnsi="Open Sans" w:cs="Open Sans"/>
                <w:b/>
                <w:bCs/>
                <w:color w:val="0D0D0D" w:themeColor="text1" w:themeTint="F2"/>
                <w:sz w:val="20"/>
                <w:szCs w:val="20"/>
              </w:rPr>
              <w:t xml:space="preserve">   (</w:t>
            </w:r>
            <w:proofErr w:type="gramEnd"/>
            <w:r w:rsidRPr="002A62A4">
              <w:rPr>
                <w:rFonts w:ascii="Open Sans" w:hAnsi="Open Sans" w:cs="Open Sans"/>
                <w:b/>
                <w:bCs/>
                <w:color w:val="0D0D0D" w:themeColor="text1" w:themeTint="F2"/>
                <w:sz w:val="20"/>
                <w:szCs w:val="20"/>
              </w:rPr>
              <w:t>2020 vs 2010)</w:t>
            </w:r>
          </w:p>
        </w:tc>
        <w:tc>
          <w:tcPr>
            <w:tcW w:w="1714" w:type="dxa"/>
            <w:shd w:val="clear" w:color="auto" w:fill="ACB9CA"/>
            <w:vAlign w:val="center"/>
            <w:hideMark/>
          </w:tcPr>
          <w:p w14:paraId="163260B5" w14:textId="760E80F2" w:rsidR="002A62A4" w:rsidRPr="002A62A4" w:rsidRDefault="002A62A4" w:rsidP="006E1AA8">
            <w:pPr>
              <w:jc w:val="center"/>
              <w:rPr>
                <w:rFonts w:ascii="Open Sans" w:eastAsia="Times New Roman" w:hAnsi="Open Sans" w:cs="Open Sans"/>
                <w:b/>
                <w:bCs/>
                <w:color w:val="0D0D0D" w:themeColor="text1" w:themeTint="F2"/>
                <w:sz w:val="20"/>
                <w:szCs w:val="20"/>
                <w:lang w:val="es-ES" w:eastAsia="es-ES"/>
              </w:rPr>
            </w:pPr>
            <w:r w:rsidRPr="002A62A4">
              <w:rPr>
                <w:rFonts w:ascii="Open Sans" w:hAnsi="Open Sans" w:cs="Open Sans"/>
                <w:b/>
                <w:bCs/>
                <w:color w:val="0D0D0D" w:themeColor="text1" w:themeTint="F2"/>
                <w:sz w:val="20"/>
                <w:szCs w:val="20"/>
              </w:rPr>
              <w:t xml:space="preserve">(%) Acumulativo      5 años          </w:t>
            </w:r>
            <w:proofErr w:type="gramStart"/>
            <w:r w:rsidRPr="002A62A4">
              <w:rPr>
                <w:rFonts w:ascii="Open Sans" w:hAnsi="Open Sans" w:cs="Open Sans"/>
                <w:b/>
                <w:bCs/>
                <w:color w:val="0D0D0D" w:themeColor="text1" w:themeTint="F2"/>
                <w:sz w:val="20"/>
                <w:szCs w:val="20"/>
              </w:rPr>
              <w:t xml:space="preserve">   (</w:t>
            </w:r>
            <w:proofErr w:type="gramEnd"/>
            <w:r w:rsidRPr="002A62A4">
              <w:rPr>
                <w:rFonts w:ascii="Open Sans" w:hAnsi="Open Sans" w:cs="Open Sans"/>
                <w:b/>
                <w:bCs/>
                <w:color w:val="0D0D0D" w:themeColor="text1" w:themeTint="F2"/>
                <w:sz w:val="20"/>
                <w:szCs w:val="20"/>
              </w:rPr>
              <w:t>2020 vs 2015)</w:t>
            </w:r>
          </w:p>
        </w:tc>
        <w:tc>
          <w:tcPr>
            <w:tcW w:w="1677" w:type="dxa"/>
            <w:shd w:val="clear" w:color="auto" w:fill="ACB9CA" w:themeFill="text2" w:themeFillTint="66"/>
            <w:vAlign w:val="center"/>
          </w:tcPr>
          <w:p w14:paraId="25B4B794" w14:textId="36271649" w:rsidR="002A62A4" w:rsidRPr="002A62A4" w:rsidRDefault="002A62A4" w:rsidP="006E1AA8">
            <w:pPr>
              <w:jc w:val="center"/>
              <w:rPr>
                <w:rFonts w:ascii="Open Sans" w:hAnsi="Open Sans" w:cs="Open Sans"/>
                <w:b/>
                <w:bCs/>
                <w:color w:val="0D0D0D" w:themeColor="text1" w:themeTint="F2"/>
                <w:sz w:val="20"/>
                <w:szCs w:val="20"/>
              </w:rPr>
            </w:pPr>
            <w:r w:rsidRPr="002A62A4">
              <w:rPr>
                <w:rFonts w:ascii="Open Sans" w:hAnsi="Open Sans" w:cs="Open Sans"/>
                <w:b/>
                <w:bCs/>
                <w:color w:val="0D0D0D" w:themeColor="text1" w:themeTint="F2"/>
                <w:sz w:val="20"/>
                <w:szCs w:val="20"/>
              </w:rPr>
              <w:t xml:space="preserve">(%) Acumulativo      1 año         </w:t>
            </w:r>
            <w:proofErr w:type="gramStart"/>
            <w:r w:rsidRPr="002A62A4">
              <w:rPr>
                <w:rFonts w:ascii="Open Sans" w:hAnsi="Open Sans" w:cs="Open Sans"/>
                <w:b/>
                <w:bCs/>
                <w:color w:val="0D0D0D" w:themeColor="text1" w:themeTint="F2"/>
                <w:sz w:val="20"/>
                <w:szCs w:val="20"/>
              </w:rPr>
              <w:t xml:space="preserve">   (</w:t>
            </w:r>
            <w:proofErr w:type="gramEnd"/>
            <w:r w:rsidRPr="002A62A4">
              <w:rPr>
                <w:rFonts w:ascii="Open Sans" w:hAnsi="Open Sans" w:cs="Open Sans"/>
                <w:b/>
                <w:bCs/>
                <w:color w:val="0D0D0D" w:themeColor="text1" w:themeTint="F2"/>
                <w:sz w:val="20"/>
                <w:szCs w:val="20"/>
              </w:rPr>
              <w:t>2020 vs 2019)</w:t>
            </w:r>
          </w:p>
        </w:tc>
      </w:tr>
      <w:tr w:rsidR="002A62A4" w:rsidRPr="002A62A4" w14:paraId="3075E1D6" w14:textId="77777777" w:rsidTr="007B45F9">
        <w:trPr>
          <w:trHeight w:val="215"/>
        </w:trPr>
        <w:tc>
          <w:tcPr>
            <w:tcW w:w="1935" w:type="dxa"/>
            <w:shd w:val="clear" w:color="auto" w:fill="auto"/>
            <w:vAlign w:val="bottom"/>
            <w:hideMark/>
          </w:tcPr>
          <w:p w14:paraId="3500D2DC" w14:textId="48DEF358"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Andalucía</w:t>
            </w:r>
          </w:p>
        </w:tc>
        <w:tc>
          <w:tcPr>
            <w:tcW w:w="1828" w:type="dxa"/>
            <w:vAlign w:val="bottom"/>
          </w:tcPr>
          <w:p w14:paraId="5C821D6C" w14:textId="3A5A30D8"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-28%</w:t>
            </w:r>
          </w:p>
        </w:tc>
        <w:tc>
          <w:tcPr>
            <w:tcW w:w="1828" w:type="dxa"/>
            <w:shd w:val="clear" w:color="auto" w:fill="auto"/>
            <w:vAlign w:val="bottom"/>
            <w:hideMark/>
          </w:tcPr>
          <w:p w14:paraId="7BA5FF82" w14:textId="67F0268A"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-15%</w:t>
            </w:r>
          </w:p>
        </w:tc>
        <w:tc>
          <w:tcPr>
            <w:tcW w:w="1714" w:type="dxa"/>
            <w:shd w:val="clear" w:color="auto" w:fill="auto"/>
            <w:vAlign w:val="bottom"/>
            <w:hideMark/>
          </w:tcPr>
          <w:p w14:paraId="2A482A45" w14:textId="36C30C8E"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16%</w:t>
            </w:r>
          </w:p>
        </w:tc>
        <w:tc>
          <w:tcPr>
            <w:tcW w:w="1677" w:type="dxa"/>
            <w:vAlign w:val="bottom"/>
          </w:tcPr>
          <w:p w14:paraId="2D8A5F47" w14:textId="786FBE08"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0,04%</w:t>
            </w:r>
          </w:p>
        </w:tc>
      </w:tr>
      <w:tr w:rsidR="002A62A4" w:rsidRPr="002A62A4" w14:paraId="3700186F" w14:textId="77777777" w:rsidTr="007B45F9">
        <w:trPr>
          <w:trHeight w:val="215"/>
        </w:trPr>
        <w:tc>
          <w:tcPr>
            <w:tcW w:w="1935" w:type="dxa"/>
            <w:shd w:val="clear" w:color="auto" w:fill="auto"/>
            <w:vAlign w:val="bottom"/>
            <w:hideMark/>
          </w:tcPr>
          <w:p w14:paraId="3565ADAD" w14:textId="6E652721"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Aragón</w:t>
            </w:r>
          </w:p>
        </w:tc>
        <w:tc>
          <w:tcPr>
            <w:tcW w:w="1828" w:type="dxa"/>
            <w:vAlign w:val="bottom"/>
          </w:tcPr>
          <w:p w14:paraId="1AD3D9F0" w14:textId="71DA2C11"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-46%</w:t>
            </w:r>
          </w:p>
        </w:tc>
        <w:tc>
          <w:tcPr>
            <w:tcW w:w="1828" w:type="dxa"/>
            <w:shd w:val="clear" w:color="auto" w:fill="auto"/>
            <w:vAlign w:val="bottom"/>
            <w:hideMark/>
          </w:tcPr>
          <w:p w14:paraId="18C4A502" w14:textId="0A5FF6D5"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-33%</w:t>
            </w:r>
          </w:p>
        </w:tc>
        <w:tc>
          <w:tcPr>
            <w:tcW w:w="1714" w:type="dxa"/>
            <w:shd w:val="clear" w:color="auto" w:fill="auto"/>
            <w:vAlign w:val="bottom"/>
            <w:hideMark/>
          </w:tcPr>
          <w:p w14:paraId="4AFB0B6D" w14:textId="22378A73"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3%</w:t>
            </w:r>
          </w:p>
        </w:tc>
        <w:tc>
          <w:tcPr>
            <w:tcW w:w="1677" w:type="dxa"/>
            <w:vAlign w:val="bottom"/>
          </w:tcPr>
          <w:p w14:paraId="1BF23C4D" w14:textId="3B01DB61"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9C0006"/>
                <w:sz w:val="22"/>
                <w:szCs w:val="22"/>
              </w:rPr>
              <w:t>-0,9%</w:t>
            </w:r>
          </w:p>
        </w:tc>
      </w:tr>
      <w:tr w:rsidR="002A62A4" w:rsidRPr="002A62A4" w14:paraId="7E636DC1" w14:textId="77777777" w:rsidTr="007B45F9">
        <w:trPr>
          <w:trHeight w:val="215"/>
        </w:trPr>
        <w:tc>
          <w:tcPr>
            <w:tcW w:w="1935" w:type="dxa"/>
            <w:shd w:val="clear" w:color="auto" w:fill="auto"/>
            <w:vAlign w:val="bottom"/>
            <w:hideMark/>
          </w:tcPr>
          <w:p w14:paraId="19B63896" w14:textId="0A26E751"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Asturias</w:t>
            </w:r>
          </w:p>
        </w:tc>
        <w:tc>
          <w:tcPr>
            <w:tcW w:w="1828" w:type="dxa"/>
            <w:vAlign w:val="bottom"/>
          </w:tcPr>
          <w:p w14:paraId="12CB77BF" w14:textId="5149FB25"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-33%</w:t>
            </w:r>
          </w:p>
        </w:tc>
        <w:tc>
          <w:tcPr>
            <w:tcW w:w="1828" w:type="dxa"/>
            <w:shd w:val="clear" w:color="auto" w:fill="auto"/>
            <w:vAlign w:val="bottom"/>
            <w:hideMark/>
          </w:tcPr>
          <w:p w14:paraId="7EA5994C" w14:textId="60D06F58"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-31%</w:t>
            </w:r>
          </w:p>
        </w:tc>
        <w:tc>
          <w:tcPr>
            <w:tcW w:w="1714" w:type="dxa"/>
            <w:shd w:val="clear" w:color="auto" w:fill="auto"/>
            <w:vAlign w:val="bottom"/>
            <w:hideMark/>
          </w:tcPr>
          <w:p w14:paraId="31F6EB67" w14:textId="0C9EC8AE"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-1,2%</w:t>
            </w:r>
          </w:p>
        </w:tc>
        <w:tc>
          <w:tcPr>
            <w:tcW w:w="1677" w:type="dxa"/>
            <w:vAlign w:val="bottom"/>
          </w:tcPr>
          <w:p w14:paraId="68B18C62" w14:textId="11EEBEE4"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0,04%</w:t>
            </w:r>
          </w:p>
        </w:tc>
      </w:tr>
      <w:tr w:rsidR="002A62A4" w:rsidRPr="002A62A4" w14:paraId="69512D6F" w14:textId="77777777" w:rsidTr="007B45F9">
        <w:trPr>
          <w:trHeight w:val="215"/>
        </w:trPr>
        <w:tc>
          <w:tcPr>
            <w:tcW w:w="1935" w:type="dxa"/>
            <w:shd w:val="clear" w:color="auto" w:fill="auto"/>
            <w:vAlign w:val="bottom"/>
            <w:hideMark/>
          </w:tcPr>
          <w:p w14:paraId="4776835E" w14:textId="2D0CACB8"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Baleares</w:t>
            </w:r>
          </w:p>
        </w:tc>
        <w:tc>
          <w:tcPr>
            <w:tcW w:w="1828" w:type="dxa"/>
            <w:vAlign w:val="bottom"/>
          </w:tcPr>
          <w:p w14:paraId="5B5FFB52" w14:textId="0F1DF0BF"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000000"/>
                <w:sz w:val="22"/>
                <w:szCs w:val="22"/>
              </w:rPr>
              <w:t>17%</w:t>
            </w:r>
          </w:p>
        </w:tc>
        <w:tc>
          <w:tcPr>
            <w:tcW w:w="1828" w:type="dxa"/>
            <w:shd w:val="clear" w:color="auto" w:fill="auto"/>
            <w:vAlign w:val="bottom"/>
            <w:hideMark/>
          </w:tcPr>
          <w:p w14:paraId="289A8989" w14:textId="23B50DF8"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20%</w:t>
            </w:r>
          </w:p>
        </w:tc>
        <w:tc>
          <w:tcPr>
            <w:tcW w:w="1714" w:type="dxa"/>
            <w:shd w:val="clear" w:color="auto" w:fill="auto"/>
            <w:vAlign w:val="bottom"/>
            <w:hideMark/>
          </w:tcPr>
          <w:p w14:paraId="4B9B252F" w14:textId="4BA2BBA1"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51%</w:t>
            </w:r>
          </w:p>
        </w:tc>
        <w:tc>
          <w:tcPr>
            <w:tcW w:w="1677" w:type="dxa"/>
            <w:vAlign w:val="bottom"/>
          </w:tcPr>
          <w:p w14:paraId="19EE62CE" w14:textId="033B2D61"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9C0006"/>
                <w:sz w:val="22"/>
                <w:szCs w:val="22"/>
              </w:rPr>
              <w:t>-0,4%</w:t>
            </w:r>
          </w:p>
        </w:tc>
      </w:tr>
      <w:tr w:rsidR="002A62A4" w:rsidRPr="002A62A4" w14:paraId="266AA6AA" w14:textId="77777777" w:rsidTr="007B45F9">
        <w:trPr>
          <w:trHeight w:val="215"/>
        </w:trPr>
        <w:tc>
          <w:tcPr>
            <w:tcW w:w="1935" w:type="dxa"/>
            <w:shd w:val="clear" w:color="auto" w:fill="auto"/>
            <w:vAlign w:val="bottom"/>
            <w:hideMark/>
          </w:tcPr>
          <w:p w14:paraId="6A48E8CB" w14:textId="075A2CEA"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Canarias</w:t>
            </w:r>
          </w:p>
        </w:tc>
        <w:tc>
          <w:tcPr>
            <w:tcW w:w="1828" w:type="dxa"/>
            <w:vAlign w:val="bottom"/>
          </w:tcPr>
          <w:p w14:paraId="0F882C21" w14:textId="104884EF"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-12%</w:t>
            </w:r>
          </w:p>
        </w:tc>
        <w:tc>
          <w:tcPr>
            <w:tcW w:w="1828" w:type="dxa"/>
            <w:shd w:val="clear" w:color="auto" w:fill="auto"/>
            <w:vAlign w:val="bottom"/>
            <w:hideMark/>
          </w:tcPr>
          <w:p w14:paraId="0A179C0D" w14:textId="7E46A40C"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-1%</w:t>
            </w:r>
          </w:p>
        </w:tc>
        <w:tc>
          <w:tcPr>
            <w:tcW w:w="1714" w:type="dxa"/>
            <w:shd w:val="clear" w:color="auto" w:fill="auto"/>
            <w:vAlign w:val="bottom"/>
            <w:hideMark/>
          </w:tcPr>
          <w:p w14:paraId="46CA4C34" w14:textId="4BE7B3F4"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38%</w:t>
            </w:r>
          </w:p>
        </w:tc>
        <w:tc>
          <w:tcPr>
            <w:tcW w:w="1677" w:type="dxa"/>
            <w:vAlign w:val="bottom"/>
          </w:tcPr>
          <w:p w14:paraId="59DA4A8B" w14:textId="07A4C491"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1,3%</w:t>
            </w:r>
          </w:p>
        </w:tc>
      </w:tr>
      <w:tr w:rsidR="002A62A4" w:rsidRPr="002A62A4" w14:paraId="67809EBD" w14:textId="77777777" w:rsidTr="007B45F9">
        <w:trPr>
          <w:trHeight w:val="215"/>
        </w:trPr>
        <w:tc>
          <w:tcPr>
            <w:tcW w:w="1935" w:type="dxa"/>
            <w:shd w:val="clear" w:color="auto" w:fill="auto"/>
            <w:vAlign w:val="bottom"/>
            <w:hideMark/>
          </w:tcPr>
          <w:p w14:paraId="64889E5F" w14:textId="3D44D8F4"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Cantabria</w:t>
            </w:r>
          </w:p>
        </w:tc>
        <w:tc>
          <w:tcPr>
            <w:tcW w:w="1828" w:type="dxa"/>
            <w:vAlign w:val="bottom"/>
          </w:tcPr>
          <w:p w14:paraId="1B8379E4" w14:textId="57159603"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-29%</w:t>
            </w:r>
          </w:p>
        </w:tc>
        <w:tc>
          <w:tcPr>
            <w:tcW w:w="1828" w:type="dxa"/>
            <w:shd w:val="clear" w:color="auto" w:fill="auto"/>
            <w:vAlign w:val="bottom"/>
            <w:hideMark/>
          </w:tcPr>
          <w:p w14:paraId="6830A1D0" w14:textId="2411A636"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-29%</w:t>
            </w:r>
          </w:p>
        </w:tc>
        <w:tc>
          <w:tcPr>
            <w:tcW w:w="1714" w:type="dxa"/>
            <w:shd w:val="clear" w:color="auto" w:fill="auto"/>
            <w:vAlign w:val="bottom"/>
            <w:hideMark/>
          </w:tcPr>
          <w:p w14:paraId="2CBC99B5" w14:textId="3BD5F7A2"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1,1%</w:t>
            </w:r>
          </w:p>
        </w:tc>
        <w:tc>
          <w:tcPr>
            <w:tcW w:w="1677" w:type="dxa"/>
            <w:vAlign w:val="bottom"/>
          </w:tcPr>
          <w:p w14:paraId="5A6172DE" w14:textId="331D453C"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0,3%</w:t>
            </w:r>
          </w:p>
        </w:tc>
      </w:tr>
      <w:tr w:rsidR="002A62A4" w:rsidRPr="002A62A4" w14:paraId="142FBBF1" w14:textId="77777777" w:rsidTr="007B45F9">
        <w:trPr>
          <w:trHeight w:val="215"/>
        </w:trPr>
        <w:tc>
          <w:tcPr>
            <w:tcW w:w="1935" w:type="dxa"/>
            <w:shd w:val="clear" w:color="auto" w:fill="auto"/>
            <w:vAlign w:val="bottom"/>
            <w:hideMark/>
          </w:tcPr>
          <w:p w14:paraId="4C56AEAC" w14:textId="691AB16E"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Castilla y León</w:t>
            </w:r>
          </w:p>
        </w:tc>
        <w:tc>
          <w:tcPr>
            <w:tcW w:w="1828" w:type="dxa"/>
            <w:vAlign w:val="bottom"/>
          </w:tcPr>
          <w:p w14:paraId="63121874" w14:textId="04F5ED6F"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-30%</w:t>
            </w:r>
          </w:p>
        </w:tc>
        <w:tc>
          <w:tcPr>
            <w:tcW w:w="1828" w:type="dxa"/>
            <w:shd w:val="clear" w:color="auto" w:fill="auto"/>
            <w:vAlign w:val="bottom"/>
            <w:hideMark/>
          </w:tcPr>
          <w:p w14:paraId="3477D98C" w14:textId="19E004DC"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-26%</w:t>
            </w:r>
          </w:p>
        </w:tc>
        <w:tc>
          <w:tcPr>
            <w:tcW w:w="1714" w:type="dxa"/>
            <w:shd w:val="clear" w:color="auto" w:fill="auto"/>
            <w:vAlign w:val="bottom"/>
            <w:hideMark/>
          </w:tcPr>
          <w:p w14:paraId="74E19A43" w14:textId="73C6A863"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-2,1%</w:t>
            </w:r>
          </w:p>
        </w:tc>
        <w:tc>
          <w:tcPr>
            <w:tcW w:w="1677" w:type="dxa"/>
            <w:vAlign w:val="bottom"/>
          </w:tcPr>
          <w:p w14:paraId="0DE7E458" w14:textId="7ABA3A32"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0,8%</w:t>
            </w:r>
          </w:p>
        </w:tc>
      </w:tr>
      <w:tr w:rsidR="002A62A4" w:rsidRPr="002A62A4" w14:paraId="31B42FEE" w14:textId="77777777" w:rsidTr="007B45F9">
        <w:trPr>
          <w:trHeight w:val="215"/>
        </w:trPr>
        <w:tc>
          <w:tcPr>
            <w:tcW w:w="1935" w:type="dxa"/>
            <w:shd w:val="clear" w:color="auto" w:fill="auto"/>
            <w:vAlign w:val="bottom"/>
            <w:hideMark/>
          </w:tcPr>
          <w:p w14:paraId="0649DA55" w14:textId="1C635DFF"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Castilla-La Mancha</w:t>
            </w:r>
          </w:p>
        </w:tc>
        <w:tc>
          <w:tcPr>
            <w:tcW w:w="1828" w:type="dxa"/>
            <w:vAlign w:val="bottom"/>
          </w:tcPr>
          <w:p w14:paraId="003B6615" w14:textId="55578A99"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-42%</w:t>
            </w:r>
          </w:p>
        </w:tc>
        <w:tc>
          <w:tcPr>
            <w:tcW w:w="1828" w:type="dxa"/>
            <w:shd w:val="clear" w:color="auto" w:fill="auto"/>
            <w:vAlign w:val="bottom"/>
            <w:hideMark/>
          </w:tcPr>
          <w:p w14:paraId="5A4990D2" w14:textId="5E2432D6"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-31,7%</w:t>
            </w:r>
          </w:p>
        </w:tc>
        <w:tc>
          <w:tcPr>
            <w:tcW w:w="1714" w:type="dxa"/>
            <w:shd w:val="clear" w:color="auto" w:fill="auto"/>
            <w:vAlign w:val="bottom"/>
            <w:hideMark/>
          </w:tcPr>
          <w:p w14:paraId="5345ACFE" w14:textId="1ADED66F"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7,4%</w:t>
            </w:r>
          </w:p>
        </w:tc>
        <w:tc>
          <w:tcPr>
            <w:tcW w:w="1677" w:type="dxa"/>
            <w:vAlign w:val="bottom"/>
          </w:tcPr>
          <w:p w14:paraId="330A6AE9" w14:textId="1B113B59"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1,3%</w:t>
            </w:r>
          </w:p>
        </w:tc>
      </w:tr>
      <w:tr w:rsidR="002A62A4" w:rsidRPr="002A62A4" w14:paraId="090F9AF7" w14:textId="77777777" w:rsidTr="007B45F9">
        <w:trPr>
          <w:trHeight w:val="215"/>
        </w:trPr>
        <w:tc>
          <w:tcPr>
            <w:tcW w:w="1935" w:type="dxa"/>
            <w:shd w:val="clear" w:color="auto" w:fill="auto"/>
            <w:vAlign w:val="bottom"/>
            <w:hideMark/>
          </w:tcPr>
          <w:p w14:paraId="689F9BA5" w14:textId="15B0FD6C"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Cataluña</w:t>
            </w:r>
          </w:p>
        </w:tc>
        <w:tc>
          <w:tcPr>
            <w:tcW w:w="1828" w:type="dxa"/>
            <w:vAlign w:val="bottom"/>
          </w:tcPr>
          <w:p w14:paraId="6C4D503D" w14:textId="7F1E847E"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-27%</w:t>
            </w:r>
          </w:p>
        </w:tc>
        <w:tc>
          <w:tcPr>
            <w:tcW w:w="1828" w:type="dxa"/>
            <w:shd w:val="clear" w:color="auto" w:fill="auto"/>
            <w:vAlign w:val="bottom"/>
            <w:hideMark/>
          </w:tcPr>
          <w:p w14:paraId="4E22EF25" w14:textId="044BC180"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-17%</w:t>
            </w:r>
          </w:p>
        </w:tc>
        <w:tc>
          <w:tcPr>
            <w:tcW w:w="1714" w:type="dxa"/>
            <w:shd w:val="clear" w:color="auto" w:fill="auto"/>
            <w:vAlign w:val="bottom"/>
            <w:hideMark/>
          </w:tcPr>
          <w:p w14:paraId="2D3D2EFE" w14:textId="7AC04A09"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21%</w:t>
            </w:r>
          </w:p>
        </w:tc>
        <w:tc>
          <w:tcPr>
            <w:tcW w:w="1677" w:type="dxa"/>
            <w:vAlign w:val="bottom"/>
          </w:tcPr>
          <w:p w14:paraId="1F4083DE" w14:textId="1D66CB4C"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9C0006"/>
                <w:sz w:val="22"/>
                <w:szCs w:val="22"/>
              </w:rPr>
              <w:t>-0,7%</w:t>
            </w:r>
          </w:p>
        </w:tc>
      </w:tr>
      <w:tr w:rsidR="002A62A4" w:rsidRPr="002A62A4" w14:paraId="44BC40D9" w14:textId="77777777" w:rsidTr="007B45F9">
        <w:trPr>
          <w:trHeight w:val="215"/>
        </w:trPr>
        <w:tc>
          <w:tcPr>
            <w:tcW w:w="1935" w:type="dxa"/>
            <w:shd w:val="clear" w:color="auto" w:fill="auto"/>
            <w:vAlign w:val="bottom"/>
            <w:hideMark/>
          </w:tcPr>
          <w:p w14:paraId="36B8BBDD" w14:textId="371F5231"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Comunitat Valenciana</w:t>
            </w:r>
          </w:p>
        </w:tc>
        <w:tc>
          <w:tcPr>
            <w:tcW w:w="1828" w:type="dxa"/>
            <w:vAlign w:val="bottom"/>
          </w:tcPr>
          <w:p w14:paraId="07277F45" w14:textId="0B91DD35"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-34%</w:t>
            </w:r>
          </w:p>
        </w:tc>
        <w:tc>
          <w:tcPr>
            <w:tcW w:w="1828" w:type="dxa"/>
            <w:shd w:val="clear" w:color="auto" w:fill="auto"/>
            <w:vAlign w:val="bottom"/>
            <w:hideMark/>
          </w:tcPr>
          <w:p w14:paraId="680BE7B9" w14:textId="2AEF2DC3"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-19%</w:t>
            </w:r>
          </w:p>
        </w:tc>
        <w:tc>
          <w:tcPr>
            <w:tcW w:w="1714" w:type="dxa"/>
            <w:shd w:val="clear" w:color="auto" w:fill="auto"/>
            <w:vAlign w:val="bottom"/>
            <w:hideMark/>
          </w:tcPr>
          <w:p w14:paraId="2BC58744" w14:textId="12F6DCB7"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14%</w:t>
            </w:r>
          </w:p>
        </w:tc>
        <w:tc>
          <w:tcPr>
            <w:tcW w:w="1677" w:type="dxa"/>
            <w:vAlign w:val="bottom"/>
          </w:tcPr>
          <w:p w14:paraId="53E2F420" w14:textId="39241F11"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0,2%</w:t>
            </w:r>
          </w:p>
        </w:tc>
      </w:tr>
      <w:tr w:rsidR="002A62A4" w:rsidRPr="002A62A4" w14:paraId="65914DEE" w14:textId="77777777" w:rsidTr="007B45F9">
        <w:trPr>
          <w:trHeight w:val="215"/>
        </w:trPr>
        <w:tc>
          <w:tcPr>
            <w:tcW w:w="1935" w:type="dxa"/>
            <w:shd w:val="clear" w:color="auto" w:fill="auto"/>
            <w:vAlign w:val="bottom"/>
            <w:hideMark/>
          </w:tcPr>
          <w:p w14:paraId="05109AC7" w14:textId="03840F8B"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Extremadura</w:t>
            </w:r>
          </w:p>
        </w:tc>
        <w:tc>
          <w:tcPr>
            <w:tcW w:w="1828" w:type="dxa"/>
            <w:vAlign w:val="bottom"/>
          </w:tcPr>
          <w:p w14:paraId="661DFB07" w14:textId="39C8B2E8"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-9%</w:t>
            </w:r>
          </w:p>
        </w:tc>
        <w:tc>
          <w:tcPr>
            <w:tcW w:w="1828" w:type="dxa"/>
            <w:shd w:val="clear" w:color="auto" w:fill="auto"/>
            <w:vAlign w:val="bottom"/>
            <w:hideMark/>
          </w:tcPr>
          <w:p w14:paraId="690E84E1" w14:textId="6373CE95"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-25%</w:t>
            </w:r>
          </w:p>
        </w:tc>
        <w:tc>
          <w:tcPr>
            <w:tcW w:w="1714" w:type="dxa"/>
            <w:shd w:val="clear" w:color="auto" w:fill="auto"/>
            <w:vAlign w:val="bottom"/>
            <w:hideMark/>
          </w:tcPr>
          <w:p w14:paraId="6D0C9B9B" w14:textId="7695F3AB"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5,3%</w:t>
            </w:r>
          </w:p>
        </w:tc>
        <w:tc>
          <w:tcPr>
            <w:tcW w:w="1677" w:type="dxa"/>
            <w:vAlign w:val="bottom"/>
          </w:tcPr>
          <w:p w14:paraId="17BA6A6B" w14:textId="4F88BDF8"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1,7%</w:t>
            </w:r>
          </w:p>
        </w:tc>
      </w:tr>
      <w:tr w:rsidR="002A62A4" w:rsidRPr="002A62A4" w14:paraId="5B3065F0" w14:textId="77777777" w:rsidTr="007B45F9">
        <w:trPr>
          <w:trHeight w:val="215"/>
        </w:trPr>
        <w:tc>
          <w:tcPr>
            <w:tcW w:w="1935" w:type="dxa"/>
            <w:shd w:val="clear" w:color="auto" w:fill="auto"/>
            <w:vAlign w:val="bottom"/>
            <w:hideMark/>
          </w:tcPr>
          <w:p w14:paraId="1267931B" w14:textId="61302B05"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Galicia</w:t>
            </w:r>
          </w:p>
        </w:tc>
        <w:tc>
          <w:tcPr>
            <w:tcW w:w="1828" w:type="dxa"/>
            <w:vAlign w:val="bottom"/>
          </w:tcPr>
          <w:p w14:paraId="174FBDCE" w14:textId="4BECBA6B"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-19%</w:t>
            </w:r>
          </w:p>
        </w:tc>
        <w:tc>
          <w:tcPr>
            <w:tcW w:w="1828" w:type="dxa"/>
            <w:shd w:val="clear" w:color="auto" w:fill="auto"/>
            <w:vAlign w:val="bottom"/>
            <w:hideMark/>
          </w:tcPr>
          <w:p w14:paraId="2A833F03" w14:textId="69283BD8"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-22%</w:t>
            </w:r>
          </w:p>
        </w:tc>
        <w:tc>
          <w:tcPr>
            <w:tcW w:w="1714" w:type="dxa"/>
            <w:shd w:val="clear" w:color="auto" w:fill="auto"/>
            <w:vAlign w:val="bottom"/>
            <w:hideMark/>
          </w:tcPr>
          <w:p w14:paraId="08152584" w14:textId="7C99153C"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-2,6%</w:t>
            </w:r>
          </w:p>
        </w:tc>
        <w:tc>
          <w:tcPr>
            <w:tcW w:w="1677" w:type="dxa"/>
            <w:vAlign w:val="bottom"/>
          </w:tcPr>
          <w:p w14:paraId="2E4D011C" w14:textId="3934378A"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0,8%</w:t>
            </w:r>
          </w:p>
        </w:tc>
      </w:tr>
      <w:tr w:rsidR="002A62A4" w:rsidRPr="002A62A4" w14:paraId="60F7897D" w14:textId="77777777" w:rsidTr="007B45F9">
        <w:trPr>
          <w:trHeight w:val="215"/>
        </w:trPr>
        <w:tc>
          <w:tcPr>
            <w:tcW w:w="1935" w:type="dxa"/>
            <w:shd w:val="clear" w:color="auto" w:fill="auto"/>
            <w:vAlign w:val="bottom"/>
            <w:hideMark/>
          </w:tcPr>
          <w:p w14:paraId="6AC38F10" w14:textId="67631671"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La Rioja</w:t>
            </w:r>
          </w:p>
        </w:tc>
        <w:tc>
          <w:tcPr>
            <w:tcW w:w="1828" w:type="dxa"/>
            <w:vAlign w:val="bottom"/>
          </w:tcPr>
          <w:p w14:paraId="24BC8FB2" w14:textId="234373EA"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-41%</w:t>
            </w:r>
          </w:p>
        </w:tc>
        <w:tc>
          <w:tcPr>
            <w:tcW w:w="1828" w:type="dxa"/>
            <w:shd w:val="clear" w:color="auto" w:fill="auto"/>
            <w:vAlign w:val="bottom"/>
            <w:hideMark/>
          </w:tcPr>
          <w:p w14:paraId="6B5441B6" w14:textId="5D06135A"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-33%</w:t>
            </w:r>
          </w:p>
        </w:tc>
        <w:tc>
          <w:tcPr>
            <w:tcW w:w="1714" w:type="dxa"/>
            <w:shd w:val="clear" w:color="auto" w:fill="auto"/>
            <w:vAlign w:val="bottom"/>
            <w:hideMark/>
          </w:tcPr>
          <w:p w14:paraId="1A69C859" w14:textId="137B51D1"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5,3%</w:t>
            </w:r>
          </w:p>
        </w:tc>
        <w:tc>
          <w:tcPr>
            <w:tcW w:w="1677" w:type="dxa"/>
            <w:vAlign w:val="bottom"/>
          </w:tcPr>
          <w:p w14:paraId="6737C117" w14:textId="4BE74384"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9C0006"/>
                <w:sz w:val="22"/>
                <w:szCs w:val="22"/>
              </w:rPr>
              <w:t>-0,5%</w:t>
            </w:r>
          </w:p>
        </w:tc>
      </w:tr>
      <w:tr w:rsidR="002A62A4" w:rsidRPr="002A62A4" w14:paraId="69CFB4F8" w14:textId="77777777" w:rsidTr="007B45F9">
        <w:trPr>
          <w:trHeight w:val="215"/>
        </w:trPr>
        <w:tc>
          <w:tcPr>
            <w:tcW w:w="1935" w:type="dxa"/>
            <w:shd w:val="clear" w:color="auto" w:fill="auto"/>
            <w:vAlign w:val="bottom"/>
            <w:hideMark/>
          </w:tcPr>
          <w:p w14:paraId="13625D19" w14:textId="232D374A"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Madrid</w:t>
            </w:r>
          </w:p>
        </w:tc>
        <w:tc>
          <w:tcPr>
            <w:tcW w:w="1828" w:type="dxa"/>
            <w:vAlign w:val="bottom"/>
          </w:tcPr>
          <w:p w14:paraId="13896C5A" w14:textId="0215FD4B"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-15%</w:t>
            </w:r>
          </w:p>
        </w:tc>
        <w:tc>
          <w:tcPr>
            <w:tcW w:w="1828" w:type="dxa"/>
            <w:shd w:val="clear" w:color="auto" w:fill="auto"/>
            <w:vAlign w:val="bottom"/>
            <w:hideMark/>
          </w:tcPr>
          <w:p w14:paraId="3F9A5602" w14:textId="20B894B4"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3%</w:t>
            </w:r>
          </w:p>
        </w:tc>
        <w:tc>
          <w:tcPr>
            <w:tcW w:w="1714" w:type="dxa"/>
            <w:shd w:val="clear" w:color="auto" w:fill="auto"/>
            <w:vAlign w:val="bottom"/>
            <w:hideMark/>
          </w:tcPr>
          <w:p w14:paraId="1EE260F9" w14:textId="43630BDD"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39%</w:t>
            </w:r>
          </w:p>
        </w:tc>
        <w:tc>
          <w:tcPr>
            <w:tcW w:w="1677" w:type="dxa"/>
            <w:vAlign w:val="bottom"/>
          </w:tcPr>
          <w:p w14:paraId="6DAEE68E" w14:textId="0CF57B97"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0,4%</w:t>
            </w:r>
          </w:p>
        </w:tc>
      </w:tr>
      <w:tr w:rsidR="002A62A4" w:rsidRPr="002A62A4" w14:paraId="34BB975D" w14:textId="77777777" w:rsidTr="007B45F9">
        <w:trPr>
          <w:trHeight w:val="215"/>
        </w:trPr>
        <w:tc>
          <w:tcPr>
            <w:tcW w:w="1935" w:type="dxa"/>
            <w:shd w:val="clear" w:color="auto" w:fill="auto"/>
            <w:vAlign w:val="bottom"/>
            <w:hideMark/>
          </w:tcPr>
          <w:p w14:paraId="605E70C6" w14:textId="066B4E5A"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Navarra</w:t>
            </w:r>
          </w:p>
        </w:tc>
        <w:tc>
          <w:tcPr>
            <w:tcW w:w="1828" w:type="dxa"/>
            <w:vAlign w:val="bottom"/>
          </w:tcPr>
          <w:p w14:paraId="3613A8C3" w14:textId="409308BA"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-49%</w:t>
            </w:r>
          </w:p>
        </w:tc>
        <w:tc>
          <w:tcPr>
            <w:tcW w:w="1828" w:type="dxa"/>
            <w:shd w:val="clear" w:color="auto" w:fill="auto"/>
            <w:vAlign w:val="bottom"/>
            <w:hideMark/>
          </w:tcPr>
          <w:p w14:paraId="22193E3D" w14:textId="3BF0B3BE"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-32%</w:t>
            </w:r>
          </w:p>
        </w:tc>
        <w:tc>
          <w:tcPr>
            <w:tcW w:w="1714" w:type="dxa"/>
            <w:shd w:val="clear" w:color="auto" w:fill="auto"/>
            <w:vAlign w:val="bottom"/>
            <w:hideMark/>
          </w:tcPr>
          <w:p w14:paraId="3D7569A0" w14:textId="690DCCA8"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4,7%</w:t>
            </w:r>
          </w:p>
        </w:tc>
        <w:tc>
          <w:tcPr>
            <w:tcW w:w="1677" w:type="dxa"/>
            <w:vAlign w:val="bottom"/>
          </w:tcPr>
          <w:p w14:paraId="5C61F331" w14:textId="01E276AC"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9C0006"/>
                <w:sz w:val="22"/>
                <w:szCs w:val="22"/>
              </w:rPr>
              <w:t>-0,6%</w:t>
            </w:r>
          </w:p>
        </w:tc>
      </w:tr>
      <w:tr w:rsidR="002A62A4" w:rsidRPr="002A62A4" w14:paraId="72C7FC36" w14:textId="77777777" w:rsidTr="007B45F9">
        <w:trPr>
          <w:trHeight w:val="215"/>
        </w:trPr>
        <w:tc>
          <w:tcPr>
            <w:tcW w:w="1935" w:type="dxa"/>
            <w:shd w:val="clear" w:color="auto" w:fill="auto"/>
            <w:vAlign w:val="bottom"/>
            <w:hideMark/>
          </w:tcPr>
          <w:p w14:paraId="1BAA883B" w14:textId="4D2B0508"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País Vasco</w:t>
            </w:r>
          </w:p>
        </w:tc>
        <w:tc>
          <w:tcPr>
            <w:tcW w:w="1828" w:type="dxa"/>
            <w:vAlign w:val="bottom"/>
          </w:tcPr>
          <w:p w14:paraId="06143399" w14:textId="67EF50D7"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-32%</w:t>
            </w:r>
          </w:p>
        </w:tc>
        <w:tc>
          <w:tcPr>
            <w:tcW w:w="1828" w:type="dxa"/>
            <w:shd w:val="clear" w:color="auto" w:fill="auto"/>
            <w:vAlign w:val="bottom"/>
            <w:hideMark/>
          </w:tcPr>
          <w:p w14:paraId="7838F0CF" w14:textId="271A066A"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-23%</w:t>
            </w:r>
          </w:p>
        </w:tc>
        <w:tc>
          <w:tcPr>
            <w:tcW w:w="1714" w:type="dxa"/>
            <w:shd w:val="clear" w:color="auto" w:fill="auto"/>
            <w:vAlign w:val="bottom"/>
            <w:hideMark/>
          </w:tcPr>
          <w:p w14:paraId="3B7B29F0" w14:textId="19A028EA"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4,9%</w:t>
            </w:r>
          </w:p>
        </w:tc>
        <w:tc>
          <w:tcPr>
            <w:tcW w:w="1677" w:type="dxa"/>
            <w:vAlign w:val="bottom"/>
          </w:tcPr>
          <w:p w14:paraId="7F04B606" w14:textId="4AA776E0"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000000"/>
                <w:sz w:val="22"/>
                <w:szCs w:val="22"/>
              </w:rPr>
              <w:t>0,5%</w:t>
            </w:r>
          </w:p>
        </w:tc>
      </w:tr>
      <w:tr w:rsidR="002A62A4" w:rsidRPr="002A62A4" w14:paraId="0BA5E7C4" w14:textId="77777777" w:rsidTr="007B45F9">
        <w:trPr>
          <w:trHeight w:val="215"/>
        </w:trPr>
        <w:tc>
          <w:tcPr>
            <w:tcW w:w="1935" w:type="dxa"/>
            <w:shd w:val="clear" w:color="auto" w:fill="auto"/>
            <w:vAlign w:val="bottom"/>
            <w:hideMark/>
          </w:tcPr>
          <w:p w14:paraId="7D23A384" w14:textId="1C8057A9" w:rsidR="002A62A4" w:rsidRPr="002A62A4" w:rsidRDefault="002A62A4" w:rsidP="002A62A4">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Región de Murcia</w:t>
            </w:r>
          </w:p>
        </w:tc>
        <w:tc>
          <w:tcPr>
            <w:tcW w:w="1828" w:type="dxa"/>
            <w:vAlign w:val="bottom"/>
          </w:tcPr>
          <w:p w14:paraId="7C7823FB" w14:textId="15885F2C" w:rsidR="002A62A4" w:rsidRPr="002A62A4" w:rsidRDefault="002A62A4" w:rsidP="002A62A4">
            <w:pPr>
              <w:jc w:val="center"/>
              <w:rPr>
                <w:rFonts w:ascii="Open Sans" w:hAnsi="Open Sans" w:cs="Open Sans"/>
                <w:color w:val="000000"/>
                <w:sz w:val="22"/>
                <w:szCs w:val="22"/>
              </w:rPr>
            </w:pPr>
            <w:r w:rsidRPr="002A62A4">
              <w:rPr>
                <w:rFonts w:ascii="Open Sans" w:hAnsi="Open Sans" w:cs="Open Sans"/>
                <w:color w:val="9C0006"/>
                <w:sz w:val="22"/>
                <w:szCs w:val="22"/>
              </w:rPr>
              <w:t>-45%</w:t>
            </w:r>
          </w:p>
        </w:tc>
        <w:tc>
          <w:tcPr>
            <w:tcW w:w="1828" w:type="dxa"/>
            <w:shd w:val="clear" w:color="auto" w:fill="auto"/>
            <w:vAlign w:val="bottom"/>
            <w:hideMark/>
          </w:tcPr>
          <w:p w14:paraId="5B45018D" w14:textId="4583D606"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9C0006"/>
                <w:sz w:val="22"/>
                <w:szCs w:val="22"/>
              </w:rPr>
              <w:t>-30%</w:t>
            </w:r>
          </w:p>
        </w:tc>
        <w:tc>
          <w:tcPr>
            <w:tcW w:w="1714" w:type="dxa"/>
            <w:shd w:val="clear" w:color="auto" w:fill="auto"/>
            <w:vAlign w:val="bottom"/>
            <w:hideMark/>
          </w:tcPr>
          <w:p w14:paraId="01596F25" w14:textId="0A83B4B8" w:rsidR="002A62A4" w:rsidRPr="002A62A4" w:rsidRDefault="002A62A4" w:rsidP="002A62A4">
            <w:pPr>
              <w:jc w:val="cente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0,7%</w:t>
            </w:r>
          </w:p>
        </w:tc>
        <w:tc>
          <w:tcPr>
            <w:tcW w:w="1677" w:type="dxa"/>
            <w:vAlign w:val="bottom"/>
          </w:tcPr>
          <w:p w14:paraId="5F0987A7" w14:textId="3DF1CBE0" w:rsidR="002A62A4" w:rsidRPr="002A62A4" w:rsidRDefault="002A62A4" w:rsidP="002A62A4">
            <w:pPr>
              <w:jc w:val="center"/>
              <w:rPr>
                <w:rFonts w:ascii="Open Sans" w:eastAsia="Times New Roman" w:hAnsi="Open Sans" w:cs="Open Sans"/>
                <w:color w:val="FF0000"/>
                <w:sz w:val="22"/>
                <w:szCs w:val="22"/>
                <w:lang w:val="es-ES" w:eastAsia="es-ES"/>
              </w:rPr>
            </w:pPr>
            <w:r w:rsidRPr="002A62A4">
              <w:rPr>
                <w:rFonts w:ascii="Open Sans" w:hAnsi="Open Sans" w:cs="Open Sans"/>
                <w:color w:val="9C0006"/>
                <w:sz w:val="22"/>
                <w:szCs w:val="22"/>
              </w:rPr>
              <w:t>-0,6%</w:t>
            </w:r>
          </w:p>
        </w:tc>
      </w:tr>
      <w:tr w:rsidR="002A62A4" w:rsidRPr="002A62A4" w14:paraId="656E1A7D" w14:textId="77777777" w:rsidTr="007B45F9">
        <w:trPr>
          <w:trHeight w:val="215"/>
        </w:trPr>
        <w:tc>
          <w:tcPr>
            <w:tcW w:w="1935" w:type="dxa"/>
            <w:shd w:val="clear" w:color="auto" w:fill="ACB9CA" w:themeFill="text2" w:themeFillTint="66"/>
            <w:vAlign w:val="bottom"/>
            <w:hideMark/>
          </w:tcPr>
          <w:p w14:paraId="76B8FDD3" w14:textId="29431E45" w:rsidR="002A62A4" w:rsidRPr="002A62A4" w:rsidRDefault="002A62A4" w:rsidP="002A62A4">
            <w:pPr>
              <w:rPr>
                <w:rFonts w:ascii="Open Sans" w:eastAsia="Times New Roman" w:hAnsi="Open Sans" w:cs="Open Sans"/>
                <w:b/>
                <w:bCs/>
                <w:color w:val="000000"/>
                <w:sz w:val="22"/>
                <w:szCs w:val="22"/>
                <w:lang w:val="es-ES" w:eastAsia="es-ES"/>
              </w:rPr>
            </w:pPr>
            <w:r w:rsidRPr="002A62A4">
              <w:rPr>
                <w:rFonts w:ascii="Open Sans" w:hAnsi="Open Sans" w:cs="Open Sans"/>
                <w:b/>
                <w:bCs/>
                <w:color w:val="000000"/>
                <w:sz w:val="22"/>
                <w:szCs w:val="22"/>
              </w:rPr>
              <w:t>España</w:t>
            </w:r>
          </w:p>
        </w:tc>
        <w:tc>
          <w:tcPr>
            <w:tcW w:w="1828" w:type="dxa"/>
            <w:shd w:val="clear" w:color="auto" w:fill="ACB9CA" w:themeFill="text2" w:themeFillTint="66"/>
            <w:vAlign w:val="bottom"/>
          </w:tcPr>
          <w:p w14:paraId="09086AF0" w14:textId="0027128A" w:rsidR="002A62A4" w:rsidRPr="002A62A4" w:rsidRDefault="002A62A4" w:rsidP="002A62A4">
            <w:pPr>
              <w:jc w:val="center"/>
              <w:rPr>
                <w:rFonts w:ascii="Open Sans" w:hAnsi="Open Sans" w:cs="Open Sans"/>
                <w:b/>
                <w:bCs/>
                <w:color w:val="000000"/>
                <w:sz w:val="22"/>
                <w:szCs w:val="22"/>
              </w:rPr>
            </w:pPr>
            <w:r w:rsidRPr="002A62A4">
              <w:rPr>
                <w:rFonts w:ascii="Open Sans" w:hAnsi="Open Sans" w:cs="Open Sans"/>
                <w:b/>
                <w:bCs/>
                <w:color w:val="9C0006"/>
                <w:sz w:val="22"/>
                <w:szCs w:val="22"/>
              </w:rPr>
              <w:t>-30%</w:t>
            </w:r>
          </w:p>
        </w:tc>
        <w:tc>
          <w:tcPr>
            <w:tcW w:w="1828" w:type="dxa"/>
            <w:shd w:val="clear" w:color="auto" w:fill="ACB9CA" w:themeFill="text2" w:themeFillTint="66"/>
            <w:vAlign w:val="bottom"/>
            <w:hideMark/>
          </w:tcPr>
          <w:p w14:paraId="31EE8DA0" w14:textId="51DD979C" w:rsidR="002A62A4" w:rsidRPr="002A62A4" w:rsidRDefault="002A62A4" w:rsidP="002A62A4">
            <w:pPr>
              <w:jc w:val="center"/>
              <w:rPr>
                <w:rFonts w:ascii="Open Sans" w:eastAsia="Times New Roman" w:hAnsi="Open Sans" w:cs="Open Sans"/>
                <w:b/>
                <w:bCs/>
                <w:color w:val="000000"/>
                <w:sz w:val="22"/>
                <w:szCs w:val="22"/>
                <w:lang w:val="es-ES" w:eastAsia="es-ES"/>
              </w:rPr>
            </w:pPr>
            <w:r w:rsidRPr="002A62A4">
              <w:rPr>
                <w:rFonts w:ascii="Open Sans" w:hAnsi="Open Sans" w:cs="Open Sans"/>
                <w:b/>
                <w:bCs/>
                <w:color w:val="9C0006"/>
                <w:sz w:val="22"/>
                <w:szCs w:val="22"/>
              </w:rPr>
              <w:t>-17%</w:t>
            </w:r>
          </w:p>
        </w:tc>
        <w:tc>
          <w:tcPr>
            <w:tcW w:w="1714" w:type="dxa"/>
            <w:shd w:val="clear" w:color="auto" w:fill="ACB9CA" w:themeFill="text2" w:themeFillTint="66"/>
            <w:vAlign w:val="bottom"/>
            <w:hideMark/>
          </w:tcPr>
          <w:p w14:paraId="27BC0446" w14:textId="604AD509" w:rsidR="002A62A4" w:rsidRPr="002A62A4" w:rsidRDefault="002A62A4" w:rsidP="002A62A4">
            <w:pPr>
              <w:jc w:val="center"/>
              <w:rPr>
                <w:rFonts w:ascii="Open Sans" w:eastAsia="Times New Roman" w:hAnsi="Open Sans" w:cs="Open Sans"/>
                <w:b/>
                <w:bCs/>
                <w:color w:val="000000"/>
                <w:sz w:val="22"/>
                <w:szCs w:val="22"/>
                <w:lang w:val="es-ES" w:eastAsia="es-ES"/>
              </w:rPr>
            </w:pPr>
            <w:r w:rsidRPr="002A62A4">
              <w:rPr>
                <w:rFonts w:ascii="Open Sans" w:hAnsi="Open Sans" w:cs="Open Sans"/>
                <w:b/>
                <w:bCs/>
                <w:color w:val="000000"/>
                <w:sz w:val="22"/>
                <w:szCs w:val="22"/>
              </w:rPr>
              <w:t>16%</w:t>
            </w:r>
          </w:p>
        </w:tc>
        <w:tc>
          <w:tcPr>
            <w:tcW w:w="1677" w:type="dxa"/>
            <w:shd w:val="clear" w:color="auto" w:fill="ACB9CA" w:themeFill="text2" w:themeFillTint="66"/>
            <w:vAlign w:val="bottom"/>
          </w:tcPr>
          <w:p w14:paraId="72FCC067" w14:textId="53711DF1" w:rsidR="002A62A4" w:rsidRPr="002A62A4" w:rsidRDefault="002A62A4" w:rsidP="002A62A4">
            <w:pPr>
              <w:jc w:val="center"/>
              <w:rPr>
                <w:rFonts w:ascii="Open Sans" w:eastAsia="Times New Roman" w:hAnsi="Open Sans" w:cs="Open Sans"/>
                <w:b/>
                <w:bCs/>
                <w:color w:val="FF0000"/>
                <w:sz w:val="22"/>
                <w:szCs w:val="22"/>
                <w:lang w:val="es-ES" w:eastAsia="es-ES"/>
              </w:rPr>
            </w:pPr>
            <w:r w:rsidRPr="002A62A4">
              <w:rPr>
                <w:rFonts w:ascii="Open Sans" w:hAnsi="Open Sans" w:cs="Open Sans"/>
                <w:b/>
                <w:bCs/>
                <w:color w:val="9C0006"/>
                <w:sz w:val="22"/>
                <w:szCs w:val="22"/>
              </w:rPr>
              <w:t>-0,1%</w:t>
            </w:r>
          </w:p>
        </w:tc>
      </w:tr>
    </w:tbl>
    <w:p w14:paraId="5BF5D3CE" w14:textId="6253EF37" w:rsidR="00D95F3B" w:rsidRDefault="00D95F3B" w:rsidP="00E07AE5">
      <w:pPr>
        <w:pStyle w:val="NormalWeb"/>
        <w:shd w:val="clear" w:color="auto" w:fill="FFFFFF"/>
        <w:spacing w:after="225" w:line="276" w:lineRule="auto"/>
        <w:ind w:right="-574"/>
        <w:jc w:val="both"/>
        <w:rPr>
          <w:rFonts w:ascii="Open Sans" w:hAnsi="Open Sans" w:cs="Open Sans"/>
          <w:color w:val="000000" w:themeColor="text1"/>
          <w:sz w:val="22"/>
          <w:szCs w:val="22"/>
        </w:rPr>
      </w:pPr>
      <w:bookmarkStart w:id="0" w:name="_Hlk46655914"/>
      <w:r w:rsidRPr="00D95F3B">
        <w:rPr>
          <w:rFonts w:ascii="Open Sans" w:hAnsi="Open Sans" w:cs="Open Sans"/>
          <w:color w:val="000000" w:themeColor="text1"/>
          <w:sz w:val="22"/>
          <w:szCs w:val="22"/>
        </w:rPr>
        <w:t xml:space="preserve">“En cuanto al porcentaje acumulativo en comparación con el 2019, el leve descenso registrado se explica debido al cambio de tendencia detectado a finales de 2019, donde comenzamos a observar ligeras caídas, que se mantuvieron durante los meses más duros del coronavirus del 2020, hasta el último trimestre del año. Esto es un signo de que el mercado se está estabilizando y que tiende a la moderación. Aun </w:t>
      </w:r>
      <w:proofErr w:type="gramStart"/>
      <w:r w:rsidRPr="00D95F3B">
        <w:rPr>
          <w:rFonts w:ascii="Open Sans" w:hAnsi="Open Sans" w:cs="Open Sans"/>
          <w:color w:val="000000" w:themeColor="text1"/>
          <w:sz w:val="22"/>
          <w:szCs w:val="22"/>
        </w:rPr>
        <w:t>así</w:t>
      </w:r>
      <w:proofErr w:type="gramEnd"/>
      <w:r w:rsidRPr="00D95F3B">
        <w:rPr>
          <w:rFonts w:ascii="Open Sans" w:hAnsi="Open Sans" w:cs="Open Sans"/>
          <w:color w:val="000000" w:themeColor="text1"/>
          <w:sz w:val="22"/>
          <w:szCs w:val="22"/>
        </w:rPr>
        <w:t xml:space="preserve"> no esperamos grandes transformaciones en materia de descensos, ya que nos encontramos un 37% por debajo de los precios máximos que se alcanzaron en </w:t>
      </w:r>
      <w:r>
        <w:rPr>
          <w:rFonts w:ascii="Open Sans" w:hAnsi="Open Sans" w:cs="Open Sans"/>
          <w:color w:val="000000" w:themeColor="text1"/>
          <w:sz w:val="22"/>
          <w:szCs w:val="22"/>
        </w:rPr>
        <w:t>los años de</w:t>
      </w:r>
      <w:r w:rsidRPr="00D95F3B">
        <w:rPr>
          <w:rFonts w:ascii="Open Sans" w:hAnsi="Open Sans" w:cs="Open Sans"/>
          <w:color w:val="000000" w:themeColor="text1"/>
          <w:sz w:val="22"/>
          <w:szCs w:val="22"/>
        </w:rPr>
        <w:t>l boom inmobiliario”, apunta la directora de Comunicación.</w:t>
      </w:r>
    </w:p>
    <w:p w14:paraId="1539407D" w14:textId="77777777" w:rsidR="00D95F3B" w:rsidRDefault="00D95F3B" w:rsidP="00E07AE5">
      <w:pPr>
        <w:pStyle w:val="NormalWeb"/>
        <w:shd w:val="clear" w:color="auto" w:fill="FFFFFF"/>
        <w:spacing w:after="225" w:line="276" w:lineRule="auto"/>
        <w:ind w:right="-574"/>
        <w:jc w:val="both"/>
        <w:rPr>
          <w:rFonts w:ascii="Open Sans" w:hAnsi="Open Sans" w:cs="Open Sans"/>
          <w:color w:val="000000" w:themeColor="text1"/>
          <w:sz w:val="22"/>
          <w:szCs w:val="22"/>
        </w:rPr>
      </w:pPr>
    </w:p>
    <w:p w14:paraId="19970716" w14:textId="00CB6047" w:rsidR="00E07AE5" w:rsidRDefault="00E07AE5" w:rsidP="00E07AE5">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themeColor="text1"/>
          <w:sz w:val="22"/>
          <w:szCs w:val="22"/>
        </w:rPr>
        <w:lastRenderedPageBreak/>
        <w:t>A</w:t>
      </w:r>
      <w:r w:rsidRPr="008D1286">
        <w:rPr>
          <w:rFonts w:ascii="Open Sans" w:hAnsi="Open Sans" w:cs="Open Sans"/>
          <w:color w:val="000000" w:themeColor="text1"/>
          <w:sz w:val="22"/>
          <w:szCs w:val="22"/>
        </w:rPr>
        <w:t>nalizando los</w:t>
      </w:r>
      <w:r>
        <w:rPr>
          <w:rFonts w:ascii="Open Sans" w:hAnsi="Open Sans" w:cs="Open Sans"/>
          <w:color w:val="000000" w:themeColor="text1"/>
          <w:sz w:val="22"/>
          <w:szCs w:val="22"/>
        </w:rPr>
        <w:t xml:space="preserve"> precios que se pagaban por una vivienda en venta en 2015,</w:t>
      </w:r>
      <w:r w:rsidRPr="008D1286">
        <w:rPr>
          <w:rFonts w:ascii="Open Sans" w:hAnsi="Open Sans" w:cs="Open Sans"/>
          <w:color w:val="000000" w:themeColor="text1"/>
          <w:sz w:val="22"/>
          <w:szCs w:val="22"/>
        </w:rPr>
        <w:t xml:space="preserve"> </w:t>
      </w:r>
      <w:r w:rsidRPr="008D1286">
        <w:rPr>
          <w:rFonts w:ascii="Open Sans" w:hAnsi="Open Sans" w:cs="Open Sans"/>
          <w:b/>
          <w:bCs/>
          <w:color w:val="000000" w:themeColor="text1"/>
          <w:sz w:val="22"/>
          <w:szCs w:val="22"/>
        </w:rPr>
        <w:t xml:space="preserve">el precio medio del metro cuadrado de la vivienda </w:t>
      </w:r>
      <w:r>
        <w:rPr>
          <w:rFonts w:ascii="Open Sans" w:hAnsi="Open Sans" w:cs="Open Sans"/>
          <w:b/>
          <w:bCs/>
          <w:color w:val="000000" w:themeColor="text1"/>
          <w:sz w:val="22"/>
          <w:szCs w:val="22"/>
        </w:rPr>
        <w:t xml:space="preserve">se ha incrementado </w:t>
      </w:r>
      <w:r w:rsidRPr="008D1286">
        <w:rPr>
          <w:rFonts w:ascii="Open Sans" w:hAnsi="Open Sans" w:cs="Open Sans"/>
          <w:b/>
          <w:bCs/>
          <w:color w:val="000000" w:themeColor="text1"/>
          <w:sz w:val="22"/>
          <w:szCs w:val="22"/>
        </w:rPr>
        <w:t xml:space="preserve">un </w:t>
      </w:r>
      <w:r>
        <w:rPr>
          <w:rFonts w:ascii="Open Sans" w:hAnsi="Open Sans" w:cs="Open Sans"/>
          <w:b/>
          <w:bCs/>
          <w:color w:val="000000" w:themeColor="text1"/>
          <w:sz w:val="22"/>
          <w:szCs w:val="22"/>
        </w:rPr>
        <w:t>16</w:t>
      </w:r>
      <w:r w:rsidRPr="008D1286">
        <w:rPr>
          <w:rFonts w:ascii="Open Sans" w:hAnsi="Open Sans" w:cs="Open Sans"/>
          <w:b/>
          <w:bCs/>
          <w:color w:val="000000" w:themeColor="text1"/>
          <w:sz w:val="22"/>
          <w:szCs w:val="22"/>
        </w:rPr>
        <w:t>% en España</w:t>
      </w:r>
      <w:r>
        <w:rPr>
          <w:rFonts w:ascii="Open Sans" w:hAnsi="Open Sans" w:cs="Open Sans"/>
          <w:b/>
          <w:bCs/>
          <w:color w:val="000000" w:themeColor="text1"/>
          <w:sz w:val="22"/>
          <w:szCs w:val="22"/>
        </w:rPr>
        <w:t xml:space="preserve"> </w:t>
      </w:r>
      <w:r w:rsidRPr="005C5838">
        <w:rPr>
          <w:rFonts w:ascii="Open Sans" w:hAnsi="Open Sans" w:cs="Open Sans"/>
          <w:color w:val="000000" w:themeColor="text1"/>
          <w:sz w:val="22"/>
          <w:szCs w:val="22"/>
        </w:rPr>
        <w:t xml:space="preserve">(de </w:t>
      </w:r>
      <w:r>
        <w:rPr>
          <w:rFonts w:ascii="Open Sans" w:hAnsi="Open Sans" w:cs="Open Sans"/>
          <w:color w:val="000000" w:themeColor="text1"/>
          <w:sz w:val="22"/>
          <w:szCs w:val="22"/>
        </w:rPr>
        <w:t xml:space="preserve">1.619 </w:t>
      </w:r>
      <w:r w:rsidRPr="005C5838">
        <w:rPr>
          <w:rFonts w:ascii="Open Sans" w:hAnsi="Open Sans" w:cs="Open Sans"/>
          <w:color w:val="000000" w:themeColor="text1"/>
          <w:sz w:val="22"/>
          <w:szCs w:val="22"/>
        </w:rPr>
        <w:t>euros/m</w:t>
      </w:r>
      <w:r w:rsidRPr="005C5838">
        <w:rPr>
          <w:rFonts w:ascii="Open Sans" w:hAnsi="Open Sans" w:cs="Open Sans"/>
          <w:color w:val="000000" w:themeColor="text1"/>
          <w:sz w:val="22"/>
          <w:szCs w:val="22"/>
          <w:vertAlign w:val="superscript"/>
        </w:rPr>
        <w:t>2</w:t>
      </w:r>
      <w:r w:rsidRPr="005C5838">
        <w:rPr>
          <w:rFonts w:ascii="Open Sans" w:hAnsi="Open Sans" w:cs="Open Sans"/>
          <w:color w:val="000000" w:themeColor="text1"/>
          <w:sz w:val="22"/>
          <w:szCs w:val="22"/>
        </w:rPr>
        <w:t xml:space="preserve"> en</w:t>
      </w:r>
      <w:r>
        <w:rPr>
          <w:rFonts w:ascii="Open Sans" w:hAnsi="Open Sans" w:cs="Open Sans"/>
          <w:color w:val="000000" w:themeColor="text1"/>
          <w:sz w:val="22"/>
          <w:szCs w:val="22"/>
        </w:rPr>
        <w:t xml:space="preserve"> diciembre de</w:t>
      </w:r>
      <w:r w:rsidRPr="005C5838">
        <w:rPr>
          <w:rFonts w:ascii="Open Sans" w:hAnsi="Open Sans" w:cs="Open Sans"/>
          <w:color w:val="000000" w:themeColor="text1"/>
          <w:sz w:val="22"/>
          <w:szCs w:val="22"/>
        </w:rPr>
        <w:t xml:space="preserve"> 201</w:t>
      </w:r>
      <w:r>
        <w:rPr>
          <w:rFonts w:ascii="Open Sans" w:hAnsi="Open Sans" w:cs="Open Sans"/>
          <w:color w:val="000000" w:themeColor="text1"/>
          <w:sz w:val="22"/>
          <w:szCs w:val="22"/>
        </w:rPr>
        <w:t>5,</w:t>
      </w:r>
      <w:r w:rsidRPr="005C5838">
        <w:rPr>
          <w:rFonts w:ascii="Open Sans" w:hAnsi="Open Sans" w:cs="Open Sans"/>
          <w:color w:val="000000" w:themeColor="text1"/>
          <w:sz w:val="22"/>
          <w:szCs w:val="22"/>
        </w:rPr>
        <w:t xml:space="preserve"> a </w:t>
      </w:r>
      <w:r>
        <w:rPr>
          <w:rFonts w:ascii="Open Sans" w:hAnsi="Open Sans" w:cs="Open Sans"/>
          <w:color w:val="000000" w:themeColor="text1"/>
          <w:sz w:val="22"/>
          <w:szCs w:val="22"/>
        </w:rPr>
        <w:t>los 1.876</w:t>
      </w:r>
      <w:r w:rsidRPr="005C5838">
        <w:rPr>
          <w:rFonts w:ascii="Open Sans" w:hAnsi="Open Sans" w:cs="Open Sans"/>
          <w:color w:val="000000" w:themeColor="text1"/>
          <w:sz w:val="22"/>
          <w:szCs w:val="22"/>
        </w:rPr>
        <w:t xml:space="preserve"> euros/m</w:t>
      </w:r>
      <w:r w:rsidRPr="005C5838">
        <w:rPr>
          <w:rFonts w:ascii="Open Sans" w:hAnsi="Open Sans" w:cs="Open Sans"/>
          <w:color w:val="000000" w:themeColor="text1"/>
          <w:sz w:val="22"/>
          <w:szCs w:val="22"/>
          <w:vertAlign w:val="superscript"/>
        </w:rPr>
        <w:t>2</w:t>
      </w:r>
      <w:r w:rsidRPr="005C5838">
        <w:rPr>
          <w:rFonts w:ascii="Open Sans" w:hAnsi="Open Sans" w:cs="Open Sans"/>
          <w:color w:val="000000" w:themeColor="text1"/>
          <w:sz w:val="22"/>
          <w:szCs w:val="22"/>
        </w:rPr>
        <w:t xml:space="preserve"> en </w:t>
      </w:r>
      <w:r>
        <w:rPr>
          <w:rFonts w:ascii="Open Sans" w:hAnsi="Open Sans" w:cs="Open Sans"/>
          <w:color w:val="000000" w:themeColor="text1"/>
          <w:sz w:val="22"/>
          <w:szCs w:val="22"/>
        </w:rPr>
        <w:t xml:space="preserve">diciembre </w:t>
      </w:r>
      <w:r w:rsidRPr="005C5838">
        <w:rPr>
          <w:rFonts w:ascii="Open Sans" w:hAnsi="Open Sans" w:cs="Open Sans"/>
          <w:color w:val="000000" w:themeColor="text1"/>
          <w:sz w:val="22"/>
          <w:szCs w:val="22"/>
        </w:rPr>
        <w:t>de 20</w:t>
      </w:r>
      <w:r>
        <w:rPr>
          <w:rFonts w:ascii="Open Sans" w:hAnsi="Open Sans" w:cs="Open Sans"/>
          <w:color w:val="000000" w:themeColor="text1"/>
          <w:sz w:val="22"/>
          <w:szCs w:val="22"/>
        </w:rPr>
        <w:t>20</w:t>
      </w:r>
      <w:r w:rsidRPr="005C5838">
        <w:rPr>
          <w:rFonts w:ascii="Open Sans" w:hAnsi="Open Sans" w:cs="Open Sans"/>
          <w:color w:val="000000" w:themeColor="text1"/>
          <w:sz w:val="22"/>
          <w:szCs w:val="22"/>
        </w:rPr>
        <w:t>)</w:t>
      </w:r>
      <w:r>
        <w:rPr>
          <w:rFonts w:ascii="Open Sans" w:hAnsi="Open Sans" w:cs="Open Sans"/>
          <w:color w:val="000000" w:themeColor="text1"/>
          <w:sz w:val="22"/>
          <w:szCs w:val="22"/>
        </w:rPr>
        <w:t xml:space="preserve">. </w:t>
      </w:r>
      <w:r>
        <w:rPr>
          <w:rFonts w:ascii="Open Sans" w:hAnsi="Open Sans" w:cs="Open Sans"/>
          <w:color w:val="000000"/>
          <w:sz w:val="22"/>
          <w:szCs w:val="22"/>
        </w:rPr>
        <w:t>Así, los españoles hace 5 años (2015) debían pagar por la venta</w:t>
      </w:r>
      <w:r w:rsidRPr="008376CF">
        <w:rPr>
          <w:rFonts w:ascii="Open Sans" w:hAnsi="Open Sans" w:cs="Open Sans"/>
          <w:color w:val="000000"/>
          <w:sz w:val="22"/>
          <w:szCs w:val="22"/>
        </w:rPr>
        <w:t xml:space="preserve"> </w:t>
      </w:r>
      <w:r>
        <w:rPr>
          <w:rFonts w:ascii="Open Sans" w:hAnsi="Open Sans" w:cs="Open Sans"/>
          <w:color w:val="000000"/>
          <w:sz w:val="22"/>
          <w:szCs w:val="22"/>
        </w:rPr>
        <w:t>de una vivienda de 80 m</w:t>
      </w:r>
      <w:r w:rsidRPr="002C2F40">
        <w:rPr>
          <w:rFonts w:ascii="Open Sans" w:hAnsi="Open Sans" w:cs="Open Sans"/>
          <w:color w:val="000000"/>
          <w:sz w:val="22"/>
          <w:szCs w:val="22"/>
          <w:vertAlign w:val="superscript"/>
        </w:rPr>
        <w:t>2</w:t>
      </w:r>
      <w:r>
        <w:rPr>
          <w:rFonts w:ascii="Open Sans" w:hAnsi="Open Sans" w:cs="Open Sans"/>
          <w:color w:val="000000"/>
          <w:sz w:val="22"/>
          <w:szCs w:val="22"/>
        </w:rPr>
        <w:t xml:space="preserve"> una media de 129.545 euros, frente a los 150.073 euros que se paga como media en España en 2020. </w:t>
      </w:r>
    </w:p>
    <w:p w14:paraId="462BFCA9" w14:textId="5DCD3F3C" w:rsidR="00E07AE5" w:rsidRDefault="00E07AE5" w:rsidP="00E07AE5">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t>Precio medio de una vivienda de 80 m</w:t>
      </w:r>
      <w:r w:rsidRPr="00E07AE5">
        <w:rPr>
          <w:rFonts w:ascii="National" w:hAnsi="National"/>
          <w:b/>
          <w:bCs/>
          <w:iCs/>
          <w:color w:val="303AB2"/>
          <w:sz w:val="28"/>
          <w:szCs w:val="160"/>
          <w:vertAlign w:val="superscript"/>
          <w:lang w:val="es-ES"/>
        </w:rPr>
        <w:t>2</w:t>
      </w:r>
      <w:r>
        <w:rPr>
          <w:rFonts w:ascii="National" w:hAnsi="National"/>
          <w:b/>
          <w:bCs/>
          <w:iCs/>
          <w:color w:val="303AB2"/>
          <w:sz w:val="28"/>
          <w:szCs w:val="160"/>
          <w:lang w:val="es-ES"/>
        </w:rPr>
        <w:t xml:space="preserve"> por CCAA</w:t>
      </w:r>
    </w:p>
    <w:p w14:paraId="2088AE5F" w14:textId="77777777" w:rsidR="00E07AE5" w:rsidRDefault="00E07AE5" w:rsidP="00E07AE5">
      <w:pPr>
        <w:pStyle w:val="Prrafodelista"/>
        <w:spacing w:line="276" w:lineRule="auto"/>
        <w:ind w:left="0" w:right="-574"/>
        <w:jc w:val="center"/>
        <w:rPr>
          <w:rFonts w:ascii="National" w:hAnsi="National"/>
          <w:b/>
          <w:bCs/>
          <w:iCs/>
          <w:color w:val="303AB2"/>
          <w:sz w:val="30"/>
          <w:szCs w:val="180"/>
          <w:lang w:val="es-ES"/>
        </w:rPr>
      </w:pPr>
    </w:p>
    <w:tbl>
      <w:tblPr>
        <w:tblW w:w="8982"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1833"/>
        <w:gridCol w:w="1843"/>
        <w:gridCol w:w="1843"/>
        <w:gridCol w:w="1701"/>
        <w:gridCol w:w="1762"/>
      </w:tblGrid>
      <w:tr w:rsidR="00E07AE5" w:rsidRPr="002A62A4" w14:paraId="451908B5" w14:textId="77777777" w:rsidTr="00E07AE5">
        <w:trPr>
          <w:trHeight w:val="738"/>
        </w:trPr>
        <w:tc>
          <w:tcPr>
            <w:tcW w:w="1833" w:type="dxa"/>
            <w:shd w:val="clear" w:color="auto" w:fill="ACB9CA"/>
            <w:vAlign w:val="center"/>
            <w:hideMark/>
          </w:tcPr>
          <w:p w14:paraId="36963739" w14:textId="77777777" w:rsidR="00E07AE5" w:rsidRPr="00E07AE5" w:rsidRDefault="00E07AE5" w:rsidP="00E07AE5">
            <w:pPr>
              <w:rPr>
                <w:rFonts w:ascii="Open Sans" w:eastAsia="Times New Roman" w:hAnsi="Open Sans" w:cs="Open Sans"/>
                <w:b/>
                <w:bCs/>
                <w:color w:val="000000" w:themeColor="text1"/>
                <w:sz w:val="18"/>
                <w:szCs w:val="18"/>
                <w:lang w:val="es-ES" w:eastAsia="es-ES"/>
              </w:rPr>
            </w:pPr>
            <w:r w:rsidRPr="00E07AE5">
              <w:rPr>
                <w:rFonts w:ascii="Open Sans" w:eastAsia="Times New Roman" w:hAnsi="Open Sans" w:cs="Open Sans"/>
                <w:b/>
                <w:bCs/>
                <w:color w:val="000000" w:themeColor="text1"/>
                <w:sz w:val="18"/>
                <w:szCs w:val="18"/>
                <w:lang w:val="es-ES" w:eastAsia="es-ES"/>
              </w:rPr>
              <w:t>CCAA</w:t>
            </w:r>
          </w:p>
        </w:tc>
        <w:tc>
          <w:tcPr>
            <w:tcW w:w="1843" w:type="dxa"/>
            <w:shd w:val="clear" w:color="auto" w:fill="ACB9CA"/>
          </w:tcPr>
          <w:p w14:paraId="3BD14ED6" w14:textId="42B86DAA" w:rsidR="00E07AE5" w:rsidRPr="00E07AE5" w:rsidRDefault="00E07AE5" w:rsidP="00E07AE5">
            <w:pPr>
              <w:jc w:val="center"/>
              <w:rPr>
                <w:rFonts w:ascii="Open Sans" w:hAnsi="Open Sans" w:cs="Open Sans"/>
                <w:b/>
                <w:bCs/>
                <w:color w:val="0D0D0D" w:themeColor="text1" w:themeTint="F2"/>
                <w:sz w:val="18"/>
                <w:szCs w:val="18"/>
              </w:rPr>
            </w:pPr>
            <w:r w:rsidRPr="00E07AE5">
              <w:rPr>
                <w:rFonts w:ascii="Open Sans" w:hAnsi="Open Sans" w:cs="Open Sans"/>
                <w:b/>
                <w:bCs/>
                <w:color w:val="0D0D0D" w:themeColor="text1" w:themeTint="F2"/>
                <w:sz w:val="18"/>
                <w:szCs w:val="18"/>
              </w:rPr>
              <w:t>Precio de una vivienda de 80 m</w:t>
            </w:r>
            <w:r w:rsidRPr="00E07AE5">
              <w:rPr>
                <w:rFonts w:ascii="Open Sans" w:hAnsi="Open Sans" w:cs="Open Sans"/>
                <w:b/>
                <w:bCs/>
                <w:color w:val="0D0D0D" w:themeColor="text1" w:themeTint="F2"/>
                <w:sz w:val="18"/>
                <w:szCs w:val="18"/>
                <w:vertAlign w:val="superscript"/>
              </w:rPr>
              <w:t>2</w:t>
            </w:r>
            <w:r w:rsidRPr="00E07AE5">
              <w:rPr>
                <w:rFonts w:ascii="Open Sans" w:hAnsi="Open Sans" w:cs="Open Sans"/>
                <w:b/>
                <w:bCs/>
                <w:color w:val="0D0D0D" w:themeColor="text1" w:themeTint="F2"/>
                <w:sz w:val="18"/>
                <w:szCs w:val="18"/>
              </w:rPr>
              <w:t xml:space="preserve"> en 2005</w:t>
            </w:r>
          </w:p>
        </w:tc>
        <w:tc>
          <w:tcPr>
            <w:tcW w:w="1843" w:type="dxa"/>
            <w:shd w:val="clear" w:color="auto" w:fill="ACB9CA"/>
            <w:vAlign w:val="center"/>
            <w:hideMark/>
          </w:tcPr>
          <w:p w14:paraId="67CA4C5E" w14:textId="5598159B" w:rsidR="00E07AE5" w:rsidRPr="00E07AE5" w:rsidRDefault="00E07AE5" w:rsidP="00E07AE5">
            <w:pPr>
              <w:jc w:val="center"/>
              <w:rPr>
                <w:rFonts w:ascii="Open Sans" w:eastAsia="Times New Roman" w:hAnsi="Open Sans" w:cs="Open Sans"/>
                <w:b/>
                <w:bCs/>
                <w:color w:val="0D0D0D" w:themeColor="text1" w:themeTint="F2"/>
                <w:sz w:val="18"/>
                <w:szCs w:val="18"/>
                <w:lang w:val="es-ES" w:eastAsia="es-ES"/>
              </w:rPr>
            </w:pPr>
            <w:r w:rsidRPr="00E07AE5">
              <w:rPr>
                <w:rFonts w:ascii="Open Sans" w:hAnsi="Open Sans" w:cs="Open Sans"/>
                <w:b/>
                <w:bCs/>
                <w:color w:val="0D0D0D" w:themeColor="text1" w:themeTint="F2"/>
                <w:sz w:val="18"/>
                <w:szCs w:val="18"/>
              </w:rPr>
              <w:t>Precio de una vivienda de 80 m</w:t>
            </w:r>
            <w:r w:rsidRPr="00E07AE5">
              <w:rPr>
                <w:rFonts w:ascii="Open Sans" w:hAnsi="Open Sans" w:cs="Open Sans"/>
                <w:b/>
                <w:bCs/>
                <w:color w:val="0D0D0D" w:themeColor="text1" w:themeTint="F2"/>
                <w:sz w:val="18"/>
                <w:szCs w:val="18"/>
                <w:vertAlign w:val="superscript"/>
              </w:rPr>
              <w:t>2</w:t>
            </w:r>
            <w:r w:rsidRPr="00E07AE5">
              <w:rPr>
                <w:rFonts w:ascii="Open Sans" w:hAnsi="Open Sans" w:cs="Open Sans"/>
                <w:b/>
                <w:bCs/>
                <w:color w:val="0D0D0D" w:themeColor="text1" w:themeTint="F2"/>
                <w:sz w:val="18"/>
                <w:szCs w:val="18"/>
              </w:rPr>
              <w:t xml:space="preserve"> en 2010</w:t>
            </w:r>
          </w:p>
        </w:tc>
        <w:tc>
          <w:tcPr>
            <w:tcW w:w="1701" w:type="dxa"/>
            <w:shd w:val="clear" w:color="auto" w:fill="ACB9CA"/>
            <w:hideMark/>
          </w:tcPr>
          <w:p w14:paraId="56E0B02D" w14:textId="7BAD0657" w:rsidR="00E07AE5" w:rsidRPr="00E07AE5" w:rsidRDefault="00E07AE5" w:rsidP="00E07AE5">
            <w:pPr>
              <w:jc w:val="center"/>
              <w:rPr>
                <w:rFonts w:ascii="Open Sans" w:eastAsia="Times New Roman" w:hAnsi="Open Sans" w:cs="Open Sans"/>
                <w:b/>
                <w:bCs/>
                <w:color w:val="0D0D0D" w:themeColor="text1" w:themeTint="F2"/>
                <w:sz w:val="18"/>
                <w:szCs w:val="18"/>
                <w:lang w:val="es-ES" w:eastAsia="es-ES"/>
              </w:rPr>
            </w:pPr>
            <w:r w:rsidRPr="00E07AE5">
              <w:rPr>
                <w:rFonts w:ascii="Open Sans" w:hAnsi="Open Sans" w:cs="Open Sans"/>
                <w:b/>
                <w:bCs/>
                <w:color w:val="0D0D0D" w:themeColor="text1" w:themeTint="F2"/>
                <w:sz w:val="18"/>
                <w:szCs w:val="18"/>
              </w:rPr>
              <w:t>Precio de una vivienda de 80 m</w:t>
            </w:r>
            <w:r w:rsidRPr="00E07AE5">
              <w:rPr>
                <w:rFonts w:ascii="Open Sans" w:hAnsi="Open Sans" w:cs="Open Sans"/>
                <w:b/>
                <w:bCs/>
                <w:color w:val="0D0D0D" w:themeColor="text1" w:themeTint="F2"/>
                <w:sz w:val="18"/>
                <w:szCs w:val="18"/>
                <w:vertAlign w:val="superscript"/>
              </w:rPr>
              <w:t>2</w:t>
            </w:r>
            <w:r w:rsidRPr="00E07AE5">
              <w:rPr>
                <w:rFonts w:ascii="Open Sans" w:hAnsi="Open Sans" w:cs="Open Sans"/>
                <w:b/>
                <w:bCs/>
                <w:color w:val="0D0D0D" w:themeColor="text1" w:themeTint="F2"/>
                <w:sz w:val="18"/>
                <w:szCs w:val="18"/>
              </w:rPr>
              <w:t xml:space="preserve"> en 2015</w:t>
            </w:r>
          </w:p>
        </w:tc>
        <w:tc>
          <w:tcPr>
            <w:tcW w:w="1762" w:type="dxa"/>
            <w:shd w:val="clear" w:color="auto" w:fill="ACB9CA" w:themeFill="text2" w:themeFillTint="66"/>
          </w:tcPr>
          <w:p w14:paraId="04D39C1F" w14:textId="30454171" w:rsidR="00E07AE5" w:rsidRPr="00E07AE5" w:rsidRDefault="00E07AE5" w:rsidP="00E07AE5">
            <w:pPr>
              <w:jc w:val="center"/>
              <w:rPr>
                <w:rFonts w:ascii="Open Sans" w:hAnsi="Open Sans" w:cs="Open Sans"/>
                <w:b/>
                <w:bCs/>
                <w:color w:val="0D0D0D" w:themeColor="text1" w:themeTint="F2"/>
                <w:sz w:val="18"/>
                <w:szCs w:val="18"/>
              </w:rPr>
            </w:pPr>
            <w:r w:rsidRPr="00E07AE5">
              <w:rPr>
                <w:rFonts w:ascii="Open Sans" w:hAnsi="Open Sans" w:cs="Open Sans"/>
                <w:b/>
                <w:bCs/>
                <w:color w:val="0D0D0D" w:themeColor="text1" w:themeTint="F2"/>
                <w:sz w:val="18"/>
                <w:szCs w:val="18"/>
              </w:rPr>
              <w:t>Precio de una vivienda de 80 m</w:t>
            </w:r>
            <w:r w:rsidRPr="00E07AE5">
              <w:rPr>
                <w:rFonts w:ascii="Open Sans" w:hAnsi="Open Sans" w:cs="Open Sans"/>
                <w:b/>
                <w:bCs/>
                <w:color w:val="0D0D0D" w:themeColor="text1" w:themeTint="F2"/>
                <w:sz w:val="18"/>
                <w:szCs w:val="18"/>
                <w:vertAlign w:val="superscript"/>
              </w:rPr>
              <w:t>2</w:t>
            </w:r>
            <w:r w:rsidRPr="00E07AE5">
              <w:rPr>
                <w:rFonts w:ascii="Open Sans" w:hAnsi="Open Sans" w:cs="Open Sans"/>
                <w:b/>
                <w:bCs/>
                <w:color w:val="0D0D0D" w:themeColor="text1" w:themeTint="F2"/>
                <w:sz w:val="18"/>
                <w:szCs w:val="18"/>
              </w:rPr>
              <w:t xml:space="preserve"> en 2020</w:t>
            </w:r>
          </w:p>
        </w:tc>
      </w:tr>
      <w:tr w:rsidR="00E07AE5" w:rsidRPr="002A62A4" w14:paraId="5333774B" w14:textId="77777777" w:rsidTr="00E07AE5">
        <w:trPr>
          <w:trHeight w:val="215"/>
        </w:trPr>
        <w:tc>
          <w:tcPr>
            <w:tcW w:w="1833" w:type="dxa"/>
            <w:shd w:val="clear" w:color="auto" w:fill="auto"/>
            <w:vAlign w:val="bottom"/>
            <w:hideMark/>
          </w:tcPr>
          <w:p w14:paraId="6C6FF17A"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Andalucía</w:t>
            </w:r>
          </w:p>
        </w:tc>
        <w:tc>
          <w:tcPr>
            <w:tcW w:w="1843" w:type="dxa"/>
            <w:vAlign w:val="bottom"/>
          </w:tcPr>
          <w:p w14:paraId="1D8FBA7A" w14:textId="327A4C8F"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183.840 €</w:t>
            </w:r>
          </w:p>
        </w:tc>
        <w:tc>
          <w:tcPr>
            <w:tcW w:w="1843" w:type="dxa"/>
            <w:shd w:val="clear" w:color="auto" w:fill="auto"/>
            <w:vAlign w:val="bottom"/>
            <w:hideMark/>
          </w:tcPr>
          <w:p w14:paraId="2DF19630" w14:textId="293FBC9D"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154.711 €</w:t>
            </w:r>
          </w:p>
        </w:tc>
        <w:tc>
          <w:tcPr>
            <w:tcW w:w="1701" w:type="dxa"/>
            <w:shd w:val="clear" w:color="auto" w:fill="auto"/>
            <w:vAlign w:val="bottom"/>
            <w:hideMark/>
          </w:tcPr>
          <w:p w14:paraId="281B8E4C" w14:textId="1087B58E"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114.038 €</w:t>
            </w:r>
          </w:p>
        </w:tc>
        <w:tc>
          <w:tcPr>
            <w:tcW w:w="1762" w:type="dxa"/>
            <w:vAlign w:val="bottom"/>
          </w:tcPr>
          <w:p w14:paraId="442ED1CD" w14:textId="360018B2"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131.936 €</w:t>
            </w:r>
          </w:p>
        </w:tc>
      </w:tr>
      <w:tr w:rsidR="00E07AE5" w:rsidRPr="002A62A4" w14:paraId="1CCD86AE" w14:textId="77777777" w:rsidTr="00E07AE5">
        <w:trPr>
          <w:trHeight w:val="215"/>
        </w:trPr>
        <w:tc>
          <w:tcPr>
            <w:tcW w:w="1833" w:type="dxa"/>
            <w:shd w:val="clear" w:color="auto" w:fill="auto"/>
            <w:vAlign w:val="bottom"/>
            <w:hideMark/>
          </w:tcPr>
          <w:p w14:paraId="78745F92"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Aragón</w:t>
            </w:r>
          </w:p>
        </w:tc>
        <w:tc>
          <w:tcPr>
            <w:tcW w:w="1843" w:type="dxa"/>
            <w:vAlign w:val="bottom"/>
          </w:tcPr>
          <w:p w14:paraId="23835063" w14:textId="33E606A9"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229.280 €</w:t>
            </w:r>
          </w:p>
        </w:tc>
        <w:tc>
          <w:tcPr>
            <w:tcW w:w="1843" w:type="dxa"/>
            <w:shd w:val="clear" w:color="auto" w:fill="auto"/>
            <w:vAlign w:val="bottom"/>
            <w:hideMark/>
          </w:tcPr>
          <w:p w14:paraId="7FAFB29D" w14:textId="2CDEF32A"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185.266 €</w:t>
            </w:r>
          </w:p>
        </w:tc>
        <w:tc>
          <w:tcPr>
            <w:tcW w:w="1701" w:type="dxa"/>
            <w:shd w:val="clear" w:color="auto" w:fill="auto"/>
            <w:vAlign w:val="bottom"/>
            <w:hideMark/>
          </w:tcPr>
          <w:p w14:paraId="12642A46" w14:textId="6539C354"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119.292 €</w:t>
            </w:r>
          </w:p>
        </w:tc>
        <w:tc>
          <w:tcPr>
            <w:tcW w:w="1762" w:type="dxa"/>
            <w:vAlign w:val="bottom"/>
          </w:tcPr>
          <w:p w14:paraId="27B66F03" w14:textId="5820B8E8"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123.412 €</w:t>
            </w:r>
          </w:p>
        </w:tc>
      </w:tr>
      <w:tr w:rsidR="00E07AE5" w:rsidRPr="002A62A4" w14:paraId="462E1270" w14:textId="77777777" w:rsidTr="00E07AE5">
        <w:trPr>
          <w:trHeight w:val="215"/>
        </w:trPr>
        <w:tc>
          <w:tcPr>
            <w:tcW w:w="1833" w:type="dxa"/>
            <w:shd w:val="clear" w:color="auto" w:fill="auto"/>
            <w:vAlign w:val="bottom"/>
            <w:hideMark/>
          </w:tcPr>
          <w:p w14:paraId="13B48AB8"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Asturias</w:t>
            </w:r>
          </w:p>
        </w:tc>
        <w:tc>
          <w:tcPr>
            <w:tcW w:w="1843" w:type="dxa"/>
            <w:vAlign w:val="bottom"/>
          </w:tcPr>
          <w:p w14:paraId="103A6F97" w14:textId="2FCA4462"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187.040 €</w:t>
            </w:r>
          </w:p>
        </w:tc>
        <w:tc>
          <w:tcPr>
            <w:tcW w:w="1843" w:type="dxa"/>
            <w:shd w:val="clear" w:color="auto" w:fill="auto"/>
            <w:vAlign w:val="bottom"/>
            <w:hideMark/>
          </w:tcPr>
          <w:p w14:paraId="2CD7B6EB" w14:textId="1C1C9BE7"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181.720 €</w:t>
            </w:r>
          </w:p>
        </w:tc>
        <w:tc>
          <w:tcPr>
            <w:tcW w:w="1701" w:type="dxa"/>
            <w:shd w:val="clear" w:color="auto" w:fill="auto"/>
            <w:vAlign w:val="bottom"/>
            <w:hideMark/>
          </w:tcPr>
          <w:p w14:paraId="6A911EA6" w14:textId="5B13E7E0"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127.583 €</w:t>
            </w:r>
          </w:p>
        </w:tc>
        <w:tc>
          <w:tcPr>
            <w:tcW w:w="1762" w:type="dxa"/>
            <w:vAlign w:val="bottom"/>
          </w:tcPr>
          <w:p w14:paraId="5C51B8DE" w14:textId="6C330B52"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126.093 €</w:t>
            </w:r>
          </w:p>
        </w:tc>
      </w:tr>
      <w:tr w:rsidR="00E07AE5" w:rsidRPr="002A62A4" w14:paraId="65610436" w14:textId="77777777" w:rsidTr="00E07AE5">
        <w:trPr>
          <w:trHeight w:val="215"/>
        </w:trPr>
        <w:tc>
          <w:tcPr>
            <w:tcW w:w="1833" w:type="dxa"/>
            <w:shd w:val="clear" w:color="auto" w:fill="auto"/>
            <w:vAlign w:val="bottom"/>
            <w:hideMark/>
          </w:tcPr>
          <w:p w14:paraId="70861AD7"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Baleares</w:t>
            </w:r>
          </w:p>
        </w:tc>
        <w:tc>
          <w:tcPr>
            <w:tcW w:w="1843" w:type="dxa"/>
            <w:vAlign w:val="bottom"/>
          </w:tcPr>
          <w:p w14:paraId="63C0A73C" w14:textId="0CBB8667"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190.480 €</w:t>
            </w:r>
          </w:p>
        </w:tc>
        <w:tc>
          <w:tcPr>
            <w:tcW w:w="1843" w:type="dxa"/>
            <w:shd w:val="clear" w:color="auto" w:fill="auto"/>
            <w:vAlign w:val="bottom"/>
            <w:hideMark/>
          </w:tcPr>
          <w:p w14:paraId="70DC8FD2" w14:textId="0D8F2801"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186.792 €</w:t>
            </w:r>
          </w:p>
        </w:tc>
        <w:tc>
          <w:tcPr>
            <w:tcW w:w="1701" w:type="dxa"/>
            <w:shd w:val="clear" w:color="auto" w:fill="auto"/>
            <w:vAlign w:val="bottom"/>
            <w:hideMark/>
          </w:tcPr>
          <w:p w14:paraId="58866220" w14:textId="04C8891C"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147.868 €</w:t>
            </w:r>
          </w:p>
        </w:tc>
        <w:tc>
          <w:tcPr>
            <w:tcW w:w="1762" w:type="dxa"/>
            <w:vAlign w:val="bottom"/>
          </w:tcPr>
          <w:p w14:paraId="366F42C3" w14:textId="776C7926"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223.502 €</w:t>
            </w:r>
          </w:p>
        </w:tc>
      </w:tr>
      <w:tr w:rsidR="00E07AE5" w:rsidRPr="002A62A4" w14:paraId="56D7D3C8" w14:textId="77777777" w:rsidTr="00E07AE5">
        <w:trPr>
          <w:trHeight w:val="215"/>
        </w:trPr>
        <w:tc>
          <w:tcPr>
            <w:tcW w:w="1833" w:type="dxa"/>
            <w:shd w:val="clear" w:color="auto" w:fill="auto"/>
            <w:vAlign w:val="bottom"/>
            <w:hideMark/>
          </w:tcPr>
          <w:p w14:paraId="55EB6F7F"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Canarias</w:t>
            </w:r>
          </w:p>
        </w:tc>
        <w:tc>
          <w:tcPr>
            <w:tcW w:w="1843" w:type="dxa"/>
            <w:vAlign w:val="bottom"/>
          </w:tcPr>
          <w:p w14:paraId="442139D9" w14:textId="53A7B8CE"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160.800 €</w:t>
            </w:r>
          </w:p>
        </w:tc>
        <w:tc>
          <w:tcPr>
            <w:tcW w:w="1843" w:type="dxa"/>
            <w:shd w:val="clear" w:color="auto" w:fill="auto"/>
            <w:vAlign w:val="bottom"/>
            <w:hideMark/>
          </w:tcPr>
          <w:p w14:paraId="49B50416" w14:textId="43ABCE51"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142.227 €</w:t>
            </w:r>
          </w:p>
        </w:tc>
        <w:tc>
          <w:tcPr>
            <w:tcW w:w="1701" w:type="dxa"/>
            <w:shd w:val="clear" w:color="auto" w:fill="auto"/>
            <w:vAlign w:val="bottom"/>
            <w:hideMark/>
          </w:tcPr>
          <w:p w14:paraId="406A9A0E" w14:textId="55153978"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102.732 €</w:t>
            </w:r>
          </w:p>
        </w:tc>
        <w:tc>
          <w:tcPr>
            <w:tcW w:w="1762" w:type="dxa"/>
            <w:vAlign w:val="bottom"/>
          </w:tcPr>
          <w:p w14:paraId="54A4F1A9" w14:textId="076304DF"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141.295 €</w:t>
            </w:r>
          </w:p>
        </w:tc>
      </w:tr>
      <w:tr w:rsidR="00E07AE5" w:rsidRPr="002A62A4" w14:paraId="7204ECC6" w14:textId="77777777" w:rsidTr="00E07AE5">
        <w:trPr>
          <w:trHeight w:val="215"/>
        </w:trPr>
        <w:tc>
          <w:tcPr>
            <w:tcW w:w="1833" w:type="dxa"/>
            <w:shd w:val="clear" w:color="auto" w:fill="auto"/>
            <w:vAlign w:val="bottom"/>
            <w:hideMark/>
          </w:tcPr>
          <w:p w14:paraId="30E4955F"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Cantabria</w:t>
            </w:r>
          </w:p>
        </w:tc>
        <w:tc>
          <w:tcPr>
            <w:tcW w:w="1843" w:type="dxa"/>
            <w:vAlign w:val="bottom"/>
          </w:tcPr>
          <w:p w14:paraId="4C431EB3" w14:textId="37FDA073"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197.760 €</w:t>
            </w:r>
          </w:p>
        </w:tc>
        <w:tc>
          <w:tcPr>
            <w:tcW w:w="1843" w:type="dxa"/>
            <w:shd w:val="clear" w:color="auto" w:fill="auto"/>
            <w:vAlign w:val="bottom"/>
            <w:hideMark/>
          </w:tcPr>
          <w:p w14:paraId="45FD93EA" w14:textId="028C7367"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195.780 €</w:t>
            </w:r>
          </w:p>
        </w:tc>
        <w:tc>
          <w:tcPr>
            <w:tcW w:w="1701" w:type="dxa"/>
            <w:shd w:val="clear" w:color="auto" w:fill="auto"/>
            <w:vAlign w:val="bottom"/>
            <w:hideMark/>
          </w:tcPr>
          <w:p w14:paraId="2C205E83" w14:textId="1C876B90"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138.069 €</w:t>
            </w:r>
          </w:p>
        </w:tc>
        <w:tc>
          <w:tcPr>
            <w:tcW w:w="1762" w:type="dxa"/>
            <w:vAlign w:val="bottom"/>
          </w:tcPr>
          <w:p w14:paraId="70D68DA5" w14:textId="43D6B568"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139.528 €</w:t>
            </w:r>
          </w:p>
        </w:tc>
      </w:tr>
      <w:tr w:rsidR="00E07AE5" w:rsidRPr="002A62A4" w14:paraId="5B9F66E9" w14:textId="77777777" w:rsidTr="00E07AE5">
        <w:trPr>
          <w:trHeight w:val="215"/>
        </w:trPr>
        <w:tc>
          <w:tcPr>
            <w:tcW w:w="1833" w:type="dxa"/>
            <w:shd w:val="clear" w:color="auto" w:fill="auto"/>
            <w:vAlign w:val="bottom"/>
            <w:hideMark/>
          </w:tcPr>
          <w:p w14:paraId="41FC4F42"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Castilla y León</w:t>
            </w:r>
          </w:p>
        </w:tc>
        <w:tc>
          <w:tcPr>
            <w:tcW w:w="1843" w:type="dxa"/>
            <w:vAlign w:val="bottom"/>
          </w:tcPr>
          <w:p w14:paraId="07795D0A" w14:textId="7F19B614"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163.600 €</w:t>
            </w:r>
          </w:p>
        </w:tc>
        <w:tc>
          <w:tcPr>
            <w:tcW w:w="1843" w:type="dxa"/>
            <w:shd w:val="clear" w:color="auto" w:fill="auto"/>
            <w:vAlign w:val="bottom"/>
            <w:hideMark/>
          </w:tcPr>
          <w:p w14:paraId="55F2F5BD" w14:textId="5D9BD5B1"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155.125 €</w:t>
            </w:r>
          </w:p>
        </w:tc>
        <w:tc>
          <w:tcPr>
            <w:tcW w:w="1701" w:type="dxa"/>
            <w:shd w:val="clear" w:color="auto" w:fill="auto"/>
            <w:vAlign w:val="bottom"/>
            <w:hideMark/>
          </w:tcPr>
          <w:p w14:paraId="64CA3AD6" w14:textId="47C26DAC"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116.951 €</w:t>
            </w:r>
          </w:p>
        </w:tc>
        <w:tc>
          <w:tcPr>
            <w:tcW w:w="1762" w:type="dxa"/>
            <w:vAlign w:val="bottom"/>
          </w:tcPr>
          <w:p w14:paraId="3D400227" w14:textId="68A8DAD5"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114.464 €</w:t>
            </w:r>
          </w:p>
        </w:tc>
      </w:tr>
      <w:tr w:rsidR="00E07AE5" w:rsidRPr="002A62A4" w14:paraId="29AD29F1" w14:textId="77777777" w:rsidTr="00E07AE5">
        <w:trPr>
          <w:trHeight w:val="215"/>
        </w:trPr>
        <w:tc>
          <w:tcPr>
            <w:tcW w:w="1833" w:type="dxa"/>
            <w:shd w:val="clear" w:color="auto" w:fill="auto"/>
            <w:vAlign w:val="bottom"/>
            <w:hideMark/>
          </w:tcPr>
          <w:p w14:paraId="0D3BE332"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Castilla-La Mancha</w:t>
            </w:r>
          </w:p>
        </w:tc>
        <w:tc>
          <w:tcPr>
            <w:tcW w:w="1843" w:type="dxa"/>
            <w:vAlign w:val="bottom"/>
          </w:tcPr>
          <w:p w14:paraId="4D87B3E1" w14:textId="1CF07BF0"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155.040 €</w:t>
            </w:r>
          </w:p>
        </w:tc>
        <w:tc>
          <w:tcPr>
            <w:tcW w:w="1843" w:type="dxa"/>
            <w:shd w:val="clear" w:color="auto" w:fill="auto"/>
            <w:vAlign w:val="bottom"/>
            <w:hideMark/>
          </w:tcPr>
          <w:p w14:paraId="6A0C99D9" w14:textId="406FE0BF"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132.105 €</w:t>
            </w:r>
          </w:p>
        </w:tc>
        <w:tc>
          <w:tcPr>
            <w:tcW w:w="1701" w:type="dxa"/>
            <w:shd w:val="clear" w:color="auto" w:fill="auto"/>
            <w:vAlign w:val="bottom"/>
            <w:hideMark/>
          </w:tcPr>
          <w:p w14:paraId="0077153E" w14:textId="6F6D8D98"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83.982 €</w:t>
            </w:r>
          </w:p>
        </w:tc>
        <w:tc>
          <w:tcPr>
            <w:tcW w:w="1762" w:type="dxa"/>
            <w:vAlign w:val="bottom"/>
          </w:tcPr>
          <w:p w14:paraId="7376A537" w14:textId="5894D777"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90.194 €</w:t>
            </w:r>
          </w:p>
        </w:tc>
      </w:tr>
      <w:tr w:rsidR="00E07AE5" w:rsidRPr="002A62A4" w14:paraId="20546BEE" w14:textId="77777777" w:rsidTr="00E07AE5">
        <w:trPr>
          <w:trHeight w:val="215"/>
        </w:trPr>
        <w:tc>
          <w:tcPr>
            <w:tcW w:w="1833" w:type="dxa"/>
            <w:shd w:val="clear" w:color="auto" w:fill="auto"/>
            <w:vAlign w:val="bottom"/>
            <w:hideMark/>
          </w:tcPr>
          <w:p w14:paraId="732EC469"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Cataluña</w:t>
            </w:r>
          </w:p>
        </w:tc>
        <w:tc>
          <w:tcPr>
            <w:tcW w:w="1843" w:type="dxa"/>
            <w:vAlign w:val="bottom"/>
          </w:tcPr>
          <w:p w14:paraId="6431E362" w14:textId="5C9E7C83"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273.440 €</w:t>
            </w:r>
          </w:p>
        </w:tc>
        <w:tc>
          <w:tcPr>
            <w:tcW w:w="1843" w:type="dxa"/>
            <w:shd w:val="clear" w:color="auto" w:fill="auto"/>
            <w:vAlign w:val="bottom"/>
            <w:hideMark/>
          </w:tcPr>
          <w:p w14:paraId="68ED0E86" w14:textId="05C2BD2A"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239.558 €</w:t>
            </w:r>
          </w:p>
        </w:tc>
        <w:tc>
          <w:tcPr>
            <w:tcW w:w="1701" w:type="dxa"/>
            <w:shd w:val="clear" w:color="auto" w:fill="auto"/>
            <w:vAlign w:val="bottom"/>
            <w:hideMark/>
          </w:tcPr>
          <w:p w14:paraId="69532868" w14:textId="0FBFD9A8"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163.672 €</w:t>
            </w:r>
          </w:p>
        </w:tc>
        <w:tc>
          <w:tcPr>
            <w:tcW w:w="1762" w:type="dxa"/>
            <w:vAlign w:val="bottom"/>
          </w:tcPr>
          <w:p w14:paraId="3642160B" w14:textId="7E15F81D"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198.426 €</w:t>
            </w:r>
          </w:p>
        </w:tc>
      </w:tr>
      <w:tr w:rsidR="00E07AE5" w:rsidRPr="002A62A4" w14:paraId="7A1FCD3A" w14:textId="77777777" w:rsidTr="00E07AE5">
        <w:trPr>
          <w:trHeight w:val="215"/>
        </w:trPr>
        <w:tc>
          <w:tcPr>
            <w:tcW w:w="1833" w:type="dxa"/>
            <w:shd w:val="clear" w:color="auto" w:fill="auto"/>
            <w:vAlign w:val="bottom"/>
            <w:hideMark/>
          </w:tcPr>
          <w:p w14:paraId="61BD4B52"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Comunitat Valenciana</w:t>
            </w:r>
          </w:p>
        </w:tc>
        <w:tc>
          <w:tcPr>
            <w:tcW w:w="1843" w:type="dxa"/>
            <w:vAlign w:val="bottom"/>
          </w:tcPr>
          <w:p w14:paraId="35FF7C08" w14:textId="3FD89745"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174.160 €</w:t>
            </w:r>
          </w:p>
        </w:tc>
        <w:tc>
          <w:tcPr>
            <w:tcW w:w="1843" w:type="dxa"/>
            <w:shd w:val="clear" w:color="auto" w:fill="auto"/>
            <w:vAlign w:val="bottom"/>
            <w:hideMark/>
          </w:tcPr>
          <w:p w14:paraId="25460052" w14:textId="16B2A488"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141.679 €</w:t>
            </w:r>
          </w:p>
        </w:tc>
        <w:tc>
          <w:tcPr>
            <w:tcW w:w="1701" w:type="dxa"/>
            <w:shd w:val="clear" w:color="auto" w:fill="auto"/>
            <w:vAlign w:val="bottom"/>
            <w:hideMark/>
          </w:tcPr>
          <w:p w14:paraId="09871339" w14:textId="728160C0"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100.486 €</w:t>
            </w:r>
          </w:p>
        </w:tc>
        <w:tc>
          <w:tcPr>
            <w:tcW w:w="1762" w:type="dxa"/>
            <w:vAlign w:val="bottom"/>
          </w:tcPr>
          <w:p w14:paraId="1DF9257C" w14:textId="374CDC2F"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114.932 €</w:t>
            </w:r>
          </w:p>
        </w:tc>
      </w:tr>
      <w:tr w:rsidR="00E07AE5" w:rsidRPr="002A62A4" w14:paraId="03394654" w14:textId="77777777" w:rsidTr="00E07AE5">
        <w:trPr>
          <w:trHeight w:val="215"/>
        </w:trPr>
        <w:tc>
          <w:tcPr>
            <w:tcW w:w="1833" w:type="dxa"/>
            <w:shd w:val="clear" w:color="auto" w:fill="auto"/>
            <w:vAlign w:val="bottom"/>
            <w:hideMark/>
          </w:tcPr>
          <w:p w14:paraId="31111957"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Extremadura</w:t>
            </w:r>
          </w:p>
        </w:tc>
        <w:tc>
          <w:tcPr>
            <w:tcW w:w="1843" w:type="dxa"/>
            <w:vAlign w:val="bottom"/>
          </w:tcPr>
          <w:p w14:paraId="7805EE67" w14:textId="30013578"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102.960 €</w:t>
            </w:r>
          </w:p>
        </w:tc>
        <w:tc>
          <w:tcPr>
            <w:tcW w:w="1843" w:type="dxa"/>
            <w:shd w:val="clear" w:color="auto" w:fill="auto"/>
            <w:vAlign w:val="bottom"/>
            <w:hideMark/>
          </w:tcPr>
          <w:p w14:paraId="1697D06B" w14:textId="2858D9A1"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125.492 €</w:t>
            </w:r>
          </w:p>
        </w:tc>
        <w:tc>
          <w:tcPr>
            <w:tcW w:w="1701" w:type="dxa"/>
            <w:shd w:val="clear" w:color="auto" w:fill="auto"/>
            <w:vAlign w:val="bottom"/>
            <w:hideMark/>
          </w:tcPr>
          <w:p w14:paraId="59235B08" w14:textId="1DBBE7CF"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88.854 €</w:t>
            </w:r>
          </w:p>
        </w:tc>
        <w:tc>
          <w:tcPr>
            <w:tcW w:w="1762" w:type="dxa"/>
            <w:vAlign w:val="bottom"/>
          </w:tcPr>
          <w:p w14:paraId="3C682AA8" w14:textId="62B6B228"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93.530 €</w:t>
            </w:r>
          </w:p>
        </w:tc>
      </w:tr>
      <w:tr w:rsidR="00E07AE5" w:rsidRPr="002A62A4" w14:paraId="333DFF06" w14:textId="77777777" w:rsidTr="00E07AE5">
        <w:trPr>
          <w:trHeight w:val="215"/>
        </w:trPr>
        <w:tc>
          <w:tcPr>
            <w:tcW w:w="1833" w:type="dxa"/>
            <w:shd w:val="clear" w:color="auto" w:fill="auto"/>
            <w:vAlign w:val="bottom"/>
            <w:hideMark/>
          </w:tcPr>
          <w:p w14:paraId="474BA915"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Galicia</w:t>
            </w:r>
          </w:p>
        </w:tc>
        <w:tc>
          <w:tcPr>
            <w:tcW w:w="1843" w:type="dxa"/>
            <w:vAlign w:val="bottom"/>
          </w:tcPr>
          <w:p w14:paraId="3CA256AF" w14:textId="6EFEBB40"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156.400 €</w:t>
            </w:r>
          </w:p>
        </w:tc>
        <w:tc>
          <w:tcPr>
            <w:tcW w:w="1843" w:type="dxa"/>
            <w:shd w:val="clear" w:color="auto" w:fill="auto"/>
            <w:vAlign w:val="bottom"/>
            <w:hideMark/>
          </w:tcPr>
          <w:p w14:paraId="3AE45011" w14:textId="037753D0"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162.702 €</w:t>
            </w:r>
          </w:p>
        </w:tc>
        <w:tc>
          <w:tcPr>
            <w:tcW w:w="1701" w:type="dxa"/>
            <w:shd w:val="clear" w:color="auto" w:fill="auto"/>
            <w:vAlign w:val="bottom"/>
            <w:hideMark/>
          </w:tcPr>
          <w:p w14:paraId="63E06381" w14:textId="38F5F77D"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130.442 €</w:t>
            </w:r>
          </w:p>
        </w:tc>
        <w:tc>
          <w:tcPr>
            <w:tcW w:w="1762" w:type="dxa"/>
            <w:vAlign w:val="bottom"/>
          </w:tcPr>
          <w:p w14:paraId="32564912" w14:textId="3F9793E1"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127.114 €</w:t>
            </w:r>
          </w:p>
        </w:tc>
      </w:tr>
      <w:tr w:rsidR="00E07AE5" w:rsidRPr="002A62A4" w14:paraId="238AA4E1" w14:textId="77777777" w:rsidTr="00E07AE5">
        <w:trPr>
          <w:trHeight w:val="215"/>
        </w:trPr>
        <w:tc>
          <w:tcPr>
            <w:tcW w:w="1833" w:type="dxa"/>
            <w:shd w:val="clear" w:color="auto" w:fill="auto"/>
            <w:vAlign w:val="bottom"/>
            <w:hideMark/>
          </w:tcPr>
          <w:p w14:paraId="6C6D4798"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La Rioja</w:t>
            </w:r>
          </w:p>
        </w:tc>
        <w:tc>
          <w:tcPr>
            <w:tcW w:w="1843" w:type="dxa"/>
            <w:vAlign w:val="bottom"/>
          </w:tcPr>
          <w:p w14:paraId="376077D3" w14:textId="65F504C2"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191.600 €</w:t>
            </w:r>
          </w:p>
        </w:tc>
        <w:tc>
          <w:tcPr>
            <w:tcW w:w="1843" w:type="dxa"/>
            <w:shd w:val="clear" w:color="auto" w:fill="auto"/>
            <w:vAlign w:val="bottom"/>
            <w:hideMark/>
          </w:tcPr>
          <w:p w14:paraId="0AE198D2" w14:textId="1FFD719C"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166.978 €</w:t>
            </w:r>
          </w:p>
        </w:tc>
        <w:tc>
          <w:tcPr>
            <w:tcW w:w="1701" w:type="dxa"/>
            <w:shd w:val="clear" w:color="auto" w:fill="auto"/>
            <w:vAlign w:val="bottom"/>
            <w:hideMark/>
          </w:tcPr>
          <w:p w14:paraId="0BB0687D" w14:textId="5C11DAA8"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106.830 €</w:t>
            </w:r>
          </w:p>
        </w:tc>
        <w:tc>
          <w:tcPr>
            <w:tcW w:w="1762" w:type="dxa"/>
            <w:vAlign w:val="bottom"/>
          </w:tcPr>
          <w:p w14:paraId="09A53FBB" w14:textId="3BBBAA78"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112.523 €</w:t>
            </w:r>
          </w:p>
        </w:tc>
      </w:tr>
      <w:tr w:rsidR="00E07AE5" w:rsidRPr="002A62A4" w14:paraId="746DD9D7" w14:textId="77777777" w:rsidTr="00E07AE5">
        <w:trPr>
          <w:trHeight w:val="215"/>
        </w:trPr>
        <w:tc>
          <w:tcPr>
            <w:tcW w:w="1833" w:type="dxa"/>
            <w:shd w:val="clear" w:color="auto" w:fill="auto"/>
            <w:vAlign w:val="bottom"/>
            <w:hideMark/>
          </w:tcPr>
          <w:p w14:paraId="18E40B35"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Madrid</w:t>
            </w:r>
          </w:p>
        </w:tc>
        <w:tc>
          <w:tcPr>
            <w:tcW w:w="1843" w:type="dxa"/>
            <w:vAlign w:val="bottom"/>
          </w:tcPr>
          <w:p w14:paraId="7F8E9DF5" w14:textId="4EEC4FF9"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289.360 €</w:t>
            </w:r>
          </w:p>
        </w:tc>
        <w:tc>
          <w:tcPr>
            <w:tcW w:w="1843" w:type="dxa"/>
            <w:shd w:val="clear" w:color="auto" w:fill="auto"/>
            <w:vAlign w:val="bottom"/>
            <w:hideMark/>
          </w:tcPr>
          <w:p w14:paraId="1D4EB891" w14:textId="4F9B0510"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238.644 €</w:t>
            </w:r>
          </w:p>
        </w:tc>
        <w:tc>
          <w:tcPr>
            <w:tcW w:w="1701" w:type="dxa"/>
            <w:shd w:val="clear" w:color="auto" w:fill="auto"/>
            <w:vAlign w:val="bottom"/>
            <w:hideMark/>
          </w:tcPr>
          <w:p w14:paraId="700B5030" w14:textId="61AE059F"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176.199 €</w:t>
            </w:r>
          </w:p>
        </w:tc>
        <w:tc>
          <w:tcPr>
            <w:tcW w:w="1762" w:type="dxa"/>
            <w:vAlign w:val="bottom"/>
          </w:tcPr>
          <w:p w14:paraId="7D104682" w14:textId="53AD9B1E"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244.687 €</w:t>
            </w:r>
          </w:p>
        </w:tc>
      </w:tr>
      <w:tr w:rsidR="00E07AE5" w:rsidRPr="002A62A4" w14:paraId="14892E24" w14:textId="77777777" w:rsidTr="00E07AE5">
        <w:trPr>
          <w:trHeight w:val="215"/>
        </w:trPr>
        <w:tc>
          <w:tcPr>
            <w:tcW w:w="1833" w:type="dxa"/>
            <w:shd w:val="clear" w:color="auto" w:fill="auto"/>
            <w:vAlign w:val="bottom"/>
            <w:hideMark/>
          </w:tcPr>
          <w:p w14:paraId="354B0D9C"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Navarra</w:t>
            </w:r>
          </w:p>
        </w:tc>
        <w:tc>
          <w:tcPr>
            <w:tcW w:w="1843" w:type="dxa"/>
            <w:vAlign w:val="bottom"/>
          </w:tcPr>
          <w:p w14:paraId="1B55E0EE" w14:textId="0B546085"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264.400 €</w:t>
            </w:r>
          </w:p>
        </w:tc>
        <w:tc>
          <w:tcPr>
            <w:tcW w:w="1843" w:type="dxa"/>
            <w:shd w:val="clear" w:color="auto" w:fill="auto"/>
            <w:vAlign w:val="bottom"/>
            <w:hideMark/>
          </w:tcPr>
          <w:p w14:paraId="48A2DA56" w14:textId="1EA093B2"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198.213 €</w:t>
            </w:r>
          </w:p>
        </w:tc>
        <w:tc>
          <w:tcPr>
            <w:tcW w:w="1701" w:type="dxa"/>
            <w:shd w:val="clear" w:color="auto" w:fill="auto"/>
            <w:vAlign w:val="bottom"/>
            <w:hideMark/>
          </w:tcPr>
          <w:p w14:paraId="2A9EE0D9" w14:textId="188AA71D"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129.057 €</w:t>
            </w:r>
          </w:p>
        </w:tc>
        <w:tc>
          <w:tcPr>
            <w:tcW w:w="1762" w:type="dxa"/>
            <w:vAlign w:val="bottom"/>
          </w:tcPr>
          <w:p w14:paraId="2C24A2E0" w14:textId="325FC913"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135.182 €</w:t>
            </w:r>
          </w:p>
        </w:tc>
      </w:tr>
      <w:tr w:rsidR="00E07AE5" w:rsidRPr="002A62A4" w14:paraId="6D5F9B3F" w14:textId="77777777" w:rsidTr="00E07AE5">
        <w:trPr>
          <w:trHeight w:val="215"/>
        </w:trPr>
        <w:tc>
          <w:tcPr>
            <w:tcW w:w="1833" w:type="dxa"/>
            <w:shd w:val="clear" w:color="auto" w:fill="auto"/>
            <w:vAlign w:val="bottom"/>
            <w:hideMark/>
          </w:tcPr>
          <w:p w14:paraId="6DBBC87B"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País Vasco</w:t>
            </w:r>
          </w:p>
        </w:tc>
        <w:tc>
          <w:tcPr>
            <w:tcW w:w="1843" w:type="dxa"/>
            <w:vAlign w:val="bottom"/>
          </w:tcPr>
          <w:p w14:paraId="580719BB" w14:textId="7E4A980E"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340.960 €</w:t>
            </w:r>
          </w:p>
        </w:tc>
        <w:tc>
          <w:tcPr>
            <w:tcW w:w="1843" w:type="dxa"/>
            <w:shd w:val="clear" w:color="auto" w:fill="auto"/>
            <w:vAlign w:val="bottom"/>
            <w:hideMark/>
          </w:tcPr>
          <w:p w14:paraId="23730F4D" w14:textId="5177C598"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298.892 €</w:t>
            </w:r>
          </w:p>
        </w:tc>
        <w:tc>
          <w:tcPr>
            <w:tcW w:w="1701" w:type="dxa"/>
            <w:shd w:val="clear" w:color="auto" w:fill="auto"/>
            <w:vAlign w:val="bottom"/>
            <w:hideMark/>
          </w:tcPr>
          <w:p w14:paraId="101EB3D3" w14:textId="1E83E515"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220.407 €</w:t>
            </w:r>
          </w:p>
        </w:tc>
        <w:tc>
          <w:tcPr>
            <w:tcW w:w="1762" w:type="dxa"/>
            <w:vAlign w:val="bottom"/>
          </w:tcPr>
          <w:p w14:paraId="04E557A2" w14:textId="7C29AE26"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231.263 €</w:t>
            </w:r>
          </w:p>
        </w:tc>
      </w:tr>
      <w:tr w:rsidR="00E07AE5" w:rsidRPr="002A62A4" w14:paraId="0A290106" w14:textId="77777777" w:rsidTr="00E07AE5">
        <w:trPr>
          <w:trHeight w:val="215"/>
        </w:trPr>
        <w:tc>
          <w:tcPr>
            <w:tcW w:w="1833" w:type="dxa"/>
            <w:shd w:val="clear" w:color="auto" w:fill="auto"/>
            <w:vAlign w:val="bottom"/>
            <w:hideMark/>
          </w:tcPr>
          <w:p w14:paraId="07D39EF9" w14:textId="77777777" w:rsidR="00E07AE5" w:rsidRPr="002A62A4" w:rsidRDefault="00E07AE5" w:rsidP="00E07AE5">
            <w:pPr>
              <w:rPr>
                <w:rFonts w:ascii="Open Sans" w:eastAsia="Times New Roman" w:hAnsi="Open Sans" w:cs="Open Sans"/>
                <w:color w:val="000000"/>
                <w:sz w:val="22"/>
                <w:szCs w:val="22"/>
                <w:lang w:val="es-ES" w:eastAsia="es-ES"/>
              </w:rPr>
            </w:pPr>
            <w:r w:rsidRPr="002A62A4">
              <w:rPr>
                <w:rFonts w:ascii="Open Sans" w:hAnsi="Open Sans" w:cs="Open Sans"/>
                <w:color w:val="000000"/>
                <w:sz w:val="22"/>
                <w:szCs w:val="22"/>
              </w:rPr>
              <w:t>Región de Murcia</w:t>
            </w:r>
          </w:p>
        </w:tc>
        <w:tc>
          <w:tcPr>
            <w:tcW w:w="1843" w:type="dxa"/>
            <w:vAlign w:val="bottom"/>
          </w:tcPr>
          <w:p w14:paraId="5C867D43" w14:textId="491D815F" w:rsidR="00E07AE5" w:rsidRPr="002A62A4" w:rsidRDefault="00E07AE5" w:rsidP="00E07AE5">
            <w:pPr>
              <w:jc w:val="center"/>
              <w:rPr>
                <w:rFonts w:ascii="Open Sans" w:hAnsi="Open Sans" w:cs="Open Sans"/>
                <w:color w:val="000000"/>
                <w:sz w:val="22"/>
                <w:szCs w:val="22"/>
              </w:rPr>
            </w:pPr>
            <w:r>
              <w:rPr>
                <w:rFonts w:ascii="Open Sans" w:hAnsi="Open Sans" w:cs="Open Sans"/>
                <w:color w:val="000000"/>
                <w:sz w:val="22"/>
                <w:szCs w:val="22"/>
              </w:rPr>
              <w:t>168.720 €</w:t>
            </w:r>
          </w:p>
        </w:tc>
        <w:tc>
          <w:tcPr>
            <w:tcW w:w="1843" w:type="dxa"/>
            <w:shd w:val="clear" w:color="auto" w:fill="auto"/>
            <w:vAlign w:val="bottom"/>
            <w:hideMark/>
          </w:tcPr>
          <w:p w14:paraId="2E806622" w14:textId="6B90935A"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132.834 €</w:t>
            </w:r>
          </w:p>
        </w:tc>
        <w:tc>
          <w:tcPr>
            <w:tcW w:w="1701" w:type="dxa"/>
            <w:shd w:val="clear" w:color="auto" w:fill="auto"/>
            <w:vAlign w:val="bottom"/>
            <w:hideMark/>
          </w:tcPr>
          <w:p w14:paraId="0EDAE452" w14:textId="3EBCB1B0" w:rsidR="00E07AE5" w:rsidRPr="002A62A4" w:rsidRDefault="00E07AE5" w:rsidP="00E07AE5">
            <w:pPr>
              <w:jc w:val="center"/>
              <w:rPr>
                <w:rFonts w:ascii="Open Sans" w:eastAsia="Times New Roman" w:hAnsi="Open Sans" w:cs="Open Sans"/>
                <w:color w:val="000000"/>
                <w:sz w:val="22"/>
                <w:szCs w:val="22"/>
                <w:lang w:val="es-ES" w:eastAsia="es-ES"/>
              </w:rPr>
            </w:pPr>
            <w:r>
              <w:rPr>
                <w:rFonts w:ascii="Open Sans" w:hAnsi="Open Sans" w:cs="Open Sans"/>
                <w:color w:val="000000"/>
                <w:sz w:val="22"/>
                <w:szCs w:val="22"/>
              </w:rPr>
              <w:t>92.008 €</w:t>
            </w:r>
          </w:p>
        </w:tc>
        <w:tc>
          <w:tcPr>
            <w:tcW w:w="1762" w:type="dxa"/>
            <w:vAlign w:val="bottom"/>
          </w:tcPr>
          <w:p w14:paraId="7E75D994" w14:textId="67C613B7" w:rsidR="00E07AE5" w:rsidRPr="002A62A4" w:rsidRDefault="00E07AE5" w:rsidP="00E07AE5">
            <w:pPr>
              <w:jc w:val="center"/>
              <w:rPr>
                <w:rFonts w:ascii="Open Sans" w:eastAsia="Times New Roman" w:hAnsi="Open Sans" w:cs="Open Sans"/>
                <w:color w:val="FF0000"/>
                <w:sz w:val="22"/>
                <w:szCs w:val="22"/>
                <w:lang w:val="es-ES" w:eastAsia="es-ES"/>
              </w:rPr>
            </w:pPr>
            <w:r>
              <w:rPr>
                <w:rFonts w:ascii="Open Sans" w:hAnsi="Open Sans" w:cs="Open Sans"/>
                <w:color w:val="000000"/>
                <w:sz w:val="22"/>
                <w:szCs w:val="22"/>
              </w:rPr>
              <w:t>92.614 €</w:t>
            </w:r>
          </w:p>
        </w:tc>
      </w:tr>
      <w:tr w:rsidR="00E07AE5" w:rsidRPr="002A62A4" w14:paraId="5DA6FB3E" w14:textId="77777777" w:rsidTr="00E07AE5">
        <w:trPr>
          <w:trHeight w:val="215"/>
        </w:trPr>
        <w:tc>
          <w:tcPr>
            <w:tcW w:w="1833" w:type="dxa"/>
            <w:shd w:val="clear" w:color="auto" w:fill="ACB9CA" w:themeFill="text2" w:themeFillTint="66"/>
            <w:vAlign w:val="bottom"/>
            <w:hideMark/>
          </w:tcPr>
          <w:p w14:paraId="6218F934" w14:textId="77777777" w:rsidR="00E07AE5" w:rsidRPr="002A62A4" w:rsidRDefault="00E07AE5" w:rsidP="00E07AE5">
            <w:pPr>
              <w:rPr>
                <w:rFonts w:ascii="Open Sans" w:eastAsia="Times New Roman" w:hAnsi="Open Sans" w:cs="Open Sans"/>
                <w:b/>
                <w:bCs/>
                <w:color w:val="000000"/>
                <w:sz w:val="22"/>
                <w:szCs w:val="22"/>
                <w:lang w:val="es-ES" w:eastAsia="es-ES"/>
              </w:rPr>
            </w:pPr>
            <w:r w:rsidRPr="002A62A4">
              <w:rPr>
                <w:rFonts w:ascii="Open Sans" w:hAnsi="Open Sans" w:cs="Open Sans"/>
                <w:b/>
                <w:bCs/>
                <w:color w:val="000000"/>
                <w:sz w:val="22"/>
                <w:szCs w:val="22"/>
              </w:rPr>
              <w:t>España</w:t>
            </w:r>
          </w:p>
        </w:tc>
        <w:tc>
          <w:tcPr>
            <w:tcW w:w="1843" w:type="dxa"/>
            <w:shd w:val="clear" w:color="auto" w:fill="ACB9CA" w:themeFill="text2" w:themeFillTint="66"/>
            <w:vAlign w:val="bottom"/>
          </w:tcPr>
          <w:p w14:paraId="731D184E" w14:textId="5C8F9090" w:rsidR="00E07AE5" w:rsidRPr="002A62A4" w:rsidRDefault="00E07AE5" w:rsidP="00E07AE5">
            <w:pPr>
              <w:jc w:val="center"/>
              <w:rPr>
                <w:rFonts w:ascii="Open Sans" w:hAnsi="Open Sans" w:cs="Open Sans"/>
                <w:b/>
                <w:bCs/>
                <w:color w:val="000000"/>
                <w:sz w:val="22"/>
                <w:szCs w:val="22"/>
              </w:rPr>
            </w:pPr>
            <w:r>
              <w:rPr>
                <w:rFonts w:ascii="Open Sans" w:hAnsi="Open Sans" w:cs="Open Sans"/>
                <w:color w:val="000000"/>
                <w:sz w:val="22"/>
                <w:szCs w:val="22"/>
              </w:rPr>
              <w:t>214.774 €</w:t>
            </w:r>
          </w:p>
        </w:tc>
        <w:tc>
          <w:tcPr>
            <w:tcW w:w="1843" w:type="dxa"/>
            <w:shd w:val="clear" w:color="auto" w:fill="ACB9CA" w:themeFill="text2" w:themeFillTint="66"/>
            <w:vAlign w:val="bottom"/>
            <w:hideMark/>
          </w:tcPr>
          <w:p w14:paraId="3E3A4F10" w14:textId="3057A8A8" w:rsidR="00E07AE5" w:rsidRPr="002A62A4" w:rsidRDefault="00E07AE5" w:rsidP="00E07AE5">
            <w:pPr>
              <w:jc w:val="center"/>
              <w:rPr>
                <w:rFonts w:ascii="Open Sans" w:eastAsia="Times New Roman" w:hAnsi="Open Sans" w:cs="Open Sans"/>
                <w:b/>
                <w:bCs/>
                <w:color w:val="000000"/>
                <w:sz w:val="22"/>
                <w:szCs w:val="22"/>
                <w:lang w:val="es-ES" w:eastAsia="es-ES"/>
              </w:rPr>
            </w:pPr>
            <w:r>
              <w:rPr>
                <w:rFonts w:ascii="Open Sans" w:hAnsi="Open Sans" w:cs="Open Sans"/>
                <w:color w:val="000000"/>
                <w:sz w:val="22"/>
                <w:szCs w:val="22"/>
              </w:rPr>
              <w:t>180.932 €</w:t>
            </w:r>
          </w:p>
        </w:tc>
        <w:tc>
          <w:tcPr>
            <w:tcW w:w="1701" w:type="dxa"/>
            <w:shd w:val="clear" w:color="auto" w:fill="ACB9CA" w:themeFill="text2" w:themeFillTint="66"/>
            <w:vAlign w:val="bottom"/>
            <w:hideMark/>
          </w:tcPr>
          <w:p w14:paraId="5DF7F3D9" w14:textId="1D8457CD" w:rsidR="00E07AE5" w:rsidRPr="002A62A4" w:rsidRDefault="00E07AE5" w:rsidP="00E07AE5">
            <w:pPr>
              <w:jc w:val="center"/>
              <w:rPr>
                <w:rFonts w:ascii="Open Sans" w:eastAsia="Times New Roman" w:hAnsi="Open Sans" w:cs="Open Sans"/>
                <w:b/>
                <w:bCs/>
                <w:color w:val="000000"/>
                <w:sz w:val="22"/>
                <w:szCs w:val="22"/>
                <w:lang w:val="es-ES" w:eastAsia="es-ES"/>
              </w:rPr>
            </w:pPr>
            <w:r>
              <w:rPr>
                <w:rFonts w:ascii="Open Sans" w:hAnsi="Open Sans" w:cs="Open Sans"/>
                <w:color w:val="000000"/>
                <w:sz w:val="22"/>
                <w:szCs w:val="22"/>
              </w:rPr>
              <w:t>129.545 €</w:t>
            </w:r>
          </w:p>
        </w:tc>
        <w:tc>
          <w:tcPr>
            <w:tcW w:w="1762" w:type="dxa"/>
            <w:shd w:val="clear" w:color="auto" w:fill="ACB9CA" w:themeFill="text2" w:themeFillTint="66"/>
            <w:vAlign w:val="bottom"/>
          </w:tcPr>
          <w:p w14:paraId="0C52C046" w14:textId="3AB0D3C3" w:rsidR="00E07AE5" w:rsidRPr="002A62A4" w:rsidRDefault="00E07AE5" w:rsidP="00E07AE5">
            <w:pPr>
              <w:jc w:val="center"/>
              <w:rPr>
                <w:rFonts w:ascii="Open Sans" w:eastAsia="Times New Roman" w:hAnsi="Open Sans" w:cs="Open Sans"/>
                <w:b/>
                <w:bCs/>
                <w:color w:val="FF0000"/>
                <w:sz w:val="22"/>
                <w:szCs w:val="22"/>
                <w:lang w:val="es-ES" w:eastAsia="es-ES"/>
              </w:rPr>
            </w:pPr>
            <w:r>
              <w:rPr>
                <w:rFonts w:ascii="Open Sans" w:hAnsi="Open Sans" w:cs="Open Sans"/>
                <w:color w:val="000000"/>
                <w:sz w:val="22"/>
                <w:szCs w:val="22"/>
              </w:rPr>
              <w:t>150.073 €</w:t>
            </w:r>
          </w:p>
        </w:tc>
      </w:tr>
    </w:tbl>
    <w:p w14:paraId="1AED17D6" w14:textId="51F783A6" w:rsidR="003F535B" w:rsidRDefault="00D41C3C" w:rsidP="00782B87">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r>
        <w:rPr>
          <w:rFonts w:ascii="National" w:eastAsiaTheme="minorHAnsi" w:hAnsi="National" w:cstheme="minorBidi"/>
          <w:b/>
          <w:bCs/>
          <w:iCs/>
          <w:color w:val="303AB2"/>
          <w:sz w:val="30"/>
          <w:szCs w:val="180"/>
          <w:lang w:eastAsia="en-US"/>
        </w:rPr>
        <w:t>Los</w:t>
      </w:r>
      <w:r w:rsidR="003F535B" w:rsidRPr="00D41C3C">
        <w:rPr>
          <w:rFonts w:ascii="National" w:eastAsiaTheme="minorHAnsi" w:hAnsi="National" w:cstheme="minorBidi"/>
          <w:b/>
          <w:bCs/>
          <w:iCs/>
          <w:color w:val="303AB2"/>
          <w:sz w:val="30"/>
          <w:szCs w:val="180"/>
          <w:lang w:eastAsia="en-US"/>
        </w:rPr>
        <w:t xml:space="preserve"> </w:t>
      </w:r>
      <w:r w:rsidR="00AE23F4">
        <w:rPr>
          <w:rFonts w:ascii="National" w:eastAsiaTheme="minorHAnsi" w:hAnsi="National" w:cstheme="minorBidi"/>
          <w:b/>
          <w:bCs/>
          <w:iCs/>
          <w:color w:val="303AB2"/>
          <w:sz w:val="30"/>
          <w:szCs w:val="180"/>
          <w:lang w:eastAsia="en-US"/>
        </w:rPr>
        <w:t>baleares</w:t>
      </w:r>
      <w:r w:rsidR="00403021">
        <w:rPr>
          <w:rFonts w:ascii="National" w:eastAsiaTheme="minorHAnsi" w:hAnsi="National" w:cstheme="minorBidi"/>
          <w:b/>
          <w:bCs/>
          <w:iCs/>
          <w:color w:val="303AB2"/>
          <w:sz w:val="30"/>
          <w:szCs w:val="180"/>
          <w:lang w:eastAsia="en-US"/>
        </w:rPr>
        <w:t xml:space="preserve"> </w:t>
      </w:r>
      <w:r w:rsidRPr="00D41C3C">
        <w:rPr>
          <w:rFonts w:ascii="National" w:eastAsiaTheme="minorHAnsi" w:hAnsi="National" w:cstheme="minorBidi"/>
          <w:b/>
          <w:bCs/>
          <w:iCs/>
          <w:color w:val="303AB2"/>
          <w:sz w:val="30"/>
          <w:szCs w:val="180"/>
          <w:lang w:eastAsia="en-US"/>
        </w:rPr>
        <w:t xml:space="preserve">son los más afectados por el </w:t>
      </w:r>
      <w:r>
        <w:rPr>
          <w:rFonts w:ascii="National" w:eastAsiaTheme="minorHAnsi" w:hAnsi="National" w:cstheme="minorBidi"/>
          <w:b/>
          <w:bCs/>
          <w:iCs/>
          <w:color w:val="303AB2"/>
          <w:sz w:val="30"/>
          <w:szCs w:val="180"/>
          <w:lang w:eastAsia="en-US"/>
        </w:rPr>
        <w:t>incremento de</w:t>
      </w:r>
      <w:r w:rsidR="00B231C2">
        <w:rPr>
          <w:rFonts w:ascii="National" w:eastAsiaTheme="minorHAnsi" w:hAnsi="National" w:cstheme="minorBidi"/>
          <w:b/>
          <w:bCs/>
          <w:iCs/>
          <w:color w:val="303AB2"/>
          <w:sz w:val="30"/>
          <w:szCs w:val="180"/>
          <w:lang w:eastAsia="en-US"/>
        </w:rPr>
        <w:t xml:space="preserve"> </w:t>
      </w:r>
      <w:r>
        <w:rPr>
          <w:rFonts w:ascii="National" w:eastAsiaTheme="minorHAnsi" w:hAnsi="National" w:cstheme="minorBidi"/>
          <w:b/>
          <w:bCs/>
          <w:iCs/>
          <w:color w:val="303AB2"/>
          <w:sz w:val="30"/>
          <w:szCs w:val="180"/>
          <w:lang w:eastAsia="en-US"/>
        </w:rPr>
        <w:t>l</w:t>
      </w:r>
      <w:r w:rsidR="00B231C2">
        <w:rPr>
          <w:rFonts w:ascii="National" w:eastAsiaTheme="minorHAnsi" w:hAnsi="National" w:cstheme="minorBidi"/>
          <w:b/>
          <w:bCs/>
          <w:iCs/>
          <w:color w:val="303AB2"/>
          <w:sz w:val="30"/>
          <w:szCs w:val="180"/>
          <w:lang w:eastAsia="en-US"/>
        </w:rPr>
        <w:t>a venta</w:t>
      </w:r>
    </w:p>
    <w:bookmarkEnd w:id="0"/>
    <w:p w14:paraId="28CDA2E8" w14:textId="2826A2E4" w:rsidR="007B45F9" w:rsidRDefault="004B0602" w:rsidP="007B45F9">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color w:val="000000"/>
          <w:sz w:val="22"/>
          <w:szCs w:val="22"/>
        </w:rPr>
        <w:t>En cuanto a las</w:t>
      </w:r>
      <w:r w:rsidR="00D41C3C" w:rsidRPr="00662836">
        <w:rPr>
          <w:rFonts w:ascii="Open Sans" w:hAnsi="Open Sans" w:cs="Open Sans"/>
          <w:color w:val="000000"/>
          <w:sz w:val="22"/>
          <w:szCs w:val="22"/>
        </w:rPr>
        <w:t xml:space="preserve"> </w:t>
      </w:r>
      <w:r w:rsidR="009D4647">
        <w:rPr>
          <w:rFonts w:ascii="Open Sans" w:hAnsi="Open Sans" w:cs="Open Sans"/>
          <w:color w:val="000000"/>
          <w:sz w:val="22"/>
          <w:szCs w:val="22"/>
        </w:rPr>
        <w:t>c</w:t>
      </w:r>
      <w:r w:rsidR="00D41C3C" w:rsidRPr="00662836">
        <w:rPr>
          <w:rFonts w:ascii="Open Sans" w:hAnsi="Open Sans" w:cs="Open Sans"/>
          <w:color w:val="000000"/>
          <w:sz w:val="22"/>
          <w:szCs w:val="22"/>
        </w:rPr>
        <w:t xml:space="preserve">omunidades </w:t>
      </w:r>
      <w:r w:rsidR="009D4647">
        <w:rPr>
          <w:rFonts w:ascii="Open Sans" w:hAnsi="Open Sans" w:cs="Open Sans"/>
          <w:color w:val="000000"/>
          <w:sz w:val="22"/>
          <w:szCs w:val="22"/>
        </w:rPr>
        <w:t>a</w:t>
      </w:r>
      <w:r w:rsidR="00D41C3C" w:rsidRPr="00662836">
        <w:rPr>
          <w:rFonts w:ascii="Open Sans" w:hAnsi="Open Sans" w:cs="Open Sans"/>
          <w:color w:val="000000"/>
          <w:sz w:val="22"/>
          <w:szCs w:val="22"/>
        </w:rPr>
        <w:t xml:space="preserve">utónomas </w:t>
      </w:r>
      <w:r w:rsidR="00D41C3C">
        <w:rPr>
          <w:rFonts w:ascii="Open Sans" w:hAnsi="Open Sans" w:cs="Open Sans"/>
          <w:color w:val="000000"/>
          <w:sz w:val="22"/>
          <w:szCs w:val="22"/>
        </w:rPr>
        <w:t xml:space="preserve">que </w:t>
      </w:r>
      <w:r>
        <w:rPr>
          <w:rFonts w:ascii="Open Sans" w:hAnsi="Open Sans" w:cs="Open Sans"/>
          <w:color w:val="000000"/>
          <w:sz w:val="22"/>
          <w:szCs w:val="22"/>
        </w:rPr>
        <w:t xml:space="preserve">han visto </w:t>
      </w:r>
      <w:r w:rsidR="007B45F9">
        <w:rPr>
          <w:rFonts w:ascii="Open Sans" w:hAnsi="Open Sans" w:cs="Open Sans"/>
          <w:color w:val="000000"/>
          <w:sz w:val="22"/>
          <w:szCs w:val="22"/>
        </w:rPr>
        <w:t>incrementar</w:t>
      </w:r>
      <w:r>
        <w:rPr>
          <w:rFonts w:ascii="Open Sans" w:hAnsi="Open Sans" w:cs="Open Sans"/>
          <w:color w:val="000000"/>
          <w:sz w:val="22"/>
          <w:szCs w:val="22"/>
        </w:rPr>
        <w:t xml:space="preserve"> el acumulativo del </w:t>
      </w:r>
      <w:r w:rsidR="00EC5C56">
        <w:rPr>
          <w:rFonts w:ascii="Open Sans" w:hAnsi="Open Sans" w:cs="Open Sans"/>
          <w:color w:val="000000"/>
          <w:sz w:val="22"/>
          <w:szCs w:val="22"/>
        </w:rPr>
        <w:t xml:space="preserve">precio de la vivienda en venta </w:t>
      </w:r>
      <w:r>
        <w:rPr>
          <w:rFonts w:ascii="Open Sans" w:hAnsi="Open Sans" w:cs="Open Sans"/>
          <w:color w:val="000000"/>
          <w:sz w:val="22"/>
          <w:szCs w:val="22"/>
        </w:rPr>
        <w:t>en los</w:t>
      </w:r>
      <w:r w:rsidR="00D41C3C">
        <w:rPr>
          <w:rFonts w:ascii="Open Sans" w:hAnsi="Open Sans" w:cs="Open Sans"/>
          <w:color w:val="000000"/>
          <w:sz w:val="22"/>
          <w:szCs w:val="22"/>
        </w:rPr>
        <w:t xml:space="preserve"> últimos </w:t>
      </w:r>
      <w:r w:rsidR="007B45F9">
        <w:rPr>
          <w:rFonts w:ascii="Open Sans" w:hAnsi="Open Sans" w:cs="Open Sans"/>
          <w:color w:val="000000"/>
          <w:sz w:val="22"/>
          <w:szCs w:val="22"/>
        </w:rPr>
        <w:t>5</w:t>
      </w:r>
      <w:r w:rsidR="00D41C3C">
        <w:rPr>
          <w:rFonts w:ascii="Open Sans" w:hAnsi="Open Sans" w:cs="Open Sans"/>
          <w:color w:val="000000"/>
          <w:sz w:val="22"/>
          <w:szCs w:val="22"/>
        </w:rPr>
        <w:t xml:space="preserve"> años, </w:t>
      </w:r>
      <w:r w:rsidR="007B45F9">
        <w:rPr>
          <w:rFonts w:ascii="Open Sans" w:hAnsi="Open Sans" w:cs="Open Sans"/>
          <w:color w:val="000000"/>
          <w:sz w:val="22"/>
          <w:szCs w:val="22"/>
        </w:rPr>
        <w:t>tres</w:t>
      </w:r>
      <w:r w:rsidR="00D41C3C">
        <w:rPr>
          <w:rFonts w:ascii="Open Sans" w:hAnsi="Open Sans" w:cs="Open Sans"/>
          <w:color w:val="000000"/>
          <w:sz w:val="22"/>
          <w:szCs w:val="22"/>
        </w:rPr>
        <w:t xml:space="preserve"> de ellas superan </w:t>
      </w:r>
      <w:r w:rsidR="00EC5C56">
        <w:rPr>
          <w:rFonts w:ascii="Open Sans" w:hAnsi="Open Sans" w:cs="Open Sans"/>
          <w:color w:val="000000"/>
          <w:sz w:val="22"/>
          <w:szCs w:val="22"/>
        </w:rPr>
        <w:t xml:space="preserve">la </w:t>
      </w:r>
      <w:r w:rsidR="007B45F9">
        <w:rPr>
          <w:rFonts w:ascii="Open Sans" w:hAnsi="Open Sans" w:cs="Open Sans"/>
          <w:color w:val="000000"/>
          <w:sz w:val="22"/>
          <w:szCs w:val="22"/>
        </w:rPr>
        <w:t>subida</w:t>
      </w:r>
      <w:r w:rsidR="00EC5C56">
        <w:rPr>
          <w:rFonts w:ascii="Open Sans" w:hAnsi="Open Sans" w:cs="Open Sans"/>
          <w:color w:val="000000"/>
          <w:sz w:val="22"/>
          <w:szCs w:val="22"/>
        </w:rPr>
        <w:t xml:space="preserve"> d</w:t>
      </w:r>
      <w:r w:rsidR="00D41C3C">
        <w:rPr>
          <w:rFonts w:ascii="Open Sans" w:hAnsi="Open Sans" w:cs="Open Sans"/>
          <w:color w:val="000000"/>
          <w:sz w:val="22"/>
          <w:szCs w:val="22"/>
        </w:rPr>
        <w:t xml:space="preserve">el </w:t>
      </w:r>
      <w:r w:rsidR="00EC5C56">
        <w:rPr>
          <w:rFonts w:ascii="Open Sans" w:hAnsi="Open Sans" w:cs="Open Sans"/>
          <w:color w:val="000000"/>
          <w:sz w:val="22"/>
          <w:szCs w:val="22"/>
        </w:rPr>
        <w:t>3</w:t>
      </w:r>
      <w:r w:rsidR="00D41C3C">
        <w:rPr>
          <w:rFonts w:ascii="Open Sans" w:hAnsi="Open Sans" w:cs="Open Sans"/>
          <w:color w:val="000000"/>
          <w:sz w:val="22"/>
          <w:szCs w:val="22"/>
        </w:rPr>
        <w:t>0%, según el</w:t>
      </w:r>
      <w:r w:rsidR="00D41C3C" w:rsidRPr="00132340">
        <w:rPr>
          <w:rFonts w:ascii="Open Sans" w:hAnsi="Open Sans" w:cs="Open Sans"/>
          <w:color w:val="000000"/>
          <w:sz w:val="22"/>
          <w:szCs w:val="22"/>
        </w:rPr>
        <w:t xml:space="preserve"> </w:t>
      </w:r>
      <w:r w:rsidR="00D41C3C">
        <w:rPr>
          <w:rFonts w:ascii="Open Sans" w:hAnsi="Open Sans" w:cs="Open Sans"/>
          <w:color w:val="000000"/>
          <w:sz w:val="22"/>
          <w:szCs w:val="22"/>
        </w:rPr>
        <w:t>estudio</w:t>
      </w:r>
      <w:r w:rsidR="00D41C3C" w:rsidRPr="00132340">
        <w:rPr>
          <w:rFonts w:ascii="Open Sans" w:hAnsi="Open Sans" w:cs="Open Sans"/>
          <w:color w:val="000000"/>
          <w:sz w:val="22"/>
          <w:szCs w:val="22"/>
        </w:rPr>
        <w:t xml:space="preserve"> </w:t>
      </w:r>
      <w:r w:rsidR="00D41C3C">
        <w:rPr>
          <w:rFonts w:ascii="Open Sans" w:hAnsi="Open Sans" w:cs="Open Sans"/>
          <w:color w:val="000000"/>
          <w:sz w:val="22"/>
          <w:szCs w:val="22"/>
        </w:rPr>
        <w:t xml:space="preserve">de </w:t>
      </w:r>
      <w:hyperlink r:id="rId13" w:history="1">
        <w:r w:rsidR="00D41C3C" w:rsidRPr="00132340">
          <w:rPr>
            <w:rStyle w:val="Hipervnculo"/>
            <w:rFonts w:ascii="Open Sans" w:hAnsi="Open Sans" w:cs="Open Sans"/>
            <w:sz w:val="22"/>
            <w:szCs w:val="22"/>
          </w:rPr>
          <w:t>Fotocasa</w:t>
        </w:r>
      </w:hyperlink>
      <w:r w:rsidR="00D41C3C" w:rsidRPr="00A909FF">
        <w:rPr>
          <w:rFonts w:ascii="Open Sans" w:hAnsi="Open Sans" w:cs="Open Sans"/>
          <w:sz w:val="22"/>
          <w:szCs w:val="22"/>
        </w:rPr>
        <w:t>.</w:t>
      </w:r>
      <w:r w:rsidR="00D41C3C" w:rsidRPr="00410875">
        <w:rPr>
          <w:rFonts w:ascii="Open Sans" w:hAnsi="Open Sans" w:cs="Open Sans"/>
          <w:color w:val="FF0000"/>
          <w:sz w:val="22"/>
          <w:szCs w:val="22"/>
        </w:rPr>
        <w:t xml:space="preserve"> </w:t>
      </w:r>
      <w:r w:rsidRPr="004B0602">
        <w:rPr>
          <w:rFonts w:ascii="Open Sans" w:hAnsi="Open Sans" w:cs="Open Sans"/>
          <w:sz w:val="22"/>
          <w:szCs w:val="22"/>
        </w:rPr>
        <w:t xml:space="preserve">Así, </w:t>
      </w:r>
      <w:r>
        <w:rPr>
          <w:rFonts w:ascii="Open Sans" w:hAnsi="Open Sans" w:cs="Open Sans"/>
          <w:sz w:val="22"/>
          <w:szCs w:val="22"/>
        </w:rPr>
        <w:t>los</w:t>
      </w:r>
      <w:r w:rsidR="007B45F9">
        <w:rPr>
          <w:rFonts w:ascii="Open Sans" w:hAnsi="Open Sans" w:cs="Open Sans"/>
          <w:sz w:val="22"/>
          <w:szCs w:val="22"/>
        </w:rPr>
        <w:t xml:space="preserve"> compradores de </w:t>
      </w:r>
      <w:r w:rsidR="007B45F9" w:rsidRPr="007B45F9">
        <w:rPr>
          <w:rFonts w:ascii="Open Sans" w:hAnsi="Open Sans" w:cs="Open Sans"/>
          <w:sz w:val="22"/>
          <w:szCs w:val="22"/>
        </w:rPr>
        <w:t xml:space="preserve">Baleares </w:t>
      </w:r>
      <w:r w:rsidR="007B45F9">
        <w:rPr>
          <w:rFonts w:ascii="Open Sans" w:hAnsi="Open Sans" w:cs="Open Sans"/>
          <w:sz w:val="22"/>
          <w:szCs w:val="22"/>
        </w:rPr>
        <w:t>(</w:t>
      </w:r>
      <w:r w:rsidR="001B56F0">
        <w:rPr>
          <w:rFonts w:ascii="Open Sans" w:hAnsi="Open Sans" w:cs="Open Sans"/>
          <w:sz w:val="22"/>
          <w:szCs w:val="22"/>
        </w:rPr>
        <w:t>51</w:t>
      </w:r>
      <w:r w:rsidR="007B45F9">
        <w:rPr>
          <w:rFonts w:ascii="Open Sans" w:hAnsi="Open Sans" w:cs="Open Sans"/>
          <w:sz w:val="22"/>
          <w:szCs w:val="22"/>
        </w:rPr>
        <w:t xml:space="preserve">%), </w:t>
      </w:r>
      <w:r w:rsidR="007B45F9" w:rsidRPr="007B45F9">
        <w:rPr>
          <w:rFonts w:ascii="Open Sans" w:hAnsi="Open Sans" w:cs="Open Sans"/>
          <w:sz w:val="22"/>
          <w:szCs w:val="22"/>
        </w:rPr>
        <w:t xml:space="preserve">Madrid </w:t>
      </w:r>
      <w:r w:rsidR="007B45F9">
        <w:rPr>
          <w:rFonts w:ascii="Open Sans" w:hAnsi="Open Sans" w:cs="Open Sans"/>
          <w:sz w:val="22"/>
          <w:szCs w:val="22"/>
        </w:rPr>
        <w:t>(</w:t>
      </w:r>
      <w:r w:rsidR="001B56F0">
        <w:rPr>
          <w:rFonts w:ascii="Open Sans" w:hAnsi="Open Sans" w:cs="Open Sans"/>
          <w:sz w:val="22"/>
          <w:szCs w:val="22"/>
        </w:rPr>
        <w:t>39</w:t>
      </w:r>
      <w:r w:rsidR="007B45F9">
        <w:rPr>
          <w:rFonts w:ascii="Open Sans" w:hAnsi="Open Sans" w:cs="Open Sans"/>
          <w:sz w:val="22"/>
          <w:szCs w:val="22"/>
        </w:rPr>
        <w:t>%)</w:t>
      </w:r>
      <w:r w:rsidR="001B56F0">
        <w:rPr>
          <w:rFonts w:ascii="Open Sans" w:hAnsi="Open Sans" w:cs="Open Sans"/>
          <w:sz w:val="22"/>
          <w:szCs w:val="22"/>
        </w:rPr>
        <w:t xml:space="preserve"> y </w:t>
      </w:r>
      <w:r w:rsidR="007B45F9" w:rsidRPr="007B45F9">
        <w:rPr>
          <w:rFonts w:ascii="Open Sans" w:hAnsi="Open Sans" w:cs="Open Sans"/>
          <w:sz w:val="22"/>
          <w:szCs w:val="22"/>
        </w:rPr>
        <w:t>Canarias</w:t>
      </w:r>
      <w:r w:rsidR="001B56F0">
        <w:rPr>
          <w:rFonts w:ascii="Open Sans" w:hAnsi="Open Sans" w:cs="Open Sans"/>
          <w:sz w:val="22"/>
          <w:szCs w:val="22"/>
        </w:rPr>
        <w:t xml:space="preserve"> (38%) son los que más han pagado por la compra </w:t>
      </w:r>
      <w:r w:rsidR="00991F54">
        <w:rPr>
          <w:rFonts w:ascii="Open Sans" w:hAnsi="Open Sans" w:cs="Open Sans"/>
          <w:sz w:val="22"/>
          <w:szCs w:val="22"/>
        </w:rPr>
        <w:t xml:space="preserve">de </w:t>
      </w:r>
      <w:r w:rsidR="001B56F0">
        <w:rPr>
          <w:rFonts w:ascii="Open Sans" w:hAnsi="Open Sans" w:cs="Open Sans"/>
          <w:sz w:val="22"/>
          <w:szCs w:val="22"/>
        </w:rPr>
        <w:t>una vivienda en 2020.</w:t>
      </w:r>
    </w:p>
    <w:p w14:paraId="55BB87A1" w14:textId="2DD97624" w:rsidR="001B56F0" w:rsidRDefault="001B56F0" w:rsidP="001B56F0">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Por otro lado, tres </w:t>
      </w:r>
      <w:r w:rsidR="007B45F9">
        <w:rPr>
          <w:rFonts w:ascii="Open Sans" w:hAnsi="Open Sans" w:cs="Open Sans"/>
          <w:color w:val="000000"/>
          <w:sz w:val="22"/>
          <w:szCs w:val="22"/>
        </w:rPr>
        <w:t>c</w:t>
      </w:r>
      <w:r w:rsidR="007B45F9" w:rsidRPr="00662836">
        <w:rPr>
          <w:rFonts w:ascii="Open Sans" w:hAnsi="Open Sans" w:cs="Open Sans"/>
          <w:color w:val="000000"/>
          <w:sz w:val="22"/>
          <w:szCs w:val="22"/>
        </w:rPr>
        <w:t xml:space="preserve">omunidades </w:t>
      </w:r>
      <w:r w:rsidR="007B45F9">
        <w:rPr>
          <w:rFonts w:ascii="Open Sans" w:hAnsi="Open Sans" w:cs="Open Sans"/>
          <w:color w:val="000000"/>
          <w:sz w:val="22"/>
          <w:szCs w:val="22"/>
        </w:rPr>
        <w:t>a</w:t>
      </w:r>
      <w:r w:rsidR="007B45F9" w:rsidRPr="00662836">
        <w:rPr>
          <w:rFonts w:ascii="Open Sans" w:hAnsi="Open Sans" w:cs="Open Sans"/>
          <w:color w:val="000000"/>
          <w:sz w:val="22"/>
          <w:szCs w:val="22"/>
        </w:rPr>
        <w:t xml:space="preserve">utónomas </w:t>
      </w:r>
      <w:r w:rsidR="007B45F9">
        <w:rPr>
          <w:rFonts w:ascii="Open Sans" w:hAnsi="Open Sans" w:cs="Open Sans"/>
          <w:color w:val="000000"/>
          <w:sz w:val="22"/>
          <w:szCs w:val="22"/>
        </w:rPr>
        <w:t xml:space="preserve">han visto descender el acumulativo del precio de la vivienda en venta </w:t>
      </w:r>
      <w:r>
        <w:rPr>
          <w:rFonts w:ascii="Open Sans" w:hAnsi="Open Sans" w:cs="Open Sans"/>
          <w:color w:val="000000"/>
          <w:sz w:val="22"/>
          <w:szCs w:val="22"/>
        </w:rPr>
        <w:t xml:space="preserve">desde 2015 (5 años) y son: </w:t>
      </w:r>
      <w:r w:rsidRPr="001B56F0">
        <w:rPr>
          <w:rFonts w:ascii="Open Sans" w:hAnsi="Open Sans" w:cs="Open Sans"/>
          <w:color w:val="000000"/>
          <w:sz w:val="22"/>
          <w:szCs w:val="22"/>
        </w:rPr>
        <w:t xml:space="preserve">Galicia </w:t>
      </w:r>
      <w:r>
        <w:rPr>
          <w:rFonts w:ascii="Open Sans" w:hAnsi="Open Sans" w:cs="Open Sans"/>
          <w:sz w:val="22"/>
          <w:szCs w:val="22"/>
        </w:rPr>
        <w:t>(</w:t>
      </w:r>
      <w:r w:rsidRPr="001B56F0">
        <w:rPr>
          <w:rFonts w:ascii="Open Sans" w:hAnsi="Open Sans" w:cs="Open Sans"/>
          <w:color w:val="000000"/>
          <w:sz w:val="22"/>
          <w:szCs w:val="22"/>
        </w:rPr>
        <w:t>-2,6%</w:t>
      </w:r>
      <w:r>
        <w:rPr>
          <w:rFonts w:ascii="Open Sans" w:hAnsi="Open Sans" w:cs="Open Sans"/>
          <w:color w:val="000000"/>
          <w:sz w:val="22"/>
          <w:szCs w:val="22"/>
        </w:rPr>
        <w:t xml:space="preserve">), </w:t>
      </w:r>
      <w:r w:rsidRPr="001B56F0">
        <w:rPr>
          <w:rFonts w:ascii="Open Sans" w:hAnsi="Open Sans" w:cs="Open Sans"/>
          <w:color w:val="000000"/>
          <w:sz w:val="22"/>
          <w:szCs w:val="22"/>
        </w:rPr>
        <w:t xml:space="preserve">Castilla y León </w:t>
      </w:r>
      <w:r>
        <w:rPr>
          <w:rFonts w:ascii="Open Sans" w:hAnsi="Open Sans" w:cs="Open Sans"/>
          <w:sz w:val="22"/>
          <w:szCs w:val="22"/>
        </w:rPr>
        <w:t>(</w:t>
      </w:r>
      <w:r w:rsidRPr="001B56F0">
        <w:rPr>
          <w:rFonts w:ascii="Open Sans" w:hAnsi="Open Sans" w:cs="Open Sans"/>
          <w:color w:val="000000"/>
          <w:sz w:val="22"/>
          <w:szCs w:val="22"/>
        </w:rPr>
        <w:t>-2,1%</w:t>
      </w:r>
      <w:r>
        <w:rPr>
          <w:rFonts w:ascii="Open Sans" w:hAnsi="Open Sans" w:cs="Open Sans"/>
          <w:color w:val="000000"/>
          <w:sz w:val="22"/>
          <w:szCs w:val="22"/>
        </w:rPr>
        <w:t xml:space="preserve">) y </w:t>
      </w:r>
      <w:r w:rsidRPr="001B56F0">
        <w:rPr>
          <w:rFonts w:ascii="Open Sans" w:hAnsi="Open Sans" w:cs="Open Sans"/>
          <w:color w:val="000000"/>
          <w:sz w:val="22"/>
          <w:szCs w:val="22"/>
        </w:rPr>
        <w:t>Asturias</w:t>
      </w:r>
      <w:r>
        <w:rPr>
          <w:rFonts w:ascii="Open Sans" w:hAnsi="Open Sans" w:cs="Open Sans"/>
          <w:color w:val="000000"/>
          <w:sz w:val="22"/>
          <w:szCs w:val="22"/>
        </w:rPr>
        <w:t xml:space="preserve"> </w:t>
      </w:r>
      <w:r>
        <w:rPr>
          <w:rFonts w:ascii="Open Sans" w:hAnsi="Open Sans" w:cs="Open Sans"/>
          <w:sz w:val="22"/>
          <w:szCs w:val="22"/>
        </w:rPr>
        <w:t>(</w:t>
      </w:r>
      <w:r w:rsidRPr="001B56F0">
        <w:rPr>
          <w:rFonts w:ascii="Open Sans" w:hAnsi="Open Sans" w:cs="Open Sans"/>
          <w:color w:val="000000"/>
          <w:sz w:val="22"/>
          <w:szCs w:val="22"/>
        </w:rPr>
        <w:t>-1,2%</w:t>
      </w:r>
      <w:r>
        <w:rPr>
          <w:rFonts w:ascii="Open Sans" w:hAnsi="Open Sans" w:cs="Open Sans"/>
          <w:color w:val="000000"/>
          <w:sz w:val="22"/>
          <w:szCs w:val="22"/>
        </w:rPr>
        <w:t>).</w:t>
      </w:r>
    </w:p>
    <w:p w14:paraId="0A960325" w14:textId="38036188" w:rsidR="00037ABA" w:rsidRDefault="00037ABA" w:rsidP="001B56F0">
      <w:pPr>
        <w:pStyle w:val="NormalWeb"/>
        <w:shd w:val="clear" w:color="auto" w:fill="FFFFFF"/>
        <w:spacing w:after="225" w:line="276" w:lineRule="auto"/>
        <w:ind w:right="-574"/>
        <w:jc w:val="both"/>
        <w:rPr>
          <w:rFonts w:ascii="Open Sans" w:hAnsi="Open Sans" w:cs="Open Sans"/>
          <w:color w:val="000000"/>
          <w:sz w:val="22"/>
          <w:szCs w:val="22"/>
        </w:rPr>
      </w:pPr>
    </w:p>
    <w:p w14:paraId="74C175FF" w14:textId="77777777" w:rsidR="00037ABA" w:rsidRDefault="00037ABA" w:rsidP="001B56F0">
      <w:pPr>
        <w:pStyle w:val="NormalWeb"/>
        <w:shd w:val="clear" w:color="auto" w:fill="FFFFFF"/>
        <w:spacing w:after="225" w:line="276" w:lineRule="auto"/>
        <w:ind w:right="-574"/>
        <w:jc w:val="both"/>
        <w:rPr>
          <w:rFonts w:ascii="Open Sans" w:hAnsi="Open Sans" w:cs="Open Sans"/>
          <w:color w:val="000000"/>
          <w:sz w:val="22"/>
          <w:szCs w:val="22"/>
        </w:rPr>
      </w:pPr>
    </w:p>
    <w:p w14:paraId="71C8BCE7" w14:textId="570F7A1D" w:rsidR="00AA2566" w:rsidRDefault="00AA2566" w:rsidP="009004F0">
      <w:pPr>
        <w:pStyle w:val="NormalWeb"/>
        <w:shd w:val="clear" w:color="auto" w:fill="FFFFFF"/>
        <w:spacing w:after="225" w:line="276" w:lineRule="auto"/>
        <w:ind w:right="-574"/>
        <w:jc w:val="center"/>
        <w:rPr>
          <w:rFonts w:ascii="National" w:eastAsiaTheme="minorHAnsi" w:hAnsi="National" w:cstheme="minorBidi"/>
          <w:b/>
          <w:bCs/>
          <w:iCs/>
          <w:color w:val="303AB2"/>
          <w:sz w:val="30"/>
          <w:szCs w:val="180"/>
          <w:lang w:eastAsia="en-US"/>
        </w:rPr>
      </w:pPr>
      <w:r>
        <w:rPr>
          <w:rFonts w:ascii="National" w:eastAsiaTheme="minorHAnsi" w:hAnsi="National" w:cstheme="minorBidi"/>
          <w:b/>
          <w:bCs/>
          <w:iCs/>
          <w:color w:val="303AB2"/>
          <w:sz w:val="30"/>
          <w:szCs w:val="180"/>
          <w:lang w:eastAsia="en-US"/>
        </w:rPr>
        <w:lastRenderedPageBreak/>
        <w:t xml:space="preserve">Comparativa del acumulativo </w:t>
      </w:r>
      <w:r w:rsidR="00B231C2">
        <w:rPr>
          <w:rFonts w:ascii="National" w:eastAsiaTheme="minorHAnsi" w:hAnsi="National" w:cstheme="minorBidi"/>
          <w:b/>
          <w:bCs/>
          <w:iCs/>
          <w:color w:val="303AB2"/>
          <w:sz w:val="30"/>
          <w:szCs w:val="180"/>
          <w:lang w:eastAsia="en-US"/>
        </w:rPr>
        <w:t xml:space="preserve">de la vivienda en venta </w:t>
      </w:r>
      <w:r w:rsidR="0037410B">
        <w:rPr>
          <w:rFonts w:ascii="National" w:eastAsiaTheme="minorHAnsi" w:hAnsi="National" w:cstheme="minorBidi"/>
          <w:b/>
          <w:bCs/>
          <w:iCs/>
          <w:color w:val="303AB2"/>
          <w:sz w:val="30"/>
          <w:szCs w:val="180"/>
          <w:lang w:eastAsia="en-US"/>
        </w:rPr>
        <w:t>en España</w:t>
      </w:r>
    </w:p>
    <w:p w14:paraId="79D1DAF3" w14:textId="76ECDE27" w:rsidR="00B231C2" w:rsidRDefault="00B231C2" w:rsidP="009004F0">
      <w:pPr>
        <w:pStyle w:val="NormalWeb"/>
        <w:shd w:val="clear" w:color="auto" w:fill="FFFFFF"/>
        <w:spacing w:after="225" w:line="276" w:lineRule="auto"/>
        <w:ind w:right="-574"/>
        <w:jc w:val="center"/>
        <w:rPr>
          <w:noProof/>
        </w:rPr>
      </w:pPr>
      <w:r>
        <w:rPr>
          <w:noProof/>
        </w:rPr>
        <w:drawing>
          <wp:inline distT="0" distB="0" distL="0" distR="0" wp14:anchorId="295416B5" wp14:editId="3CA2E3E2">
            <wp:extent cx="5617845" cy="2242748"/>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1003" cy="2255985"/>
                    </a:xfrm>
                    <a:prstGeom prst="rect">
                      <a:avLst/>
                    </a:prstGeom>
                    <a:noFill/>
                  </pic:spPr>
                </pic:pic>
              </a:graphicData>
            </a:graphic>
          </wp:inline>
        </w:drawing>
      </w:r>
    </w:p>
    <w:p w14:paraId="78137B98" w14:textId="36B41D2D" w:rsidR="00B231C2" w:rsidRDefault="00B231C2" w:rsidP="009004F0">
      <w:pPr>
        <w:pStyle w:val="NormalWeb"/>
        <w:shd w:val="clear" w:color="auto" w:fill="FFFFFF"/>
        <w:spacing w:after="225" w:line="276" w:lineRule="auto"/>
        <w:ind w:right="-574"/>
        <w:jc w:val="center"/>
        <w:rPr>
          <w:noProof/>
        </w:rPr>
      </w:pPr>
      <w:r>
        <w:rPr>
          <w:noProof/>
        </w:rPr>
        <w:drawing>
          <wp:inline distT="0" distB="0" distL="0" distR="0" wp14:anchorId="758E0A5A" wp14:editId="42164849">
            <wp:extent cx="4015409" cy="170868"/>
            <wp:effectExtent l="0" t="0" r="444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9661" cy="195730"/>
                    </a:xfrm>
                    <a:prstGeom prst="rect">
                      <a:avLst/>
                    </a:prstGeom>
                  </pic:spPr>
                </pic:pic>
              </a:graphicData>
            </a:graphic>
          </wp:inline>
        </w:drawing>
      </w:r>
    </w:p>
    <w:p w14:paraId="36D00577" w14:textId="77777777" w:rsidR="00B231C2" w:rsidRDefault="00B231C2" w:rsidP="009004F0">
      <w:pPr>
        <w:pStyle w:val="NormalWeb"/>
        <w:shd w:val="clear" w:color="auto" w:fill="FFFFFF"/>
        <w:spacing w:after="225" w:line="276" w:lineRule="auto"/>
        <w:ind w:right="-574"/>
        <w:jc w:val="center"/>
        <w:rPr>
          <w:noProof/>
        </w:rPr>
      </w:pPr>
    </w:p>
    <w:p w14:paraId="164CD16D" w14:textId="42AD070B" w:rsidR="00DB36B2" w:rsidRDefault="00B231C2" w:rsidP="00DB36B2">
      <w:pPr>
        <w:pStyle w:val="NormalWeb"/>
        <w:shd w:val="clear" w:color="auto" w:fill="FFFFFF"/>
        <w:spacing w:after="225"/>
        <w:ind w:right="-574"/>
        <w:jc w:val="center"/>
        <w:rPr>
          <w:rFonts w:ascii="National" w:eastAsiaTheme="minorHAnsi" w:hAnsi="National" w:cstheme="minorBidi"/>
          <w:b/>
          <w:bCs/>
          <w:iCs/>
          <w:color w:val="303AB2"/>
          <w:sz w:val="30"/>
          <w:szCs w:val="180"/>
          <w:lang w:eastAsia="en-US"/>
        </w:rPr>
      </w:pPr>
      <w:r>
        <w:rPr>
          <w:rFonts w:ascii="National" w:eastAsiaTheme="minorHAnsi" w:hAnsi="National" w:cstheme="minorBidi"/>
          <w:b/>
          <w:bCs/>
          <w:iCs/>
          <w:noProof/>
          <w:color w:val="303AB2"/>
          <w:sz w:val="30"/>
          <w:szCs w:val="180"/>
          <w:lang w:eastAsia="en-US"/>
        </w:rPr>
        <w:drawing>
          <wp:inline distT="0" distB="0" distL="0" distR="0" wp14:anchorId="2478691B" wp14:editId="380D2A1D">
            <wp:extent cx="5780952" cy="23882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3240" cy="2397443"/>
                    </a:xfrm>
                    <a:prstGeom prst="rect">
                      <a:avLst/>
                    </a:prstGeom>
                    <a:noFill/>
                  </pic:spPr>
                </pic:pic>
              </a:graphicData>
            </a:graphic>
          </wp:inline>
        </w:drawing>
      </w:r>
    </w:p>
    <w:p w14:paraId="6175B187" w14:textId="380AE68C" w:rsidR="00ED419C" w:rsidRDefault="00B231C2" w:rsidP="009004F0">
      <w:pPr>
        <w:pStyle w:val="NormalWeb"/>
        <w:shd w:val="clear" w:color="auto" w:fill="FFFFFF"/>
        <w:spacing w:after="225" w:line="276" w:lineRule="auto"/>
        <w:ind w:right="-574"/>
        <w:jc w:val="center"/>
        <w:rPr>
          <w:rFonts w:ascii="National" w:eastAsiaTheme="minorHAnsi" w:hAnsi="National" w:cstheme="minorBidi"/>
          <w:b/>
          <w:bCs/>
          <w:iCs/>
          <w:color w:val="303AB2"/>
          <w:sz w:val="30"/>
          <w:szCs w:val="180"/>
          <w:lang w:eastAsia="en-US"/>
        </w:rPr>
      </w:pPr>
      <w:r>
        <w:rPr>
          <w:noProof/>
        </w:rPr>
        <w:drawing>
          <wp:inline distT="0" distB="0" distL="0" distR="0" wp14:anchorId="153B6C84" wp14:editId="23BECDC2">
            <wp:extent cx="4015409" cy="170868"/>
            <wp:effectExtent l="0" t="0" r="444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99661" cy="195730"/>
                    </a:xfrm>
                    <a:prstGeom prst="rect">
                      <a:avLst/>
                    </a:prstGeom>
                  </pic:spPr>
                </pic:pic>
              </a:graphicData>
            </a:graphic>
          </wp:inline>
        </w:drawing>
      </w:r>
    </w:p>
    <w:p w14:paraId="02C78461" w14:textId="77777777" w:rsidR="006E292A" w:rsidRDefault="006E292A" w:rsidP="0014007A">
      <w:pPr>
        <w:pStyle w:val="NormalWeb"/>
        <w:shd w:val="clear" w:color="auto" w:fill="FFFFFF"/>
        <w:spacing w:after="225" w:line="276" w:lineRule="auto"/>
        <w:ind w:right="-574"/>
        <w:jc w:val="both"/>
        <w:rPr>
          <w:rFonts w:ascii="National" w:eastAsiaTheme="minorHAnsi" w:hAnsi="National" w:cstheme="minorBidi"/>
          <w:b/>
          <w:bCs/>
          <w:iCs/>
          <w:color w:val="303AB2"/>
          <w:sz w:val="30"/>
          <w:szCs w:val="180"/>
          <w:lang w:eastAsia="en-US"/>
        </w:rPr>
      </w:pPr>
    </w:p>
    <w:p w14:paraId="3DA9096E" w14:textId="6D842D37" w:rsidR="0014007A" w:rsidRDefault="0014007A" w:rsidP="0014007A">
      <w:pPr>
        <w:pStyle w:val="NormalWeb"/>
        <w:shd w:val="clear" w:color="auto" w:fill="FFFFFF"/>
        <w:spacing w:after="225" w:line="276" w:lineRule="auto"/>
        <w:ind w:right="-574"/>
        <w:jc w:val="both"/>
        <w:rPr>
          <w:rFonts w:ascii="Open Sans" w:hAnsi="Open Sans" w:cs="Open Sans"/>
          <w:color w:val="000000"/>
          <w:sz w:val="22"/>
          <w:szCs w:val="22"/>
        </w:rPr>
      </w:pPr>
      <w:r w:rsidRPr="0014007A">
        <w:rPr>
          <w:rFonts w:ascii="National" w:eastAsiaTheme="minorHAnsi" w:hAnsi="National" w:cstheme="minorBidi"/>
          <w:b/>
          <w:bCs/>
          <w:iCs/>
          <w:color w:val="303AB2"/>
          <w:sz w:val="30"/>
          <w:szCs w:val="180"/>
          <w:lang w:eastAsia="en-US"/>
        </w:rPr>
        <w:t xml:space="preserve">Por </w:t>
      </w:r>
      <w:r w:rsidR="00B54B63">
        <w:rPr>
          <w:rFonts w:ascii="National" w:eastAsiaTheme="minorHAnsi" w:hAnsi="National" w:cstheme="minorBidi"/>
          <w:b/>
          <w:bCs/>
          <w:iCs/>
          <w:color w:val="303AB2"/>
          <w:sz w:val="30"/>
          <w:szCs w:val="180"/>
          <w:lang w:eastAsia="en-US"/>
        </w:rPr>
        <w:t>capital</w:t>
      </w:r>
      <w:r w:rsidR="00AD3095">
        <w:rPr>
          <w:rFonts w:ascii="National" w:eastAsiaTheme="minorHAnsi" w:hAnsi="National" w:cstheme="minorBidi"/>
          <w:b/>
          <w:bCs/>
          <w:iCs/>
          <w:color w:val="303AB2"/>
          <w:sz w:val="30"/>
          <w:szCs w:val="180"/>
          <w:lang w:eastAsia="en-US"/>
        </w:rPr>
        <w:t>es de provincia</w:t>
      </w:r>
    </w:p>
    <w:p w14:paraId="690E14EF" w14:textId="6415402A" w:rsidR="00E43CE5" w:rsidRDefault="002564C0" w:rsidP="00CE563D">
      <w:pPr>
        <w:pStyle w:val="NormalWeb"/>
        <w:shd w:val="clear" w:color="auto" w:fill="FFFFFF"/>
        <w:spacing w:after="225" w:line="276" w:lineRule="auto"/>
        <w:ind w:right="-574"/>
        <w:jc w:val="both"/>
        <w:rPr>
          <w:rFonts w:ascii="Open Sans" w:hAnsi="Open Sans" w:cs="Open Sans"/>
          <w:sz w:val="22"/>
          <w:szCs w:val="22"/>
        </w:rPr>
      </w:pPr>
      <w:r w:rsidRPr="002564C0">
        <w:rPr>
          <w:rFonts w:ascii="Open Sans" w:hAnsi="Open Sans" w:cs="Open Sans"/>
          <w:color w:val="000000"/>
          <w:sz w:val="22"/>
          <w:szCs w:val="22"/>
        </w:rPr>
        <w:t>Palma de Mallorca</w:t>
      </w:r>
      <w:r>
        <w:rPr>
          <w:rFonts w:ascii="Open Sans" w:hAnsi="Open Sans" w:cs="Open Sans"/>
          <w:color w:val="000000"/>
          <w:sz w:val="22"/>
          <w:szCs w:val="22"/>
        </w:rPr>
        <w:t xml:space="preserve"> </w:t>
      </w:r>
      <w:r w:rsidR="00DB36B2">
        <w:rPr>
          <w:rFonts w:ascii="Open Sans" w:hAnsi="Open Sans" w:cs="Open Sans"/>
          <w:color w:val="000000"/>
          <w:sz w:val="22"/>
          <w:szCs w:val="22"/>
        </w:rPr>
        <w:t xml:space="preserve">es la única ciudad de España cuyo incremento acumulativo </w:t>
      </w:r>
      <w:r>
        <w:rPr>
          <w:rFonts w:ascii="Open Sans" w:hAnsi="Open Sans" w:cs="Open Sans"/>
          <w:color w:val="000000"/>
          <w:sz w:val="22"/>
          <w:szCs w:val="22"/>
        </w:rPr>
        <w:t xml:space="preserve">de la vivienda en venta </w:t>
      </w:r>
      <w:r w:rsidR="00DB36B2">
        <w:rPr>
          <w:rFonts w:ascii="Open Sans" w:hAnsi="Open Sans" w:cs="Open Sans"/>
          <w:color w:val="000000"/>
          <w:sz w:val="22"/>
          <w:szCs w:val="22"/>
        </w:rPr>
        <w:t>es superior al 50%</w:t>
      </w:r>
      <w:r w:rsidR="0014007A">
        <w:rPr>
          <w:rFonts w:ascii="Open Sans" w:hAnsi="Open Sans" w:cs="Open Sans"/>
          <w:color w:val="000000"/>
          <w:sz w:val="22"/>
          <w:szCs w:val="22"/>
        </w:rPr>
        <w:t xml:space="preserve">, </w:t>
      </w:r>
      <w:r w:rsidR="00DB36B2">
        <w:rPr>
          <w:rFonts w:ascii="Open Sans" w:hAnsi="Open Sans" w:cs="Open Sans"/>
          <w:color w:val="000000"/>
          <w:sz w:val="22"/>
          <w:szCs w:val="22"/>
        </w:rPr>
        <w:t>en concreto, el precio de diciembre de 2020 es un</w:t>
      </w:r>
      <w:r>
        <w:rPr>
          <w:rFonts w:ascii="Open Sans" w:hAnsi="Open Sans" w:cs="Open Sans"/>
          <w:color w:val="000000"/>
          <w:sz w:val="22"/>
          <w:szCs w:val="22"/>
        </w:rPr>
        <w:t xml:space="preserve"> 58</w:t>
      </w:r>
      <w:r w:rsidR="00DB36B2">
        <w:rPr>
          <w:rFonts w:ascii="Open Sans" w:hAnsi="Open Sans" w:cs="Open Sans"/>
          <w:color w:val="000000"/>
          <w:sz w:val="22"/>
          <w:szCs w:val="22"/>
        </w:rPr>
        <w:t xml:space="preserve">% </w:t>
      </w:r>
      <w:r w:rsidR="00736472">
        <w:rPr>
          <w:rFonts w:ascii="Open Sans" w:hAnsi="Open Sans" w:cs="Open Sans"/>
          <w:color w:val="000000"/>
          <w:sz w:val="22"/>
          <w:szCs w:val="22"/>
        </w:rPr>
        <w:t xml:space="preserve">más </w:t>
      </w:r>
      <w:r w:rsidR="00DB36B2">
        <w:rPr>
          <w:rFonts w:ascii="Open Sans" w:hAnsi="Open Sans" w:cs="Open Sans"/>
          <w:color w:val="000000"/>
          <w:sz w:val="22"/>
          <w:szCs w:val="22"/>
        </w:rPr>
        <w:t>respecto al año 2015</w:t>
      </w:r>
      <w:r w:rsidR="00D00F1E">
        <w:rPr>
          <w:rFonts w:ascii="Open Sans" w:hAnsi="Open Sans" w:cs="Open Sans"/>
          <w:color w:val="000000"/>
          <w:sz w:val="22"/>
          <w:szCs w:val="22"/>
        </w:rPr>
        <w:t xml:space="preserve">, </w:t>
      </w:r>
      <w:r>
        <w:rPr>
          <w:rFonts w:ascii="Open Sans" w:hAnsi="Open Sans" w:cs="Open Sans"/>
          <w:color w:val="000000"/>
          <w:sz w:val="22"/>
          <w:szCs w:val="22"/>
        </w:rPr>
        <w:t xml:space="preserve">pero apenas se ha incrementado un 0,1% respecto al 2019, </w:t>
      </w:r>
      <w:r w:rsidR="00D00F1E">
        <w:rPr>
          <w:rFonts w:ascii="Open Sans" w:hAnsi="Open Sans" w:cs="Open Sans"/>
          <w:color w:val="000000"/>
          <w:sz w:val="22"/>
          <w:szCs w:val="22"/>
        </w:rPr>
        <w:t>según el</w:t>
      </w:r>
      <w:r w:rsidR="00D00F1E" w:rsidRPr="00132340">
        <w:rPr>
          <w:rFonts w:ascii="Open Sans" w:hAnsi="Open Sans" w:cs="Open Sans"/>
          <w:color w:val="000000"/>
          <w:sz w:val="22"/>
          <w:szCs w:val="22"/>
        </w:rPr>
        <w:t xml:space="preserve"> </w:t>
      </w:r>
      <w:r w:rsidR="00D00F1E">
        <w:rPr>
          <w:rFonts w:ascii="Open Sans" w:hAnsi="Open Sans" w:cs="Open Sans"/>
          <w:color w:val="000000"/>
          <w:sz w:val="22"/>
          <w:szCs w:val="22"/>
        </w:rPr>
        <w:t>estudio</w:t>
      </w:r>
      <w:r w:rsidR="00D00F1E" w:rsidRPr="00132340">
        <w:rPr>
          <w:rFonts w:ascii="Open Sans" w:hAnsi="Open Sans" w:cs="Open Sans"/>
          <w:color w:val="000000"/>
          <w:sz w:val="22"/>
          <w:szCs w:val="22"/>
        </w:rPr>
        <w:t xml:space="preserve"> </w:t>
      </w:r>
      <w:r w:rsidR="00D00F1E">
        <w:rPr>
          <w:rFonts w:ascii="Open Sans" w:hAnsi="Open Sans" w:cs="Open Sans"/>
          <w:color w:val="000000"/>
          <w:sz w:val="22"/>
          <w:szCs w:val="22"/>
        </w:rPr>
        <w:t xml:space="preserve">de </w:t>
      </w:r>
      <w:hyperlink r:id="rId17" w:history="1">
        <w:r w:rsidR="00D00F1E" w:rsidRPr="00132340">
          <w:rPr>
            <w:rStyle w:val="Hipervnculo"/>
            <w:rFonts w:ascii="Open Sans" w:hAnsi="Open Sans" w:cs="Open Sans"/>
            <w:sz w:val="22"/>
            <w:szCs w:val="22"/>
          </w:rPr>
          <w:t>Fotocasa</w:t>
        </w:r>
      </w:hyperlink>
      <w:r w:rsidR="00D00F1E" w:rsidRPr="00A909FF">
        <w:rPr>
          <w:rFonts w:ascii="Open Sans" w:hAnsi="Open Sans" w:cs="Open Sans"/>
          <w:sz w:val="22"/>
          <w:szCs w:val="22"/>
        </w:rPr>
        <w:t>.</w:t>
      </w:r>
      <w:r w:rsidR="00D00F1E">
        <w:rPr>
          <w:rFonts w:ascii="Open Sans" w:hAnsi="Open Sans" w:cs="Open Sans"/>
          <w:sz w:val="22"/>
          <w:szCs w:val="22"/>
        </w:rPr>
        <w:t xml:space="preserve"> </w:t>
      </w:r>
    </w:p>
    <w:p w14:paraId="42B192B0" w14:textId="5307BC38" w:rsidR="00D00F1E" w:rsidRPr="00B231C2" w:rsidRDefault="00E43CE5" w:rsidP="00CE563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sz w:val="22"/>
          <w:szCs w:val="22"/>
        </w:rPr>
        <w:lastRenderedPageBreak/>
        <w:t xml:space="preserve">Por una vivienda de 80 metros cuadrados en régimen de </w:t>
      </w:r>
      <w:r w:rsidR="00B231C2">
        <w:rPr>
          <w:rFonts w:ascii="Open Sans" w:hAnsi="Open Sans" w:cs="Open Sans"/>
          <w:color w:val="000000"/>
          <w:sz w:val="22"/>
          <w:szCs w:val="22"/>
        </w:rPr>
        <w:t>venta</w:t>
      </w:r>
      <w:r>
        <w:rPr>
          <w:rFonts w:ascii="Open Sans" w:hAnsi="Open Sans" w:cs="Open Sans"/>
          <w:sz w:val="22"/>
          <w:szCs w:val="22"/>
        </w:rPr>
        <w:t xml:space="preserve"> en </w:t>
      </w:r>
      <w:r w:rsidR="002564C0" w:rsidRPr="002564C0">
        <w:rPr>
          <w:rFonts w:ascii="Open Sans" w:hAnsi="Open Sans" w:cs="Open Sans"/>
          <w:sz w:val="22"/>
          <w:szCs w:val="22"/>
        </w:rPr>
        <w:t>Palma de Mallorca</w:t>
      </w:r>
      <w:r w:rsidR="002564C0">
        <w:rPr>
          <w:rFonts w:ascii="Open Sans" w:hAnsi="Open Sans" w:cs="Open Sans"/>
          <w:sz w:val="22"/>
          <w:szCs w:val="22"/>
        </w:rPr>
        <w:t xml:space="preserve"> </w:t>
      </w:r>
      <w:r>
        <w:rPr>
          <w:rFonts w:ascii="Open Sans" w:hAnsi="Open Sans" w:cs="Open Sans"/>
          <w:sz w:val="22"/>
          <w:szCs w:val="22"/>
        </w:rPr>
        <w:t xml:space="preserve">se pagaba </w:t>
      </w:r>
      <w:r w:rsidR="002564C0">
        <w:rPr>
          <w:rFonts w:ascii="Open Sans" w:hAnsi="Open Sans" w:cs="Open Sans"/>
          <w:sz w:val="22"/>
          <w:szCs w:val="22"/>
        </w:rPr>
        <w:t>151.880</w:t>
      </w:r>
      <w:r>
        <w:rPr>
          <w:rFonts w:ascii="Open Sans" w:hAnsi="Open Sans" w:cs="Open Sans"/>
          <w:sz w:val="22"/>
          <w:szCs w:val="22"/>
        </w:rPr>
        <w:t xml:space="preserve"> euros hace 5 años (</w:t>
      </w:r>
      <w:r w:rsidR="002564C0">
        <w:rPr>
          <w:rFonts w:ascii="Open Sans" w:hAnsi="Open Sans" w:cs="Open Sans"/>
          <w:sz w:val="22"/>
          <w:szCs w:val="22"/>
        </w:rPr>
        <w:t xml:space="preserve">1.899 </w:t>
      </w:r>
      <w:r>
        <w:rPr>
          <w:rFonts w:ascii="Open Sans" w:hAnsi="Open Sans" w:cs="Open Sans"/>
          <w:sz w:val="22"/>
          <w:szCs w:val="22"/>
        </w:rPr>
        <w:t>€/m</w:t>
      </w:r>
      <w:r w:rsidRPr="00E43CE5">
        <w:rPr>
          <w:rFonts w:ascii="Open Sans" w:hAnsi="Open Sans" w:cs="Open Sans"/>
          <w:sz w:val="22"/>
          <w:szCs w:val="22"/>
          <w:vertAlign w:val="superscript"/>
        </w:rPr>
        <w:t>2</w:t>
      </w:r>
      <w:r>
        <w:rPr>
          <w:rFonts w:ascii="Open Sans" w:hAnsi="Open Sans" w:cs="Open Sans"/>
          <w:sz w:val="22"/>
          <w:szCs w:val="22"/>
        </w:rPr>
        <w:t xml:space="preserve"> en 2015), mientras que en 2020 se ha pagado </w:t>
      </w:r>
      <w:r w:rsidR="002564C0">
        <w:rPr>
          <w:rFonts w:ascii="Open Sans" w:hAnsi="Open Sans" w:cs="Open Sans"/>
          <w:sz w:val="22"/>
          <w:szCs w:val="22"/>
        </w:rPr>
        <w:t xml:space="preserve">239.558 </w:t>
      </w:r>
      <w:r>
        <w:rPr>
          <w:rFonts w:ascii="Open Sans" w:hAnsi="Open Sans" w:cs="Open Sans"/>
          <w:sz w:val="22"/>
          <w:szCs w:val="22"/>
        </w:rPr>
        <w:t>euros (</w:t>
      </w:r>
      <w:r w:rsidR="002564C0">
        <w:rPr>
          <w:rFonts w:ascii="Open Sans" w:hAnsi="Open Sans" w:cs="Open Sans"/>
          <w:sz w:val="22"/>
          <w:szCs w:val="22"/>
        </w:rPr>
        <w:t>2.994</w:t>
      </w:r>
      <w:r>
        <w:rPr>
          <w:rFonts w:ascii="Open Sans" w:hAnsi="Open Sans" w:cs="Open Sans"/>
          <w:sz w:val="22"/>
          <w:szCs w:val="22"/>
        </w:rPr>
        <w:t xml:space="preserve"> €/m</w:t>
      </w:r>
      <w:r w:rsidRPr="00E43CE5">
        <w:rPr>
          <w:rFonts w:ascii="Open Sans" w:hAnsi="Open Sans" w:cs="Open Sans"/>
          <w:sz w:val="22"/>
          <w:szCs w:val="22"/>
          <w:vertAlign w:val="superscript"/>
        </w:rPr>
        <w:t>2</w:t>
      </w:r>
      <w:r>
        <w:rPr>
          <w:rFonts w:ascii="Open Sans" w:hAnsi="Open Sans" w:cs="Open Sans"/>
          <w:sz w:val="22"/>
          <w:szCs w:val="22"/>
        </w:rPr>
        <w:t xml:space="preserve"> en 20</w:t>
      </w:r>
      <w:r w:rsidR="00B772CA">
        <w:rPr>
          <w:rFonts w:ascii="Open Sans" w:hAnsi="Open Sans" w:cs="Open Sans"/>
          <w:sz w:val="22"/>
          <w:szCs w:val="22"/>
        </w:rPr>
        <w:t>20</w:t>
      </w:r>
      <w:r>
        <w:rPr>
          <w:rFonts w:ascii="Open Sans" w:hAnsi="Open Sans" w:cs="Open Sans"/>
          <w:sz w:val="22"/>
          <w:szCs w:val="22"/>
        </w:rPr>
        <w:t>).</w:t>
      </w:r>
    </w:p>
    <w:p w14:paraId="163DEAC2" w14:textId="22C113C0" w:rsidR="002564C0" w:rsidRDefault="00D00F1E" w:rsidP="002564C0">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 xml:space="preserve">Las diez ciudades con mayor incremento acumulativo de </w:t>
      </w:r>
      <w:r w:rsidR="00B231C2">
        <w:rPr>
          <w:rFonts w:ascii="Open Sans" w:hAnsi="Open Sans" w:cs="Open Sans"/>
          <w:color w:val="000000"/>
          <w:sz w:val="22"/>
          <w:szCs w:val="22"/>
        </w:rPr>
        <w:t>venta</w:t>
      </w:r>
      <w:r w:rsidR="00B231C2" w:rsidRPr="008376CF">
        <w:rPr>
          <w:rFonts w:ascii="Open Sans" w:hAnsi="Open Sans" w:cs="Open Sans"/>
          <w:color w:val="000000"/>
          <w:sz w:val="22"/>
          <w:szCs w:val="22"/>
        </w:rPr>
        <w:t xml:space="preserve"> </w:t>
      </w:r>
      <w:r>
        <w:rPr>
          <w:rFonts w:ascii="Open Sans" w:hAnsi="Open Sans" w:cs="Open Sans"/>
          <w:sz w:val="22"/>
          <w:szCs w:val="22"/>
        </w:rPr>
        <w:t xml:space="preserve">en España </w:t>
      </w:r>
      <w:r w:rsidR="002564C0">
        <w:rPr>
          <w:rFonts w:ascii="Open Sans" w:hAnsi="Open Sans" w:cs="Open Sans"/>
          <w:sz w:val="22"/>
          <w:szCs w:val="22"/>
        </w:rPr>
        <w:t xml:space="preserve">los últimos 5 años (desde 2015) </w:t>
      </w:r>
      <w:r>
        <w:rPr>
          <w:rFonts w:ascii="Open Sans" w:hAnsi="Open Sans" w:cs="Open Sans"/>
          <w:sz w:val="22"/>
          <w:szCs w:val="22"/>
        </w:rPr>
        <w:t>son:</w:t>
      </w:r>
      <w:r w:rsidRPr="00CE563D">
        <w:rPr>
          <w:rFonts w:ascii="Open Sans" w:hAnsi="Open Sans" w:cs="Open Sans"/>
          <w:sz w:val="22"/>
          <w:szCs w:val="22"/>
        </w:rPr>
        <w:t xml:space="preserve"> </w:t>
      </w:r>
      <w:r w:rsidR="002564C0" w:rsidRPr="002564C0">
        <w:rPr>
          <w:rFonts w:ascii="Open Sans" w:hAnsi="Open Sans" w:cs="Open Sans"/>
          <w:sz w:val="22"/>
          <w:szCs w:val="22"/>
        </w:rPr>
        <w:t>Palma de Mallorca</w:t>
      </w:r>
      <w:r w:rsidR="004278CB">
        <w:rPr>
          <w:rFonts w:ascii="Open Sans" w:hAnsi="Open Sans" w:cs="Open Sans"/>
          <w:sz w:val="22"/>
          <w:szCs w:val="22"/>
        </w:rPr>
        <w:t xml:space="preserve"> </w:t>
      </w:r>
      <w:r w:rsidR="002564C0">
        <w:rPr>
          <w:rFonts w:ascii="Open Sans" w:hAnsi="Open Sans" w:cs="Open Sans"/>
          <w:sz w:val="22"/>
          <w:szCs w:val="22"/>
        </w:rPr>
        <w:t>(</w:t>
      </w:r>
      <w:r w:rsidR="002564C0" w:rsidRPr="002564C0">
        <w:rPr>
          <w:rFonts w:ascii="Open Sans" w:hAnsi="Open Sans" w:cs="Open Sans"/>
          <w:sz w:val="22"/>
          <w:szCs w:val="22"/>
        </w:rPr>
        <w:t>58%</w:t>
      </w:r>
      <w:r w:rsidR="002564C0">
        <w:rPr>
          <w:rFonts w:ascii="Open Sans" w:hAnsi="Open Sans" w:cs="Open Sans"/>
          <w:sz w:val="22"/>
          <w:szCs w:val="22"/>
        </w:rPr>
        <w:t>),</w:t>
      </w:r>
      <w:r w:rsidR="004278CB">
        <w:rPr>
          <w:rFonts w:ascii="Open Sans" w:hAnsi="Open Sans" w:cs="Open Sans"/>
          <w:sz w:val="22"/>
          <w:szCs w:val="22"/>
        </w:rPr>
        <w:t xml:space="preserve"> </w:t>
      </w:r>
      <w:r w:rsidR="002564C0" w:rsidRPr="002564C0">
        <w:rPr>
          <w:rFonts w:ascii="Open Sans" w:hAnsi="Open Sans" w:cs="Open Sans"/>
          <w:sz w:val="22"/>
          <w:szCs w:val="22"/>
        </w:rPr>
        <w:t>Madrid Capital</w:t>
      </w:r>
      <w:r w:rsidR="004278CB">
        <w:rPr>
          <w:rFonts w:ascii="Open Sans" w:hAnsi="Open Sans" w:cs="Open Sans"/>
          <w:sz w:val="22"/>
          <w:szCs w:val="22"/>
        </w:rPr>
        <w:t xml:space="preserve"> </w:t>
      </w:r>
      <w:r w:rsidR="002564C0">
        <w:rPr>
          <w:rFonts w:ascii="Open Sans" w:hAnsi="Open Sans" w:cs="Open Sans"/>
          <w:sz w:val="22"/>
          <w:szCs w:val="22"/>
        </w:rPr>
        <w:t>(</w:t>
      </w:r>
      <w:r w:rsidR="002564C0" w:rsidRPr="002564C0">
        <w:rPr>
          <w:rFonts w:ascii="Open Sans" w:hAnsi="Open Sans" w:cs="Open Sans"/>
          <w:sz w:val="22"/>
          <w:szCs w:val="22"/>
        </w:rPr>
        <w:t>42%</w:t>
      </w:r>
      <w:r w:rsidR="002564C0">
        <w:rPr>
          <w:rFonts w:ascii="Open Sans" w:hAnsi="Open Sans" w:cs="Open Sans"/>
          <w:sz w:val="22"/>
          <w:szCs w:val="22"/>
        </w:rPr>
        <w:t>),</w:t>
      </w:r>
      <w:r w:rsidR="004278CB">
        <w:rPr>
          <w:rFonts w:ascii="Open Sans" w:hAnsi="Open Sans" w:cs="Open Sans"/>
          <w:sz w:val="22"/>
          <w:szCs w:val="22"/>
        </w:rPr>
        <w:t xml:space="preserve"> </w:t>
      </w:r>
      <w:r w:rsidR="002564C0" w:rsidRPr="002564C0">
        <w:rPr>
          <w:rFonts w:ascii="Open Sans" w:hAnsi="Open Sans" w:cs="Open Sans"/>
          <w:sz w:val="22"/>
          <w:szCs w:val="22"/>
        </w:rPr>
        <w:t>Málaga Capital</w:t>
      </w:r>
      <w:r w:rsidR="004278CB">
        <w:rPr>
          <w:rFonts w:ascii="Open Sans" w:hAnsi="Open Sans" w:cs="Open Sans"/>
          <w:sz w:val="22"/>
          <w:szCs w:val="22"/>
        </w:rPr>
        <w:t xml:space="preserve"> </w:t>
      </w:r>
      <w:r w:rsidR="002564C0">
        <w:rPr>
          <w:rFonts w:ascii="Open Sans" w:hAnsi="Open Sans" w:cs="Open Sans"/>
          <w:sz w:val="22"/>
          <w:szCs w:val="22"/>
        </w:rPr>
        <w:t>(</w:t>
      </w:r>
      <w:r w:rsidR="002564C0" w:rsidRPr="002564C0">
        <w:rPr>
          <w:rFonts w:ascii="Open Sans" w:hAnsi="Open Sans" w:cs="Open Sans"/>
          <w:sz w:val="22"/>
          <w:szCs w:val="22"/>
        </w:rPr>
        <w:t>40%</w:t>
      </w:r>
      <w:r w:rsidR="002564C0">
        <w:rPr>
          <w:rFonts w:ascii="Open Sans" w:hAnsi="Open Sans" w:cs="Open Sans"/>
          <w:sz w:val="22"/>
          <w:szCs w:val="22"/>
        </w:rPr>
        <w:t>),</w:t>
      </w:r>
      <w:r w:rsidR="004278CB">
        <w:rPr>
          <w:rFonts w:ascii="Open Sans" w:hAnsi="Open Sans" w:cs="Open Sans"/>
          <w:sz w:val="22"/>
          <w:szCs w:val="22"/>
        </w:rPr>
        <w:t xml:space="preserve"> </w:t>
      </w:r>
      <w:r w:rsidR="002564C0" w:rsidRPr="002564C0">
        <w:rPr>
          <w:rFonts w:ascii="Open Sans" w:hAnsi="Open Sans" w:cs="Open Sans"/>
          <w:sz w:val="22"/>
          <w:szCs w:val="22"/>
        </w:rPr>
        <w:t>Las Palmas de Gran Canaria</w:t>
      </w:r>
      <w:r w:rsidR="002564C0" w:rsidRPr="002564C0">
        <w:rPr>
          <w:rFonts w:ascii="Open Sans" w:hAnsi="Open Sans" w:cs="Open Sans"/>
          <w:sz w:val="22"/>
          <w:szCs w:val="22"/>
        </w:rPr>
        <w:tab/>
      </w:r>
      <w:r w:rsidR="004278CB">
        <w:rPr>
          <w:rFonts w:ascii="Open Sans" w:hAnsi="Open Sans" w:cs="Open Sans"/>
          <w:sz w:val="22"/>
          <w:szCs w:val="22"/>
        </w:rPr>
        <w:t>(</w:t>
      </w:r>
      <w:r w:rsidR="002564C0" w:rsidRPr="002564C0">
        <w:rPr>
          <w:rFonts w:ascii="Open Sans" w:hAnsi="Open Sans" w:cs="Open Sans"/>
          <w:sz w:val="22"/>
          <w:szCs w:val="22"/>
        </w:rPr>
        <w:t>36%</w:t>
      </w:r>
      <w:r w:rsidR="002564C0">
        <w:rPr>
          <w:rFonts w:ascii="Open Sans" w:hAnsi="Open Sans" w:cs="Open Sans"/>
          <w:sz w:val="22"/>
          <w:szCs w:val="22"/>
        </w:rPr>
        <w:t>),</w:t>
      </w:r>
      <w:r w:rsidR="004278CB">
        <w:rPr>
          <w:rFonts w:ascii="Open Sans" w:hAnsi="Open Sans" w:cs="Open Sans"/>
          <w:sz w:val="22"/>
          <w:szCs w:val="22"/>
        </w:rPr>
        <w:t xml:space="preserve"> </w:t>
      </w:r>
      <w:r w:rsidR="002564C0" w:rsidRPr="002564C0">
        <w:rPr>
          <w:rFonts w:ascii="Open Sans" w:hAnsi="Open Sans" w:cs="Open Sans"/>
          <w:sz w:val="22"/>
          <w:szCs w:val="22"/>
        </w:rPr>
        <w:t>Donostia - San Sebastián</w:t>
      </w:r>
      <w:r w:rsidR="004278CB">
        <w:rPr>
          <w:rFonts w:ascii="Open Sans" w:hAnsi="Open Sans" w:cs="Open Sans"/>
          <w:sz w:val="22"/>
          <w:szCs w:val="22"/>
        </w:rPr>
        <w:t xml:space="preserve"> (</w:t>
      </w:r>
      <w:r w:rsidR="002564C0" w:rsidRPr="002564C0">
        <w:rPr>
          <w:rFonts w:ascii="Open Sans" w:hAnsi="Open Sans" w:cs="Open Sans"/>
          <w:sz w:val="22"/>
          <w:szCs w:val="22"/>
        </w:rPr>
        <w:t>35%</w:t>
      </w:r>
      <w:r w:rsidR="002564C0">
        <w:rPr>
          <w:rFonts w:ascii="Open Sans" w:hAnsi="Open Sans" w:cs="Open Sans"/>
          <w:sz w:val="22"/>
          <w:szCs w:val="22"/>
        </w:rPr>
        <w:t>),</w:t>
      </w:r>
      <w:r w:rsidR="004278CB">
        <w:rPr>
          <w:rFonts w:ascii="Open Sans" w:hAnsi="Open Sans" w:cs="Open Sans"/>
          <w:sz w:val="22"/>
          <w:szCs w:val="22"/>
        </w:rPr>
        <w:t xml:space="preserve"> </w:t>
      </w:r>
      <w:r w:rsidR="002564C0" w:rsidRPr="002564C0">
        <w:rPr>
          <w:rFonts w:ascii="Open Sans" w:hAnsi="Open Sans" w:cs="Open Sans"/>
          <w:sz w:val="22"/>
          <w:szCs w:val="22"/>
        </w:rPr>
        <w:t>Valencia Capital</w:t>
      </w:r>
      <w:r w:rsidR="004278CB">
        <w:rPr>
          <w:rFonts w:ascii="Open Sans" w:hAnsi="Open Sans" w:cs="Open Sans"/>
          <w:sz w:val="22"/>
          <w:szCs w:val="22"/>
        </w:rPr>
        <w:t xml:space="preserve"> (</w:t>
      </w:r>
      <w:r w:rsidR="002564C0" w:rsidRPr="002564C0">
        <w:rPr>
          <w:rFonts w:ascii="Open Sans" w:hAnsi="Open Sans" w:cs="Open Sans"/>
          <w:sz w:val="22"/>
          <w:szCs w:val="22"/>
        </w:rPr>
        <w:t>32%</w:t>
      </w:r>
      <w:r w:rsidR="002564C0">
        <w:rPr>
          <w:rFonts w:ascii="Open Sans" w:hAnsi="Open Sans" w:cs="Open Sans"/>
          <w:sz w:val="22"/>
          <w:szCs w:val="22"/>
        </w:rPr>
        <w:t>),</w:t>
      </w:r>
      <w:r w:rsidR="004278CB">
        <w:rPr>
          <w:rFonts w:ascii="Open Sans" w:hAnsi="Open Sans" w:cs="Open Sans"/>
          <w:sz w:val="22"/>
          <w:szCs w:val="22"/>
        </w:rPr>
        <w:t xml:space="preserve"> </w:t>
      </w:r>
      <w:r w:rsidR="002564C0" w:rsidRPr="002564C0">
        <w:rPr>
          <w:rFonts w:ascii="Open Sans" w:hAnsi="Open Sans" w:cs="Open Sans"/>
          <w:sz w:val="22"/>
          <w:szCs w:val="22"/>
        </w:rPr>
        <w:t>Girona Capital</w:t>
      </w:r>
      <w:r w:rsidR="002564C0" w:rsidRPr="002564C0">
        <w:rPr>
          <w:rFonts w:ascii="Open Sans" w:hAnsi="Open Sans" w:cs="Open Sans"/>
          <w:sz w:val="22"/>
          <w:szCs w:val="22"/>
        </w:rPr>
        <w:tab/>
      </w:r>
      <w:r w:rsidR="004278CB">
        <w:rPr>
          <w:rFonts w:ascii="Open Sans" w:hAnsi="Open Sans" w:cs="Open Sans"/>
          <w:sz w:val="22"/>
          <w:szCs w:val="22"/>
        </w:rPr>
        <w:t>(</w:t>
      </w:r>
      <w:r w:rsidR="002564C0" w:rsidRPr="002564C0">
        <w:rPr>
          <w:rFonts w:ascii="Open Sans" w:hAnsi="Open Sans" w:cs="Open Sans"/>
          <w:sz w:val="22"/>
          <w:szCs w:val="22"/>
        </w:rPr>
        <w:t>27%</w:t>
      </w:r>
      <w:r w:rsidR="002564C0">
        <w:rPr>
          <w:rFonts w:ascii="Open Sans" w:hAnsi="Open Sans" w:cs="Open Sans"/>
          <w:sz w:val="22"/>
          <w:szCs w:val="22"/>
        </w:rPr>
        <w:t>),</w:t>
      </w:r>
      <w:r w:rsidR="004278CB">
        <w:rPr>
          <w:rFonts w:ascii="Open Sans" w:hAnsi="Open Sans" w:cs="Open Sans"/>
          <w:sz w:val="22"/>
          <w:szCs w:val="22"/>
        </w:rPr>
        <w:t xml:space="preserve"> </w:t>
      </w:r>
      <w:r w:rsidR="002564C0" w:rsidRPr="002564C0">
        <w:rPr>
          <w:rFonts w:ascii="Open Sans" w:hAnsi="Open Sans" w:cs="Open Sans"/>
          <w:sz w:val="22"/>
          <w:szCs w:val="22"/>
        </w:rPr>
        <w:t>Barcelona Capital</w:t>
      </w:r>
      <w:r w:rsidR="004278CB">
        <w:rPr>
          <w:rFonts w:ascii="Open Sans" w:hAnsi="Open Sans" w:cs="Open Sans"/>
          <w:sz w:val="22"/>
          <w:szCs w:val="22"/>
        </w:rPr>
        <w:t xml:space="preserve"> (</w:t>
      </w:r>
      <w:r w:rsidR="002564C0" w:rsidRPr="002564C0">
        <w:rPr>
          <w:rFonts w:ascii="Open Sans" w:hAnsi="Open Sans" w:cs="Open Sans"/>
          <w:sz w:val="22"/>
          <w:szCs w:val="22"/>
        </w:rPr>
        <w:t>27%</w:t>
      </w:r>
      <w:r w:rsidR="002564C0">
        <w:rPr>
          <w:rFonts w:ascii="Open Sans" w:hAnsi="Open Sans" w:cs="Open Sans"/>
          <w:sz w:val="22"/>
          <w:szCs w:val="22"/>
        </w:rPr>
        <w:t>),</w:t>
      </w:r>
      <w:r w:rsidR="004278CB">
        <w:rPr>
          <w:rFonts w:ascii="Open Sans" w:hAnsi="Open Sans" w:cs="Open Sans"/>
          <w:sz w:val="22"/>
          <w:szCs w:val="22"/>
        </w:rPr>
        <w:t xml:space="preserve"> </w:t>
      </w:r>
      <w:r w:rsidR="002564C0" w:rsidRPr="002564C0">
        <w:rPr>
          <w:rFonts w:ascii="Open Sans" w:hAnsi="Open Sans" w:cs="Open Sans"/>
          <w:sz w:val="22"/>
          <w:szCs w:val="22"/>
        </w:rPr>
        <w:t>Vitoria - Gasteiz</w:t>
      </w:r>
      <w:r w:rsidR="002564C0" w:rsidRPr="002564C0">
        <w:rPr>
          <w:rFonts w:ascii="Open Sans" w:hAnsi="Open Sans" w:cs="Open Sans"/>
          <w:sz w:val="22"/>
          <w:szCs w:val="22"/>
        </w:rPr>
        <w:tab/>
      </w:r>
      <w:r w:rsidR="004278CB">
        <w:rPr>
          <w:rFonts w:ascii="Open Sans" w:hAnsi="Open Sans" w:cs="Open Sans"/>
          <w:sz w:val="22"/>
          <w:szCs w:val="22"/>
        </w:rPr>
        <w:t>(</w:t>
      </w:r>
      <w:r w:rsidR="002564C0" w:rsidRPr="002564C0">
        <w:rPr>
          <w:rFonts w:ascii="Open Sans" w:hAnsi="Open Sans" w:cs="Open Sans"/>
          <w:sz w:val="22"/>
          <w:szCs w:val="22"/>
        </w:rPr>
        <w:t>22%</w:t>
      </w:r>
      <w:r w:rsidR="002564C0">
        <w:rPr>
          <w:rFonts w:ascii="Open Sans" w:hAnsi="Open Sans" w:cs="Open Sans"/>
          <w:sz w:val="22"/>
          <w:szCs w:val="22"/>
        </w:rPr>
        <w:t>)</w:t>
      </w:r>
      <w:r w:rsidR="004278CB">
        <w:rPr>
          <w:rFonts w:ascii="Open Sans" w:hAnsi="Open Sans" w:cs="Open Sans"/>
          <w:sz w:val="22"/>
          <w:szCs w:val="22"/>
        </w:rPr>
        <w:t xml:space="preserve"> y </w:t>
      </w:r>
      <w:r w:rsidR="002564C0" w:rsidRPr="002564C0">
        <w:rPr>
          <w:rFonts w:ascii="Open Sans" w:hAnsi="Open Sans" w:cs="Open Sans"/>
          <w:sz w:val="22"/>
          <w:szCs w:val="22"/>
        </w:rPr>
        <w:t>Pamplona / Iruña</w:t>
      </w:r>
      <w:r w:rsidR="004278CB">
        <w:rPr>
          <w:rFonts w:ascii="Open Sans" w:hAnsi="Open Sans" w:cs="Open Sans"/>
          <w:sz w:val="22"/>
          <w:szCs w:val="22"/>
        </w:rPr>
        <w:t xml:space="preserve"> (</w:t>
      </w:r>
      <w:r w:rsidR="002564C0" w:rsidRPr="002564C0">
        <w:rPr>
          <w:rFonts w:ascii="Open Sans" w:hAnsi="Open Sans" w:cs="Open Sans"/>
          <w:sz w:val="22"/>
          <w:szCs w:val="22"/>
        </w:rPr>
        <w:t>21%</w:t>
      </w:r>
      <w:r w:rsidR="002564C0">
        <w:rPr>
          <w:rFonts w:ascii="Open Sans" w:hAnsi="Open Sans" w:cs="Open Sans"/>
          <w:sz w:val="22"/>
          <w:szCs w:val="22"/>
        </w:rPr>
        <w:t>)</w:t>
      </w:r>
      <w:r w:rsidR="004278CB">
        <w:rPr>
          <w:rFonts w:ascii="Open Sans" w:hAnsi="Open Sans" w:cs="Open Sans"/>
          <w:sz w:val="22"/>
          <w:szCs w:val="22"/>
        </w:rPr>
        <w:t>.</w:t>
      </w:r>
    </w:p>
    <w:p w14:paraId="703F7E91" w14:textId="0FC18A27" w:rsidR="004278CB" w:rsidRDefault="00D00F1E" w:rsidP="004278CB">
      <w:pPr>
        <w:pStyle w:val="NormalWeb"/>
        <w:shd w:val="clear" w:color="auto" w:fill="FFFFFF"/>
        <w:spacing w:after="225" w:line="276" w:lineRule="auto"/>
        <w:ind w:right="-574"/>
        <w:jc w:val="both"/>
        <w:rPr>
          <w:rFonts w:ascii="Open Sans" w:hAnsi="Open Sans" w:cs="Open Sans"/>
          <w:sz w:val="22"/>
          <w:szCs w:val="22"/>
        </w:rPr>
      </w:pPr>
      <w:r>
        <w:rPr>
          <w:rFonts w:ascii="Open Sans" w:hAnsi="Open Sans" w:cs="Open Sans"/>
          <w:sz w:val="22"/>
          <w:szCs w:val="22"/>
        </w:rPr>
        <w:t xml:space="preserve">Por otro lado, las ciudades </w:t>
      </w:r>
      <w:r w:rsidR="004278CB">
        <w:rPr>
          <w:rFonts w:ascii="Open Sans" w:hAnsi="Open Sans" w:cs="Open Sans"/>
          <w:sz w:val="22"/>
          <w:szCs w:val="22"/>
        </w:rPr>
        <w:t>con descensos acumulativos en el precio de la vivienda en</w:t>
      </w:r>
      <w:r w:rsidR="00B231C2">
        <w:rPr>
          <w:rFonts w:ascii="Open Sans" w:hAnsi="Open Sans" w:cs="Open Sans"/>
          <w:sz w:val="22"/>
          <w:szCs w:val="22"/>
        </w:rPr>
        <w:t xml:space="preserve"> venta</w:t>
      </w:r>
      <w:r>
        <w:rPr>
          <w:rFonts w:ascii="Open Sans" w:hAnsi="Open Sans" w:cs="Open Sans"/>
          <w:sz w:val="22"/>
          <w:szCs w:val="22"/>
        </w:rPr>
        <w:t xml:space="preserve"> desde 2015 son: </w:t>
      </w:r>
      <w:r w:rsidR="004278CB" w:rsidRPr="004278CB">
        <w:rPr>
          <w:rFonts w:ascii="Open Sans" w:hAnsi="Open Sans" w:cs="Open Sans"/>
          <w:sz w:val="22"/>
          <w:szCs w:val="22"/>
        </w:rPr>
        <w:t xml:space="preserve">Teruel </w:t>
      </w:r>
      <w:r w:rsidR="004278CB">
        <w:rPr>
          <w:rFonts w:ascii="Open Sans" w:hAnsi="Open Sans" w:cs="Open Sans"/>
          <w:sz w:val="22"/>
          <w:szCs w:val="22"/>
        </w:rPr>
        <w:t>c</w:t>
      </w:r>
      <w:r w:rsidR="004278CB" w:rsidRPr="004278CB">
        <w:rPr>
          <w:rFonts w:ascii="Open Sans" w:hAnsi="Open Sans" w:cs="Open Sans"/>
          <w:sz w:val="22"/>
          <w:szCs w:val="22"/>
        </w:rPr>
        <w:t>apital</w:t>
      </w:r>
      <w:r w:rsidR="004278CB">
        <w:rPr>
          <w:rFonts w:ascii="Open Sans" w:hAnsi="Open Sans" w:cs="Open Sans"/>
          <w:sz w:val="22"/>
          <w:szCs w:val="22"/>
        </w:rPr>
        <w:t xml:space="preserve"> (</w:t>
      </w:r>
      <w:r w:rsidR="004278CB" w:rsidRPr="004278CB">
        <w:rPr>
          <w:rFonts w:ascii="Open Sans" w:hAnsi="Open Sans" w:cs="Open Sans"/>
          <w:sz w:val="22"/>
          <w:szCs w:val="22"/>
        </w:rPr>
        <w:t>-12%</w:t>
      </w:r>
      <w:r w:rsidR="004278CB">
        <w:rPr>
          <w:rFonts w:ascii="Open Sans" w:hAnsi="Open Sans" w:cs="Open Sans"/>
          <w:sz w:val="22"/>
          <w:szCs w:val="22"/>
        </w:rPr>
        <w:t xml:space="preserve">), </w:t>
      </w:r>
      <w:r w:rsidR="004278CB" w:rsidRPr="004278CB">
        <w:rPr>
          <w:rFonts w:ascii="Open Sans" w:hAnsi="Open Sans" w:cs="Open Sans"/>
          <w:sz w:val="22"/>
          <w:szCs w:val="22"/>
        </w:rPr>
        <w:t xml:space="preserve">Soria </w:t>
      </w:r>
      <w:r w:rsidR="004278CB">
        <w:rPr>
          <w:rFonts w:ascii="Open Sans" w:hAnsi="Open Sans" w:cs="Open Sans"/>
          <w:sz w:val="22"/>
          <w:szCs w:val="22"/>
        </w:rPr>
        <w:t>c</w:t>
      </w:r>
      <w:r w:rsidR="004278CB" w:rsidRPr="004278CB">
        <w:rPr>
          <w:rFonts w:ascii="Open Sans" w:hAnsi="Open Sans" w:cs="Open Sans"/>
          <w:sz w:val="22"/>
          <w:szCs w:val="22"/>
        </w:rPr>
        <w:t>apital</w:t>
      </w:r>
      <w:r w:rsidR="004278CB">
        <w:rPr>
          <w:rFonts w:ascii="Open Sans" w:hAnsi="Open Sans" w:cs="Open Sans"/>
          <w:sz w:val="22"/>
          <w:szCs w:val="22"/>
        </w:rPr>
        <w:t xml:space="preserve"> (</w:t>
      </w:r>
      <w:r w:rsidR="004278CB" w:rsidRPr="004278CB">
        <w:rPr>
          <w:rFonts w:ascii="Open Sans" w:hAnsi="Open Sans" w:cs="Open Sans"/>
          <w:sz w:val="22"/>
          <w:szCs w:val="22"/>
        </w:rPr>
        <w:t>-7,5%</w:t>
      </w:r>
      <w:r w:rsidR="004278CB">
        <w:rPr>
          <w:rFonts w:ascii="Open Sans" w:hAnsi="Open Sans" w:cs="Open Sans"/>
          <w:sz w:val="22"/>
          <w:szCs w:val="22"/>
        </w:rPr>
        <w:t xml:space="preserve">), </w:t>
      </w:r>
      <w:r w:rsidR="004278CB" w:rsidRPr="004278CB">
        <w:rPr>
          <w:rFonts w:ascii="Open Sans" w:hAnsi="Open Sans" w:cs="Open Sans"/>
          <w:sz w:val="22"/>
          <w:szCs w:val="22"/>
        </w:rPr>
        <w:t xml:space="preserve">Zamora </w:t>
      </w:r>
      <w:r w:rsidR="004278CB">
        <w:rPr>
          <w:rFonts w:ascii="Open Sans" w:hAnsi="Open Sans" w:cs="Open Sans"/>
          <w:sz w:val="22"/>
          <w:szCs w:val="22"/>
        </w:rPr>
        <w:t>c</w:t>
      </w:r>
      <w:r w:rsidR="004278CB" w:rsidRPr="004278CB">
        <w:rPr>
          <w:rFonts w:ascii="Open Sans" w:hAnsi="Open Sans" w:cs="Open Sans"/>
          <w:sz w:val="22"/>
          <w:szCs w:val="22"/>
        </w:rPr>
        <w:t>apital</w:t>
      </w:r>
      <w:r w:rsidR="004278CB">
        <w:rPr>
          <w:rFonts w:ascii="Open Sans" w:hAnsi="Open Sans" w:cs="Open Sans"/>
          <w:sz w:val="22"/>
          <w:szCs w:val="22"/>
        </w:rPr>
        <w:t xml:space="preserve"> (</w:t>
      </w:r>
      <w:r w:rsidR="004278CB" w:rsidRPr="004278CB">
        <w:rPr>
          <w:rFonts w:ascii="Open Sans" w:hAnsi="Open Sans" w:cs="Open Sans"/>
          <w:sz w:val="22"/>
          <w:szCs w:val="22"/>
        </w:rPr>
        <w:t>-6,1%</w:t>
      </w:r>
      <w:r w:rsidR="004278CB">
        <w:rPr>
          <w:rFonts w:ascii="Open Sans" w:hAnsi="Open Sans" w:cs="Open Sans"/>
          <w:sz w:val="22"/>
          <w:szCs w:val="22"/>
        </w:rPr>
        <w:t xml:space="preserve">), </w:t>
      </w:r>
      <w:r w:rsidR="004278CB" w:rsidRPr="004278CB">
        <w:rPr>
          <w:rFonts w:ascii="Open Sans" w:hAnsi="Open Sans" w:cs="Open Sans"/>
          <w:sz w:val="22"/>
          <w:szCs w:val="22"/>
        </w:rPr>
        <w:t xml:space="preserve">Ávila </w:t>
      </w:r>
      <w:r w:rsidR="004278CB">
        <w:rPr>
          <w:rFonts w:ascii="Open Sans" w:hAnsi="Open Sans" w:cs="Open Sans"/>
          <w:sz w:val="22"/>
          <w:szCs w:val="22"/>
        </w:rPr>
        <w:t>c</w:t>
      </w:r>
      <w:r w:rsidR="004278CB" w:rsidRPr="004278CB">
        <w:rPr>
          <w:rFonts w:ascii="Open Sans" w:hAnsi="Open Sans" w:cs="Open Sans"/>
          <w:sz w:val="22"/>
          <w:szCs w:val="22"/>
        </w:rPr>
        <w:t>apital</w:t>
      </w:r>
      <w:r w:rsidR="004278CB">
        <w:rPr>
          <w:rFonts w:ascii="Open Sans" w:hAnsi="Open Sans" w:cs="Open Sans"/>
          <w:sz w:val="22"/>
          <w:szCs w:val="22"/>
        </w:rPr>
        <w:t xml:space="preserve"> (</w:t>
      </w:r>
      <w:r w:rsidR="004278CB" w:rsidRPr="004278CB">
        <w:rPr>
          <w:rFonts w:ascii="Open Sans" w:hAnsi="Open Sans" w:cs="Open Sans"/>
          <w:sz w:val="22"/>
          <w:szCs w:val="22"/>
        </w:rPr>
        <w:t>-4,9%</w:t>
      </w:r>
      <w:r w:rsidR="004278CB">
        <w:rPr>
          <w:rFonts w:ascii="Open Sans" w:hAnsi="Open Sans" w:cs="Open Sans"/>
          <w:sz w:val="22"/>
          <w:szCs w:val="22"/>
        </w:rPr>
        <w:t xml:space="preserve">), </w:t>
      </w:r>
      <w:r w:rsidR="004278CB" w:rsidRPr="004278CB">
        <w:rPr>
          <w:rFonts w:ascii="Open Sans" w:hAnsi="Open Sans" w:cs="Open Sans"/>
          <w:sz w:val="22"/>
          <w:szCs w:val="22"/>
        </w:rPr>
        <w:t xml:space="preserve">Jaén </w:t>
      </w:r>
      <w:r w:rsidR="004278CB">
        <w:rPr>
          <w:rFonts w:ascii="Open Sans" w:hAnsi="Open Sans" w:cs="Open Sans"/>
          <w:sz w:val="22"/>
          <w:szCs w:val="22"/>
        </w:rPr>
        <w:t>c</w:t>
      </w:r>
      <w:r w:rsidR="004278CB" w:rsidRPr="004278CB">
        <w:rPr>
          <w:rFonts w:ascii="Open Sans" w:hAnsi="Open Sans" w:cs="Open Sans"/>
          <w:sz w:val="22"/>
          <w:szCs w:val="22"/>
        </w:rPr>
        <w:t>apital</w:t>
      </w:r>
      <w:r w:rsidR="004278CB">
        <w:rPr>
          <w:rFonts w:ascii="Open Sans" w:hAnsi="Open Sans" w:cs="Open Sans"/>
          <w:sz w:val="22"/>
          <w:szCs w:val="22"/>
        </w:rPr>
        <w:t xml:space="preserve"> (</w:t>
      </w:r>
      <w:r w:rsidR="004278CB" w:rsidRPr="004278CB">
        <w:rPr>
          <w:rFonts w:ascii="Open Sans" w:hAnsi="Open Sans" w:cs="Open Sans"/>
          <w:sz w:val="22"/>
          <w:szCs w:val="22"/>
        </w:rPr>
        <w:t>-3,4%</w:t>
      </w:r>
      <w:r w:rsidR="004278CB">
        <w:rPr>
          <w:rFonts w:ascii="Open Sans" w:hAnsi="Open Sans" w:cs="Open Sans"/>
          <w:sz w:val="22"/>
          <w:szCs w:val="22"/>
        </w:rPr>
        <w:t xml:space="preserve">), </w:t>
      </w:r>
      <w:r w:rsidR="004278CB" w:rsidRPr="004278CB">
        <w:rPr>
          <w:rFonts w:ascii="Open Sans" w:hAnsi="Open Sans" w:cs="Open Sans"/>
          <w:sz w:val="22"/>
          <w:szCs w:val="22"/>
        </w:rPr>
        <w:t xml:space="preserve">Almería </w:t>
      </w:r>
      <w:r w:rsidR="004278CB">
        <w:rPr>
          <w:rFonts w:ascii="Open Sans" w:hAnsi="Open Sans" w:cs="Open Sans"/>
          <w:sz w:val="22"/>
          <w:szCs w:val="22"/>
        </w:rPr>
        <w:t>c</w:t>
      </w:r>
      <w:r w:rsidR="004278CB" w:rsidRPr="004278CB">
        <w:rPr>
          <w:rFonts w:ascii="Open Sans" w:hAnsi="Open Sans" w:cs="Open Sans"/>
          <w:sz w:val="22"/>
          <w:szCs w:val="22"/>
        </w:rPr>
        <w:t>apital</w:t>
      </w:r>
      <w:r w:rsidR="004278CB">
        <w:rPr>
          <w:rFonts w:ascii="Open Sans" w:hAnsi="Open Sans" w:cs="Open Sans"/>
          <w:sz w:val="22"/>
          <w:szCs w:val="22"/>
        </w:rPr>
        <w:t xml:space="preserve"> (</w:t>
      </w:r>
      <w:r w:rsidR="004278CB" w:rsidRPr="004278CB">
        <w:rPr>
          <w:rFonts w:ascii="Open Sans" w:hAnsi="Open Sans" w:cs="Open Sans"/>
          <w:sz w:val="22"/>
          <w:szCs w:val="22"/>
        </w:rPr>
        <w:t>-2,0%</w:t>
      </w:r>
      <w:r w:rsidR="004278CB">
        <w:rPr>
          <w:rFonts w:ascii="Open Sans" w:hAnsi="Open Sans" w:cs="Open Sans"/>
          <w:sz w:val="22"/>
          <w:szCs w:val="22"/>
        </w:rPr>
        <w:t xml:space="preserve">), </w:t>
      </w:r>
      <w:r w:rsidR="004278CB" w:rsidRPr="004278CB">
        <w:rPr>
          <w:rFonts w:ascii="Open Sans" w:hAnsi="Open Sans" w:cs="Open Sans"/>
          <w:sz w:val="22"/>
          <w:szCs w:val="22"/>
        </w:rPr>
        <w:t xml:space="preserve">Ciudad Real </w:t>
      </w:r>
      <w:r w:rsidR="004278CB">
        <w:rPr>
          <w:rFonts w:ascii="Open Sans" w:hAnsi="Open Sans" w:cs="Open Sans"/>
          <w:sz w:val="22"/>
          <w:szCs w:val="22"/>
        </w:rPr>
        <w:t>c</w:t>
      </w:r>
      <w:r w:rsidR="004278CB" w:rsidRPr="004278CB">
        <w:rPr>
          <w:rFonts w:ascii="Open Sans" w:hAnsi="Open Sans" w:cs="Open Sans"/>
          <w:sz w:val="22"/>
          <w:szCs w:val="22"/>
        </w:rPr>
        <w:t>apital</w:t>
      </w:r>
      <w:r w:rsidR="004278CB">
        <w:rPr>
          <w:rFonts w:ascii="Open Sans" w:hAnsi="Open Sans" w:cs="Open Sans"/>
          <w:sz w:val="22"/>
          <w:szCs w:val="22"/>
        </w:rPr>
        <w:t xml:space="preserve"> (</w:t>
      </w:r>
      <w:r w:rsidR="004278CB" w:rsidRPr="004278CB">
        <w:rPr>
          <w:rFonts w:ascii="Open Sans" w:hAnsi="Open Sans" w:cs="Open Sans"/>
          <w:sz w:val="22"/>
          <w:szCs w:val="22"/>
        </w:rPr>
        <w:t>-1,8%</w:t>
      </w:r>
      <w:r w:rsidR="004278CB">
        <w:rPr>
          <w:rFonts w:ascii="Open Sans" w:hAnsi="Open Sans" w:cs="Open Sans"/>
          <w:sz w:val="22"/>
          <w:szCs w:val="22"/>
        </w:rPr>
        <w:t xml:space="preserve">), </w:t>
      </w:r>
      <w:r w:rsidR="004278CB" w:rsidRPr="004278CB">
        <w:rPr>
          <w:rFonts w:ascii="Open Sans" w:hAnsi="Open Sans" w:cs="Open Sans"/>
          <w:sz w:val="22"/>
          <w:szCs w:val="22"/>
        </w:rPr>
        <w:t xml:space="preserve">Huesca </w:t>
      </w:r>
      <w:r w:rsidR="004278CB">
        <w:rPr>
          <w:rFonts w:ascii="Open Sans" w:hAnsi="Open Sans" w:cs="Open Sans"/>
          <w:sz w:val="22"/>
          <w:szCs w:val="22"/>
        </w:rPr>
        <w:t>c</w:t>
      </w:r>
      <w:r w:rsidR="004278CB" w:rsidRPr="004278CB">
        <w:rPr>
          <w:rFonts w:ascii="Open Sans" w:hAnsi="Open Sans" w:cs="Open Sans"/>
          <w:sz w:val="22"/>
          <w:szCs w:val="22"/>
        </w:rPr>
        <w:t>apital</w:t>
      </w:r>
      <w:r w:rsidR="004278CB" w:rsidRPr="004278CB">
        <w:rPr>
          <w:rFonts w:ascii="Open Sans" w:hAnsi="Open Sans" w:cs="Open Sans"/>
          <w:sz w:val="22"/>
          <w:szCs w:val="22"/>
        </w:rPr>
        <w:tab/>
      </w:r>
      <w:r w:rsidR="004278CB">
        <w:rPr>
          <w:rFonts w:ascii="Open Sans" w:hAnsi="Open Sans" w:cs="Open Sans"/>
          <w:sz w:val="22"/>
          <w:szCs w:val="22"/>
        </w:rPr>
        <w:t xml:space="preserve"> (</w:t>
      </w:r>
      <w:r w:rsidR="004278CB" w:rsidRPr="004278CB">
        <w:rPr>
          <w:rFonts w:ascii="Open Sans" w:hAnsi="Open Sans" w:cs="Open Sans"/>
          <w:sz w:val="22"/>
          <w:szCs w:val="22"/>
        </w:rPr>
        <w:t>-0,8%</w:t>
      </w:r>
      <w:r w:rsidR="004278CB">
        <w:rPr>
          <w:rFonts w:ascii="Open Sans" w:hAnsi="Open Sans" w:cs="Open Sans"/>
          <w:sz w:val="22"/>
          <w:szCs w:val="22"/>
        </w:rPr>
        <w:t xml:space="preserve">) y </w:t>
      </w:r>
      <w:r w:rsidR="004278CB" w:rsidRPr="004278CB">
        <w:rPr>
          <w:rFonts w:ascii="Open Sans" w:hAnsi="Open Sans" w:cs="Open Sans"/>
          <w:sz w:val="22"/>
          <w:szCs w:val="22"/>
        </w:rPr>
        <w:t>Oviedo</w:t>
      </w:r>
      <w:r w:rsidR="00D95F3B">
        <w:rPr>
          <w:rFonts w:ascii="Open Sans" w:hAnsi="Open Sans" w:cs="Open Sans"/>
          <w:sz w:val="22"/>
          <w:szCs w:val="22"/>
        </w:rPr>
        <w:t xml:space="preserve"> </w:t>
      </w:r>
      <w:r w:rsidR="004278CB">
        <w:rPr>
          <w:rFonts w:ascii="Open Sans" w:hAnsi="Open Sans" w:cs="Open Sans"/>
          <w:sz w:val="22"/>
          <w:szCs w:val="22"/>
        </w:rPr>
        <w:t>(</w:t>
      </w:r>
      <w:r w:rsidR="004278CB" w:rsidRPr="004278CB">
        <w:rPr>
          <w:rFonts w:ascii="Open Sans" w:hAnsi="Open Sans" w:cs="Open Sans"/>
          <w:sz w:val="22"/>
          <w:szCs w:val="22"/>
        </w:rPr>
        <w:t>-0,02%</w:t>
      </w:r>
      <w:r w:rsidR="004278CB">
        <w:rPr>
          <w:rFonts w:ascii="Open Sans" w:hAnsi="Open Sans" w:cs="Open Sans"/>
          <w:sz w:val="22"/>
          <w:szCs w:val="22"/>
        </w:rPr>
        <w:t>).</w:t>
      </w:r>
    </w:p>
    <w:p w14:paraId="6DDFE6C3" w14:textId="23C6B460" w:rsidR="00A449CC" w:rsidRDefault="00B54B63" w:rsidP="002C1563">
      <w:pPr>
        <w:pStyle w:val="Prrafodelista"/>
        <w:spacing w:line="276" w:lineRule="auto"/>
        <w:ind w:left="0" w:right="-574"/>
        <w:jc w:val="center"/>
        <w:rPr>
          <w:rFonts w:ascii="National" w:hAnsi="National"/>
          <w:b/>
          <w:bCs/>
          <w:iCs/>
          <w:color w:val="303AB2"/>
          <w:sz w:val="28"/>
          <w:szCs w:val="160"/>
          <w:lang w:val="es-ES"/>
        </w:rPr>
      </w:pPr>
      <w:r>
        <w:rPr>
          <w:rFonts w:ascii="National" w:hAnsi="National"/>
          <w:b/>
          <w:bCs/>
          <w:iCs/>
          <w:color w:val="303AB2"/>
          <w:sz w:val="28"/>
          <w:szCs w:val="160"/>
          <w:lang w:val="es-ES"/>
        </w:rPr>
        <w:t>Capital</w:t>
      </w:r>
      <w:r w:rsidR="00AD3095">
        <w:rPr>
          <w:rFonts w:ascii="National" w:hAnsi="National"/>
          <w:b/>
          <w:bCs/>
          <w:iCs/>
          <w:color w:val="303AB2"/>
          <w:sz w:val="28"/>
          <w:szCs w:val="160"/>
          <w:lang w:val="es-ES"/>
        </w:rPr>
        <w:t xml:space="preserve">es </w:t>
      </w:r>
      <w:r w:rsidR="00FB61E9">
        <w:rPr>
          <w:rFonts w:ascii="National" w:hAnsi="National"/>
          <w:b/>
          <w:bCs/>
          <w:iCs/>
          <w:color w:val="303AB2"/>
          <w:sz w:val="28"/>
          <w:szCs w:val="160"/>
          <w:lang w:val="es-ES"/>
        </w:rPr>
        <w:t>con p</w:t>
      </w:r>
      <w:r w:rsidR="00FB61E9" w:rsidRPr="00D82713">
        <w:rPr>
          <w:rFonts w:ascii="National" w:hAnsi="National"/>
          <w:b/>
          <w:bCs/>
          <w:iCs/>
          <w:color w:val="303AB2"/>
          <w:sz w:val="28"/>
          <w:szCs w:val="160"/>
          <w:lang w:val="es-ES"/>
        </w:rPr>
        <w:t xml:space="preserve">orcentaje (%) </w:t>
      </w:r>
      <w:r w:rsidR="00FB61E9" w:rsidRPr="004419C5">
        <w:rPr>
          <w:rFonts w:ascii="National" w:hAnsi="National"/>
          <w:b/>
          <w:bCs/>
          <w:iCs/>
          <w:color w:val="303AB2"/>
          <w:sz w:val="28"/>
          <w:szCs w:val="160"/>
          <w:lang w:val="es-ES"/>
        </w:rPr>
        <w:t>acumulativo</w:t>
      </w:r>
      <w:r w:rsidR="00FB61E9" w:rsidRPr="001C6AC4">
        <w:rPr>
          <w:rFonts w:ascii="National" w:hAnsi="National"/>
          <w:b/>
          <w:bCs/>
          <w:iCs/>
          <w:color w:val="FF0000"/>
          <w:sz w:val="28"/>
          <w:szCs w:val="160"/>
          <w:lang w:val="es-ES"/>
        </w:rPr>
        <w:t xml:space="preserve"> </w:t>
      </w:r>
    </w:p>
    <w:p w14:paraId="381EC2A0" w14:textId="77777777" w:rsidR="00E94830" w:rsidRDefault="00E94830" w:rsidP="002C1563">
      <w:pPr>
        <w:pStyle w:val="Prrafodelista"/>
        <w:spacing w:line="276" w:lineRule="auto"/>
        <w:ind w:left="0" w:right="-574"/>
        <w:jc w:val="center"/>
        <w:rPr>
          <w:rFonts w:ascii="National" w:hAnsi="National"/>
          <w:b/>
          <w:bCs/>
          <w:iCs/>
          <w:color w:val="303AB2"/>
          <w:sz w:val="30"/>
          <w:szCs w:val="180"/>
          <w:lang w:val="es-ES"/>
        </w:rPr>
      </w:pPr>
    </w:p>
    <w:tbl>
      <w:tblPr>
        <w:tblW w:w="9034"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left w:w="70" w:type="dxa"/>
          <w:right w:w="70" w:type="dxa"/>
        </w:tblCellMar>
        <w:tblLook w:val="04A0" w:firstRow="1" w:lastRow="0" w:firstColumn="1" w:lastColumn="0" w:noHBand="0" w:noVBand="1"/>
      </w:tblPr>
      <w:tblGrid>
        <w:gridCol w:w="2117"/>
        <w:gridCol w:w="1701"/>
        <w:gridCol w:w="1701"/>
        <w:gridCol w:w="1701"/>
        <w:gridCol w:w="1814"/>
      </w:tblGrid>
      <w:tr w:rsidR="00A060EF" w:rsidRPr="00F815F1" w14:paraId="73B9FF49" w14:textId="77777777" w:rsidTr="00A060EF">
        <w:trPr>
          <w:trHeight w:val="772"/>
        </w:trPr>
        <w:tc>
          <w:tcPr>
            <w:tcW w:w="2117" w:type="dxa"/>
            <w:shd w:val="clear" w:color="auto" w:fill="ACB9CA"/>
            <w:vAlign w:val="center"/>
          </w:tcPr>
          <w:p w14:paraId="0737157A" w14:textId="122428D0" w:rsidR="00F815F1" w:rsidRPr="00A060EF" w:rsidRDefault="00F815F1" w:rsidP="002C1563">
            <w:pPr>
              <w:rPr>
                <w:rFonts w:ascii="Open Sans" w:eastAsia="Times New Roman" w:hAnsi="Open Sans" w:cs="Open Sans"/>
                <w:b/>
                <w:bCs/>
                <w:color w:val="0D0D0D" w:themeColor="text1" w:themeTint="F2"/>
                <w:sz w:val="20"/>
                <w:szCs w:val="20"/>
                <w:lang w:val="es-ES" w:eastAsia="es-ES"/>
              </w:rPr>
            </w:pPr>
            <w:r w:rsidRPr="00A060EF">
              <w:rPr>
                <w:rFonts w:ascii="Open Sans" w:eastAsia="Times New Roman" w:hAnsi="Open Sans" w:cs="Open Sans"/>
                <w:b/>
                <w:bCs/>
                <w:color w:val="0D0D0D" w:themeColor="text1" w:themeTint="F2"/>
                <w:sz w:val="20"/>
                <w:szCs w:val="20"/>
                <w:lang w:val="es-ES" w:eastAsia="es-ES"/>
              </w:rPr>
              <w:t>Ciudad</w:t>
            </w:r>
          </w:p>
        </w:tc>
        <w:tc>
          <w:tcPr>
            <w:tcW w:w="1701" w:type="dxa"/>
            <w:shd w:val="clear" w:color="auto" w:fill="ACB9CA"/>
            <w:vAlign w:val="center"/>
          </w:tcPr>
          <w:p w14:paraId="73B22053" w14:textId="18ECB61A" w:rsidR="00F815F1" w:rsidRPr="00A060EF" w:rsidRDefault="00F815F1" w:rsidP="00A060EF">
            <w:pPr>
              <w:jc w:val="center"/>
              <w:rPr>
                <w:rFonts w:ascii="Open Sans" w:hAnsi="Open Sans" w:cs="Open Sans"/>
                <w:b/>
                <w:bCs/>
                <w:color w:val="0D0D0D" w:themeColor="text1" w:themeTint="F2"/>
                <w:sz w:val="20"/>
                <w:szCs w:val="20"/>
              </w:rPr>
            </w:pPr>
            <w:r w:rsidRPr="00A060EF">
              <w:rPr>
                <w:rFonts w:ascii="Open Sans" w:hAnsi="Open Sans" w:cs="Open Sans"/>
                <w:b/>
                <w:bCs/>
                <w:color w:val="0D0D0D" w:themeColor="text1" w:themeTint="F2"/>
                <w:sz w:val="20"/>
                <w:szCs w:val="20"/>
              </w:rPr>
              <w:t xml:space="preserve">Acumulativo         15 años       </w:t>
            </w:r>
            <w:proofErr w:type="gramStart"/>
            <w:r w:rsidRPr="00A060EF">
              <w:rPr>
                <w:rFonts w:ascii="Open Sans" w:hAnsi="Open Sans" w:cs="Open Sans"/>
                <w:b/>
                <w:bCs/>
                <w:color w:val="0D0D0D" w:themeColor="text1" w:themeTint="F2"/>
                <w:sz w:val="20"/>
                <w:szCs w:val="20"/>
              </w:rPr>
              <w:t xml:space="preserve">   </w:t>
            </w:r>
            <w:r w:rsidRPr="00A060EF">
              <w:rPr>
                <w:rFonts w:ascii="Open Sans" w:eastAsia="Times New Roman" w:hAnsi="Open Sans" w:cs="Open Sans"/>
                <w:b/>
                <w:bCs/>
                <w:color w:val="0D0D0D" w:themeColor="text1" w:themeTint="F2"/>
                <w:sz w:val="20"/>
                <w:szCs w:val="20"/>
                <w:lang w:val="es-ES" w:eastAsia="es-ES"/>
              </w:rPr>
              <w:t>(</w:t>
            </w:r>
            <w:proofErr w:type="gramEnd"/>
            <w:r w:rsidRPr="00A060EF">
              <w:rPr>
                <w:rFonts w:ascii="Open Sans" w:hAnsi="Open Sans" w:cs="Open Sans"/>
                <w:b/>
                <w:bCs/>
                <w:color w:val="0D0D0D" w:themeColor="text1" w:themeTint="F2"/>
                <w:sz w:val="20"/>
                <w:szCs w:val="20"/>
              </w:rPr>
              <w:t>2020 vs 2005</w:t>
            </w:r>
            <w:r w:rsidRPr="00A060EF">
              <w:rPr>
                <w:rFonts w:ascii="Open Sans" w:eastAsia="Times New Roman" w:hAnsi="Open Sans" w:cs="Open Sans"/>
                <w:b/>
                <w:bCs/>
                <w:color w:val="0D0D0D" w:themeColor="text1" w:themeTint="F2"/>
                <w:sz w:val="20"/>
                <w:szCs w:val="20"/>
                <w:lang w:val="es-ES" w:eastAsia="es-ES"/>
              </w:rPr>
              <w:t>)</w:t>
            </w:r>
          </w:p>
        </w:tc>
        <w:tc>
          <w:tcPr>
            <w:tcW w:w="1701" w:type="dxa"/>
            <w:shd w:val="clear" w:color="auto" w:fill="ACB9CA"/>
            <w:vAlign w:val="center"/>
          </w:tcPr>
          <w:p w14:paraId="6C4A72A7" w14:textId="69EAE723" w:rsidR="00F815F1" w:rsidRPr="00A060EF" w:rsidRDefault="00F815F1" w:rsidP="00A060EF">
            <w:pPr>
              <w:jc w:val="center"/>
              <w:rPr>
                <w:rFonts w:ascii="Open Sans" w:eastAsia="Times New Roman" w:hAnsi="Open Sans" w:cs="Open Sans"/>
                <w:b/>
                <w:bCs/>
                <w:color w:val="0D0D0D" w:themeColor="text1" w:themeTint="F2"/>
                <w:sz w:val="20"/>
                <w:szCs w:val="20"/>
                <w:lang w:val="es-ES" w:eastAsia="es-ES"/>
              </w:rPr>
            </w:pPr>
            <w:r w:rsidRPr="00A060EF">
              <w:rPr>
                <w:rFonts w:ascii="Open Sans" w:hAnsi="Open Sans" w:cs="Open Sans"/>
                <w:b/>
                <w:bCs/>
                <w:color w:val="0D0D0D" w:themeColor="text1" w:themeTint="F2"/>
                <w:sz w:val="20"/>
                <w:szCs w:val="20"/>
              </w:rPr>
              <w:t xml:space="preserve">Acumulativo         10 años       </w:t>
            </w:r>
            <w:proofErr w:type="gramStart"/>
            <w:r w:rsidRPr="00A060EF">
              <w:rPr>
                <w:rFonts w:ascii="Open Sans" w:hAnsi="Open Sans" w:cs="Open Sans"/>
                <w:b/>
                <w:bCs/>
                <w:color w:val="0D0D0D" w:themeColor="text1" w:themeTint="F2"/>
                <w:sz w:val="20"/>
                <w:szCs w:val="20"/>
              </w:rPr>
              <w:t xml:space="preserve">   </w:t>
            </w:r>
            <w:r w:rsidRPr="00A060EF">
              <w:rPr>
                <w:rFonts w:ascii="Open Sans" w:eastAsia="Times New Roman" w:hAnsi="Open Sans" w:cs="Open Sans"/>
                <w:b/>
                <w:bCs/>
                <w:color w:val="0D0D0D" w:themeColor="text1" w:themeTint="F2"/>
                <w:sz w:val="20"/>
                <w:szCs w:val="20"/>
                <w:lang w:val="es-ES" w:eastAsia="es-ES"/>
              </w:rPr>
              <w:t>(</w:t>
            </w:r>
            <w:proofErr w:type="gramEnd"/>
            <w:r w:rsidRPr="00A060EF">
              <w:rPr>
                <w:rFonts w:ascii="Open Sans" w:hAnsi="Open Sans" w:cs="Open Sans"/>
                <w:b/>
                <w:bCs/>
                <w:color w:val="0D0D0D" w:themeColor="text1" w:themeTint="F2"/>
                <w:sz w:val="20"/>
                <w:szCs w:val="20"/>
              </w:rPr>
              <w:t>2020 vs 2010</w:t>
            </w:r>
            <w:r w:rsidRPr="00A060EF">
              <w:rPr>
                <w:rFonts w:ascii="Open Sans" w:eastAsia="Times New Roman" w:hAnsi="Open Sans" w:cs="Open Sans"/>
                <w:b/>
                <w:bCs/>
                <w:color w:val="0D0D0D" w:themeColor="text1" w:themeTint="F2"/>
                <w:sz w:val="20"/>
                <w:szCs w:val="20"/>
                <w:lang w:val="es-ES" w:eastAsia="es-ES"/>
              </w:rPr>
              <w:t>)</w:t>
            </w:r>
          </w:p>
        </w:tc>
        <w:tc>
          <w:tcPr>
            <w:tcW w:w="1701" w:type="dxa"/>
            <w:shd w:val="clear" w:color="auto" w:fill="ACB9CA"/>
            <w:vAlign w:val="center"/>
            <w:hideMark/>
          </w:tcPr>
          <w:p w14:paraId="673F8AD0" w14:textId="0FF75B70" w:rsidR="00F815F1" w:rsidRPr="00A060EF" w:rsidRDefault="00F815F1" w:rsidP="00A060EF">
            <w:pPr>
              <w:jc w:val="center"/>
              <w:rPr>
                <w:rFonts w:ascii="Open Sans" w:eastAsia="Times New Roman" w:hAnsi="Open Sans" w:cs="Open Sans"/>
                <w:b/>
                <w:bCs/>
                <w:color w:val="0D0D0D" w:themeColor="text1" w:themeTint="F2"/>
                <w:sz w:val="20"/>
                <w:szCs w:val="20"/>
                <w:lang w:val="es-ES" w:eastAsia="es-ES"/>
              </w:rPr>
            </w:pPr>
            <w:r w:rsidRPr="00A060EF">
              <w:rPr>
                <w:rFonts w:ascii="Open Sans" w:hAnsi="Open Sans" w:cs="Open Sans"/>
                <w:b/>
                <w:bCs/>
                <w:color w:val="0D0D0D" w:themeColor="text1" w:themeTint="F2"/>
                <w:sz w:val="20"/>
                <w:szCs w:val="20"/>
              </w:rPr>
              <w:t xml:space="preserve">Acumulativo         5 años       </w:t>
            </w:r>
            <w:proofErr w:type="gramStart"/>
            <w:r w:rsidRPr="00A060EF">
              <w:rPr>
                <w:rFonts w:ascii="Open Sans" w:hAnsi="Open Sans" w:cs="Open Sans"/>
                <w:b/>
                <w:bCs/>
                <w:color w:val="0D0D0D" w:themeColor="text1" w:themeTint="F2"/>
                <w:sz w:val="20"/>
                <w:szCs w:val="20"/>
              </w:rPr>
              <w:t xml:space="preserve">   </w:t>
            </w:r>
            <w:r w:rsidRPr="00A060EF">
              <w:rPr>
                <w:rFonts w:ascii="Open Sans" w:eastAsia="Times New Roman" w:hAnsi="Open Sans" w:cs="Open Sans"/>
                <w:b/>
                <w:bCs/>
                <w:color w:val="0D0D0D" w:themeColor="text1" w:themeTint="F2"/>
                <w:sz w:val="20"/>
                <w:szCs w:val="20"/>
                <w:lang w:val="es-ES" w:eastAsia="es-ES"/>
              </w:rPr>
              <w:t>(</w:t>
            </w:r>
            <w:proofErr w:type="gramEnd"/>
            <w:r w:rsidRPr="00A060EF">
              <w:rPr>
                <w:rFonts w:ascii="Open Sans" w:hAnsi="Open Sans" w:cs="Open Sans"/>
                <w:b/>
                <w:bCs/>
                <w:color w:val="0D0D0D" w:themeColor="text1" w:themeTint="F2"/>
                <w:sz w:val="20"/>
                <w:szCs w:val="20"/>
              </w:rPr>
              <w:t>2020 vs 2015</w:t>
            </w:r>
            <w:r w:rsidRPr="00A060EF">
              <w:rPr>
                <w:rFonts w:ascii="Open Sans" w:eastAsia="Times New Roman" w:hAnsi="Open Sans" w:cs="Open Sans"/>
                <w:b/>
                <w:bCs/>
                <w:color w:val="0D0D0D" w:themeColor="text1" w:themeTint="F2"/>
                <w:sz w:val="20"/>
                <w:szCs w:val="20"/>
                <w:lang w:val="es-ES" w:eastAsia="es-ES"/>
              </w:rPr>
              <w:t>)</w:t>
            </w:r>
          </w:p>
        </w:tc>
        <w:tc>
          <w:tcPr>
            <w:tcW w:w="1814" w:type="dxa"/>
            <w:shd w:val="clear" w:color="auto" w:fill="ACB9CA" w:themeFill="text2" w:themeFillTint="66"/>
            <w:vAlign w:val="center"/>
          </w:tcPr>
          <w:p w14:paraId="0BBD2ED3" w14:textId="5F1B807A" w:rsidR="00F815F1" w:rsidRPr="00A060EF" w:rsidRDefault="00F815F1" w:rsidP="00A060EF">
            <w:pPr>
              <w:jc w:val="center"/>
              <w:rPr>
                <w:rFonts w:ascii="Open Sans" w:hAnsi="Open Sans" w:cs="Open Sans"/>
                <w:b/>
                <w:bCs/>
                <w:color w:val="0D0D0D" w:themeColor="text1" w:themeTint="F2"/>
                <w:sz w:val="20"/>
                <w:szCs w:val="20"/>
              </w:rPr>
            </w:pPr>
            <w:r w:rsidRPr="00A060EF">
              <w:rPr>
                <w:rFonts w:ascii="Open Sans" w:hAnsi="Open Sans" w:cs="Open Sans"/>
                <w:b/>
                <w:bCs/>
                <w:color w:val="0D0D0D" w:themeColor="text1" w:themeTint="F2"/>
                <w:sz w:val="20"/>
                <w:szCs w:val="20"/>
              </w:rPr>
              <w:t xml:space="preserve">Acumulativo         1 año        </w:t>
            </w:r>
            <w:proofErr w:type="gramStart"/>
            <w:r w:rsidRPr="00A060EF">
              <w:rPr>
                <w:rFonts w:ascii="Open Sans" w:hAnsi="Open Sans" w:cs="Open Sans"/>
                <w:b/>
                <w:bCs/>
                <w:color w:val="0D0D0D" w:themeColor="text1" w:themeTint="F2"/>
                <w:sz w:val="20"/>
                <w:szCs w:val="20"/>
              </w:rPr>
              <w:t xml:space="preserve">   (</w:t>
            </w:r>
            <w:proofErr w:type="gramEnd"/>
            <w:r w:rsidRPr="00A060EF">
              <w:rPr>
                <w:rFonts w:ascii="Open Sans" w:hAnsi="Open Sans" w:cs="Open Sans"/>
                <w:b/>
                <w:bCs/>
                <w:color w:val="0D0D0D" w:themeColor="text1" w:themeTint="F2"/>
                <w:sz w:val="20"/>
                <w:szCs w:val="20"/>
              </w:rPr>
              <w:t>2020 vs 2019)</w:t>
            </w:r>
          </w:p>
        </w:tc>
      </w:tr>
      <w:tr w:rsidR="00A060EF" w:rsidRPr="00F815F1" w14:paraId="54395A4E" w14:textId="77777777" w:rsidTr="00A060EF">
        <w:trPr>
          <w:trHeight w:val="226"/>
        </w:trPr>
        <w:tc>
          <w:tcPr>
            <w:tcW w:w="2117" w:type="dxa"/>
            <w:shd w:val="clear" w:color="auto" w:fill="auto"/>
            <w:vAlign w:val="bottom"/>
          </w:tcPr>
          <w:p w14:paraId="6FC70DA6" w14:textId="69D51A3D"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Palma de Mallorca</w:t>
            </w:r>
          </w:p>
        </w:tc>
        <w:tc>
          <w:tcPr>
            <w:tcW w:w="1701" w:type="dxa"/>
            <w:vAlign w:val="bottom"/>
          </w:tcPr>
          <w:p w14:paraId="6FCA0387" w14:textId="375D5796"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28%</w:t>
            </w:r>
          </w:p>
        </w:tc>
        <w:tc>
          <w:tcPr>
            <w:tcW w:w="1701" w:type="dxa"/>
            <w:vAlign w:val="bottom"/>
          </w:tcPr>
          <w:p w14:paraId="42639B75" w14:textId="7DB7FAE5"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29%</w:t>
            </w:r>
          </w:p>
        </w:tc>
        <w:tc>
          <w:tcPr>
            <w:tcW w:w="1701" w:type="dxa"/>
            <w:shd w:val="clear" w:color="auto" w:fill="auto"/>
            <w:vAlign w:val="bottom"/>
          </w:tcPr>
          <w:p w14:paraId="024F9E9D" w14:textId="1096E89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58%</w:t>
            </w:r>
          </w:p>
        </w:tc>
        <w:tc>
          <w:tcPr>
            <w:tcW w:w="1814" w:type="dxa"/>
            <w:vAlign w:val="bottom"/>
          </w:tcPr>
          <w:p w14:paraId="4384AEF9" w14:textId="478E22ED"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0,1%</w:t>
            </w:r>
          </w:p>
        </w:tc>
      </w:tr>
      <w:tr w:rsidR="00A060EF" w:rsidRPr="00F815F1" w14:paraId="77531F54" w14:textId="77777777" w:rsidTr="00A060EF">
        <w:trPr>
          <w:trHeight w:val="226"/>
        </w:trPr>
        <w:tc>
          <w:tcPr>
            <w:tcW w:w="2117" w:type="dxa"/>
            <w:shd w:val="clear" w:color="auto" w:fill="auto"/>
            <w:vAlign w:val="bottom"/>
          </w:tcPr>
          <w:p w14:paraId="351EA597" w14:textId="0CA84EFB"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Madrid capital</w:t>
            </w:r>
          </w:p>
        </w:tc>
        <w:tc>
          <w:tcPr>
            <w:tcW w:w="1701" w:type="dxa"/>
            <w:vAlign w:val="bottom"/>
          </w:tcPr>
          <w:p w14:paraId="0AA73942" w14:textId="3281DC28"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-9%</w:t>
            </w:r>
          </w:p>
        </w:tc>
        <w:tc>
          <w:tcPr>
            <w:tcW w:w="1701" w:type="dxa"/>
            <w:vAlign w:val="bottom"/>
          </w:tcPr>
          <w:p w14:paraId="73C3694B" w14:textId="64AAED1E"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9,5%</w:t>
            </w:r>
          </w:p>
        </w:tc>
        <w:tc>
          <w:tcPr>
            <w:tcW w:w="1701" w:type="dxa"/>
            <w:shd w:val="clear" w:color="auto" w:fill="auto"/>
            <w:vAlign w:val="bottom"/>
          </w:tcPr>
          <w:p w14:paraId="2AAB617A" w14:textId="1573462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42%</w:t>
            </w:r>
          </w:p>
        </w:tc>
        <w:tc>
          <w:tcPr>
            <w:tcW w:w="1814" w:type="dxa"/>
            <w:vAlign w:val="bottom"/>
          </w:tcPr>
          <w:p w14:paraId="0BC74949" w14:textId="4D15C004"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-0,2%</w:t>
            </w:r>
          </w:p>
        </w:tc>
      </w:tr>
      <w:tr w:rsidR="00A060EF" w:rsidRPr="00F815F1" w14:paraId="65E83C97" w14:textId="77777777" w:rsidTr="00A060EF">
        <w:trPr>
          <w:trHeight w:val="226"/>
        </w:trPr>
        <w:tc>
          <w:tcPr>
            <w:tcW w:w="2117" w:type="dxa"/>
            <w:shd w:val="clear" w:color="auto" w:fill="auto"/>
            <w:vAlign w:val="bottom"/>
          </w:tcPr>
          <w:p w14:paraId="6B29A444" w14:textId="57563B15"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Málaga capital</w:t>
            </w:r>
          </w:p>
        </w:tc>
        <w:tc>
          <w:tcPr>
            <w:tcW w:w="1701" w:type="dxa"/>
            <w:vAlign w:val="bottom"/>
          </w:tcPr>
          <w:p w14:paraId="24CD7EF2" w14:textId="299A6DA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-10%</w:t>
            </w:r>
          </w:p>
        </w:tc>
        <w:tc>
          <w:tcPr>
            <w:tcW w:w="1701" w:type="dxa"/>
            <w:vAlign w:val="bottom"/>
          </w:tcPr>
          <w:p w14:paraId="378FB64C" w14:textId="21DF2308"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7,0%</w:t>
            </w:r>
          </w:p>
        </w:tc>
        <w:tc>
          <w:tcPr>
            <w:tcW w:w="1701" w:type="dxa"/>
            <w:shd w:val="clear" w:color="auto" w:fill="auto"/>
            <w:vAlign w:val="bottom"/>
          </w:tcPr>
          <w:p w14:paraId="1F51432D" w14:textId="74D3820D"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40%</w:t>
            </w:r>
          </w:p>
        </w:tc>
        <w:tc>
          <w:tcPr>
            <w:tcW w:w="1814" w:type="dxa"/>
            <w:vAlign w:val="bottom"/>
          </w:tcPr>
          <w:p w14:paraId="0B8AC65B" w14:textId="042B4D94"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-0,5%</w:t>
            </w:r>
          </w:p>
        </w:tc>
      </w:tr>
      <w:tr w:rsidR="00A060EF" w:rsidRPr="00F815F1" w14:paraId="04534D0A" w14:textId="77777777" w:rsidTr="00A060EF">
        <w:trPr>
          <w:trHeight w:val="226"/>
        </w:trPr>
        <w:tc>
          <w:tcPr>
            <w:tcW w:w="2117" w:type="dxa"/>
            <w:shd w:val="clear" w:color="auto" w:fill="auto"/>
            <w:vAlign w:val="bottom"/>
          </w:tcPr>
          <w:p w14:paraId="79DAA907" w14:textId="14C61855"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Las Palmas de Gran Canaria</w:t>
            </w:r>
          </w:p>
        </w:tc>
        <w:tc>
          <w:tcPr>
            <w:tcW w:w="1701" w:type="dxa"/>
            <w:vAlign w:val="bottom"/>
          </w:tcPr>
          <w:p w14:paraId="6120B224" w14:textId="3060B7B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-12%</w:t>
            </w:r>
          </w:p>
        </w:tc>
        <w:tc>
          <w:tcPr>
            <w:tcW w:w="1701" w:type="dxa"/>
            <w:vAlign w:val="bottom"/>
          </w:tcPr>
          <w:p w14:paraId="549364C8" w14:textId="7992084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4,3%</w:t>
            </w:r>
          </w:p>
        </w:tc>
        <w:tc>
          <w:tcPr>
            <w:tcW w:w="1701" w:type="dxa"/>
            <w:shd w:val="clear" w:color="auto" w:fill="auto"/>
            <w:vAlign w:val="bottom"/>
          </w:tcPr>
          <w:p w14:paraId="358E3495" w14:textId="3833EF2F"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36%</w:t>
            </w:r>
          </w:p>
        </w:tc>
        <w:tc>
          <w:tcPr>
            <w:tcW w:w="1814" w:type="dxa"/>
            <w:vAlign w:val="bottom"/>
          </w:tcPr>
          <w:p w14:paraId="2B840F7F" w14:textId="2DF723A1"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-0,3%</w:t>
            </w:r>
          </w:p>
        </w:tc>
      </w:tr>
      <w:tr w:rsidR="00A060EF" w:rsidRPr="00F815F1" w14:paraId="344BE44A" w14:textId="77777777" w:rsidTr="00A060EF">
        <w:trPr>
          <w:trHeight w:val="226"/>
        </w:trPr>
        <w:tc>
          <w:tcPr>
            <w:tcW w:w="2117" w:type="dxa"/>
            <w:shd w:val="clear" w:color="auto" w:fill="auto"/>
            <w:vAlign w:val="bottom"/>
          </w:tcPr>
          <w:p w14:paraId="605CFEC0" w14:textId="33162743"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Donostia - San Sebastián</w:t>
            </w:r>
          </w:p>
        </w:tc>
        <w:tc>
          <w:tcPr>
            <w:tcW w:w="1701" w:type="dxa"/>
            <w:vAlign w:val="bottom"/>
          </w:tcPr>
          <w:p w14:paraId="5C423836" w14:textId="63D6CAAE"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-5%</w:t>
            </w:r>
          </w:p>
        </w:tc>
        <w:tc>
          <w:tcPr>
            <w:tcW w:w="1701" w:type="dxa"/>
            <w:vAlign w:val="bottom"/>
          </w:tcPr>
          <w:p w14:paraId="6AA5FEFD" w14:textId="704F078B"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2,2%</w:t>
            </w:r>
          </w:p>
        </w:tc>
        <w:tc>
          <w:tcPr>
            <w:tcW w:w="1701" w:type="dxa"/>
            <w:shd w:val="clear" w:color="auto" w:fill="auto"/>
            <w:vAlign w:val="bottom"/>
          </w:tcPr>
          <w:p w14:paraId="7D3417AF" w14:textId="36C5D9F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35%</w:t>
            </w:r>
          </w:p>
        </w:tc>
        <w:tc>
          <w:tcPr>
            <w:tcW w:w="1814" w:type="dxa"/>
            <w:vAlign w:val="bottom"/>
          </w:tcPr>
          <w:p w14:paraId="527D845E" w14:textId="4A7DCD50"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1,0%</w:t>
            </w:r>
          </w:p>
        </w:tc>
      </w:tr>
      <w:tr w:rsidR="00A060EF" w:rsidRPr="00F815F1" w14:paraId="6B40BC70" w14:textId="77777777" w:rsidTr="00A060EF">
        <w:trPr>
          <w:trHeight w:val="226"/>
        </w:trPr>
        <w:tc>
          <w:tcPr>
            <w:tcW w:w="2117" w:type="dxa"/>
            <w:shd w:val="clear" w:color="auto" w:fill="auto"/>
            <w:vAlign w:val="bottom"/>
          </w:tcPr>
          <w:p w14:paraId="3098FF15" w14:textId="69521F09"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Valencia capital</w:t>
            </w:r>
          </w:p>
        </w:tc>
        <w:tc>
          <w:tcPr>
            <w:tcW w:w="1701" w:type="dxa"/>
            <w:vAlign w:val="bottom"/>
          </w:tcPr>
          <w:p w14:paraId="2AEC871F" w14:textId="7EC7EE3A"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-19%</w:t>
            </w:r>
          </w:p>
        </w:tc>
        <w:tc>
          <w:tcPr>
            <w:tcW w:w="1701" w:type="dxa"/>
            <w:vAlign w:val="bottom"/>
          </w:tcPr>
          <w:p w14:paraId="787E9859" w14:textId="60B5285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-4,9%</w:t>
            </w:r>
          </w:p>
        </w:tc>
        <w:tc>
          <w:tcPr>
            <w:tcW w:w="1701" w:type="dxa"/>
            <w:shd w:val="clear" w:color="auto" w:fill="auto"/>
            <w:vAlign w:val="bottom"/>
          </w:tcPr>
          <w:p w14:paraId="2BA798BA" w14:textId="5BD45DA5"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32%</w:t>
            </w:r>
          </w:p>
        </w:tc>
        <w:tc>
          <w:tcPr>
            <w:tcW w:w="1814" w:type="dxa"/>
            <w:vAlign w:val="bottom"/>
          </w:tcPr>
          <w:p w14:paraId="579ADDED" w14:textId="54D1EABF"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1,1%</w:t>
            </w:r>
          </w:p>
        </w:tc>
      </w:tr>
      <w:tr w:rsidR="00A060EF" w:rsidRPr="00F815F1" w14:paraId="2A5D7941" w14:textId="77777777" w:rsidTr="00A060EF">
        <w:trPr>
          <w:trHeight w:val="226"/>
        </w:trPr>
        <w:tc>
          <w:tcPr>
            <w:tcW w:w="2117" w:type="dxa"/>
            <w:shd w:val="clear" w:color="auto" w:fill="auto"/>
            <w:vAlign w:val="bottom"/>
          </w:tcPr>
          <w:p w14:paraId="24D78602" w14:textId="00734777"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Girona capital</w:t>
            </w:r>
          </w:p>
        </w:tc>
        <w:tc>
          <w:tcPr>
            <w:tcW w:w="1701" w:type="dxa"/>
            <w:vAlign w:val="bottom"/>
          </w:tcPr>
          <w:p w14:paraId="15B2589A" w14:textId="77D41DD5"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-28%</w:t>
            </w:r>
          </w:p>
        </w:tc>
        <w:tc>
          <w:tcPr>
            <w:tcW w:w="1701" w:type="dxa"/>
            <w:vAlign w:val="bottom"/>
          </w:tcPr>
          <w:p w14:paraId="7B3CC859" w14:textId="74AF67E0"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-16%</w:t>
            </w:r>
          </w:p>
        </w:tc>
        <w:tc>
          <w:tcPr>
            <w:tcW w:w="1701" w:type="dxa"/>
            <w:shd w:val="clear" w:color="auto" w:fill="auto"/>
            <w:vAlign w:val="bottom"/>
          </w:tcPr>
          <w:p w14:paraId="65DF056D" w14:textId="5ADDA582"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27%</w:t>
            </w:r>
          </w:p>
        </w:tc>
        <w:tc>
          <w:tcPr>
            <w:tcW w:w="1814" w:type="dxa"/>
            <w:vAlign w:val="bottom"/>
          </w:tcPr>
          <w:p w14:paraId="37E0139E" w14:textId="5A0157CD"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-0,9%</w:t>
            </w:r>
          </w:p>
        </w:tc>
      </w:tr>
      <w:tr w:rsidR="00A060EF" w:rsidRPr="00F815F1" w14:paraId="471FB2E8" w14:textId="77777777" w:rsidTr="00A060EF">
        <w:trPr>
          <w:trHeight w:val="226"/>
        </w:trPr>
        <w:tc>
          <w:tcPr>
            <w:tcW w:w="2117" w:type="dxa"/>
            <w:shd w:val="clear" w:color="auto" w:fill="auto"/>
            <w:vAlign w:val="bottom"/>
          </w:tcPr>
          <w:p w14:paraId="5684F1B2" w14:textId="6CCA5383"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Barcelona capital</w:t>
            </w:r>
          </w:p>
        </w:tc>
        <w:tc>
          <w:tcPr>
            <w:tcW w:w="1701" w:type="dxa"/>
            <w:vAlign w:val="bottom"/>
          </w:tcPr>
          <w:p w14:paraId="25DB7EEC" w14:textId="5FF0DCBD"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-5%</w:t>
            </w:r>
          </w:p>
        </w:tc>
        <w:tc>
          <w:tcPr>
            <w:tcW w:w="1701" w:type="dxa"/>
            <w:vAlign w:val="bottom"/>
          </w:tcPr>
          <w:p w14:paraId="45391899" w14:textId="5FC6247D"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8,2%</w:t>
            </w:r>
          </w:p>
        </w:tc>
        <w:tc>
          <w:tcPr>
            <w:tcW w:w="1701" w:type="dxa"/>
            <w:shd w:val="clear" w:color="auto" w:fill="auto"/>
            <w:vAlign w:val="bottom"/>
          </w:tcPr>
          <w:p w14:paraId="3A7184BE" w14:textId="004EE5D6"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27%</w:t>
            </w:r>
          </w:p>
        </w:tc>
        <w:tc>
          <w:tcPr>
            <w:tcW w:w="1814" w:type="dxa"/>
            <w:vAlign w:val="bottom"/>
          </w:tcPr>
          <w:p w14:paraId="2FFE3ABA" w14:textId="75CDA8B5"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-0,7%</w:t>
            </w:r>
          </w:p>
        </w:tc>
      </w:tr>
      <w:tr w:rsidR="00A060EF" w:rsidRPr="00F815F1" w14:paraId="153EC312" w14:textId="77777777" w:rsidTr="00A060EF">
        <w:trPr>
          <w:trHeight w:val="226"/>
        </w:trPr>
        <w:tc>
          <w:tcPr>
            <w:tcW w:w="2117" w:type="dxa"/>
            <w:shd w:val="clear" w:color="auto" w:fill="auto"/>
            <w:vAlign w:val="bottom"/>
          </w:tcPr>
          <w:p w14:paraId="1B5D8512" w14:textId="007BFA0F"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Vitoria - Gasteiz</w:t>
            </w:r>
          </w:p>
        </w:tc>
        <w:tc>
          <w:tcPr>
            <w:tcW w:w="1701" w:type="dxa"/>
            <w:vAlign w:val="bottom"/>
          </w:tcPr>
          <w:p w14:paraId="66F3F2B3" w14:textId="0AB9BD0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 </w:t>
            </w:r>
            <w:r>
              <w:rPr>
                <w:rFonts w:ascii="Open Sans" w:hAnsi="Open Sans" w:cs="Open Sans"/>
                <w:color w:val="000000"/>
                <w:sz w:val="22"/>
                <w:szCs w:val="22"/>
              </w:rPr>
              <w:t>-</w:t>
            </w:r>
          </w:p>
        </w:tc>
        <w:tc>
          <w:tcPr>
            <w:tcW w:w="1701" w:type="dxa"/>
            <w:vAlign w:val="bottom"/>
          </w:tcPr>
          <w:p w14:paraId="6DC6CA58" w14:textId="4621E9F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-19%</w:t>
            </w:r>
          </w:p>
        </w:tc>
        <w:tc>
          <w:tcPr>
            <w:tcW w:w="1701" w:type="dxa"/>
            <w:shd w:val="clear" w:color="auto" w:fill="auto"/>
            <w:vAlign w:val="bottom"/>
          </w:tcPr>
          <w:p w14:paraId="7E4D84C1" w14:textId="735A2023"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22%</w:t>
            </w:r>
          </w:p>
        </w:tc>
        <w:tc>
          <w:tcPr>
            <w:tcW w:w="1814" w:type="dxa"/>
            <w:vAlign w:val="bottom"/>
          </w:tcPr>
          <w:p w14:paraId="7EEAEACD" w14:textId="225C040D"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1,3%</w:t>
            </w:r>
          </w:p>
        </w:tc>
      </w:tr>
      <w:tr w:rsidR="00A060EF" w:rsidRPr="00F815F1" w14:paraId="2FFB2759" w14:textId="77777777" w:rsidTr="00A060EF">
        <w:trPr>
          <w:trHeight w:val="226"/>
        </w:trPr>
        <w:tc>
          <w:tcPr>
            <w:tcW w:w="2117" w:type="dxa"/>
            <w:shd w:val="clear" w:color="auto" w:fill="auto"/>
            <w:vAlign w:val="bottom"/>
          </w:tcPr>
          <w:p w14:paraId="3ACB0B55" w14:textId="14C73D0B"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Pamplona / Iruña</w:t>
            </w:r>
          </w:p>
        </w:tc>
        <w:tc>
          <w:tcPr>
            <w:tcW w:w="1701" w:type="dxa"/>
            <w:vAlign w:val="bottom"/>
          </w:tcPr>
          <w:p w14:paraId="5B85FAF9" w14:textId="69F01F9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-32%</w:t>
            </w:r>
          </w:p>
        </w:tc>
        <w:tc>
          <w:tcPr>
            <w:tcW w:w="1701" w:type="dxa"/>
            <w:vAlign w:val="bottom"/>
          </w:tcPr>
          <w:p w14:paraId="1A7E8995" w14:textId="6F3C6625"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-20%</w:t>
            </w:r>
          </w:p>
        </w:tc>
        <w:tc>
          <w:tcPr>
            <w:tcW w:w="1701" w:type="dxa"/>
            <w:shd w:val="clear" w:color="auto" w:fill="auto"/>
            <w:vAlign w:val="bottom"/>
          </w:tcPr>
          <w:p w14:paraId="0370DA78" w14:textId="370D99D5"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21%</w:t>
            </w:r>
          </w:p>
        </w:tc>
        <w:tc>
          <w:tcPr>
            <w:tcW w:w="1814" w:type="dxa"/>
            <w:vAlign w:val="bottom"/>
          </w:tcPr>
          <w:p w14:paraId="1B79F00F" w14:textId="09DCEC28"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-1,0%</w:t>
            </w:r>
          </w:p>
        </w:tc>
      </w:tr>
      <w:tr w:rsidR="00A060EF" w:rsidRPr="00F815F1" w14:paraId="46A34A81" w14:textId="77777777" w:rsidTr="00A060EF">
        <w:trPr>
          <w:trHeight w:val="226"/>
        </w:trPr>
        <w:tc>
          <w:tcPr>
            <w:tcW w:w="2117" w:type="dxa"/>
            <w:shd w:val="clear" w:color="auto" w:fill="auto"/>
            <w:vAlign w:val="bottom"/>
          </w:tcPr>
          <w:p w14:paraId="04D95982" w14:textId="7DB3CA29"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Sevilla capital</w:t>
            </w:r>
          </w:p>
        </w:tc>
        <w:tc>
          <w:tcPr>
            <w:tcW w:w="1701" w:type="dxa"/>
            <w:vAlign w:val="bottom"/>
          </w:tcPr>
          <w:p w14:paraId="39EF05AE" w14:textId="078F3DD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-14%</w:t>
            </w:r>
          </w:p>
        </w:tc>
        <w:tc>
          <w:tcPr>
            <w:tcW w:w="1701" w:type="dxa"/>
            <w:vAlign w:val="bottom"/>
          </w:tcPr>
          <w:p w14:paraId="214B8E32" w14:textId="612DFE33"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-18%</w:t>
            </w:r>
          </w:p>
        </w:tc>
        <w:tc>
          <w:tcPr>
            <w:tcW w:w="1701" w:type="dxa"/>
            <w:shd w:val="clear" w:color="auto" w:fill="auto"/>
            <w:vAlign w:val="bottom"/>
          </w:tcPr>
          <w:p w14:paraId="6A9ACFF4" w14:textId="4369B336"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20%</w:t>
            </w:r>
          </w:p>
        </w:tc>
        <w:tc>
          <w:tcPr>
            <w:tcW w:w="1814" w:type="dxa"/>
            <w:vAlign w:val="bottom"/>
          </w:tcPr>
          <w:p w14:paraId="5028C1E5" w14:textId="131FE11C"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-0,6%</w:t>
            </w:r>
          </w:p>
        </w:tc>
      </w:tr>
      <w:tr w:rsidR="00A060EF" w:rsidRPr="00F815F1" w14:paraId="2AC5530D" w14:textId="77777777" w:rsidTr="00A060EF">
        <w:trPr>
          <w:trHeight w:val="226"/>
        </w:trPr>
        <w:tc>
          <w:tcPr>
            <w:tcW w:w="2117" w:type="dxa"/>
            <w:shd w:val="clear" w:color="auto" w:fill="auto"/>
            <w:vAlign w:val="bottom"/>
          </w:tcPr>
          <w:p w14:paraId="7541A98B" w14:textId="6EA8E66A"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Cádiz capital</w:t>
            </w:r>
          </w:p>
        </w:tc>
        <w:tc>
          <w:tcPr>
            <w:tcW w:w="1701" w:type="dxa"/>
            <w:vAlign w:val="bottom"/>
          </w:tcPr>
          <w:p w14:paraId="6BABE230" w14:textId="6E1464F8"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-20%</w:t>
            </w:r>
          </w:p>
        </w:tc>
        <w:tc>
          <w:tcPr>
            <w:tcW w:w="1701" w:type="dxa"/>
            <w:vAlign w:val="bottom"/>
          </w:tcPr>
          <w:p w14:paraId="73123A72" w14:textId="0441D3EF"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-15%</w:t>
            </w:r>
          </w:p>
        </w:tc>
        <w:tc>
          <w:tcPr>
            <w:tcW w:w="1701" w:type="dxa"/>
            <w:shd w:val="clear" w:color="auto" w:fill="auto"/>
            <w:vAlign w:val="bottom"/>
          </w:tcPr>
          <w:p w14:paraId="1D592406" w14:textId="0A5BF67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19%</w:t>
            </w:r>
          </w:p>
        </w:tc>
        <w:tc>
          <w:tcPr>
            <w:tcW w:w="1814" w:type="dxa"/>
            <w:vAlign w:val="bottom"/>
          </w:tcPr>
          <w:p w14:paraId="7FC7B059" w14:textId="7D80C060"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0,3%</w:t>
            </w:r>
          </w:p>
        </w:tc>
      </w:tr>
      <w:tr w:rsidR="00A060EF" w:rsidRPr="00F815F1" w14:paraId="5581BBA3" w14:textId="77777777" w:rsidTr="00A060EF">
        <w:trPr>
          <w:trHeight w:val="226"/>
        </w:trPr>
        <w:tc>
          <w:tcPr>
            <w:tcW w:w="2117" w:type="dxa"/>
            <w:shd w:val="clear" w:color="auto" w:fill="auto"/>
            <w:vAlign w:val="bottom"/>
          </w:tcPr>
          <w:p w14:paraId="4CF7E6EC" w14:textId="6863F87D"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Tarragona capital</w:t>
            </w:r>
          </w:p>
        </w:tc>
        <w:tc>
          <w:tcPr>
            <w:tcW w:w="1701" w:type="dxa"/>
            <w:vAlign w:val="bottom"/>
          </w:tcPr>
          <w:p w14:paraId="7D25749E" w14:textId="482EF00D"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-33%</w:t>
            </w:r>
          </w:p>
        </w:tc>
        <w:tc>
          <w:tcPr>
            <w:tcW w:w="1701" w:type="dxa"/>
            <w:vAlign w:val="bottom"/>
          </w:tcPr>
          <w:p w14:paraId="5D62CA11" w14:textId="07CBFB5B"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-30%</w:t>
            </w:r>
          </w:p>
        </w:tc>
        <w:tc>
          <w:tcPr>
            <w:tcW w:w="1701" w:type="dxa"/>
            <w:shd w:val="clear" w:color="auto" w:fill="auto"/>
            <w:vAlign w:val="bottom"/>
          </w:tcPr>
          <w:p w14:paraId="31EEE251" w14:textId="5A047DE5"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18%</w:t>
            </w:r>
          </w:p>
        </w:tc>
        <w:tc>
          <w:tcPr>
            <w:tcW w:w="1814" w:type="dxa"/>
            <w:vAlign w:val="bottom"/>
          </w:tcPr>
          <w:p w14:paraId="346D05BC" w14:textId="3FA642F2"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1,6%</w:t>
            </w:r>
          </w:p>
        </w:tc>
      </w:tr>
      <w:tr w:rsidR="00A060EF" w:rsidRPr="00F815F1" w14:paraId="2F9C0C46" w14:textId="77777777" w:rsidTr="00A060EF">
        <w:trPr>
          <w:trHeight w:val="226"/>
        </w:trPr>
        <w:tc>
          <w:tcPr>
            <w:tcW w:w="2117" w:type="dxa"/>
            <w:shd w:val="clear" w:color="auto" w:fill="auto"/>
            <w:vAlign w:val="bottom"/>
          </w:tcPr>
          <w:p w14:paraId="6FC6807A" w14:textId="757C3CCD"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Santa Cruz de Tenerife capital</w:t>
            </w:r>
          </w:p>
        </w:tc>
        <w:tc>
          <w:tcPr>
            <w:tcW w:w="1701" w:type="dxa"/>
            <w:vAlign w:val="bottom"/>
          </w:tcPr>
          <w:p w14:paraId="5C7EC625" w14:textId="239B3E6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-15%</w:t>
            </w:r>
          </w:p>
        </w:tc>
        <w:tc>
          <w:tcPr>
            <w:tcW w:w="1701" w:type="dxa"/>
            <w:vAlign w:val="bottom"/>
          </w:tcPr>
          <w:p w14:paraId="2D3BCD05" w14:textId="6598ABFA"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-18%</w:t>
            </w:r>
          </w:p>
        </w:tc>
        <w:tc>
          <w:tcPr>
            <w:tcW w:w="1701" w:type="dxa"/>
            <w:shd w:val="clear" w:color="auto" w:fill="auto"/>
            <w:vAlign w:val="bottom"/>
          </w:tcPr>
          <w:p w14:paraId="6A3506AA" w14:textId="0641E2D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18%</w:t>
            </w:r>
          </w:p>
        </w:tc>
        <w:tc>
          <w:tcPr>
            <w:tcW w:w="1814" w:type="dxa"/>
            <w:vAlign w:val="bottom"/>
          </w:tcPr>
          <w:p w14:paraId="0F4D9D66" w14:textId="6FCBD327"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0,3%</w:t>
            </w:r>
          </w:p>
        </w:tc>
      </w:tr>
      <w:tr w:rsidR="00A060EF" w:rsidRPr="00F815F1" w14:paraId="780E7435" w14:textId="77777777" w:rsidTr="00A060EF">
        <w:trPr>
          <w:trHeight w:val="226"/>
        </w:trPr>
        <w:tc>
          <w:tcPr>
            <w:tcW w:w="2117" w:type="dxa"/>
            <w:shd w:val="clear" w:color="auto" w:fill="auto"/>
            <w:vAlign w:val="bottom"/>
          </w:tcPr>
          <w:p w14:paraId="74A386D0" w14:textId="3318880C"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Pontevedra capital</w:t>
            </w:r>
          </w:p>
        </w:tc>
        <w:tc>
          <w:tcPr>
            <w:tcW w:w="1701" w:type="dxa"/>
            <w:vAlign w:val="bottom"/>
          </w:tcPr>
          <w:p w14:paraId="1EAF54FE" w14:textId="4EF6460B"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  </w:t>
            </w:r>
            <w:r>
              <w:rPr>
                <w:rFonts w:ascii="Open Sans" w:hAnsi="Open Sans" w:cs="Open Sans"/>
                <w:color w:val="000000"/>
                <w:sz w:val="22"/>
                <w:szCs w:val="22"/>
              </w:rPr>
              <w:t>-</w:t>
            </w:r>
          </w:p>
        </w:tc>
        <w:tc>
          <w:tcPr>
            <w:tcW w:w="1701" w:type="dxa"/>
            <w:vAlign w:val="bottom"/>
          </w:tcPr>
          <w:p w14:paraId="4077C981" w14:textId="0D4257BD"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-9,6%</w:t>
            </w:r>
          </w:p>
        </w:tc>
        <w:tc>
          <w:tcPr>
            <w:tcW w:w="1701" w:type="dxa"/>
            <w:shd w:val="clear" w:color="auto" w:fill="auto"/>
            <w:vAlign w:val="bottom"/>
          </w:tcPr>
          <w:p w14:paraId="4E7A4217" w14:textId="5C3A0CDE"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18%</w:t>
            </w:r>
          </w:p>
        </w:tc>
        <w:tc>
          <w:tcPr>
            <w:tcW w:w="1814" w:type="dxa"/>
            <w:vAlign w:val="bottom"/>
          </w:tcPr>
          <w:p w14:paraId="4346393B" w14:textId="0EF9FA19"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-0,3%</w:t>
            </w:r>
          </w:p>
        </w:tc>
      </w:tr>
      <w:tr w:rsidR="00A060EF" w:rsidRPr="00F815F1" w14:paraId="6FC581CF" w14:textId="77777777" w:rsidTr="00A060EF">
        <w:trPr>
          <w:trHeight w:val="226"/>
        </w:trPr>
        <w:tc>
          <w:tcPr>
            <w:tcW w:w="2117" w:type="dxa"/>
            <w:shd w:val="clear" w:color="auto" w:fill="auto"/>
            <w:vAlign w:val="bottom"/>
          </w:tcPr>
          <w:p w14:paraId="06077781" w14:textId="4A9C5B67"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Granada capital</w:t>
            </w:r>
          </w:p>
        </w:tc>
        <w:tc>
          <w:tcPr>
            <w:tcW w:w="1701" w:type="dxa"/>
            <w:vAlign w:val="bottom"/>
          </w:tcPr>
          <w:p w14:paraId="3D10A1B4" w14:textId="2511E5F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-20%</w:t>
            </w:r>
          </w:p>
        </w:tc>
        <w:tc>
          <w:tcPr>
            <w:tcW w:w="1701" w:type="dxa"/>
            <w:vAlign w:val="bottom"/>
          </w:tcPr>
          <w:p w14:paraId="678030AE" w14:textId="15C5FCA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-17%</w:t>
            </w:r>
          </w:p>
        </w:tc>
        <w:tc>
          <w:tcPr>
            <w:tcW w:w="1701" w:type="dxa"/>
            <w:shd w:val="clear" w:color="auto" w:fill="auto"/>
            <w:vAlign w:val="bottom"/>
          </w:tcPr>
          <w:p w14:paraId="3BD8727B" w14:textId="749DCBAD"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16%</w:t>
            </w:r>
          </w:p>
        </w:tc>
        <w:tc>
          <w:tcPr>
            <w:tcW w:w="1814" w:type="dxa"/>
            <w:vAlign w:val="bottom"/>
          </w:tcPr>
          <w:p w14:paraId="79ACA867" w14:textId="412A573B"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-0,5%</w:t>
            </w:r>
          </w:p>
        </w:tc>
      </w:tr>
      <w:tr w:rsidR="00A060EF" w:rsidRPr="00F815F1" w14:paraId="42AA1CFA" w14:textId="77777777" w:rsidTr="00A060EF">
        <w:trPr>
          <w:trHeight w:val="226"/>
        </w:trPr>
        <w:tc>
          <w:tcPr>
            <w:tcW w:w="2117" w:type="dxa"/>
            <w:shd w:val="clear" w:color="auto" w:fill="auto"/>
            <w:vAlign w:val="bottom"/>
          </w:tcPr>
          <w:p w14:paraId="4E636C74" w14:textId="11480097"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Logroño</w:t>
            </w:r>
          </w:p>
        </w:tc>
        <w:tc>
          <w:tcPr>
            <w:tcW w:w="1701" w:type="dxa"/>
            <w:vAlign w:val="bottom"/>
          </w:tcPr>
          <w:p w14:paraId="38B3E5A7" w14:textId="68383280"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  </w:t>
            </w:r>
            <w:r>
              <w:rPr>
                <w:rFonts w:ascii="Open Sans" w:hAnsi="Open Sans" w:cs="Open Sans"/>
                <w:color w:val="000000"/>
                <w:sz w:val="22"/>
                <w:szCs w:val="22"/>
              </w:rPr>
              <w:t>-</w:t>
            </w:r>
          </w:p>
        </w:tc>
        <w:tc>
          <w:tcPr>
            <w:tcW w:w="1701" w:type="dxa"/>
            <w:vAlign w:val="bottom"/>
          </w:tcPr>
          <w:p w14:paraId="57447295" w14:textId="22C25A62"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-26%</w:t>
            </w:r>
          </w:p>
        </w:tc>
        <w:tc>
          <w:tcPr>
            <w:tcW w:w="1701" w:type="dxa"/>
            <w:shd w:val="clear" w:color="auto" w:fill="auto"/>
            <w:vAlign w:val="bottom"/>
          </w:tcPr>
          <w:p w14:paraId="77ECB32A" w14:textId="74D30E80"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15%</w:t>
            </w:r>
          </w:p>
        </w:tc>
        <w:tc>
          <w:tcPr>
            <w:tcW w:w="1814" w:type="dxa"/>
            <w:vAlign w:val="bottom"/>
          </w:tcPr>
          <w:p w14:paraId="4EA247D2" w14:textId="37291CA0"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-0,8%</w:t>
            </w:r>
          </w:p>
        </w:tc>
      </w:tr>
      <w:tr w:rsidR="00A060EF" w:rsidRPr="00F815F1" w14:paraId="5E163028" w14:textId="77777777" w:rsidTr="00A060EF">
        <w:trPr>
          <w:trHeight w:val="226"/>
        </w:trPr>
        <w:tc>
          <w:tcPr>
            <w:tcW w:w="2117" w:type="dxa"/>
            <w:shd w:val="clear" w:color="auto" w:fill="auto"/>
            <w:vAlign w:val="bottom"/>
          </w:tcPr>
          <w:p w14:paraId="48F8F501" w14:textId="6FBE093D"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Alicante / Alacant</w:t>
            </w:r>
          </w:p>
        </w:tc>
        <w:tc>
          <w:tcPr>
            <w:tcW w:w="1701" w:type="dxa"/>
            <w:vAlign w:val="bottom"/>
          </w:tcPr>
          <w:p w14:paraId="440B8116" w14:textId="4455005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-21%</w:t>
            </w:r>
          </w:p>
        </w:tc>
        <w:tc>
          <w:tcPr>
            <w:tcW w:w="1701" w:type="dxa"/>
            <w:vAlign w:val="bottom"/>
          </w:tcPr>
          <w:p w14:paraId="11DBF4D8" w14:textId="3BA819D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-14%</w:t>
            </w:r>
          </w:p>
        </w:tc>
        <w:tc>
          <w:tcPr>
            <w:tcW w:w="1701" w:type="dxa"/>
            <w:shd w:val="clear" w:color="auto" w:fill="auto"/>
            <w:vAlign w:val="bottom"/>
          </w:tcPr>
          <w:p w14:paraId="3E4CAEE7" w14:textId="5EC189F8"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14%</w:t>
            </w:r>
          </w:p>
        </w:tc>
        <w:tc>
          <w:tcPr>
            <w:tcW w:w="1814" w:type="dxa"/>
            <w:vAlign w:val="bottom"/>
          </w:tcPr>
          <w:p w14:paraId="1EDEA2BF" w14:textId="6AB8CA08"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-0,6%</w:t>
            </w:r>
          </w:p>
        </w:tc>
      </w:tr>
      <w:tr w:rsidR="00A060EF" w:rsidRPr="00F815F1" w14:paraId="72D3009F" w14:textId="77777777" w:rsidTr="00A060EF">
        <w:trPr>
          <w:trHeight w:val="226"/>
        </w:trPr>
        <w:tc>
          <w:tcPr>
            <w:tcW w:w="2117" w:type="dxa"/>
            <w:shd w:val="clear" w:color="auto" w:fill="auto"/>
            <w:vAlign w:val="bottom"/>
          </w:tcPr>
          <w:p w14:paraId="525A2295" w14:textId="770DD7EE"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Bilbao</w:t>
            </w:r>
          </w:p>
        </w:tc>
        <w:tc>
          <w:tcPr>
            <w:tcW w:w="1701" w:type="dxa"/>
            <w:vAlign w:val="bottom"/>
          </w:tcPr>
          <w:p w14:paraId="7D2435B3" w14:textId="4A7917EF"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-17%</w:t>
            </w:r>
          </w:p>
        </w:tc>
        <w:tc>
          <w:tcPr>
            <w:tcW w:w="1701" w:type="dxa"/>
            <w:vAlign w:val="bottom"/>
          </w:tcPr>
          <w:p w14:paraId="66ED8CD6" w14:textId="3BFBC97E"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-14%</w:t>
            </w:r>
          </w:p>
        </w:tc>
        <w:tc>
          <w:tcPr>
            <w:tcW w:w="1701" w:type="dxa"/>
            <w:shd w:val="clear" w:color="auto" w:fill="auto"/>
            <w:vAlign w:val="bottom"/>
          </w:tcPr>
          <w:p w14:paraId="4240DE5C" w14:textId="1D948372"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13%</w:t>
            </w:r>
          </w:p>
        </w:tc>
        <w:tc>
          <w:tcPr>
            <w:tcW w:w="1814" w:type="dxa"/>
            <w:vAlign w:val="bottom"/>
          </w:tcPr>
          <w:p w14:paraId="4D9F497C" w14:textId="7B75A5D5"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-0,6%</w:t>
            </w:r>
          </w:p>
        </w:tc>
      </w:tr>
      <w:tr w:rsidR="00A060EF" w:rsidRPr="00F815F1" w14:paraId="1D4BE3AC" w14:textId="77777777" w:rsidTr="00A060EF">
        <w:trPr>
          <w:trHeight w:val="226"/>
        </w:trPr>
        <w:tc>
          <w:tcPr>
            <w:tcW w:w="2117" w:type="dxa"/>
            <w:shd w:val="clear" w:color="auto" w:fill="auto"/>
            <w:vAlign w:val="bottom"/>
          </w:tcPr>
          <w:p w14:paraId="5BA3F284" w14:textId="50D6AEDA"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Zaragoza capital</w:t>
            </w:r>
          </w:p>
        </w:tc>
        <w:tc>
          <w:tcPr>
            <w:tcW w:w="1701" w:type="dxa"/>
            <w:vAlign w:val="bottom"/>
          </w:tcPr>
          <w:p w14:paraId="664071B4" w14:textId="07CF3C8B"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-45%</w:t>
            </w:r>
          </w:p>
        </w:tc>
        <w:tc>
          <w:tcPr>
            <w:tcW w:w="1701" w:type="dxa"/>
            <w:vAlign w:val="bottom"/>
          </w:tcPr>
          <w:p w14:paraId="3B9B9981" w14:textId="539A9E1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-31%</w:t>
            </w:r>
          </w:p>
        </w:tc>
        <w:tc>
          <w:tcPr>
            <w:tcW w:w="1701" w:type="dxa"/>
            <w:shd w:val="clear" w:color="auto" w:fill="auto"/>
            <w:vAlign w:val="bottom"/>
          </w:tcPr>
          <w:p w14:paraId="5B5CC4C0" w14:textId="7953A69D"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13%</w:t>
            </w:r>
          </w:p>
        </w:tc>
        <w:tc>
          <w:tcPr>
            <w:tcW w:w="1814" w:type="dxa"/>
            <w:vAlign w:val="bottom"/>
          </w:tcPr>
          <w:p w14:paraId="10F4E041" w14:textId="3ECBF77F"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-1,1%</w:t>
            </w:r>
          </w:p>
        </w:tc>
      </w:tr>
      <w:tr w:rsidR="00A060EF" w:rsidRPr="00F815F1" w14:paraId="532A49CC" w14:textId="77777777" w:rsidTr="00A060EF">
        <w:trPr>
          <w:trHeight w:val="226"/>
        </w:trPr>
        <w:tc>
          <w:tcPr>
            <w:tcW w:w="2117" w:type="dxa"/>
            <w:shd w:val="clear" w:color="auto" w:fill="auto"/>
            <w:vAlign w:val="bottom"/>
          </w:tcPr>
          <w:p w14:paraId="171947D2" w14:textId="03ADCD37"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Valladolid capital</w:t>
            </w:r>
          </w:p>
        </w:tc>
        <w:tc>
          <w:tcPr>
            <w:tcW w:w="1701" w:type="dxa"/>
            <w:vAlign w:val="bottom"/>
          </w:tcPr>
          <w:p w14:paraId="0F23EF3E" w14:textId="09F6256D"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-33%</w:t>
            </w:r>
          </w:p>
        </w:tc>
        <w:tc>
          <w:tcPr>
            <w:tcW w:w="1701" w:type="dxa"/>
            <w:vAlign w:val="bottom"/>
          </w:tcPr>
          <w:p w14:paraId="3FE4FB56" w14:textId="6C7D05F1"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-22%</w:t>
            </w:r>
          </w:p>
        </w:tc>
        <w:tc>
          <w:tcPr>
            <w:tcW w:w="1701" w:type="dxa"/>
            <w:shd w:val="clear" w:color="auto" w:fill="auto"/>
            <w:vAlign w:val="bottom"/>
          </w:tcPr>
          <w:p w14:paraId="4E8AE6FC" w14:textId="7780497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12%</w:t>
            </w:r>
          </w:p>
        </w:tc>
        <w:tc>
          <w:tcPr>
            <w:tcW w:w="1814" w:type="dxa"/>
            <w:vAlign w:val="bottom"/>
          </w:tcPr>
          <w:p w14:paraId="41CC3C18" w14:textId="75D2A95E"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0,0%</w:t>
            </w:r>
          </w:p>
        </w:tc>
      </w:tr>
      <w:tr w:rsidR="00A060EF" w:rsidRPr="00F815F1" w14:paraId="303AEB61" w14:textId="77777777" w:rsidTr="00A060EF">
        <w:trPr>
          <w:trHeight w:val="226"/>
        </w:trPr>
        <w:tc>
          <w:tcPr>
            <w:tcW w:w="2117" w:type="dxa"/>
            <w:shd w:val="clear" w:color="auto" w:fill="auto"/>
            <w:vAlign w:val="bottom"/>
          </w:tcPr>
          <w:p w14:paraId="672249C0" w14:textId="34463C91"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Guadalajara capital</w:t>
            </w:r>
          </w:p>
        </w:tc>
        <w:tc>
          <w:tcPr>
            <w:tcW w:w="1701" w:type="dxa"/>
            <w:vAlign w:val="bottom"/>
          </w:tcPr>
          <w:p w14:paraId="744D5D4E" w14:textId="35E381A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-47%</w:t>
            </w:r>
          </w:p>
        </w:tc>
        <w:tc>
          <w:tcPr>
            <w:tcW w:w="1701" w:type="dxa"/>
            <w:vAlign w:val="bottom"/>
          </w:tcPr>
          <w:p w14:paraId="29742ACF" w14:textId="34F3168A"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-35%</w:t>
            </w:r>
          </w:p>
        </w:tc>
        <w:tc>
          <w:tcPr>
            <w:tcW w:w="1701" w:type="dxa"/>
            <w:shd w:val="clear" w:color="auto" w:fill="auto"/>
            <w:vAlign w:val="bottom"/>
          </w:tcPr>
          <w:p w14:paraId="689B1BCB" w14:textId="6079A1AF"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10%</w:t>
            </w:r>
          </w:p>
        </w:tc>
        <w:tc>
          <w:tcPr>
            <w:tcW w:w="1814" w:type="dxa"/>
            <w:vAlign w:val="bottom"/>
          </w:tcPr>
          <w:p w14:paraId="2186175C" w14:textId="734E5835"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0,2%</w:t>
            </w:r>
          </w:p>
        </w:tc>
      </w:tr>
      <w:tr w:rsidR="00A060EF" w:rsidRPr="00F815F1" w14:paraId="248E25DE" w14:textId="77777777" w:rsidTr="00A060EF">
        <w:trPr>
          <w:trHeight w:val="226"/>
        </w:trPr>
        <w:tc>
          <w:tcPr>
            <w:tcW w:w="2117" w:type="dxa"/>
            <w:shd w:val="clear" w:color="auto" w:fill="auto"/>
            <w:vAlign w:val="bottom"/>
          </w:tcPr>
          <w:p w14:paraId="378A6A08" w14:textId="3E22C747"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Segovia capital</w:t>
            </w:r>
          </w:p>
        </w:tc>
        <w:tc>
          <w:tcPr>
            <w:tcW w:w="1701" w:type="dxa"/>
          </w:tcPr>
          <w:p w14:paraId="6A7324FD" w14:textId="1C9B1753" w:rsidR="00F815F1" w:rsidRPr="00F815F1" w:rsidRDefault="00F815F1" w:rsidP="00F815F1">
            <w:pPr>
              <w:jc w:val="center"/>
              <w:rPr>
                <w:rFonts w:ascii="Open Sans" w:hAnsi="Open Sans" w:cs="Open Sans"/>
                <w:color w:val="000000"/>
                <w:sz w:val="22"/>
                <w:szCs w:val="22"/>
              </w:rPr>
            </w:pPr>
            <w:r w:rsidRPr="006B1331">
              <w:rPr>
                <w:rFonts w:ascii="Open Sans" w:hAnsi="Open Sans" w:cs="Open Sans"/>
                <w:color w:val="000000"/>
                <w:sz w:val="22"/>
                <w:szCs w:val="22"/>
              </w:rPr>
              <w:t> -</w:t>
            </w:r>
          </w:p>
        </w:tc>
        <w:tc>
          <w:tcPr>
            <w:tcW w:w="1701" w:type="dxa"/>
            <w:vAlign w:val="bottom"/>
          </w:tcPr>
          <w:p w14:paraId="541297D0" w14:textId="4EEE1D32"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-33%</w:t>
            </w:r>
          </w:p>
        </w:tc>
        <w:tc>
          <w:tcPr>
            <w:tcW w:w="1701" w:type="dxa"/>
            <w:shd w:val="clear" w:color="auto" w:fill="auto"/>
            <w:vAlign w:val="bottom"/>
          </w:tcPr>
          <w:p w14:paraId="6856D768" w14:textId="5ECA6A6E"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9,6%</w:t>
            </w:r>
          </w:p>
        </w:tc>
        <w:tc>
          <w:tcPr>
            <w:tcW w:w="1814" w:type="dxa"/>
            <w:vAlign w:val="bottom"/>
          </w:tcPr>
          <w:p w14:paraId="6692B09B" w14:textId="43A9193F"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-0,6%</w:t>
            </w:r>
          </w:p>
        </w:tc>
      </w:tr>
      <w:tr w:rsidR="00A060EF" w:rsidRPr="00F815F1" w14:paraId="6E9A2567" w14:textId="77777777" w:rsidTr="00A060EF">
        <w:trPr>
          <w:trHeight w:val="226"/>
        </w:trPr>
        <w:tc>
          <w:tcPr>
            <w:tcW w:w="2117" w:type="dxa"/>
            <w:shd w:val="clear" w:color="auto" w:fill="auto"/>
            <w:vAlign w:val="bottom"/>
          </w:tcPr>
          <w:p w14:paraId="1085FF83" w14:textId="5DEDA69A"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Cáceres capital</w:t>
            </w:r>
          </w:p>
        </w:tc>
        <w:tc>
          <w:tcPr>
            <w:tcW w:w="1701" w:type="dxa"/>
          </w:tcPr>
          <w:p w14:paraId="784849C1" w14:textId="5012D750" w:rsidR="00F815F1" w:rsidRPr="00F815F1" w:rsidRDefault="00F815F1" w:rsidP="00F815F1">
            <w:pPr>
              <w:jc w:val="center"/>
              <w:rPr>
                <w:rFonts w:ascii="Open Sans" w:hAnsi="Open Sans" w:cs="Open Sans"/>
                <w:color w:val="000000"/>
                <w:sz w:val="22"/>
                <w:szCs w:val="22"/>
              </w:rPr>
            </w:pPr>
            <w:r w:rsidRPr="006B1331">
              <w:rPr>
                <w:rFonts w:ascii="Open Sans" w:hAnsi="Open Sans" w:cs="Open Sans"/>
                <w:color w:val="000000"/>
                <w:sz w:val="22"/>
                <w:szCs w:val="22"/>
              </w:rPr>
              <w:t> -</w:t>
            </w:r>
          </w:p>
        </w:tc>
        <w:tc>
          <w:tcPr>
            <w:tcW w:w="1701" w:type="dxa"/>
            <w:vAlign w:val="bottom"/>
          </w:tcPr>
          <w:p w14:paraId="7FA7FBA9" w14:textId="16B14927"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-29%</w:t>
            </w:r>
          </w:p>
        </w:tc>
        <w:tc>
          <w:tcPr>
            <w:tcW w:w="1701" w:type="dxa"/>
            <w:shd w:val="clear" w:color="auto" w:fill="auto"/>
            <w:vAlign w:val="bottom"/>
          </w:tcPr>
          <w:p w14:paraId="6A6E6FA3" w14:textId="5B92E783"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8,8%</w:t>
            </w:r>
          </w:p>
        </w:tc>
        <w:tc>
          <w:tcPr>
            <w:tcW w:w="1814" w:type="dxa"/>
            <w:vAlign w:val="bottom"/>
          </w:tcPr>
          <w:p w14:paraId="29BDBA20" w14:textId="7B50A42A"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-1,0%</w:t>
            </w:r>
          </w:p>
        </w:tc>
      </w:tr>
      <w:tr w:rsidR="00A060EF" w:rsidRPr="00F815F1" w14:paraId="12DE152A" w14:textId="77777777" w:rsidTr="00A060EF">
        <w:trPr>
          <w:trHeight w:val="226"/>
        </w:trPr>
        <w:tc>
          <w:tcPr>
            <w:tcW w:w="2117" w:type="dxa"/>
            <w:shd w:val="clear" w:color="auto" w:fill="auto"/>
            <w:vAlign w:val="bottom"/>
          </w:tcPr>
          <w:p w14:paraId="6C5C44BB" w14:textId="59C1FD3C"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lastRenderedPageBreak/>
              <w:t>A Coruña capital</w:t>
            </w:r>
          </w:p>
        </w:tc>
        <w:tc>
          <w:tcPr>
            <w:tcW w:w="1701" w:type="dxa"/>
            <w:vAlign w:val="bottom"/>
          </w:tcPr>
          <w:p w14:paraId="76CE6FEF" w14:textId="3BC8BAE8"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4,9%</w:t>
            </w:r>
          </w:p>
        </w:tc>
        <w:tc>
          <w:tcPr>
            <w:tcW w:w="1701" w:type="dxa"/>
            <w:vAlign w:val="bottom"/>
          </w:tcPr>
          <w:p w14:paraId="2AC5A7EE" w14:textId="7492C8DF"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-14%</w:t>
            </w:r>
          </w:p>
        </w:tc>
        <w:tc>
          <w:tcPr>
            <w:tcW w:w="1701" w:type="dxa"/>
            <w:shd w:val="clear" w:color="auto" w:fill="auto"/>
            <w:vAlign w:val="bottom"/>
          </w:tcPr>
          <w:p w14:paraId="7BC821CF" w14:textId="796DB150"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8,8%</w:t>
            </w:r>
          </w:p>
        </w:tc>
        <w:tc>
          <w:tcPr>
            <w:tcW w:w="1814" w:type="dxa"/>
            <w:vAlign w:val="bottom"/>
          </w:tcPr>
          <w:p w14:paraId="47C605EC" w14:textId="06EB2E0B"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0,3%</w:t>
            </w:r>
          </w:p>
        </w:tc>
      </w:tr>
      <w:tr w:rsidR="00A060EF" w:rsidRPr="00F815F1" w14:paraId="4BC2B8C1" w14:textId="77777777" w:rsidTr="00A060EF">
        <w:trPr>
          <w:trHeight w:val="226"/>
        </w:trPr>
        <w:tc>
          <w:tcPr>
            <w:tcW w:w="2117" w:type="dxa"/>
            <w:shd w:val="clear" w:color="auto" w:fill="auto"/>
            <w:vAlign w:val="bottom"/>
          </w:tcPr>
          <w:p w14:paraId="35604CED" w14:textId="23C96DD8"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Cuenca capital</w:t>
            </w:r>
          </w:p>
        </w:tc>
        <w:tc>
          <w:tcPr>
            <w:tcW w:w="1701" w:type="dxa"/>
          </w:tcPr>
          <w:p w14:paraId="38DE34A3" w14:textId="1031CF22" w:rsidR="00F815F1" w:rsidRPr="00F815F1" w:rsidRDefault="00F815F1" w:rsidP="00F815F1">
            <w:pPr>
              <w:jc w:val="center"/>
              <w:rPr>
                <w:rFonts w:ascii="Open Sans" w:hAnsi="Open Sans" w:cs="Open Sans"/>
                <w:color w:val="000000"/>
                <w:sz w:val="22"/>
                <w:szCs w:val="22"/>
              </w:rPr>
            </w:pPr>
            <w:r w:rsidRPr="00DD188B">
              <w:rPr>
                <w:rFonts w:ascii="Open Sans" w:hAnsi="Open Sans" w:cs="Open Sans"/>
                <w:color w:val="000000"/>
                <w:sz w:val="22"/>
                <w:szCs w:val="22"/>
              </w:rPr>
              <w:t> -</w:t>
            </w:r>
          </w:p>
        </w:tc>
        <w:tc>
          <w:tcPr>
            <w:tcW w:w="1701" w:type="dxa"/>
            <w:vAlign w:val="bottom"/>
          </w:tcPr>
          <w:p w14:paraId="4A73E09C" w14:textId="2EDA6FE7"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-29%</w:t>
            </w:r>
          </w:p>
        </w:tc>
        <w:tc>
          <w:tcPr>
            <w:tcW w:w="1701" w:type="dxa"/>
            <w:shd w:val="clear" w:color="auto" w:fill="auto"/>
            <w:vAlign w:val="bottom"/>
          </w:tcPr>
          <w:p w14:paraId="5A7CA992" w14:textId="62AC26FF"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8,1%</w:t>
            </w:r>
          </w:p>
        </w:tc>
        <w:tc>
          <w:tcPr>
            <w:tcW w:w="1814" w:type="dxa"/>
            <w:vAlign w:val="bottom"/>
          </w:tcPr>
          <w:p w14:paraId="7B822B44" w14:textId="7DD62DE2"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0,9%</w:t>
            </w:r>
          </w:p>
        </w:tc>
      </w:tr>
      <w:tr w:rsidR="00A060EF" w:rsidRPr="00F815F1" w14:paraId="3F0E6BFD" w14:textId="77777777" w:rsidTr="00A060EF">
        <w:trPr>
          <w:trHeight w:val="226"/>
        </w:trPr>
        <w:tc>
          <w:tcPr>
            <w:tcW w:w="2117" w:type="dxa"/>
            <w:shd w:val="clear" w:color="auto" w:fill="auto"/>
            <w:vAlign w:val="bottom"/>
          </w:tcPr>
          <w:p w14:paraId="3068018F" w14:textId="509E4195"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Lugo capital</w:t>
            </w:r>
          </w:p>
        </w:tc>
        <w:tc>
          <w:tcPr>
            <w:tcW w:w="1701" w:type="dxa"/>
          </w:tcPr>
          <w:p w14:paraId="7DF335C8" w14:textId="03E76EDB" w:rsidR="00F815F1" w:rsidRPr="00F815F1" w:rsidRDefault="00F815F1" w:rsidP="00F815F1">
            <w:pPr>
              <w:jc w:val="center"/>
              <w:rPr>
                <w:rFonts w:ascii="Open Sans" w:hAnsi="Open Sans" w:cs="Open Sans"/>
                <w:color w:val="000000"/>
                <w:sz w:val="22"/>
                <w:szCs w:val="22"/>
              </w:rPr>
            </w:pPr>
            <w:r w:rsidRPr="00DD188B">
              <w:rPr>
                <w:rFonts w:ascii="Open Sans" w:hAnsi="Open Sans" w:cs="Open Sans"/>
                <w:color w:val="000000"/>
                <w:sz w:val="22"/>
                <w:szCs w:val="22"/>
              </w:rPr>
              <w:t> -</w:t>
            </w:r>
          </w:p>
        </w:tc>
        <w:tc>
          <w:tcPr>
            <w:tcW w:w="1701" w:type="dxa"/>
            <w:vAlign w:val="bottom"/>
          </w:tcPr>
          <w:p w14:paraId="21109043" w14:textId="0F0BDEA1"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-28%</w:t>
            </w:r>
          </w:p>
        </w:tc>
        <w:tc>
          <w:tcPr>
            <w:tcW w:w="1701" w:type="dxa"/>
            <w:shd w:val="clear" w:color="auto" w:fill="auto"/>
            <w:vAlign w:val="bottom"/>
          </w:tcPr>
          <w:p w14:paraId="137B0E7E" w14:textId="22473F7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8,0%</w:t>
            </w:r>
          </w:p>
        </w:tc>
        <w:tc>
          <w:tcPr>
            <w:tcW w:w="1814" w:type="dxa"/>
            <w:vAlign w:val="bottom"/>
          </w:tcPr>
          <w:p w14:paraId="72E7BB6E" w14:textId="217E8460"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0,5%</w:t>
            </w:r>
          </w:p>
        </w:tc>
      </w:tr>
      <w:tr w:rsidR="00A060EF" w:rsidRPr="00F815F1" w14:paraId="0C89A303" w14:textId="77777777" w:rsidTr="00A060EF">
        <w:trPr>
          <w:trHeight w:val="226"/>
        </w:trPr>
        <w:tc>
          <w:tcPr>
            <w:tcW w:w="2117" w:type="dxa"/>
            <w:shd w:val="clear" w:color="auto" w:fill="auto"/>
            <w:vAlign w:val="bottom"/>
          </w:tcPr>
          <w:p w14:paraId="00A6FF65" w14:textId="5304B0C9"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Lleida capital</w:t>
            </w:r>
          </w:p>
        </w:tc>
        <w:tc>
          <w:tcPr>
            <w:tcW w:w="1701" w:type="dxa"/>
            <w:vAlign w:val="bottom"/>
          </w:tcPr>
          <w:p w14:paraId="578FE004" w14:textId="58AA4D33"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-43%</w:t>
            </w:r>
          </w:p>
        </w:tc>
        <w:tc>
          <w:tcPr>
            <w:tcW w:w="1701" w:type="dxa"/>
            <w:vAlign w:val="bottom"/>
          </w:tcPr>
          <w:p w14:paraId="21A0696F" w14:textId="4B7658CA"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-36%</w:t>
            </w:r>
          </w:p>
        </w:tc>
        <w:tc>
          <w:tcPr>
            <w:tcW w:w="1701" w:type="dxa"/>
            <w:shd w:val="clear" w:color="auto" w:fill="auto"/>
            <w:vAlign w:val="bottom"/>
          </w:tcPr>
          <w:p w14:paraId="21F99374" w14:textId="27ACD256"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8,0%</w:t>
            </w:r>
          </w:p>
        </w:tc>
        <w:tc>
          <w:tcPr>
            <w:tcW w:w="1814" w:type="dxa"/>
            <w:vAlign w:val="bottom"/>
          </w:tcPr>
          <w:p w14:paraId="7E9A9D18" w14:textId="300A6F9F"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-1,4%</w:t>
            </w:r>
          </w:p>
        </w:tc>
      </w:tr>
      <w:tr w:rsidR="00A060EF" w:rsidRPr="00F815F1" w14:paraId="739605E0" w14:textId="77777777" w:rsidTr="00A060EF">
        <w:trPr>
          <w:trHeight w:val="226"/>
        </w:trPr>
        <w:tc>
          <w:tcPr>
            <w:tcW w:w="2117" w:type="dxa"/>
            <w:shd w:val="clear" w:color="auto" w:fill="auto"/>
            <w:vAlign w:val="bottom"/>
          </w:tcPr>
          <w:p w14:paraId="74825A85" w14:textId="51F5720A"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Badajoz capital</w:t>
            </w:r>
          </w:p>
        </w:tc>
        <w:tc>
          <w:tcPr>
            <w:tcW w:w="1701" w:type="dxa"/>
            <w:vAlign w:val="bottom"/>
          </w:tcPr>
          <w:p w14:paraId="0760AA8B" w14:textId="609467A0"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 </w:t>
            </w:r>
            <w:r>
              <w:rPr>
                <w:rFonts w:ascii="Open Sans" w:hAnsi="Open Sans" w:cs="Open Sans"/>
                <w:color w:val="000000"/>
                <w:sz w:val="22"/>
                <w:szCs w:val="22"/>
              </w:rPr>
              <w:t>-</w:t>
            </w:r>
            <w:r w:rsidRPr="00F815F1">
              <w:rPr>
                <w:rFonts w:ascii="Open Sans" w:hAnsi="Open Sans" w:cs="Open Sans"/>
                <w:color w:val="000000"/>
                <w:sz w:val="22"/>
                <w:szCs w:val="22"/>
              </w:rPr>
              <w:t> </w:t>
            </w:r>
          </w:p>
        </w:tc>
        <w:tc>
          <w:tcPr>
            <w:tcW w:w="1701" w:type="dxa"/>
            <w:vAlign w:val="bottom"/>
          </w:tcPr>
          <w:p w14:paraId="47D78518" w14:textId="7F7A89FE"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-28%</w:t>
            </w:r>
          </w:p>
        </w:tc>
        <w:tc>
          <w:tcPr>
            <w:tcW w:w="1701" w:type="dxa"/>
            <w:shd w:val="clear" w:color="auto" w:fill="auto"/>
            <w:vAlign w:val="bottom"/>
          </w:tcPr>
          <w:p w14:paraId="3219CF66" w14:textId="53F6B73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6,9%</w:t>
            </w:r>
          </w:p>
        </w:tc>
        <w:tc>
          <w:tcPr>
            <w:tcW w:w="1814" w:type="dxa"/>
            <w:vAlign w:val="bottom"/>
          </w:tcPr>
          <w:p w14:paraId="23364231" w14:textId="209F8EC4"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1,6%</w:t>
            </w:r>
          </w:p>
        </w:tc>
      </w:tr>
      <w:tr w:rsidR="00A060EF" w:rsidRPr="00F815F1" w14:paraId="118DEC28" w14:textId="77777777" w:rsidTr="00A060EF">
        <w:trPr>
          <w:trHeight w:val="226"/>
        </w:trPr>
        <w:tc>
          <w:tcPr>
            <w:tcW w:w="2117" w:type="dxa"/>
            <w:shd w:val="clear" w:color="auto" w:fill="auto"/>
            <w:vAlign w:val="bottom"/>
          </w:tcPr>
          <w:p w14:paraId="1DB06BE6" w14:textId="2C29D91D"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Santander</w:t>
            </w:r>
          </w:p>
        </w:tc>
        <w:tc>
          <w:tcPr>
            <w:tcW w:w="1701" w:type="dxa"/>
            <w:vAlign w:val="bottom"/>
          </w:tcPr>
          <w:p w14:paraId="6C2585E8" w14:textId="24BE426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-25%</w:t>
            </w:r>
          </w:p>
        </w:tc>
        <w:tc>
          <w:tcPr>
            <w:tcW w:w="1701" w:type="dxa"/>
            <w:vAlign w:val="bottom"/>
          </w:tcPr>
          <w:p w14:paraId="14280F5A" w14:textId="3F4A79AE"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-26%</w:t>
            </w:r>
          </w:p>
        </w:tc>
        <w:tc>
          <w:tcPr>
            <w:tcW w:w="1701" w:type="dxa"/>
            <w:shd w:val="clear" w:color="auto" w:fill="auto"/>
            <w:vAlign w:val="bottom"/>
          </w:tcPr>
          <w:p w14:paraId="5FE1BD65" w14:textId="3040A026"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6,6%</w:t>
            </w:r>
          </w:p>
        </w:tc>
        <w:tc>
          <w:tcPr>
            <w:tcW w:w="1814" w:type="dxa"/>
            <w:vAlign w:val="bottom"/>
          </w:tcPr>
          <w:p w14:paraId="722BB364" w14:textId="2A8708EF"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000000"/>
                <w:sz w:val="22"/>
                <w:szCs w:val="22"/>
              </w:rPr>
              <w:t>0,4%</w:t>
            </w:r>
          </w:p>
        </w:tc>
      </w:tr>
      <w:tr w:rsidR="00A060EF" w:rsidRPr="00F815F1" w14:paraId="4253F351" w14:textId="77777777" w:rsidTr="00A060EF">
        <w:trPr>
          <w:trHeight w:val="226"/>
        </w:trPr>
        <w:tc>
          <w:tcPr>
            <w:tcW w:w="2117" w:type="dxa"/>
            <w:shd w:val="clear" w:color="auto" w:fill="auto"/>
            <w:vAlign w:val="bottom"/>
          </w:tcPr>
          <w:p w14:paraId="5B9A8CA3" w14:textId="76F37E40"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Córdoba capital</w:t>
            </w:r>
          </w:p>
        </w:tc>
        <w:tc>
          <w:tcPr>
            <w:tcW w:w="1701" w:type="dxa"/>
            <w:vAlign w:val="bottom"/>
          </w:tcPr>
          <w:p w14:paraId="67A8A547" w14:textId="60BB6E8A"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-39%</w:t>
            </w:r>
          </w:p>
        </w:tc>
        <w:tc>
          <w:tcPr>
            <w:tcW w:w="1701" w:type="dxa"/>
            <w:vAlign w:val="bottom"/>
          </w:tcPr>
          <w:p w14:paraId="531237E2" w14:textId="5A7DF4F1"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-32%</w:t>
            </w:r>
          </w:p>
        </w:tc>
        <w:tc>
          <w:tcPr>
            <w:tcW w:w="1701" w:type="dxa"/>
            <w:shd w:val="clear" w:color="auto" w:fill="auto"/>
            <w:vAlign w:val="bottom"/>
          </w:tcPr>
          <w:p w14:paraId="7CF6BDCD" w14:textId="56787E6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5,2%</w:t>
            </w:r>
          </w:p>
        </w:tc>
        <w:tc>
          <w:tcPr>
            <w:tcW w:w="1814" w:type="dxa"/>
            <w:vAlign w:val="bottom"/>
          </w:tcPr>
          <w:p w14:paraId="20DC6679" w14:textId="208CF253"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-0,4%</w:t>
            </w:r>
          </w:p>
        </w:tc>
      </w:tr>
      <w:tr w:rsidR="00A060EF" w:rsidRPr="00F815F1" w14:paraId="58A88ED4" w14:textId="77777777" w:rsidTr="00A060EF">
        <w:trPr>
          <w:trHeight w:val="226"/>
        </w:trPr>
        <w:tc>
          <w:tcPr>
            <w:tcW w:w="2117" w:type="dxa"/>
            <w:shd w:val="clear" w:color="auto" w:fill="auto"/>
            <w:vAlign w:val="bottom"/>
          </w:tcPr>
          <w:p w14:paraId="05BBC2DA" w14:textId="77728293"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Huelva capital</w:t>
            </w:r>
          </w:p>
        </w:tc>
        <w:tc>
          <w:tcPr>
            <w:tcW w:w="1701" w:type="dxa"/>
          </w:tcPr>
          <w:p w14:paraId="7347628D" w14:textId="0431E629" w:rsidR="00F815F1" w:rsidRPr="00F815F1" w:rsidRDefault="00F815F1" w:rsidP="00F815F1">
            <w:pPr>
              <w:jc w:val="center"/>
              <w:rPr>
                <w:rFonts w:ascii="Open Sans" w:hAnsi="Open Sans" w:cs="Open Sans"/>
                <w:color w:val="000000"/>
                <w:sz w:val="22"/>
                <w:szCs w:val="22"/>
              </w:rPr>
            </w:pPr>
            <w:r w:rsidRPr="00683FF2">
              <w:rPr>
                <w:rFonts w:ascii="Open Sans" w:hAnsi="Open Sans" w:cs="Open Sans"/>
                <w:color w:val="000000"/>
                <w:sz w:val="22"/>
                <w:szCs w:val="22"/>
              </w:rPr>
              <w:t> -</w:t>
            </w:r>
          </w:p>
        </w:tc>
        <w:tc>
          <w:tcPr>
            <w:tcW w:w="1701" w:type="dxa"/>
            <w:vAlign w:val="bottom"/>
          </w:tcPr>
          <w:p w14:paraId="0F2ECFC2" w14:textId="7A09CB45"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-27%</w:t>
            </w:r>
          </w:p>
        </w:tc>
        <w:tc>
          <w:tcPr>
            <w:tcW w:w="1701" w:type="dxa"/>
            <w:shd w:val="clear" w:color="auto" w:fill="auto"/>
            <w:vAlign w:val="bottom"/>
          </w:tcPr>
          <w:p w14:paraId="11E4FF8D" w14:textId="6C783676"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000000"/>
                <w:sz w:val="22"/>
                <w:szCs w:val="22"/>
              </w:rPr>
              <w:t>5,0%</w:t>
            </w:r>
          </w:p>
        </w:tc>
        <w:tc>
          <w:tcPr>
            <w:tcW w:w="1814" w:type="dxa"/>
            <w:vAlign w:val="bottom"/>
          </w:tcPr>
          <w:p w14:paraId="192C6EEF" w14:textId="35C330A2" w:rsidR="00F815F1" w:rsidRPr="00F815F1" w:rsidRDefault="00F815F1" w:rsidP="00F815F1">
            <w:pPr>
              <w:jc w:val="center"/>
              <w:rPr>
                <w:rFonts w:ascii="Open Sans" w:hAnsi="Open Sans" w:cs="Open Sans"/>
                <w:b/>
                <w:bCs/>
                <w:color w:val="2E74B5" w:themeColor="accent5" w:themeShade="BF"/>
                <w:sz w:val="22"/>
                <w:szCs w:val="22"/>
              </w:rPr>
            </w:pPr>
            <w:r w:rsidRPr="00F815F1">
              <w:rPr>
                <w:rFonts w:ascii="Open Sans" w:hAnsi="Open Sans" w:cs="Open Sans"/>
                <w:color w:val="9C0006"/>
                <w:sz w:val="22"/>
                <w:szCs w:val="22"/>
              </w:rPr>
              <w:t>-1,2%</w:t>
            </w:r>
          </w:p>
        </w:tc>
      </w:tr>
      <w:tr w:rsidR="00A060EF" w:rsidRPr="00F815F1" w14:paraId="26DEA057" w14:textId="77777777" w:rsidTr="00A060EF">
        <w:trPr>
          <w:trHeight w:val="226"/>
        </w:trPr>
        <w:tc>
          <w:tcPr>
            <w:tcW w:w="2117" w:type="dxa"/>
            <w:shd w:val="clear" w:color="auto" w:fill="auto"/>
            <w:vAlign w:val="bottom"/>
          </w:tcPr>
          <w:p w14:paraId="6C0F7CAF" w14:textId="7A342FC7"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Palencia capital</w:t>
            </w:r>
          </w:p>
        </w:tc>
        <w:tc>
          <w:tcPr>
            <w:tcW w:w="1701" w:type="dxa"/>
          </w:tcPr>
          <w:p w14:paraId="58BB79C7" w14:textId="77A34BD4" w:rsidR="00F815F1" w:rsidRPr="00F815F1" w:rsidRDefault="00F815F1" w:rsidP="00F815F1">
            <w:pPr>
              <w:jc w:val="center"/>
              <w:rPr>
                <w:rFonts w:ascii="Open Sans" w:hAnsi="Open Sans" w:cs="Open Sans"/>
                <w:color w:val="000000"/>
                <w:sz w:val="22"/>
                <w:szCs w:val="22"/>
              </w:rPr>
            </w:pPr>
            <w:r w:rsidRPr="00683FF2">
              <w:rPr>
                <w:rFonts w:ascii="Open Sans" w:hAnsi="Open Sans" w:cs="Open Sans"/>
                <w:color w:val="000000"/>
                <w:sz w:val="22"/>
                <w:szCs w:val="22"/>
              </w:rPr>
              <w:t> -</w:t>
            </w:r>
          </w:p>
        </w:tc>
        <w:tc>
          <w:tcPr>
            <w:tcW w:w="1701" w:type="dxa"/>
            <w:vAlign w:val="bottom"/>
          </w:tcPr>
          <w:p w14:paraId="24A5CD9C" w14:textId="27AEE8A7"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-25%</w:t>
            </w:r>
          </w:p>
        </w:tc>
        <w:tc>
          <w:tcPr>
            <w:tcW w:w="1701" w:type="dxa"/>
            <w:shd w:val="clear" w:color="auto" w:fill="auto"/>
            <w:vAlign w:val="bottom"/>
            <w:hideMark/>
          </w:tcPr>
          <w:p w14:paraId="292F3452" w14:textId="73B14F18"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000000"/>
                <w:sz w:val="22"/>
                <w:szCs w:val="22"/>
              </w:rPr>
              <w:t>4,5%</w:t>
            </w:r>
          </w:p>
        </w:tc>
        <w:tc>
          <w:tcPr>
            <w:tcW w:w="1814" w:type="dxa"/>
            <w:vAlign w:val="bottom"/>
          </w:tcPr>
          <w:p w14:paraId="12F6F340" w14:textId="11749AF9"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000000"/>
                <w:sz w:val="22"/>
                <w:szCs w:val="22"/>
              </w:rPr>
              <w:t>5,7%</w:t>
            </w:r>
          </w:p>
        </w:tc>
      </w:tr>
      <w:tr w:rsidR="00A060EF" w:rsidRPr="00F815F1" w14:paraId="38BE6CF5" w14:textId="77777777" w:rsidTr="00A060EF">
        <w:trPr>
          <w:trHeight w:val="226"/>
        </w:trPr>
        <w:tc>
          <w:tcPr>
            <w:tcW w:w="2117" w:type="dxa"/>
            <w:shd w:val="clear" w:color="auto" w:fill="auto"/>
            <w:vAlign w:val="bottom"/>
          </w:tcPr>
          <w:p w14:paraId="0793F299" w14:textId="5E219AEB"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Albacete capital</w:t>
            </w:r>
          </w:p>
        </w:tc>
        <w:tc>
          <w:tcPr>
            <w:tcW w:w="1701" w:type="dxa"/>
          </w:tcPr>
          <w:p w14:paraId="2D199F10" w14:textId="12178AED" w:rsidR="00F815F1" w:rsidRPr="00F815F1" w:rsidRDefault="00F815F1" w:rsidP="00F815F1">
            <w:pPr>
              <w:jc w:val="center"/>
              <w:rPr>
                <w:rFonts w:ascii="Open Sans" w:hAnsi="Open Sans" w:cs="Open Sans"/>
                <w:color w:val="000000"/>
                <w:sz w:val="22"/>
                <w:szCs w:val="22"/>
              </w:rPr>
            </w:pPr>
            <w:r w:rsidRPr="00683FF2">
              <w:rPr>
                <w:rFonts w:ascii="Open Sans" w:hAnsi="Open Sans" w:cs="Open Sans"/>
                <w:color w:val="000000"/>
                <w:sz w:val="22"/>
                <w:szCs w:val="22"/>
              </w:rPr>
              <w:t> -</w:t>
            </w:r>
          </w:p>
        </w:tc>
        <w:tc>
          <w:tcPr>
            <w:tcW w:w="1701" w:type="dxa"/>
            <w:vAlign w:val="bottom"/>
          </w:tcPr>
          <w:p w14:paraId="764D5E36" w14:textId="2E12E148"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-33%</w:t>
            </w:r>
          </w:p>
        </w:tc>
        <w:tc>
          <w:tcPr>
            <w:tcW w:w="1701" w:type="dxa"/>
            <w:shd w:val="clear" w:color="auto" w:fill="auto"/>
            <w:vAlign w:val="bottom"/>
            <w:hideMark/>
          </w:tcPr>
          <w:p w14:paraId="51CE7BC6" w14:textId="6CF715D4"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000000"/>
                <w:sz w:val="22"/>
                <w:szCs w:val="22"/>
              </w:rPr>
              <w:t>4,5%</w:t>
            </w:r>
          </w:p>
        </w:tc>
        <w:tc>
          <w:tcPr>
            <w:tcW w:w="1814" w:type="dxa"/>
            <w:vAlign w:val="bottom"/>
          </w:tcPr>
          <w:p w14:paraId="796F2A80" w14:textId="41F21148"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9C0006"/>
                <w:sz w:val="22"/>
                <w:szCs w:val="22"/>
              </w:rPr>
              <w:t>-0,8%</w:t>
            </w:r>
          </w:p>
        </w:tc>
      </w:tr>
      <w:tr w:rsidR="00A060EF" w:rsidRPr="00F815F1" w14:paraId="716E41B1" w14:textId="77777777" w:rsidTr="00A060EF">
        <w:trPr>
          <w:trHeight w:val="226"/>
        </w:trPr>
        <w:tc>
          <w:tcPr>
            <w:tcW w:w="2117" w:type="dxa"/>
            <w:shd w:val="clear" w:color="auto" w:fill="auto"/>
            <w:vAlign w:val="bottom"/>
          </w:tcPr>
          <w:p w14:paraId="0D1E1F8B" w14:textId="3DF67FD4"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Burgos capital</w:t>
            </w:r>
          </w:p>
        </w:tc>
        <w:tc>
          <w:tcPr>
            <w:tcW w:w="1701" w:type="dxa"/>
          </w:tcPr>
          <w:p w14:paraId="265CBFEC" w14:textId="2DAFDF47" w:rsidR="00F815F1" w:rsidRPr="00F815F1" w:rsidRDefault="00F815F1" w:rsidP="00F815F1">
            <w:pPr>
              <w:jc w:val="center"/>
              <w:rPr>
                <w:rFonts w:ascii="Open Sans" w:hAnsi="Open Sans" w:cs="Open Sans"/>
                <w:color w:val="000000"/>
                <w:sz w:val="22"/>
                <w:szCs w:val="22"/>
              </w:rPr>
            </w:pPr>
            <w:r w:rsidRPr="00683FF2">
              <w:rPr>
                <w:rFonts w:ascii="Open Sans" w:hAnsi="Open Sans" w:cs="Open Sans"/>
                <w:color w:val="000000"/>
                <w:sz w:val="22"/>
                <w:szCs w:val="22"/>
              </w:rPr>
              <w:t> -</w:t>
            </w:r>
          </w:p>
        </w:tc>
        <w:tc>
          <w:tcPr>
            <w:tcW w:w="1701" w:type="dxa"/>
            <w:vAlign w:val="bottom"/>
          </w:tcPr>
          <w:p w14:paraId="3589FCDE" w14:textId="5DB70233"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-32%</w:t>
            </w:r>
          </w:p>
        </w:tc>
        <w:tc>
          <w:tcPr>
            <w:tcW w:w="1701" w:type="dxa"/>
            <w:shd w:val="clear" w:color="auto" w:fill="auto"/>
            <w:vAlign w:val="bottom"/>
            <w:hideMark/>
          </w:tcPr>
          <w:p w14:paraId="57ACCEDE" w14:textId="2CF22E3C"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000000"/>
                <w:sz w:val="22"/>
                <w:szCs w:val="22"/>
              </w:rPr>
              <w:t>4,5%</w:t>
            </w:r>
          </w:p>
        </w:tc>
        <w:tc>
          <w:tcPr>
            <w:tcW w:w="1814" w:type="dxa"/>
            <w:vAlign w:val="bottom"/>
          </w:tcPr>
          <w:p w14:paraId="1B88FD68" w14:textId="14886104"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000000"/>
                <w:sz w:val="22"/>
                <w:szCs w:val="22"/>
              </w:rPr>
              <w:t>0,5%</w:t>
            </w:r>
          </w:p>
        </w:tc>
      </w:tr>
      <w:tr w:rsidR="00A060EF" w:rsidRPr="00F815F1" w14:paraId="7A6ECAD4" w14:textId="77777777" w:rsidTr="00A060EF">
        <w:trPr>
          <w:trHeight w:val="226"/>
        </w:trPr>
        <w:tc>
          <w:tcPr>
            <w:tcW w:w="2117" w:type="dxa"/>
            <w:shd w:val="clear" w:color="auto" w:fill="auto"/>
            <w:vAlign w:val="bottom"/>
          </w:tcPr>
          <w:p w14:paraId="465BF22C" w14:textId="36FC5E48"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 xml:space="preserve">Castellón de la Plana </w:t>
            </w:r>
          </w:p>
        </w:tc>
        <w:tc>
          <w:tcPr>
            <w:tcW w:w="1701" w:type="dxa"/>
            <w:vAlign w:val="bottom"/>
          </w:tcPr>
          <w:p w14:paraId="386FDB92" w14:textId="0EB9ACAA"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-41%</w:t>
            </w:r>
          </w:p>
        </w:tc>
        <w:tc>
          <w:tcPr>
            <w:tcW w:w="1701" w:type="dxa"/>
            <w:vAlign w:val="bottom"/>
          </w:tcPr>
          <w:p w14:paraId="3BE31B2F" w14:textId="186C4B3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-33%</w:t>
            </w:r>
          </w:p>
        </w:tc>
        <w:tc>
          <w:tcPr>
            <w:tcW w:w="1701" w:type="dxa"/>
            <w:shd w:val="clear" w:color="auto" w:fill="auto"/>
            <w:vAlign w:val="bottom"/>
            <w:hideMark/>
          </w:tcPr>
          <w:p w14:paraId="506650A9" w14:textId="3F094616"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000000"/>
                <w:sz w:val="22"/>
                <w:szCs w:val="22"/>
              </w:rPr>
              <w:t>3,2%</w:t>
            </w:r>
          </w:p>
        </w:tc>
        <w:tc>
          <w:tcPr>
            <w:tcW w:w="1814" w:type="dxa"/>
            <w:vAlign w:val="bottom"/>
          </w:tcPr>
          <w:p w14:paraId="00313299" w14:textId="6547B204"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000000"/>
                <w:sz w:val="22"/>
                <w:szCs w:val="22"/>
              </w:rPr>
              <w:t>0,1%</w:t>
            </w:r>
          </w:p>
        </w:tc>
      </w:tr>
      <w:tr w:rsidR="00A060EF" w:rsidRPr="00F815F1" w14:paraId="0994A44F" w14:textId="77777777" w:rsidTr="00A060EF">
        <w:trPr>
          <w:trHeight w:val="226"/>
        </w:trPr>
        <w:tc>
          <w:tcPr>
            <w:tcW w:w="2117" w:type="dxa"/>
            <w:shd w:val="clear" w:color="auto" w:fill="auto"/>
            <w:vAlign w:val="bottom"/>
          </w:tcPr>
          <w:p w14:paraId="4319DF71" w14:textId="3ADF2FAA"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Murcia capital</w:t>
            </w:r>
          </w:p>
        </w:tc>
        <w:tc>
          <w:tcPr>
            <w:tcW w:w="1701" w:type="dxa"/>
            <w:vAlign w:val="bottom"/>
          </w:tcPr>
          <w:p w14:paraId="69799C6E" w14:textId="1681034E"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-39%</w:t>
            </w:r>
          </w:p>
        </w:tc>
        <w:tc>
          <w:tcPr>
            <w:tcW w:w="1701" w:type="dxa"/>
            <w:vAlign w:val="bottom"/>
          </w:tcPr>
          <w:p w14:paraId="385062E6" w14:textId="38B8152F"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-26%</w:t>
            </w:r>
          </w:p>
        </w:tc>
        <w:tc>
          <w:tcPr>
            <w:tcW w:w="1701" w:type="dxa"/>
            <w:shd w:val="clear" w:color="auto" w:fill="auto"/>
            <w:vAlign w:val="bottom"/>
            <w:hideMark/>
          </w:tcPr>
          <w:p w14:paraId="529DC153" w14:textId="7FE3B855"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000000"/>
                <w:sz w:val="22"/>
                <w:szCs w:val="22"/>
              </w:rPr>
              <w:t>2,4%</w:t>
            </w:r>
          </w:p>
        </w:tc>
        <w:tc>
          <w:tcPr>
            <w:tcW w:w="1814" w:type="dxa"/>
            <w:vAlign w:val="bottom"/>
          </w:tcPr>
          <w:p w14:paraId="090E6DBD" w14:textId="154661F3"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9C0006"/>
                <w:sz w:val="22"/>
                <w:szCs w:val="22"/>
              </w:rPr>
              <w:t>-1,4%</w:t>
            </w:r>
          </w:p>
        </w:tc>
      </w:tr>
      <w:tr w:rsidR="00A060EF" w:rsidRPr="00F815F1" w14:paraId="712B04F3" w14:textId="77777777" w:rsidTr="00A060EF">
        <w:trPr>
          <w:trHeight w:val="226"/>
        </w:trPr>
        <w:tc>
          <w:tcPr>
            <w:tcW w:w="2117" w:type="dxa"/>
            <w:shd w:val="clear" w:color="auto" w:fill="auto"/>
            <w:vAlign w:val="bottom"/>
          </w:tcPr>
          <w:p w14:paraId="3819E0D0" w14:textId="37315A30"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Toledo capital</w:t>
            </w:r>
          </w:p>
        </w:tc>
        <w:tc>
          <w:tcPr>
            <w:tcW w:w="1701" w:type="dxa"/>
            <w:vAlign w:val="bottom"/>
          </w:tcPr>
          <w:p w14:paraId="522C012E" w14:textId="681FE5BC"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-44%</w:t>
            </w:r>
          </w:p>
        </w:tc>
        <w:tc>
          <w:tcPr>
            <w:tcW w:w="1701" w:type="dxa"/>
            <w:vAlign w:val="bottom"/>
          </w:tcPr>
          <w:p w14:paraId="2E6A77A2" w14:textId="3DE9A6F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-37%</w:t>
            </w:r>
          </w:p>
        </w:tc>
        <w:tc>
          <w:tcPr>
            <w:tcW w:w="1701" w:type="dxa"/>
            <w:shd w:val="clear" w:color="auto" w:fill="auto"/>
            <w:vAlign w:val="bottom"/>
            <w:hideMark/>
          </w:tcPr>
          <w:p w14:paraId="53D24D46" w14:textId="657D628C"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000000"/>
                <w:sz w:val="22"/>
                <w:szCs w:val="22"/>
              </w:rPr>
              <w:t>2,1%</w:t>
            </w:r>
          </w:p>
        </w:tc>
        <w:tc>
          <w:tcPr>
            <w:tcW w:w="1814" w:type="dxa"/>
            <w:vAlign w:val="bottom"/>
          </w:tcPr>
          <w:p w14:paraId="45EB5BBC" w14:textId="5B1FF5EA"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9C0006"/>
                <w:sz w:val="22"/>
                <w:szCs w:val="22"/>
              </w:rPr>
              <w:t>-0,1%</w:t>
            </w:r>
          </w:p>
        </w:tc>
      </w:tr>
      <w:tr w:rsidR="00A060EF" w:rsidRPr="00F815F1" w14:paraId="76DE6718" w14:textId="77777777" w:rsidTr="00A060EF">
        <w:trPr>
          <w:trHeight w:val="226"/>
        </w:trPr>
        <w:tc>
          <w:tcPr>
            <w:tcW w:w="2117" w:type="dxa"/>
            <w:shd w:val="clear" w:color="auto" w:fill="auto"/>
            <w:vAlign w:val="bottom"/>
          </w:tcPr>
          <w:p w14:paraId="67F6A41E" w14:textId="54A67050"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León capital</w:t>
            </w:r>
          </w:p>
        </w:tc>
        <w:tc>
          <w:tcPr>
            <w:tcW w:w="1701" w:type="dxa"/>
          </w:tcPr>
          <w:p w14:paraId="1F13CA2C" w14:textId="1FB98DB3" w:rsidR="00F815F1" w:rsidRPr="00F815F1" w:rsidRDefault="00F815F1" w:rsidP="00F815F1">
            <w:pPr>
              <w:jc w:val="center"/>
              <w:rPr>
                <w:rFonts w:ascii="Open Sans" w:hAnsi="Open Sans" w:cs="Open Sans"/>
                <w:color w:val="000000"/>
                <w:sz w:val="22"/>
                <w:szCs w:val="22"/>
              </w:rPr>
            </w:pPr>
            <w:r w:rsidRPr="00800405">
              <w:rPr>
                <w:rFonts w:ascii="Open Sans" w:hAnsi="Open Sans" w:cs="Open Sans"/>
                <w:color w:val="000000"/>
                <w:sz w:val="22"/>
                <w:szCs w:val="22"/>
              </w:rPr>
              <w:t> -</w:t>
            </w:r>
          </w:p>
        </w:tc>
        <w:tc>
          <w:tcPr>
            <w:tcW w:w="1701" w:type="dxa"/>
            <w:vAlign w:val="bottom"/>
          </w:tcPr>
          <w:p w14:paraId="4C2A45C0" w14:textId="15F4CD7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-26%</w:t>
            </w:r>
          </w:p>
        </w:tc>
        <w:tc>
          <w:tcPr>
            <w:tcW w:w="1701" w:type="dxa"/>
            <w:shd w:val="clear" w:color="auto" w:fill="auto"/>
            <w:vAlign w:val="bottom"/>
            <w:hideMark/>
          </w:tcPr>
          <w:p w14:paraId="7C031139" w14:textId="57EEF2DF"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000000"/>
                <w:sz w:val="22"/>
                <w:szCs w:val="22"/>
              </w:rPr>
              <w:t>2,0%</w:t>
            </w:r>
          </w:p>
        </w:tc>
        <w:tc>
          <w:tcPr>
            <w:tcW w:w="1814" w:type="dxa"/>
            <w:vAlign w:val="bottom"/>
          </w:tcPr>
          <w:p w14:paraId="1CB8C15A" w14:textId="5B4BA801"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9C0006"/>
                <w:sz w:val="22"/>
                <w:szCs w:val="22"/>
              </w:rPr>
              <w:t>-0,2%</w:t>
            </w:r>
          </w:p>
        </w:tc>
      </w:tr>
      <w:tr w:rsidR="00A060EF" w:rsidRPr="00F815F1" w14:paraId="23F42472" w14:textId="77777777" w:rsidTr="00A060EF">
        <w:trPr>
          <w:trHeight w:val="226"/>
        </w:trPr>
        <w:tc>
          <w:tcPr>
            <w:tcW w:w="2117" w:type="dxa"/>
            <w:shd w:val="clear" w:color="auto" w:fill="auto"/>
            <w:vAlign w:val="bottom"/>
          </w:tcPr>
          <w:p w14:paraId="4457BE97" w14:textId="09432A02"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Ourense capital</w:t>
            </w:r>
          </w:p>
        </w:tc>
        <w:tc>
          <w:tcPr>
            <w:tcW w:w="1701" w:type="dxa"/>
          </w:tcPr>
          <w:p w14:paraId="0BEAA01F" w14:textId="6F5C4734" w:rsidR="00F815F1" w:rsidRPr="00F815F1" w:rsidRDefault="00F815F1" w:rsidP="00F815F1">
            <w:pPr>
              <w:jc w:val="center"/>
              <w:rPr>
                <w:rFonts w:ascii="Open Sans" w:hAnsi="Open Sans" w:cs="Open Sans"/>
                <w:color w:val="9C0006"/>
                <w:sz w:val="22"/>
                <w:szCs w:val="22"/>
              </w:rPr>
            </w:pPr>
            <w:r w:rsidRPr="00800405">
              <w:rPr>
                <w:rFonts w:ascii="Open Sans" w:hAnsi="Open Sans" w:cs="Open Sans"/>
                <w:color w:val="000000"/>
                <w:sz w:val="22"/>
                <w:szCs w:val="22"/>
              </w:rPr>
              <w:t> -</w:t>
            </w:r>
          </w:p>
        </w:tc>
        <w:tc>
          <w:tcPr>
            <w:tcW w:w="1701" w:type="dxa"/>
            <w:vAlign w:val="bottom"/>
          </w:tcPr>
          <w:p w14:paraId="272DBDCD" w14:textId="47AE31F9"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-20%</w:t>
            </w:r>
          </w:p>
        </w:tc>
        <w:tc>
          <w:tcPr>
            <w:tcW w:w="1701" w:type="dxa"/>
            <w:shd w:val="clear" w:color="auto" w:fill="auto"/>
            <w:vAlign w:val="bottom"/>
            <w:hideMark/>
          </w:tcPr>
          <w:p w14:paraId="7537839D" w14:textId="5DB8C4B7"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000000"/>
                <w:sz w:val="22"/>
                <w:szCs w:val="22"/>
              </w:rPr>
              <w:t>1,1%</w:t>
            </w:r>
          </w:p>
        </w:tc>
        <w:tc>
          <w:tcPr>
            <w:tcW w:w="1814" w:type="dxa"/>
            <w:vAlign w:val="bottom"/>
          </w:tcPr>
          <w:p w14:paraId="6DC1194A" w14:textId="2DAAFB83"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9C0006"/>
                <w:sz w:val="22"/>
                <w:szCs w:val="22"/>
              </w:rPr>
              <w:t>-0,1%</w:t>
            </w:r>
          </w:p>
        </w:tc>
      </w:tr>
      <w:tr w:rsidR="00A060EF" w:rsidRPr="00F815F1" w14:paraId="319F1C49" w14:textId="77777777" w:rsidTr="00A060EF">
        <w:trPr>
          <w:trHeight w:val="226"/>
        </w:trPr>
        <w:tc>
          <w:tcPr>
            <w:tcW w:w="2117" w:type="dxa"/>
            <w:shd w:val="clear" w:color="auto" w:fill="auto"/>
            <w:vAlign w:val="bottom"/>
          </w:tcPr>
          <w:p w14:paraId="3776172C" w14:textId="104642A6"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Salamanca capital</w:t>
            </w:r>
          </w:p>
        </w:tc>
        <w:tc>
          <w:tcPr>
            <w:tcW w:w="1701" w:type="dxa"/>
            <w:vAlign w:val="bottom"/>
          </w:tcPr>
          <w:p w14:paraId="788CE8EE" w14:textId="1B73E840" w:rsidR="00F815F1" w:rsidRPr="00F815F1" w:rsidRDefault="00F815F1" w:rsidP="00F815F1">
            <w:pPr>
              <w:jc w:val="center"/>
              <w:rPr>
                <w:rFonts w:ascii="Open Sans" w:hAnsi="Open Sans" w:cs="Open Sans"/>
                <w:color w:val="9C0006"/>
                <w:sz w:val="22"/>
                <w:szCs w:val="22"/>
              </w:rPr>
            </w:pPr>
            <w:r w:rsidRPr="00F815F1">
              <w:rPr>
                <w:rFonts w:ascii="Open Sans" w:hAnsi="Open Sans" w:cs="Open Sans"/>
                <w:color w:val="9C0006"/>
                <w:sz w:val="22"/>
                <w:szCs w:val="22"/>
              </w:rPr>
              <w:t>-35%</w:t>
            </w:r>
          </w:p>
        </w:tc>
        <w:tc>
          <w:tcPr>
            <w:tcW w:w="1701" w:type="dxa"/>
            <w:vAlign w:val="bottom"/>
          </w:tcPr>
          <w:p w14:paraId="790EA022" w14:textId="79B1D94D"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-28%</w:t>
            </w:r>
          </w:p>
        </w:tc>
        <w:tc>
          <w:tcPr>
            <w:tcW w:w="1701" w:type="dxa"/>
            <w:shd w:val="clear" w:color="auto" w:fill="auto"/>
            <w:vAlign w:val="bottom"/>
            <w:hideMark/>
          </w:tcPr>
          <w:p w14:paraId="4863BD3D" w14:textId="54BD1C46"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000000"/>
                <w:sz w:val="22"/>
                <w:szCs w:val="22"/>
              </w:rPr>
              <w:t>1,0%</w:t>
            </w:r>
          </w:p>
        </w:tc>
        <w:tc>
          <w:tcPr>
            <w:tcW w:w="1814" w:type="dxa"/>
            <w:vAlign w:val="bottom"/>
          </w:tcPr>
          <w:p w14:paraId="355FA73A" w14:textId="751B4ECB"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9C0006"/>
                <w:sz w:val="22"/>
                <w:szCs w:val="22"/>
              </w:rPr>
              <w:t>-0,4%</w:t>
            </w:r>
          </w:p>
        </w:tc>
      </w:tr>
      <w:tr w:rsidR="00A060EF" w:rsidRPr="00F815F1" w14:paraId="4E1897B5" w14:textId="77777777" w:rsidTr="00A060EF">
        <w:trPr>
          <w:trHeight w:val="226"/>
        </w:trPr>
        <w:tc>
          <w:tcPr>
            <w:tcW w:w="2117" w:type="dxa"/>
            <w:shd w:val="clear" w:color="auto" w:fill="auto"/>
            <w:vAlign w:val="bottom"/>
          </w:tcPr>
          <w:p w14:paraId="4A686F35" w14:textId="721665D7"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Oviedo</w:t>
            </w:r>
          </w:p>
        </w:tc>
        <w:tc>
          <w:tcPr>
            <w:tcW w:w="1701" w:type="dxa"/>
            <w:vAlign w:val="bottom"/>
          </w:tcPr>
          <w:p w14:paraId="7A423DC7" w14:textId="63131EB8"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-29%</w:t>
            </w:r>
          </w:p>
        </w:tc>
        <w:tc>
          <w:tcPr>
            <w:tcW w:w="1701" w:type="dxa"/>
            <w:vAlign w:val="bottom"/>
          </w:tcPr>
          <w:p w14:paraId="565C8E4D" w14:textId="44E3D445"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-29%</w:t>
            </w:r>
          </w:p>
        </w:tc>
        <w:tc>
          <w:tcPr>
            <w:tcW w:w="1701" w:type="dxa"/>
            <w:shd w:val="clear" w:color="auto" w:fill="auto"/>
            <w:vAlign w:val="bottom"/>
            <w:hideMark/>
          </w:tcPr>
          <w:p w14:paraId="237F2BCF" w14:textId="57D15498"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9C0006"/>
                <w:sz w:val="22"/>
                <w:szCs w:val="22"/>
              </w:rPr>
              <w:t>-0,02%</w:t>
            </w:r>
          </w:p>
        </w:tc>
        <w:tc>
          <w:tcPr>
            <w:tcW w:w="1814" w:type="dxa"/>
            <w:vAlign w:val="bottom"/>
          </w:tcPr>
          <w:p w14:paraId="60C058B9" w14:textId="6BF1FA5C"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000000"/>
                <w:sz w:val="22"/>
                <w:szCs w:val="22"/>
              </w:rPr>
              <w:t>0,0%</w:t>
            </w:r>
          </w:p>
        </w:tc>
      </w:tr>
      <w:tr w:rsidR="00A060EF" w:rsidRPr="00F815F1" w14:paraId="09DBAA4E" w14:textId="77777777" w:rsidTr="00A060EF">
        <w:trPr>
          <w:trHeight w:val="226"/>
        </w:trPr>
        <w:tc>
          <w:tcPr>
            <w:tcW w:w="2117" w:type="dxa"/>
            <w:shd w:val="clear" w:color="auto" w:fill="auto"/>
            <w:vAlign w:val="bottom"/>
          </w:tcPr>
          <w:p w14:paraId="0C317CD2" w14:textId="251C6E8E"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Huesca capital</w:t>
            </w:r>
          </w:p>
        </w:tc>
        <w:tc>
          <w:tcPr>
            <w:tcW w:w="1701" w:type="dxa"/>
          </w:tcPr>
          <w:p w14:paraId="3D2725FC" w14:textId="20F7BED5" w:rsidR="00F815F1" w:rsidRPr="00F815F1" w:rsidRDefault="00F815F1" w:rsidP="00F815F1">
            <w:pPr>
              <w:jc w:val="center"/>
              <w:rPr>
                <w:rFonts w:ascii="Open Sans" w:hAnsi="Open Sans" w:cs="Open Sans"/>
                <w:color w:val="9C0006"/>
                <w:sz w:val="22"/>
                <w:szCs w:val="22"/>
              </w:rPr>
            </w:pPr>
            <w:r w:rsidRPr="00FB568D">
              <w:rPr>
                <w:rFonts w:ascii="Open Sans" w:hAnsi="Open Sans" w:cs="Open Sans"/>
                <w:color w:val="000000"/>
                <w:sz w:val="22"/>
                <w:szCs w:val="22"/>
              </w:rPr>
              <w:t> -</w:t>
            </w:r>
          </w:p>
        </w:tc>
        <w:tc>
          <w:tcPr>
            <w:tcW w:w="1701" w:type="dxa"/>
            <w:vAlign w:val="bottom"/>
          </w:tcPr>
          <w:p w14:paraId="289182D9" w14:textId="2CE33765"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-33%</w:t>
            </w:r>
          </w:p>
        </w:tc>
        <w:tc>
          <w:tcPr>
            <w:tcW w:w="1701" w:type="dxa"/>
            <w:shd w:val="clear" w:color="auto" w:fill="auto"/>
            <w:vAlign w:val="bottom"/>
            <w:hideMark/>
          </w:tcPr>
          <w:p w14:paraId="618E451A" w14:textId="1E3A01AE"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9C0006"/>
                <w:sz w:val="22"/>
                <w:szCs w:val="22"/>
              </w:rPr>
              <w:t>-0,8%</w:t>
            </w:r>
          </w:p>
        </w:tc>
        <w:tc>
          <w:tcPr>
            <w:tcW w:w="1814" w:type="dxa"/>
            <w:vAlign w:val="bottom"/>
          </w:tcPr>
          <w:p w14:paraId="29FDD4DB" w14:textId="0BCB505B"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9C0006"/>
                <w:sz w:val="22"/>
                <w:szCs w:val="22"/>
              </w:rPr>
              <w:t>-4,0%</w:t>
            </w:r>
          </w:p>
        </w:tc>
      </w:tr>
      <w:tr w:rsidR="00A060EF" w:rsidRPr="00F815F1" w14:paraId="34B678CC" w14:textId="77777777" w:rsidTr="00A060EF">
        <w:trPr>
          <w:trHeight w:val="226"/>
        </w:trPr>
        <w:tc>
          <w:tcPr>
            <w:tcW w:w="2117" w:type="dxa"/>
            <w:shd w:val="clear" w:color="auto" w:fill="auto"/>
            <w:vAlign w:val="bottom"/>
          </w:tcPr>
          <w:p w14:paraId="54357165" w14:textId="380BB820"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Ciudad Real capital</w:t>
            </w:r>
          </w:p>
        </w:tc>
        <w:tc>
          <w:tcPr>
            <w:tcW w:w="1701" w:type="dxa"/>
          </w:tcPr>
          <w:p w14:paraId="042A6588" w14:textId="2605E9B5" w:rsidR="00F815F1" w:rsidRPr="00F815F1" w:rsidRDefault="00F815F1" w:rsidP="00F815F1">
            <w:pPr>
              <w:jc w:val="center"/>
              <w:rPr>
                <w:rFonts w:ascii="Open Sans" w:hAnsi="Open Sans" w:cs="Open Sans"/>
                <w:color w:val="000000"/>
                <w:sz w:val="22"/>
                <w:szCs w:val="22"/>
              </w:rPr>
            </w:pPr>
            <w:r w:rsidRPr="00FB568D">
              <w:rPr>
                <w:rFonts w:ascii="Open Sans" w:hAnsi="Open Sans" w:cs="Open Sans"/>
                <w:color w:val="000000"/>
                <w:sz w:val="22"/>
                <w:szCs w:val="22"/>
              </w:rPr>
              <w:t> -</w:t>
            </w:r>
          </w:p>
        </w:tc>
        <w:tc>
          <w:tcPr>
            <w:tcW w:w="1701" w:type="dxa"/>
            <w:vAlign w:val="bottom"/>
          </w:tcPr>
          <w:p w14:paraId="773CE4CA" w14:textId="6B64406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-37%</w:t>
            </w:r>
          </w:p>
        </w:tc>
        <w:tc>
          <w:tcPr>
            <w:tcW w:w="1701" w:type="dxa"/>
            <w:shd w:val="clear" w:color="auto" w:fill="auto"/>
            <w:vAlign w:val="bottom"/>
            <w:hideMark/>
          </w:tcPr>
          <w:p w14:paraId="214C0ACE" w14:textId="2ECFB491"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9C0006"/>
                <w:sz w:val="22"/>
                <w:szCs w:val="22"/>
              </w:rPr>
              <w:t>-1,8%</w:t>
            </w:r>
          </w:p>
        </w:tc>
        <w:tc>
          <w:tcPr>
            <w:tcW w:w="1814" w:type="dxa"/>
            <w:vAlign w:val="bottom"/>
          </w:tcPr>
          <w:p w14:paraId="7D4755E0" w14:textId="7E10DA37"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9C0006"/>
                <w:sz w:val="22"/>
                <w:szCs w:val="22"/>
              </w:rPr>
              <w:t>-0,1%</w:t>
            </w:r>
          </w:p>
        </w:tc>
      </w:tr>
      <w:tr w:rsidR="00A060EF" w:rsidRPr="00F815F1" w14:paraId="216A17FF" w14:textId="77777777" w:rsidTr="00A060EF">
        <w:trPr>
          <w:trHeight w:val="226"/>
        </w:trPr>
        <w:tc>
          <w:tcPr>
            <w:tcW w:w="2117" w:type="dxa"/>
            <w:shd w:val="clear" w:color="auto" w:fill="auto"/>
            <w:vAlign w:val="bottom"/>
          </w:tcPr>
          <w:p w14:paraId="0CF1DBBF" w14:textId="7FE2E675"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Almería capital</w:t>
            </w:r>
          </w:p>
        </w:tc>
        <w:tc>
          <w:tcPr>
            <w:tcW w:w="1701" w:type="dxa"/>
            <w:vAlign w:val="bottom"/>
          </w:tcPr>
          <w:p w14:paraId="4961BF2A" w14:textId="5F30FFCF"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-40%</w:t>
            </w:r>
          </w:p>
        </w:tc>
        <w:tc>
          <w:tcPr>
            <w:tcW w:w="1701" w:type="dxa"/>
            <w:vAlign w:val="bottom"/>
          </w:tcPr>
          <w:p w14:paraId="1392F462" w14:textId="29465AA0"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-35%</w:t>
            </w:r>
          </w:p>
        </w:tc>
        <w:tc>
          <w:tcPr>
            <w:tcW w:w="1701" w:type="dxa"/>
            <w:shd w:val="clear" w:color="auto" w:fill="auto"/>
            <w:vAlign w:val="bottom"/>
            <w:hideMark/>
          </w:tcPr>
          <w:p w14:paraId="3587ED1A" w14:textId="6896DFD2"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9C0006"/>
                <w:sz w:val="22"/>
                <w:szCs w:val="22"/>
              </w:rPr>
              <w:t>-2,0%</w:t>
            </w:r>
          </w:p>
        </w:tc>
        <w:tc>
          <w:tcPr>
            <w:tcW w:w="1814" w:type="dxa"/>
            <w:vAlign w:val="bottom"/>
          </w:tcPr>
          <w:p w14:paraId="3A9FD98F" w14:textId="745DB765"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000000"/>
                <w:sz w:val="22"/>
                <w:szCs w:val="22"/>
              </w:rPr>
              <w:t>0,6%</w:t>
            </w:r>
          </w:p>
        </w:tc>
      </w:tr>
      <w:tr w:rsidR="00A060EF" w:rsidRPr="00F815F1" w14:paraId="69BEA3E4" w14:textId="77777777" w:rsidTr="00A060EF">
        <w:trPr>
          <w:trHeight w:val="226"/>
        </w:trPr>
        <w:tc>
          <w:tcPr>
            <w:tcW w:w="2117" w:type="dxa"/>
            <w:shd w:val="clear" w:color="auto" w:fill="auto"/>
            <w:vAlign w:val="bottom"/>
          </w:tcPr>
          <w:p w14:paraId="4481D079" w14:textId="053B85E1"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Jaén capital</w:t>
            </w:r>
          </w:p>
        </w:tc>
        <w:tc>
          <w:tcPr>
            <w:tcW w:w="1701" w:type="dxa"/>
          </w:tcPr>
          <w:p w14:paraId="129B095E" w14:textId="258977AD" w:rsidR="00F815F1" w:rsidRPr="00F815F1" w:rsidRDefault="00F815F1" w:rsidP="00F815F1">
            <w:pPr>
              <w:jc w:val="center"/>
              <w:rPr>
                <w:rFonts w:ascii="Open Sans" w:hAnsi="Open Sans" w:cs="Open Sans"/>
                <w:color w:val="000000"/>
                <w:sz w:val="22"/>
                <w:szCs w:val="22"/>
              </w:rPr>
            </w:pPr>
            <w:r w:rsidRPr="00F06F9B">
              <w:rPr>
                <w:rFonts w:ascii="Open Sans" w:hAnsi="Open Sans" w:cs="Open Sans"/>
                <w:color w:val="000000"/>
                <w:sz w:val="22"/>
                <w:szCs w:val="22"/>
              </w:rPr>
              <w:t> -</w:t>
            </w:r>
          </w:p>
        </w:tc>
        <w:tc>
          <w:tcPr>
            <w:tcW w:w="1701" w:type="dxa"/>
            <w:vAlign w:val="bottom"/>
          </w:tcPr>
          <w:p w14:paraId="6DA1D747" w14:textId="5B849A91"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-35%</w:t>
            </w:r>
          </w:p>
        </w:tc>
        <w:tc>
          <w:tcPr>
            <w:tcW w:w="1701" w:type="dxa"/>
            <w:shd w:val="clear" w:color="auto" w:fill="auto"/>
            <w:vAlign w:val="bottom"/>
            <w:hideMark/>
          </w:tcPr>
          <w:p w14:paraId="43278EA5" w14:textId="41D5CC56"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9C0006"/>
                <w:sz w:val="22"/>
                <w:szCs w:val="22"/>
              </w:rPr>
              <w:t>-3,4%</w:t>
            </w:r>
          </w:p>
        </w:tc>
        <w:tc>
          <w:tcPr>
            <w:tcW w:w="1814" w:type="dxa"/>
            <w:vAlign w:val="bottom"/>
          </w:tcPr>
          <w:p w14:paraId="5F981DDD" w14:textId="03CB16F7"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9C0006"/>
                <w:sz w:val="22"/>
                <w:szCs w:val="22"/>
              </w:rPr>
              <w:t>-0,5%</w:t>
            </w:r>
          </w:p>
        </w:tc>
      </w:tr>
      <w:tr w:rsidR="00A060EF" w:rsidRPr="00F815F1" w14:paraId="46A64438" w14:textId="77777777" w:rsidTr="00A060EF">
        <w:trPr>
          <w:trHeight w:val="226"/>
        </w:trPr>
        <w:tc>
          <w:tcPr>
            <w:tcW w:w="2117" w:type="dxa"/>
            <w:shd w:val="clear" w:color="auto" w:fill="auto"/>
            <w:vAlign w:val="bottom"/>
          </w:tcPr>
          <w:p w14:paraId="583C7C44" w14:textId="28726820"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Ávila capital</w:t>
            </w:r>
          </w:p>
        </w:tc>
        <w:tc>
          <w:tcPr>
            <w:tcW w:w="1701" w:type="dxa"/>
          </w:tcPr>
          <w:p w14:paraId="3742B438" w14:textId="77DDB4F1" w:rsidR="00F815F1" w:rsidRPr="00F815F1" w:rsidRDefault="00F815F1" w:rsidP="00F815F1">
            <w:pPr>
              <w:jc w:val="center"/>
              <w:rPr>
                <w:rFonts w:ascii="Open Sans" w:hAnsi="Open Sans" w:cs="Open Sans"/>
                <w:color w:val="000000"/>
                <w:sz w:val="22"/>
                <w:szCs w:val="22"/>
              </w:rPr>
            </w:pPr>
            <w:r w:rsidRPr="00F06F9B">
              <w:rPr>
                <w:rFonts w:ascii="Open Sans" w:hAnsi="Open Sans" w:cs="Open Sans"/>
                <w:color w:val="000000"/>
                <w:sz w:val="22"/>
                <w:szCs w:val="22"/>
              </w:rPr>
              <w:t> -</w:t>
            </w:r>
          </w:p>
        </w:tc>
        <w:tc>
          <w:tcPr>
            <w:tcW w:w="1701" w:type="dxa"/>
            <w:vAlign w:val="bottom"/>
          </w:tcPr>
          <w:p w14:paraId="6E7A465D" w14:textId="0495EB98"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-37%</w:t>
            </w:r>
          </w:p>
        </w:tc>
        <w:tc>
          <w:tcPr>
            <w:tcW w:w="1701" w:type="dxa"/>
            <w:shd w:val="clear" w:color="auto" w:fill="auto"/>
            <w:vAlign w:val="bottom"/>
          </w:tcPr>
          <w:p w14:paraId="23781F50" w14:textId="59276A27"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9C0006"/>
                <w:sz w:val="22"/>
                <w:szCs w:val="22"/>
              </w:rPr>
              <w:t>-4,9%</w:t>
            </w:r>
          </w:p>
        </w:tc>
        <w:tc>
          <w:tcPr>
            <w:tcW w:w="1814" w:type="dxa"/>
            <w:vAlign w:val="bottom"/>
          </w:tcPr>
          <w:p w14:paraId="5255F509" w14:textId="688BCA79"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000000"/>
                <w:sz w:val="22"/>
                <w:szCs w:val="22"/>
              </w:rPr>
              <w:t>1,0%</w:t>
            </w:r>
          </w:p>
        </w:tc>
      </w:tr>
      <w:tr w:rsidR="00A060EF" w:rsidRPr="00F815F1" w14:paraId="2868F3D0" w14:textId="77777777" w:rsidTr="00A060EF">
        <w:trPr>
          <w:trHeight w:val="226"/>
        </w:trPr>
        <w:tc>
          <w:tcPr>
            <w:tcW w:w="2117" w:type="dxa"/>
            <w:shd w:val="clear" w:color="auto" w:fill="auto"/>
            <w:vAlign w:val="bottom"/>
          </w:tcPr>
          <w:p w14:paraId="0CD3115B" w14:textId="5E4B2F4A" w:rsidR="00F815F1" w:rsidRPr="00F815F1" w:rsidRDefault="00F815F1" w:rsidP="00F815F1">
            <w:pPr>
              <w:rPr>
                <w:rFonts w:ascii="Open Sans" w:eastAsia="Times New Roman" w:hAnsi="Open Sans" w:cs="Open Sans"/>
                <w:color w:val="000000"/>
                <w:sz w:val="22"/>
                <w:szCs w:val="22"/>
                <w:lang w:val="es-ES" w:eastAsia="es-ES"/>
              </w:rPr>
            </w:pPr>
            <w:r w:rsidRPr="00F815F1">
              <w:rPr>
                <w:rFonts w:ascii="Open Sans" w:hAnsi="Open Sans" w:cs="Open Sans"/>
                <w:sz w:val="22"/>
                <w:szCs w:val="22"/>
              </w:rPr>
              <w:t>Zamora capital</w:t>
            </w:r>
          </w:p>
        </w:tc>
        <w:tc>
          <w:tcPr>
            <w:tcW w:w="1701" w:type="dxa"/>
          </w:tcPr>
          <w:p w14:paraId="05966A05" w14:textId="5EB86A1A" w:rsidR="00F815F1" w:rsidRPr="00F815F1" w:rsidRDefault="00F815F1" w:rsidP="00F815F1">
            <w:pPr>
              <w:jc w:val="center"/>
              <w:rPr>
                <w:rFonts w:ascii="Open Sans" w:hAnsi="Open Sans" w:cs="Open Sans"/>
                <w:color w:val="000000"/>
                <w:sz w:val="22"/>
                <w:szCs w:val="22"/>
              </w:rPr>
            </w:pPr>
            <w:r w:rsidRPr="00F06F9B">
              <w:rPr>
                <w:rFonts w:ascii="Open Sans" w:hAnsi="Open Sans" w:cs="Open Sans"/>
                <w:color w:val="000000"/>
                <w:sz w:val="22"/>
                <w:szCs w:val="22"/>
              </w:rPr>
              <w:t> -</w:t>
            </w:r>
          </w:p>
        </w:tc>
        <w:tc>
          <w:tcPr>
            <w:tcW w:w="1701" w:type="dxa"/>
            <w:vAlign w:val="bottom"/>
          </w:tcPr>
          <w:p w14:paraId="2E55E4FD" w14:textId="15F51D5A"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-29%</w:t>
            </w:r>
          </w:p>
        </w:tc>
        <w:tc>
          <w:tcPr>
            <w:tcW w:w="1701" w:type="dxa"/>
            <w:shd w:val="clear" w:color="auto" w:fill="auto"/>
            <w:vAlign w:val="bottom"/>
          </w:tcPr>
          <w:p w14:paraId="184D7BBF" w14:textId="2C96B868" w:rsidR="00F815F1" w:rsidRPr="00F815F1" w:rsidRDefault="00F815F1" w:rsidP="00F815F1">
            <w:pPr>
              <w:jc w:val="center"/>
              <w:rPr>
                <w:rFonts w:ascii="Open Sans" w:eastAsia="Times New Roman" w:hAnsi="Open Sans" w:cs="Open Sans"/>
                <w:color w:val="000000"/>
                <w:sz w:val="22"/>
                <w:szCs w:val="22"/>
                <w:lang w:val="es-ES" w:eastAsia="es-ES"/>
              </w:rPr>
            </w:pPr>
            <w:r w:rsidRPr="00F815F1">
              <w:rPr>
                <w:rFonts w:ascii="Open Sans" w:hAnsi="Open Sans" w:cs="Open Sans"/>
                <w:color w:val="9C0006"/>
                <w:sz w:val="22"/>
                <w:szCs w:val="22"/>
              </w:rPr>
              <w:t>-6,1%</w:t>
            </w:r>
          </w:p>
        </w:tc>
        <w:tc>
          <w:tcPr>
            <w:tcW w:w="1814" w:type="dxa"/>
            <w:vAlign w:val="bottom"/>
          </w:tcPr>
          <w:p w14:paraId="6F90FDE4" w14:textId="3A640FFD" w:rsidR="00F815F1" w:rsidRPr="00F815F1" w:rsidRDefault="00F815F1" w:rsidP="00F815F1">
            <w:pPr>
              <w:jc w:val="center"/>
              <w:rPr>
                <w:rFonts w:ascii="Open Sans" w:eastAsia="Times New Roman" w:hAnsi="Open Sans" w:cs="Open Sans"/>
                <w:b/>
                <w:bCs/>
                <w:color w:val="2E74B5" w:themeColor="accent5" w:themeShade="BF"/>
                <w:sz w:val="22"/>
                <w:szCs w:val="22"/>
                <w:lang w:val="es-ES" w:eastAsia="es-ES"/>
              </w:rPr>
            </w:pPr>
            <w:r w:rsidRPr="00F815F1">
              <w:rPr>
                <w:rFonts w:ascii="Open Sans" w:hAnsi="Open Sans" w:cs="Open Sans"/>
                <w:color w:val="000000"/>
                <w:sz w:val="22"/>
                <w:szCs w:val="22"/>
              </w:rPr>
              <w:t>0,2%</w:t>
            </w:r>
          </w:p>
        </w:tc>
      </w:tr>
      <w:tr w:rsidR="00A060EF" w:rsidRPr="00F815F1" w14:paraId="223F390D" w14:textId="77777777" w:rsidTr="00A060EF">
        <w:trPr>
          <w:trHeight w:val="226"/>
        </w:trPr>
        <w:tc>
          <w:tcPr>
            <w:tcW w:w="2117" w:type="dxa"/>
            <w:shd w:val="clear" w:color="auto" w:fill="auto"/>
            <w:vAlign w:val="bottom"/>
          </w:tcPr>
          <w:p w14:paraId="0FF176FB" w14:textId="20A50ECC" w:rsidR="00F815F1" w:rsidRPr="00F815F1" w:rsidRDefault="00F815F1" w:rsidP="00F815F1">
            <w:pPr>
              <w:rPr>
                <w:rFonts w:ascii="Open Sans" w:hAnsi="Open Sans" w:cs="Open Sans"/>
                <w:sz w:val="22"/>
                <w:szCs w:val="22"/>
              </w:rPr>
            </w:pPr>
            <w:r w:rsidRPr="00F815F1">
              <w:rPr>
                <w:rFonts w:ascii="Open Sans" w:hAnsi="Open Sans" w:cs="Open Sans"/>
                <w:sz w:val="22"/>
                <w:szCs w:val="22"/>
              </w:rPr>
              <w:t>Soria capital</w:t>
            </w:r>
          </w:p>
        </w:tc>
        <w:tc>
          <w:tcPr>
            <w:tcW w:w="1701" w:type="dxa"/>
          </w:tcPr>
          <w:p w14:paraId="3D6E3029" w14:textId="0854F688" w:rsidR="00F815F1" w:rsidRPr="00F815F1" w:rsidRDefault="00F815F1" w:rsidP="00F815F1">
            <w:pPr>
              <w:jc w:val="center"/>
              <w:rPr>
                <w:rFonts w:ascii="Open Sans" w:hAnsi="Open Sans" w:cs="Open Sans"/>
                <w:color w:val="000000"/>
                <w:sz w:val="22"/>
                <w:szCs w:val="22"/>
              </w:rPr>
            </w:pPr>
            <w:r w:rsidRPr="00F06F9B">
              <w:rPr>
                <w:rFonts w:ascii="Open Sans" w:hAnsi="Open Sans" w:cs="Open Sans"/>
                <w:color w:val="000000"/>
                <w:sz w:val="22"/>
                <w:szCs w:val="22"/>
              </w:rPr>
              <w:t> -</w:t>
            </w:r>
          </w:p>
        </w:tc>
        <w:tc>
          <w:tcPr>
            <w:tcW w:w="1701" w:type="dxa"/>
            <w:vAlign w:val="bottom"/>
          </w:tcPr>
          <w:p w14:paraId="473A587B" w14:textId="142F7A79" w:rsidR="00F815F1" w:rsidRPr="00F815F1" w:rsidRDefault="00F815F1" w:rsidP="00F815F1">
            <w:pPr>
              <w:jc w:val="center"/>
              <w:rPr>
                <w:rFonts w:ascii="Open Sans" w:hAnsi="Open Sans" w:cs="Open Sans"/>
                <w:color w:val="9C0006"/>
                <w:sz w:val="22"/>
                <w:szCs w:val="22"/>
              </w:rPr>
            </w:pPr>
            <w:r w:rsidRPr="00F815F1">
              <w:rPr>
                <w:rFonts w:ascii="Open Sans" w:hAnsi="Open Sans" w:cs="Open Sans"/>
                <w:color w:val="9C0006"/>
                <w:sz w:val="22"/>
                <w:szCs w:val="22"/>
              </w:rPr>
              <w:t>-36%</w:t>
            </w:r>
          </w:p>
        </w:tc>
        <w:tc>
          <w:tcPr>
            <w:tcW w:w="1701" w:type="dxa"/>
            <w:shd w:val="clear" w:color="auto" w:fill="auto"/>
            <w:vAlign w:val="bottom"/>
          </w:tcPr>
          <w:p w14:paraId="24613A61" w14:textId="7C7A421B" w:rsidR="00F815F1" w:rsidRPr="00F815F1" w:rsidRDefault="00F815F1" w:rsidP="00F815F1">
            <w:pPr>
              <w:jc w:val="center"/>
              <w:rPr>
                <w:rFonts w:ascii="Open Sans" w:hAnsi="Open Sans" w:cs="Open Sans"/>
                <w:color w:val="9C0006"/>
                <w:sz w:val="22"/>
                <w:szCs w:val="22"/>
              </w:rPr>
            </w:pPr>
            <w:r w:rsidRPr="00F815F1">
              <w:rPr>
                <w:rFonts w:ascii="Open Sans" w:hAnsi="Open Sans" w:cs="Open Sans"/>
                <w:color w:val="9C0006"/>
                <w:sz w:val="22"/>
                <w:szCs w:val="22"/>
              </w:rPr>
              <w:t>-7,5%</w:t>
            </w:r>
          </w:p>
        </w:tc>
        <w:tc>
          <w:tcPr>
            <w:tcW w:w="1814" w:type="dxa"/>
            <w:vAlign w:val="bottom"/>
          </w:tcPr>
          <w:p w14:paraId="410970F5" w14:textId="7946F0F4"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-0,2%</w:t>
            </w:r>
          </w:p>
        </w:tc>
      </w:tr>
      <w:tr w:rsidR="00A060EF" w:rsidRPr="00F815F1" w14:paraId="3BC61D7B" w14:textId="77777777" w:rsidTr="00A060EF">
        <w:trPr>
          <w:trHeight w:val="226"/>
        </w:trPr>
        <w:tc>
          <w:tcPr>
            <w:tcW w:w="2117" w:type="dxa"/>
            <w:shd w:val="clear" w:color="auto" w:fill="auto"/>
            <w:vAlign w:val="bottom"/>
          </w:tcPr>
          <w:p w14:paraId="6E7C7D97" w14:textId="583A964E" w:rsidR="00F815F1" w:rsidRPr="00F815F1" w:rsidRDefault="00F815F1" w:rsidP="00F815F1">
            <w:pPr>
              <w:rPr>
                <w:rFonts w:ascii="Open Sans" w:hAnsi="Open Sans" w:cs="Open Sans"/>
                <w:sz w:val="22"/>
                <w:szCs w:val="22"/>
              </w:rPr>
            </w:pPr>
            <w:r w:rsidRPr="00F815F1">
              <w:rPr>
                <w:rFonts w:ascii="Open Sans" w:hAnsi="Open Sans" w:cs="Open Sans"/>
                <w:sz w:val="22"/>
                <w:szCs w:val="22"/>
              </w:rPr>
              <w:t>Teruel capital</w:t>
            </w:r>
          </w:p>
        </w:tc>
        <w:tc>
          <w:tcPr>
            <w:tcW w:w="1701" w:type="dxa"/>
          </w:tcPr>
          <w:p w14:paraId="38EAE9D7" w14:textId="2C4A879D" w:rsidR="00F815F1" w:rsidRPr="00F815F1" w:rsidRDefault="00F815F1" w:rsidP="00F815F1">
            <w:pPr>
              <w:jc w:val="center"/>
              <w:rPr>
                <w:rFonts w:ascii="Open Sans" w:hAnsi="Open Sans" w:cs="Open Sans"/>
                <w:color w:val="000000"/>
                <w:sz w:val="22"/>
                <w:szCs w:val="22"/>
              </w:rPr>
            </w:pPr>
            <w:r w:rsidRPr="00F06F9B">
              <w:rPr>
                <w:rFonts w:ascii="Open Sans" w:hAnsi="Open Sans" w:cs="Open Sans"/>
                <w:color w:val="000000"/>
                <w:sz w:val="22"/>
                <w:szCs w:val="22"/>
              </w:rPr>
              <w:t> -</w:t>
            </w:r>
          </w:p>
        </w:tc>
        <w:tc>
          <w:tcPr>
            <w:tcW w:w="1701" w:type="dxa"/>
            <w:vAlign w:val="bottom"/>
          </w:tcPr>
          <w:p w14:paraId="2719AACF" w14:textId="42415805" w:rsidR="00F815F1" w:rsidRPr="00F815F1" w:rsidRDefault="00F815F1" w:rsidP="00F815F1">
            <w:pPr>
              <w:jc w:val="center"/>
              <w:rPr>
                <w:rFonts w:ascii="Open Sans" w:hAnsi="Open Sans" w:cs="Open Sans"/>
                <w:color w:val="9C0006"/>
                <w:sz w:val="22"/>
                <w:szCs w:val="22"/>
              </w:rPr>
            </w:pPr>
            <w:r w:rsidRPr="00F815F1">
              <w:rPr>
                <w:rFonts w:ascii="Open Sans" w:hAnsi="Open Sans" w:cs="Open Sans"/>
                <w:color w:val="000000"/>
                <w:sz w:val="22"/>
                <w:szCs w:val="22"/>
              </w:rPr>
              <w:t> </w:t>
            </w:r>
            <w:r>
              <w:rPr>
                <w:rFonts w:ascii="Open Sans" w:hAnsi="Open Sans" w:cs="Open Sans"/>
                <w:color w:val="000000"/>
                <w:sz w:val="22"/>
                <w:szCs w:val="22"/>
              </w:rPr>
              <w:t>-</w:t>
            </w:r>
            <w:r w:rsidRPr="00F815F1">
              <w:rPr>
                <w:rFonts w:ascii="Open Sans" w:hAnsi="Open Sans" w:cs="Open Sans"/>
                <w:color w:val="000000"/>
                <w:sz w:val="22"/>
                <w:szCs w:val="22"/>
              </w:rPr>
              <w:t> </w:t>
            </w:r>
          </w:p>
        </w:tc>
        <w:tc>
          <w:tcPr>
            <w:tcW w:w="1701" w:type="dxa"/>
            <w:shd w:val="clear" w:color="auto" w:fill="auto"/>
            <w:vAlign w:val="bottom"/>
          </w:tcPr>
          <w:p w14:paraId="1EBA888A" w14:textId="6EEE0FE7" w:rsidR="00F815F1" w:rsidRPr="00F815F1" w:rsidRDefault="00F815F1" w:rsidP="00F815F1">
            <w:pPr>
              <w:jc w:val="center"/>
              <w:rPr>
                <w:rFonts w:ascii="Open Sans" w:hAnsi="Open Sans" w:cs="Open Sans"/>
                <w:color w:val="9C0006"/>
                <w:sz w:val="22"/>
                <w:szCs w:val="22"/>
              </w:rPr>
            </w:pPr>
            <w:r w:rsidRPr="00F815F1">
              <w:rPr>
                <w:rFonts w:ascii="Open Sans" w:hAnsi="Open Sans" w:cs="Open Sans"/>
                <w:color w:val="9C0006"/>
                <w:sz w:val="22"/>
                <w:szCs w:val="22"/>
              </w:rPr>
              <w:t>-12%</w:t>
            </w:r>
          </w:p>
        </w:tc>
        <w:tc>
          <w:tcPr>
            <w:tcW w:w="1814" w:type="dxa"/>
            <w:vAlign w:val="bottom"/>
          </w:tcPr>
          <w:p w14:paraId="7514D897" w14:textId="3DE507C1" w:rsidR="00F815F1" w:rsidRPr="00F815F1" w:rsidRDefault="00F815F1" w:rsidP="00F815F1">
            <w:pPr>
              <w:jc w:val="center"/>
              <w:rPr>
                <w:rFonts w:ascii="Open Sans" w:hAnsi="Open Sans" w:cs="Open Sans"/>
                <w:color w:val="000000"/>
                <w:sz w:val="22"/>
                <w:szCs w:val="22"/>
              </w:rPr>
            </w:pPr>
            <w:r w:rsidRPr="00F815F1">
              <w:rPr>
                <w:rFonts w:ascii="Open Sans" w:hAnsi="Open Sans" w:cs="Open Sans"/>
                <w:color w:val="9C0006"/>
                <w:sz w:val="22"/>
                <w:szCs w:val="22"/>
              </w:rPr>
              <w:t>-4,6%</w:t>
            </w:r>
          </w:p>
        </w:tc>
      </w:tr>
    </w:tbl>
    <w:p w14:paraId="14062012" w14:textId="77777777" w:rsidR="00EB4922" w:rsidRDefault="00EB4922" w:rsidP="00EB4922">
      <w:pPr>
        <w:pStyle w:val="Prrafodelista"/>
        <w:spacing w:line="276" w:lineRule="auto"/>
        <w:ind w:left="0" w:right="-574"/>
        <w:jc w:val="center"/>
        <w:rPr>
          <w:rFonts w:ascii="National" w:hAnsi="National"/>
          <w:b/>
          <w:bCs/>
          <w:iCs/>
          <w:color w:val="303AB2"/>
          <w:sz w:val="28"/>
          <w:szCs w:val="160"/>
          <w:lang w:val="es-ES"/>
        </w:rPr>
      </w:pPr>
    </w:p>
    <w:p w14:paraId="099EDC25" w14:textId="77777777" w:rsidR="00EB4922" w:rsidRDefault="00EB4922" w:rsidP="00D210B8">
      <w:pPr>
        <w:pStyle w:val="Prrafodelista"/>
        <w:spacing w:line="276" w:lineRule="auto"/>
        <w:ind w:left="0" w:right="-574"/>
        <w:jc w:val="center"/>
        <w:rPr>
          <w:rFonts w:ascii="National" w:hAnsi="National"/>
          <w:b/>
          <w:bCs/>
          <w:iCs/>
          <w:color w:val="303AB2"/>
          <w:sz w:val="30"/>
          <w:szCs w:val="180"/>
          <w:lang w:val="es-ES"/>
        </w:rPr>
      </w:pPr>
    </w:p>
    <w:p w14:paraId="26450219" w14:textId="77777777" w:rsidR="00D95F3B" w:rsidRPr="00D95F3B" w:rsidRDefault="00D95F3B" w:rsidP="00D95F3B">
      <w:pPr>
        <w:ind w:right="-574"/>
        <w:jc w:val="center"/>
        <w:rPr>
          <w:rFonts w:ascii="Times New Roman" w:eastAsia="Times New Roman" w:hAnsi="Times New Roman" w:cs="Times New Roman"/>
          <w:lang w:val="es-ES" w:eastAsia="es-ES"/>
        </w:rPr>
      </w:pPr>
      <w:r w:rsidRPr="00D95F3B">
        <w:rPr>
          <w:rFonts w:ascii="National" w:eastAsia="Times New Roman" w:hAnsi="National" w:cs="Times New Roman"/>
          <w:b/>
          <w:bCs/>
          <w:color w:val="303AB2"/>
          <w:sz w:val="28"/>
          <w:szCs w:val="28"/>
          <w:lang w:val="es-ES" w:eastAsia="es-ES"/>
        </w:rPr>
        <w:t>Precio medio de una vivienda de 80 m</w:t>
      </w:r>
      <w:r w:rsidRPr="00D95F3B">
        <w:rPr>
          <w:rFonts w:ascii="National" w:eastAsia="Times New Roman" w:hAnsi="National" w:cs="Times New Roman"/>
          <w:b/>
          <w:bCs/>
          <w:color w:val="303AB2"/>
          <w:sz w:val="17"/>
          <w:szCs w:val="17"/>
          <w:vertAlign w:val="superscript"/>
          <w:lang w:val="es-ES" w:eastAsia="es-ES"/>
        </w:rPr>
        <w:t>2</w:t>
      </w:r>
      <w:r w:rsidRPr="00D95F3B">
        <w:rPr>
          <w:rFonts w:ascii="National" w:eastAsia="Times New Roman" w:hAnsi="National" w:cs="Times New Roman"/>
          <w:b/>
          <w:bCs/>
          <w:color w:val="303AB2"/>
          <w:sz w:val="28"/>
          <w:szCs w:val="28"/>
          <w:lang w:val="es-ES" w:eastAsia="es-ES"/>
        </w:rPr>
        <w:t xml:space="preserve"> por ciudades</w:t>
      </w:r>
    </w:p>
    <w:p w14:paraId="406E38EC" w14:textId="77777777" w:rsidR="00D95F3B" w:rsidRPr="00D95F3B" w:rsidRDefault="00D95F3B" w:rsidP="00D95F3B">
      <w:pPr>
        <w:rPr>
          <w:rFonts w:ascii="Times New Roman" w:eastAsia="Times New Roman" w:hAnsi="Times New Roman" w:cs="Times New Roman"/>
          <w:lang w:val="es-ES" w:eastAsia="es-ES"/>
        </w:rPr>
      </w:pPr>
    </w:p>
    <w:tbl>
      <w:tblPr>
        <w:tblW w:w="0" w:type="auto"/>
        <w:tblCellMar>
          <w:top w:w="15" w:type="dxa"/>
          <w:left w:w="15" w:type="dxa"/>
          <w:bottom w:w="15" w:type="dxa"/>
          <w:right w:w="15" w:type="dxa"/>
        </w:tblCellMar>
        <w:tblLook w:val="04A0" w:firstRow="1" w:lastRow="0" w:firstColumn="1" w:lastColumn="0" w:noHBand="0" w:noVBand="1"/>
      </w:tblPr>
      <w:tblGrid>
        <w:gridCol w:w="1762"/>
        <w:gridCol w:w="1679"/>
        <w:gridCol w:w="1679"/>
        <w:gridCol w:w="1679"/>
        <w:gridCol w:w="1679"/>
      </w:tblGrid>
      <w:tr w:rsidR="00D95F3B" w:rsidRPr="00D95F3B" w14:paraId="69746BB2" w14:textId="77777777" w:rsidTr="00D95F3B">
        <w:trPr>
          <w:trHeight w:val="772"/>
        </w:trPr>
        <w:tc>
          <w:tcPr>
            <w:tcW w:w="0" w:type="auto"/>
            <w:tcBorders>
              <w:top w:val="single" w:sz="8" w:space="0" w:color="A5A5A5"/>
              <w:left w:val="single" w:sz="8" w:space="0" w:color="A5A5A5"/>
              <w:bottom w:val="single" w:sz="8" w:space="0" w:color="A5A5A5"/>
              <w:right w:val="single" w:sz="8" w:space="0" w:color="A5A5A5"/>
            </w:tcBorders>
            <w:shd w:val="clear" w:color="auto" w:fill="ACB9CA"/>
            <w:tcMar>
              <w:top w:w="0" w:type="dxa"/>
              <w:left w:w="70" w:type="dxa"/>
              <w:bottom w:w="0" w:type="dxa"/>
              <w:right w:w="70" w:type="dxa"/>
            </w:tcMar>
            <w:vAlign w:val="center"/>
            <w:hideMark/>
          </w:tcPr>
          <w:p w14:paraId="5F8A8648"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b/>
                <w:bCs/>
                <w:color w:val="0D0D0D"/>
                <w:sz w:val="20"/>
                <w:szCs w:val="20"/>
                <w:lang w:val="es-ES" w:eastAsia="es-ES"/>
              </w:rPr>
              <w:t>Ciudad</w:t>
            </w:r>
          </w:p>
        </w:tc>
        <w:tc>
          <w:tcPr>
            <w:tcW w:w="0" w:type="auto"/>
            <w:tcBorders>
              <w:top w:val="single" w:sz="8" w:space="0" w:color="A5A5A5"/>
              <w:left w:val="single" w:sz="8" w:space="0" w:color="A5A5A5"/>
              <w:bottom w:val="single" w:sz="8" w:space="0" w:color="A5A5A5"/>
              <w:right w:val="single" w:sz="8" w:space="0" w:color="A5A5A5"/>
            </w:tcBorders>
            <w:shd w:val="clear" w:color="auto" w:fill="ACB9CA"/>
            <w:tcMar>
              <w:top w:w="0" w:type="dxa"/>
              <w:left w:w="70" w:type="dxa"/>
              <w:bottom w:w="0" w:type="dxa"/>
              <w:right w:w="70" w:type="dxa"/>
            </w:tcMar>
            <w:vAlign w:val="center"/>
            <w:hideMark/>
          </w:tcPr>
          <w:p w14:paraId="604E5C1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b/>
                <w:bCs/>
                <w:color w:val="0D0D0D"/>
                <w:sz w:val="18"/>
                <w:szCs w:val="18"/>
                <w:lang w:val="es-ES" w:eastAsia="es-ES"/>
              </w:rPr>
              <w:t>Precio de una vivienda de 80 m</w:t>
            </w:r>
            <w:r w:rsidRPr="00D95F3B">
              <w:rPr>
                <w:rFonts w:ascii="Open Sans" w:eastAsia="Times New Roman" w:hAnsi="Open Sans" w:cs="Times New Roman"/>
                <w:b/>
                <w:bCs/>
                <w:color w:val="0D0D0D"/>
                <w:sz w:val="11"/>
                <w:szCs w:val="11"/>
                <w:vertAlign w:val="superscript"/>
                <w:lang w:val="es-ES" w:eastAsia="es-ES"/>
              </w:rPr>
              <w:t>2</w:t>
            </w:r>
            <w:r w:rsidRPr="00D95F3B">
              <w:rPr>
                <w:rFonts w:ascii="Open Sans" w:eastAsia="Times New Roman" w:hAnsi="Open Sans" w:cs="Times New Roman"/>
                <w:b/>
                <w:bCs/>
                <w:color w:val="0D0D0D"/>
                <w:sz w:val="18"/>
                <w:szCs w:val="18"/>
                <w:lang w:val="es-ES" w:eastAsia="es-ES"/>
              </w:rPr>
              <w:t xml:space="preserve"> en 2005</w:t>
            </w:r>
          </w:p>
        </w:tc>
        <w:tc>
          <w:tcPr>
            <w:tcW w:w="0" w:type="auto"/>
            <w:tcBorders>
              <w:top w:val="single" w:sz="8" w:space="0" w:color="A5A5A5"/>
              <w:left w:val="single" w:sz="8" w:space="0" w:color="A5A5A5"/>
              <w:bottom w:val="single" w:sz="8" w:space="0" w:color="A5A5A5"/>
              <w:right w:val="single" w:sz="8" w:space="0" w:color="A5A5A5"/>
            </w:tcBorders>
            <w:shd w:val="clear" w:color="auto" w:fill="ACB9CA"/>
            <w:tcMar>
              <w:top w:w="0" w:type="dxa"/>
              <w:left w:w="70" w:type="dxa"/>
              <w:bottom w:w="0" w:type="dxa"/>
              <w:right w:w="70" w:type="dxa"/>
            </w:tcMar>
            <w:vAlign w:val="center"/>
            <w:hideMark/>
          </w:tcPr>
          <w:p w14:paraId="393083D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b/>
                <w:bCs/>
                <w:color w:val="0D0D0D"/>
                <w:sz w:val="18"/>
                <w:szCs w:val="18"/>
                <w:lang w:val="es-ES" w:eastAsia="es-ES"/>
              </w:rPr>
              <w:t>Precio de una vivienda de 80 m</w:t>
            </w:r>
            <w:r w:rsidRPr="00D95F3B">
              <w:rPr>
                <w:rFonts w:ascii="Open Sans" w:eastAsia="Times New Roman" w:hAnsi="Open Sans" w:cs="Times New Roman"/>
                <w:b/>
                <w:bCs/>
                <w:color w:val="0D0D0D"/>
                <w:sz w:val="11"/>
                <w:szCs w:val="11"/>
                <w:vertAlign w:val="superscript"/>
                <w:lang w:val="es-ES" w:eastAsia="es-ES"/>
              </w:rPr>
              <w:t>2</w:t>
            </w:r>
            <w:r w:rsidRPr="00D95F3B">
              <w:rPr>
                <w:rFonts w:ascii="Open Sans" w:eastAsia="Times New Roman" w:hAnsi="Open Sans" w:cs="Times New Roman"/>
                <w:b/>
                <w:bCs/>
                <w:color w:val="0D0D0D"/>
                <w:sz w:val="18"/>
                <w:szCs w:val="18"/>
                <w:lang w:val="es-ES" w:eastAsia="es-ES"/>
              </w:rPr>
              <w:t xml:space="preserve"> en 2010</w:t>
            </w:r>
          </w:p>
        </w:tc>
        <w:tc>
          <w:tcPr>
            <w:tcW w:w="0" w:type="auto"/>
            <w:tcBorders>
              <w:top w:val="single" w:sz="8" w:space="0" w:color="A5A5A5"/>
              <w:left w:val="single" w:sz="8" w:space="0" w:color="A5A5A5"/>
              <w:bottom w:val="single" w:sz="8" w:space="0" w:color="A5A5A5"/>
              <w:right w:val="single" w:sz="8" w:space="0" w:color="A5A5A5"/>
            </w:tcBorders>
            <w:shd w:val="clear" w:color="auto" w:fill="ACB9CA"/>
            <w:tcMar>
              <w:top w:w="0" w:type="dxa"/>
              <w:left w:w="70" w:type="dxa"/>
              <w:bottom w:w="0" w:type="dxa"/>
              <w:right w:w="70" w:type="dxa"/>
            </w:tcMar>
            <w:vAlign w:val="center"/>
            <w:hideMark/>
          </w:tcPr>
          <w:p w14:paraId="153F085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b/>
                <w:bCs/>
                <w:color w:val="0D0D0D"/>
                <w:sz w:val="18"/>
                <w:szCs w:val="18"/>
                <w:lang w:val="es-ES" w:eastAsia="es-ES"/>
              </w:rPr>
              <w:t>Precio de una vivienda de 80 m</w:t>
            </w:r>
            <w:r w:rsidRPr="00D95F3B">
              <w:rPr>
                <w:rFonts w:ascii="Open Sans" w:eastAsia="Times New Roman" w:hAnsi="Open Sans" w:cs="Times New Roman"/>
                <w:b/>
                <w:bCs/>
                <w:color w:val="0D0D0D"/>
                <w:sz w:val="11"/>
                <w:szCs w:val="11"/>
                <w:vertAlign w:val="superscript"/>
                <w:lang w:val="es-ES" w:eastAsia="es-ES"/>
              </w:rPr>
              <w:t>2</w:t>
            </w:r>
            <w:r w:rsidRPr="00D95F3B">
              <w:rPr>
                <w:rFonts w:ascii="Open Sans" w:eastAsia="Times New Roman" w:hAnsi="Open Sans" w:cs="Times New Roman"/>
                <w:b/>
                <w:bCs/>
                <w:color w:val="0D0D0D"/>
                <w:sz w:val="18"/>
                <w:szCs w:val="18"/>
                <w:lang w:val="es-ES" w:eastAsia="es-ES"/>
              </w:rPr>
              <w:t xml:space="preserve"> en 2015</w:t>
            </w:r>
          </w:p>
        </w:tc>
        <w:tc>
          <w:tcPr>
            <w:tcW w:w="0" w:type="auto"/>
            <w:tcBorders>
              <w:top w:val="single" w:sz="8" w:space="0" w:color="A5A5A5"/>
              <w:left w:val="single" w:sz="8" w:space="0" w:color="A5A5A5"/>
              <w:bottom w:val="single" w:sz="8" w:space="0" w:color="A5A5A5"/>
              <w:right w:val="single" w:sz="8" w:space="0" w:color="A5A5A5"/>
            </w:tcBorders>
            <w:shd w:val="clear" w:color="auto" w:fill="ACB9CA"/>
            <w:tcMar>
              <w:top w:w="0" w:type="dxa"/>
              <w:left w:w="70" w:type="dxa"/>
              <w:bottom w:w="0" w:type="dxa"/>
              <w:right w:w="70" w:type="dxa"/>
            </w:tcMar>
            <w:vAlign w:val="center"/>
            <w:hideMark/>
          </w:tcPr>
          <w:p w14:paraId="2E2F58F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b/>
                <w:bCs/>
                <w:color w:val="0D0D0D"/>
                <w:sz w:val="18"/>
                <w:szCs w:val="18"/>
                <w:lang w:val="es-ES" w:eastAsia="es-ES"/>
              </w:rPr>
              <w:t>Precio de una vivienda de 80 m</w:t>
            </w:r>
            <w:r w:rsidRPr="00D95F3B">
              <w:rPr>
                <w:rFonts w:ascii="Open Sans" w:eastAsia="Times New Roman" w:hAnsi="Open Sans" w:cs="Times New Roman"/>
                <w:b/>
                <w:bCs/>
                <w:color w:val="0D0D0D"/>
                <w:sz w:val="11"/>
                <w:szCs w:val="11"/>
                <w:vertAlign w:val="superscript"/>
                <w:lang w:val="es-ES" w:eastAsia="es-ES"/>
              </w:rPr>
              <w:t>2</w:t>
            </w:r>
            <w:r w:rsidRPr="00D95F3B">
              <w:rPr>
                <w:rFonts w:ascii="Open Sans" w:eastAsia="Times New Roman" w:hAnsi="Open Sans" w:cs="Times New Roman"/>
                <w:b/>
                <w:bCs/>
                <w:color w:val="0D0D0D"/>
                <w:sz w:val="18"/>
                <w:szCs w:val="18"/>
                <w:lang w:val="es-ES" w:eastAsia="es-ES"/>
              </w:rPr>
              <w:t xml:space="preserve"> en 2020</w:t>
            </w:r>
          </w:p>
        </w:tc>
      </w:tr>
      <w:tr w:rsidR="00D95F3B" w:rsidRPr="00D95F3B" w14:paraId="475A5325"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2546A73"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A Coruña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B848EF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178.023 €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76EC8F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218.069 €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01FAC9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171.737 €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A2C7A3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186.799 €</w:t>
            </w:r>
          </w:p>
        </w:tc>
      </w:tr>
      <w:tr w:rsidR="00D95F3B" w:rsidRPr="00D95F3B" w14:paraId="4958AEEF"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F349C3D"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Albacete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05ABC4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3F5F43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173.627 €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DA5D41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110.687 €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DC568F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115.698 €</w:t>
            </w:r>
          </w:p>
        </w:tc>
      </w:tr>
      <w:tr w:rsidR="00D95F3B" w:rsidRPr="00D95F3B" w14:paraId="51FDA6CF"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A3BF38B"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Alicante / Alacant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8FB0AD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166.398 €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1DBB0C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151.526 €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41A620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114.960 €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32F207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130.690 €</w:t>
            </w:r>
          </w:p>
        </w:tc>
      </w:tr>
      <w:tr w:rsidR="00D95F3B" w:rsidRPr="00D95F3B" w14:paraId="585C9FA2"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AF53FC6"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Almería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D9C49F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178.960 €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FCEB463"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163.397 €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7EB3F8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108.812 €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6F24C0E"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106.585 €</w:t>
            </w:r>
          </w:p>
        </w:tc>
      </w:tr>
      <w:tr w:rsidR="00D95F3B" w:rsidRPr="00D95F3B" w14:paraId="5531EFD5"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464EEED"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Ávila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5F2EFB9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8760B73"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150.375 €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3A1F47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99.263 €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72C9A8E"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94.445 €</w:t>
            </w:r>
          </w:p>
        </w:tc>
      </w:tr>
      <w:tr w:rsidR="00D95F3B" w:rsidRPr="00D95F3B" w14:paraId="483894EE"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7CAABB2"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Badajoz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3529CC6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F92F49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150.920 €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3BD292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102.288 €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AE0AC2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109.297 €</w:t>
            </w:r>
          </w:p>
        </w:tc>
      </w:tr>
      <w:tr w:rsidR="00D95F3B" w:rsidRPr="00D95F3B" w14:paraId="6F3AAAE2"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DB63C9D"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Barcelona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34017D3"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371.291 €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CDEA36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325.318 €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42EED7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276.769 €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759130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351.962 €</w:t>
            </w:r>
          </w:p>
        </w:tc>
      </w:tr>
      <w:tr w:rsidR="00D95F3B" w:rsidRPr="00D95F3B" w14:paraId="70D2775A"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8BA8FAC"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Bilbao</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8267EC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323.317 €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7DB0C43"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313.984 €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9722A0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237.245 €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BC21CA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269.235 €</w:t>
            </w:r>
          </w:p>
        </w:tc>
      </w:tr>
      <w:tr w:rsidR="00D95F3B" w:rsidRPr="00D95F3B" w14:paraId="0BA03D33"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539B07B"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Burgos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2134310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A49CB4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195.662 €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C087F0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127.690 €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CFDB1F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133.395 €</w:t>
            </w:r>
          </w:p>
        </w:tc>
      </w:tr>
      <w:tr w:rsidR="00D95F3B" w:rsidRPr="00D95F3B" w14:paraId="1636E730"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D588E6B"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Cáceres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695C5DE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78A9E1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143.290 €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BDF9CE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93.309 €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C939E9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101.531 €</w:t>
            </w:r>
          </w:p>
        </w:tc>
      </w:tr>
      <w:tr w:rsidR="00D95F3B" w:rsidRPr="00D95F3B" w14:paraId="4E671749"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34FCCFD"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Cádiz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777FAB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245.043 €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0DA6BDE"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229.648 €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668E34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163.345 €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0E3635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194.962 €</w:t>
            </w:r>
          </w:p>
        </w:tc>
      </w:tr>
      <w:tr w:rsidR="00D95F3B" w:rsidRPr="00D95F3B" w14:paraId="20667ACD"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3F53012"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lastRenderedPageBreak/>
              <w:t>Castellón de la Plana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042199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163.886 €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2DCF47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145.138 €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19BA36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94.036 €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AD8209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97.003 €</w:t>
            </w:r>
          </w:p>
        </w:tc>
      </w:tr>
      <w:tr w:rsidR="00D95F3B" w:rsidRPr="00D95F3B" w14:paraId="53157A04"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681C452"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Ciudad Real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B5539F6" w14:textId="77777777" w:rsidR="00D95F3B" w:rsidRPr="00D95F3B" w:rsidRDefault="00D95F3B" w:rsidP="00D95F3B">
            <w:pPr>
              <w:rPr>
                <w:rFonts w:ascii="Times New Roman" w:eastAsia="Times New Roman" w:hAnsi="Times New Roman" w:cs="Times New Roman"/>
                <w:lang w:val="es-ES" w:eastAsia="es-ES"/>
              </w:rPr>
            </w:pP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F9D405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156.119 €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EBB6A9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100.204 €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6F4A97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98.394 €</w:t>
            </w:r>
          </w:p>
        </w:tc>
      </w:tr>
      <w:tr w:rsidR="00D95F3B" w:rsidRPr="00D95F3B" w14:paraId="0348B0A5"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9F6D21A"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Córdoba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CE729C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192.050 €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B3B8F2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173.717 €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6EF209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111.726 €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EC2D3E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117.498 €</w:t>
            </w:r>
          </w:p>
        </w:tc>
      </w:tr>
      <w:tr w:rsidR="00D95F3B" w:rsidRPr="00D95F3B" w14:paraId="34FB442B"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6AD6E5B"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Cuenca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66F465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5E9772E"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145.969 €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88DECD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96.026 €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7C2BDE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103.764 €</w:t>
            </w:r>
          </w:p>
        </w:tc>
      </w:tr>
      <w:tr w:rsidR="00D95F3B" w:rsidRPr="00D95F3B" w14:paraId="61382B78"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67300E3"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Donostia - San Sebastián</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4F5C11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470.198 €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2FD1A73"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435.590 €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2EC5CC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329.919 €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0AF540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445.354 €</w:t>
            </w:r>
          </w:p>
        </w:tc>
      </w:tr>
      <w:tr w:rsidR="00D95F3B" w:rsidRPr="00D95F3B" w14:paraId="5C25FC17"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2E89601"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Girona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FCF698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249.756 €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3100643"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215.831 €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8CCDE0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141.470 €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66E9A6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180.316 €</w:t>
            </w:r>
          </w:p>
        </w:tc>
      </w:tr>
      <w:tr w:rsidR="00D95F3B" w:rsidRPr="00D95F3B" w14:paraId="4FA9AF7C"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844F1AC"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Granada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7F81BD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191.667 €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451D8F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184.464 €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2FD098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131.019 €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062F6F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152.503 €</w:t>
            </w:r>
          </w:p>
        </w:tc>
      </w:tr>
      <w:tr w:rsidR="00D95F3B" w:rsidRPr="00D95F3B" w14:paraId="0875009F"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BBDF9A5"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Guadalajara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21F015E"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214.607 €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A841F2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176.730 €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9AB26B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104.240 €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5F9BA8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114.668 €</w:t>
            </w:r>
          </w:p>
        </w:tc>
      </w:tr>
      <w:tr w:rsidR="00D95F3B" w:rsidRPr="00D95F3B" w14:paraId="05745D94"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BA57CC0"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Huelva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66AF92F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8A4DC13"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139.113 €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79BAB6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96.247 €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A0B7AD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101.069 €</w:t>
            </w:r>
          </w:p>
        </w:tc>
      </w:tr>
      <w:tr w:rsidR="00D95F3B" w:rsidRPr="00D95F3B" w14:paraId="2C415D7E"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C36B794"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Huesca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3A2D872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FA79E1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160.821 €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C68C2E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109.108 €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A09FD2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108.190 €</w:t>
            </w:r>
          </w:p>
        </w:tc>
      </w:tr>
      <w:tr w:rsidR="00D95F3B" w:rsidRPr="00D95F3B" w14:paraId="32AA8CB5"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2AC7793"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Jaén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0D74233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B779C2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163.178 €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6AEF76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110.345 €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1555BA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106.625 €</w:t>
            </w:r>
          </w:p>
        </w:tc>
      </w:tr>
      <w:tr w:rsidR="00D95F3B" w:rsidRPr="00D95F3B" w14:paraId="679DCFFD"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3E4D092"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Las Palmas de Gran Canaria</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C22628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193.949 €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E2BC28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163.515 €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FD329F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124.975 €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2FE7A1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170.571 €</w:t>
            </w:r>
          </w:p>
        </w:tc>
      </w:tr>
      <w:tr w:rsidR="00D95F3B" w:rsidRPr="00D95F3B" w14:paraId="13C17211"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C4119BE"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León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8855907" w14:textId="77777777" w:rsidR="00D95F3B" w:rsidRPr="00D95F3B" w:rsidRDefault="00D95F3B" w:rsidP="00D95F3B">
            <w:pPr>
              <w:rPr>
                <w:rFonts w:ascii="Times New Roman" w:eastAsia="Times New Roman" w:hAnsi="Times New Roman" w:cs="Times New Roman"/>
                <w:lang w:val="es-ES" w:eastAsia="es-ES"/>
              </w:rPr>
            </w:pP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EB5349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164.124 €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8AE5C0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118.342 €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40DE2C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120.733 €</w:t>
            </w:r>
          </w:p>
        </w:tc>
      </w:tr>
      <w:tr w:rsidR="00D95F3B" w:rsidRPr="00D95F3B" w14:paraId="24BF2478"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F41A920"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Lleida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5021E3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161.666 €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D4F26D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146.101 €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091B25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85.935 €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072875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92.781 €</w:t>
            </w:r>
          </w:p>
        </w:tc>
      </w:tr>
      <w:tr w:rsidR="00D95F3B" w:rsidRPr="00D95F3B" w14:paraId="42E020BE"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3E6DFD7"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Logroño</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5B26298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214D60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181.886 €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46368D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117.136 €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4B8DC1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134.915 €</w:t>
            </w:r>
          </w:p>
        </w:tc>
      </w:tr>
      <w:tr w:rsidR="00D95F3B" w:rsidRPr="00D95F3B" w14:paraId="5D457E8B"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B54F051"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Lugo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74941E5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15D551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152.991 €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496FB1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101.954 €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F2BC58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110.103 €</w:t>
            </w:r>
          </w:p>
        </w:tc>
      </w:tr>
      <w:tr w:rsidR="00D95F3B" w:rsidRPr="00D95F3B" w14:paraId="3B43CA3A"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E1484AB"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Madrid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4327CB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337.329 €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FE78E9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280.242 €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154FD7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215.624 €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48D495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306.907 €</w:t>
            </w:r>
          </w:p>
        </w:tc>
      </w:tr>
      <w:tr w:rsidR="00D95F3B" w:rsidRPr="00D95F3B" w14:paraId="308CCED6"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2B1E651"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Málaga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DDD83B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207.473 €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6122E6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174.446 €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28C526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132.933 €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C414F5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186.576 €</w:t>
            </w:r>
          </w:p>
        </w:tc>
      </w:tr>
      <w:tr w:rsidR="00D95F3B" w:rsidRPr="00D95F3B" w14:paraId="25309DDA"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4E7BD9D"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Murcia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961E9A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179.039 €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C4D9FA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148.216 €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8F2D0C3"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106.576 €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63FB5D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109.179 €</w:t>
            </w:r>
          </w:p>
        </w:tc>
      </w:tr>
      <w:tr w:rsidR="00D95F3B" w:rsidRPr="00D95F3B" w14:paraId="101DE427"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524815F"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Ourense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483F6C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59FCF6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154.098 €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EE5178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121.607 €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5C3B5B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122.950 €</w:t>
            </w:r>
          </w:p>
        </w:tc>
      </w:tr>
      <w:tr w:rsidR="00D95F3B" w:rsidRPr="00D95F3B" w14:paraId="456A8708"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5C65D05"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Oviedo</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5EB732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187.003 €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4ACFC4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186.776 €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B560AB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132.829 €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EE6557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132.798 €</w:t>
            </w:r>
          </w:p>
        </w:tc>
      </w:tr>
      <w:tr w:rsidR="00D95F3B" w:rsidRPr="00D95F3B" w14:paraId="14B4B719"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2CB29F4"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Palencia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7154CA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729B84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164.386 €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68F0B9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117.959 €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8BCF94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123.318 €</w:t>
            </w:r>
          </w:p>
        </w:tc>
      </w:tr>
      <w:tr w:rsidR="00D95F3B" w:rsidRPr="00D95F3B" w14:paraId="2E87BF42"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3E0EF6E"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Palma de Mallorca</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74E356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187.520 €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E62FC7E"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186.331 €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67D4C5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151.880 €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FE63B9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239.558 €</w:t>
            </w:r>
          </w:p>
        </w:tc>
      </w:tr>
      <w:tr w:rsidR="00D95F3B" w:rsidRPr="00D95F3B" w14:paraId="3EB2D36D"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8C10671"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Pamplona / Iruña</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020F12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278.069 €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ACF047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235.339 €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2EAE04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156.395 €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7AC0E7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189.187 €</w:t>
            </w:r>
          </w:p>
        </w:tc>
      </w:tr>
      <w:tr w:rsidR="00D95F3B" w:rsidRPr="00D95F3B" w14:paraId="7BB79EC5"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D65D649"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Pontevedra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6DA989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B1DC70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158.353 €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0694B7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121.758 €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280A14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143.114 €</w:t>
            </w:r>
          </w:p>
        </w:tc>
      </w:tr>
      <w:tr w:rsidR="00D95F3B" w:rsidRPr="00D95F3B" w14:paraId="65EA12BC"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E52D776"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Salamanca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B20B94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232.388 €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171032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209.185 €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793D78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149.984 €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DBF108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151.466 €</w:t>
            </w:r>
          </w:p>
        </w:tc>
      </w:tr>
      <w:tr w:rsidR="00D95F3B" w:rsidRPr="00D95F3B" w14:paraId="68A760D7"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FDDB4A0"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Santa Cruz de Tenerife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767416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153.678 €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F45001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159.050 €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521F70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110.408 €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30EC4F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130.474 €</w:t>
            </w:r>
          </w:p>
        </w:tc>
      </w:tr>
      <w:tr w:rsidR="00D95F3B" w:rsidRPr="00D95F3B" w14:paraId="4081699B"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83B16E2"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Santander</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DE9D9D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229.113 €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F56926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230.510 €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73C3578"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160.533 €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BDBF63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171.087 €</w:t>
            </w:r>
          </w:p>
        </w:tc>
      </w:tr>
      <w:tr w:rsidR="00D95F3B" w:rsidRPr="00D95F3B" w14:paraId="5815D0A7"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FBD400B"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Segovia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A4EAC9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73F87A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196.165 €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B43DBFE"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119.385 €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55BA6A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130.804 €</w:t>
            </w:r>
          </w:p>
        </w:tc>
      </w:tr>
      <w:tr w:rsidR="00D95F3B" w:rsidRPr="00D95F3B" w14:paraId="7106C417"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7F26B1C"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Sevilla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A04063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196.745 €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76F14D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205.626 €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B7E6F8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140.645 €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C89E444"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168.472 €</w:t>
            </w:r>
          </w:p>
        </w:tc>
      </w:tr>
      <w:tr w:rsidR="00D95F3B" w:rsidRPr="00D95F3B" w14:paraId="7B8A94AA"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B9D99D2"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Soria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822E3AE"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D85749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168.659 €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3D75BD1"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116.910 €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7EA1DE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108.174 €</w:t>
            </w:r>
          </w:p>
        </w:tc>
      </w:tr>
      <w:tr w:rsidR="00D95F3B" w:rsidRPr="00D95F3B" w14:paraId="6BB66C16"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E7624DD"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Tarragona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570E35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198.534 €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6CF3FA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191.468 €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7C9AD7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112.618 €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F1109E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133.104 €</w:t>
            </w:r>
          </w:p>
        </w:tc>
      </w:tr>
      <w:tr w:rsidR="00D95F3B" w:rsidRPr="00D95F3B" w14:paraId="19A82F5C"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05D8186"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Teruel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2E3EE37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hideMark/>
          </w:tcPr>
          <w:p w14:paraId="3DAA559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AA2E65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114.117 €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66A5E1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99.954 €</w:t>
            </w:r>
          </w:p>
        </w:tc>
      </w:tr>
      <w:tr w:rsidR="00D95F3B" w:rsidRPr="00D95F3B" w14:paraId="59BB455A"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42DAD31"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Toledo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75A29A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193.820 €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8FD11B5"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172.997 €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F9D3A6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106.944 €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DD544B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109.212 €</w:t>
            </w:r>
          </w:p>
        </w:tc>
      </w:tr>
      <w:tr w:rsidR="00D95F3B" w:rsidRPr="00D95F3B" w14:paraId="2453CD26"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060721A"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Valencia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F06123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203.330 €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6F54F0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173.525 €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BE5843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124.521 €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6F0EC2C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164.977 €</w:t>
            </w:r>
          </w:p>
        </w:tc>
      </w:tr>
      <w:tr w:rsidR="00D95F3B" w:rsidRPr="00D95F3B" w14:paraId="5A4479ED"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DF1F7C2"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Valladolid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6BA95D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204.842 €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F13DE3B"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174.403 €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84157F2"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121.437 €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DD7C8EF"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136.489 €</w:t>
            </w:r>
          </w:p>
        </w:tc>
      </w:tr>
      <w:tr w:rsidR="00D95F3B" w:rsidRPr="00D95F3B" w14:paraId="20DACEC4"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00651BE"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Vitoria - Gasteiz</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D7A94E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2B03D1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253.103 €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7E23570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166.478 €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2CCF1EBC"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203.923 €</w:t>
            </w:r>
          </w:p>
        </w:tc>
      </w:tr>
      <w:tr w:rsidR="00D95F3B" w:rsidRPr="00D95F3B" w14:paraId="5B794B1D"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053AFF16"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lastRenderedPageBreak/>
              <w:t>Zamora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4358A63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AED60CD"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150.072 €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FA763A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113.491 €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13A5D216"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106.601 €</w:t>
            </w:r>
          </w:p>
        </w:tc>
      </w:tr>
      <w:tr w:rsidR="00D95F3B" w:rsidRPr="00D95F3B" w14:paraId="057D385E" w14:textId="77777777" w:rsidTr="00D95F3B">
        <w:trPr>
          <w:trHeight w:val="226"/>
        </w:trPr>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7438F6B" w14:textId="77777777" w:rsidR="00D95F3B" w:rsidRPr="00D95F3B" w:rsidRDefault="00D95F3B" w:rsidP="00D95F3B">
            <w:pP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Zaragoza capital</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5E1EDB0"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261.822 €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7684F67"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210.260 €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57BB13C9"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128.431 €</w:t>
            </w:r>
          </w:p>
        </w:tc>
        <w:tc>
          <w:tcPr>
            <w:tcW w:w="0" w:type="auto"/>
            <w:tcBorders>
              <w:top w:val="single" w:sz="8" w:space="0" w:color="A5A5A5"/>
              <w:left w:val="single" w:sz="8" w:space="0" w:color="A5A5A5"/>
              <w:bottom w:val="single" w:sz="8" w:space="0" w:color="A5A5A5"/>
              <w:right w:val="single" w:sz="8" w:space="0" w:color="A5A5A5"/>
            </w:tcBorders>
            <w:tcMar>
              <w:top w:w="0" w:type="dxa"/>
              <w:left w:w="70" w:type="dxa"/>
              <w:bottom w:w="0" w:type="dxa"/>
              <w:right w:w="70" w:type="dxa"/>
            </w:tcMar>
            <w:vAlign w:val="bottom"/>
            <w:hideMark/>
          </w:tcPr>
          <w:p w14:paraId="3EF2D90A" w14:textId="77777777" w:rsidR="00D95F3B" w:rsidRPr="00D95F3B" w:rsidRDefault="00D95F3B" w:rsidP="00D95F3B">
            <w:pPr>
              <w:jc w:val="center"/>
              <w:rPr>
                <w:rFonts w:ascii="Times New Roman" w:eastAsia="Times New Roman" w:hAnsi="Times New Roman" w:cs="Times New Roman"/>
                <w:lang w:val="es-ES" w:eastAsia="es-ES"/>
              </w:rPr>
            </w:pPr>
            <w:r w:rsidRPr="00D95F3B">
              <w:rPr>
                <w:rFonts w:ascii="Open Sans" w:eastAsia="Times New Roman" w:hAnsi="Open Sans" w:cs="Times New Roman"/>
                <w:color w:val="000000"/>
                <w:sz w:val="22"/>
                <w:szCs w:val="22"/>
                <w:lang w:val="es-ES" w:eastAsia="es-ES"/>
              </w:rPr>
              <w:t>145.258 €</w:t>
            </w:r>
          </w:p>
        </w:tc>
      </w:tr>
    </w:tbl>
    <w:p w14:paraId="3F8DAEEF" w14:textId="1AE67887" w:rsidR="006E292A" w:rsidRDefault="006E292A" w:rsidP="006E292A">
      <w:pPr>
        <w:spacing w:line="276" w:lineRule="auto"/>
        <w:ind w:right="-716"/>
        <w:jc w:val="right"/>
        <w:rPr>
          <w:rFonts w:ascii="Open Sans Light" w:eastAsia="Open Sans Light" w:hAnsi="Open Sans Light" w:cs="Open Sans Light"/>
          <w:b/>
          <w:color w:val="303AB2"/>
        </w:rPr>
      </w:pPr>
    </w:p>
    <w:p w14:paraId="16AA96B5" w14:textId="77777777" w:rsidR="006E292A" w:rsidRDefault="006E292A" w:rsidP="006E292A">
      <w:pPr>
        <w:spacing w:line="276" w:lineRule="auto"/>
        <w:ind w:right="-716"/>
        <w:jc w:val="right"/>
        <w:rPr>
          <w:rFonts w:ascii="Open Sans Light" w:eastAsia="Open Sans Light" w:hAnsi="Open Sans Light" w:cs="Open Sans Light"/>
          <w:b/>
          <w:color w:val="303AB2"/>
        </w:rPr>
      </w:pPr>
    </w:p>
    <w:p w14:paraId="397CEE27" w14:textId="77777777" w:rsidR="006E292A" w:rsidRDefault="006E292A" w:rsidP="006E292A">
      <w:pPr>
        <w:spacing w:line="276" w:lineRule="auto"/>
        <w:ind w:right="-716"/>
        <w:jc w:val="right"/>
        <w:rPr>
          <w:rFonts w:ascii="Open Sans Light" w:eastAsia="Open Sans Light" w:hAnsi="Open Sans Light" w:cs="Open Sans Light"/>
          <w:b/>
          <w:color w:val="303AB2"/>
        </w:rPr>
      </w:pPr>
    </w:p>
    <w:p w14:paraId="08C91428" w14:textId="77777777" w:rsidR="006E292A" w:rsidRDefault="006E292A" w:rsidP="006E292A">
      <w:pPr>
        <w:spacing w:line="276" w:lineRule="auto"/>
        <w:ind w:right="-716"/>
        <w:jc w:val="right"/>
        <w:rPr>
          <w:rFonts w:ascii="Open Sans Light" w:eastAsia="Open Sans Light" w:hAnsi="Open Sans Light" w:cs="Open Sans Light"/>
          <w:b/>
          <w:color w:val="303AB2"/>
        </w:rPr>
      </w:pPr>
    </w:p>
    <w:p w14:paraId="2516E8AC" w14:textId="77777777" w:rsidR="006E292A" w:rsidRDefault="006E292A" w:rsidP="006E292A">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AE8D36A" w14:textId="77777777" w:rsidR="006E292A" w:rsidRDefault="006E292A" w:rsidP="006E292A">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30j0zll" w:colFirst="0" w:colLast="0"/>
    <w:bookmarkEnd w:id="1"/>
    <w:p w14:paraId="51038DE8" w14:textId="77777777" w:rsidR="006E292A" w:rsidRDefault="006E292A" w:rsidP="006E292A">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1067D5A0" w14:textId="77777777" w:rsidR="006E292A" w:rsidRDefault="00536200" w:rsidP="006E292A">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9">
        <w:r w:rsidR="006E292A">
          <w:rPr>
            <w:rFonts w:ascii="Open Sans" w:eastAsia="Open Sans" w:hAnsi="Open Sans" w:cs="Open Sans"/>
            <w:color w:val="0000FF"/>
            <w:sz w:val="22"/>
            <w:szCs w:val="22"/>
            <w:u w:val="single"/>
          </w:rPr>
          <w:t>Más información sobre Fotocasa</w:t>
        </w:r>
      </w:hyperlink>
      <w:r w:rsidR="006E292A">
        <w:rPr>
          <w:rFonts w:ascii="Open Sans" w:eastAsia="Open Sans" w:hAnsi="Open Sans" w:cs="Open Sans"/>
          <w:color w:val="000000"/>
          <w:sz w:val="22"/>
          <w:szCs w:val="22"/>
        </w:rPr>
        <w:t>.</w:t>
      </w:r>
    </w:p>
    <w:p w14:paraId="7A7B1484" w14:textId="77777777" w:rsidR="006E292A" w:rsidRDefault="006E292A" w:rsidP="006E292A">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21">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2">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3">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5ECF1166" w14:textId="77777777" w:rsidR="006E292A" w:rsidRDefault="006E292A" w:rsidP="006E292A">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48DB633A" w14:textId="77777777" w:rsidR="006E292A" w:rsidRDefault="006E292A" w:rsidP="006E292A">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237A7480" w14:textId="643F55F2" w:rsidR="006E292A" w:rsidRDefault="006E292A" w:rsidP="006E292A">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6CD11946" w14:textId="2CC39601" w:rsidR="006E292A" w:rsidRDefault="006E292A" w:rsidP="006E292A">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665E7CB4" w14:textId="51E2E526" w:rsidR="006E292A" w:rsidRDefault="006E292A" w:rsidP="006E292A">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087DC1E4" w14:textId="77777777" w:rsidR="006E292A" w:rsidRDefault="006E292A" w:rsidP="006E292A">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2BD41078" w14:textId="77777777" w:rsidR="006E292A" w:rsidRDefault="006E292A" w:rsidP="006E292A">
      <w:pPr>
        <w:spacing w:line="276" w:lineRule="auto"/>
        <w:ind w:right="-716"/>
        <w:rPr>
          <w:rFonts w:ascii="Open Sans Light" w:eastAsia="Open Sans Light" w:hAnsi="Open Sans Light" w:cs="Open Sans Light"/>
          <w:b/>
          <w:color w:val="303AB2"/>
          <w:sz w:val="22"/>
          <w:szCs w:val="22"/>
        </w:rPr>
      </w:pPr>
    </w:p>
    <w:p w14:paraId="01888764" w14:textId="11365823" w:rsidR="006E292A" w:rsidRDefault="006E292A" w:rsidP="006E292A">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6DBEB8DA" w14:textId="6CDFE41E" w:rsidR="006E292A" w:rsidRDefault="006E292A" w:rsidP="006E292A">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48C685DF" w14:textId="3A57B2BD" w:rsidR="006E292A" w:rsidRDefault="00536200" w:rsidP="006E292A">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5">
        <w:r w:rsidR="006E292A">
          <w:rPr>
            <w:rFonts w:ascii="Open Sans" w:eastAsia="Open Sans" w:hAnsi="Open Sans" w:cs="Open Sans"/>
            <w:color w:val="0000FF"/>
            <w:sz w:val="19"/>
            <w:szCs w:val="19"/>
            <w:u w:val="single"/>
          </w:rPr>
          <w:t>rtorne@llorenteycuenca.com</w:t>
        </w:r>
      </w:hyperlink>
      <w:r w:rsidR="006E292A">
        <w:rPr>
          <w:rFonts w:ascii="Open Sans" w:eastAsia="Open Sans" w:hAnsi="Open Sans" w:cs="Open Sans"/>
          <w:color w:val="0000FF"/>
          <w:sz w:val="19"/>
          <w:szCs w:val="19"/>
        </w:rPr>
        <w:tab/>
      </w:r>
      <w:r w:rsidR="006E292A">
        <w:rPr>
          <w:rFonts w:ascii="Open Sans" w:eastAsia="Open Sans" w:hAnsi="Open Sans" w:cs="Open Sans"/>
          <w:color w:val="0000FF"/>
          <w:sz w:val="19"/>
          <w:szCs w:val="19"/>
        </w:rPr>
        <w:tab/>
        <w:t xml:space="preserve">                                                         </w:t>
      </w:r>
      <w:hyperlink r:id="rId26">
        <w:r w:rsidR="006E292A">
          <w:rPr>
            <w:rFonts w:ascii="Open Sans" w:eastAsia="Open Sans" w:hAnsi="Open Sans" w:cs="Open Sans"/>
            <w:color w:val="0000FF"/>
            <w:sz w:val="19"/>
            <w:szCs w:val="19"/>
            <w:u w:val="single"/>
          </w:rPr>
          <w:t>comunicacion@fotocasa.es</w:t>
        </w:r>
      </w:hyperlink>
    </w:p>
    <w:p w14:paraId="030A9900" w14:textId="6F25DEEF" w:rsidR="006E292A" w:rsidRDefault="006E292A" w:rsidP="006E292A">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489C586F" w14:textId="77777777" w:rsidR="006E292A" w:rsidRDefault="006E292A" w:rsidP="006E292A">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0F98673" w14:textId="77777777" w:rsidR="006E292A" w:rsidRDefault="006E292A" w:rsidP="006E292A">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6FA7B860" w14:textId="77777777" w:rsidR="006E292A" w:rsidRDefault="00536200" w:rsidP="006E292A">
      <w:pPr>
        <w:shd w:val="clear" w:color="auto" w:fill="FFFFFF"/>
        <w:ind w:right="-716"/>
        <w:rPr>
          <w:rFonts w:ascii="Open Sans" w:eastAsia="Open Sans" w:hAnsi="Open Sans" w:cs="Open Sans"/>
          <w:color w:val="0000FF"/>
          <w:sz w:val="19"/>
          <w:szCs w:val="19"/>
        </w:rPr>
      </w:pPr>
      <w:hyperlink r:id="rId27">
        <w:r w:rsidR="006E292A">
          <w:rPr>
            <w:rFonts w:ascii="Open Sans" w:eastAsia="Open Sans" w:hAnsi="Open Sans" w:cs="Open Sans"/>
            <w:color w:val="0000FF"/>
            <w:sz w:val="19"/>
            <w:szCs w:val="19"/>
          </w:rPr>
          <w:t>emerino@llorenteycuenca.com</w:t>
        </w:r>
      </w:hyperlink>
    </w:p>
    <w:p w14:paraId="10592979" w14:textId="77777777" w:rsidR="006E292A" w:rsidRDefault="006E292A" w:rsidP="006E292A">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76417EC0" w14:textId="2CB30AD0" w:rsidR="002E4DF7" w:rsidRDefault="002E4DF7" w:rsidP="006E292A">
      <w:pPr>
        <w:spacing w:line="276" w:lineRule="auto"/>
        <w:ind w:right="-574"/>
        <w:jc w:val="right"/>
        <w:rPr>
          <w:rFonts w:ascii="Open Sans" w:hAnsi="Open Sans" w:cs="Open Sans"/>
          <w:color w:val="000000"/>
          <w:sz w:val="21"/>
          <w:szCs w:val="21"/>
        </w:rPr>
      </w:pPr>
    </w:p>
    <w:sectPr w:rsidR="002E4DF7" w:rsidSect="007937D5">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BEED7" w14:textId="77777777" w:rsidR="00536200" w:rsidRDefault="00536200" w:rsidP="00DD4CA4">
      <w:r>
        <w:separator/>
      </w:r>
    </w:p>
  </w:endnote>
  <w:endnote w:type="continuationSeparator" w:id="0">
    <w:p w14:paraId="36CFF708" w14:textId="77777777" w:rsidR="00536200" w:rsidRDefault="00536200"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charset w:val="00"/>
    <w:family w:val="auto"/>
    <w:pitch w:val="default"/>
  </w:font>
  <w:font w:name="Open Sans">
    <w:altName w:val="Tahoma"/>
    <w:charset w:val="00"/>
    <w:family w:val="auto"/>
    <w:pitch w:val="default"/>
  </w:font>
  <w:font w:name="Open Sans Light">
    <w:altName w:val="Corbe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A755" w14:textId="77777777" w:rsidR="00E07AE5" w:rsidRDefault="00E07AE5">
    <w:pPr>
      <w:pStyle w:val="Piedepgina"/>
    </w:pPr>
    <w:r>
      <w:rPr>
        <w:rFonts w:ascii="Open Sans" w:hAnsi="Open Sans" w:cs="Open Sans"/>
        <w:noProof/>
        <w:color w:val="000000"/>
        <w:sz w:val="21"/>
        <w:szCs w:val="21"/>
        <w:lang w:val="es-ES" w:eastAsia="es-ES" w:bidi="ks-Deva"/>
      </w:rPr>
      <w:drawing>
        <wp:anchor distT="0" distB="0" distL="114300" distR="114300" simplePos="0" relativeHeight="251658752" behindDoc="1" locked="0" layoutInCell="1" allowOverlap="1" wp14:anchorId="4FA99DDF" wp14:editId="391A5857">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B9288" w14:textId="77777777" w:rsidR="00536200" w:rsidRDefault="00536200" w:rsidP="00DD4CA4">
      <w:r>
        <w:separator/>
      </w:r>
    </w:p>
  </w:footnote>
  <w:footnote w:type="continuationSeparator" w:id="0">
    <w:p w14:paraId="578204E4" w14:textId="77777777" w:rsidR="00536200" w:rsidRDefault="00536200"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6974"/>
    <w:multiLevelType w:val="hybridMultilevel"/>
    <w:tmpl w:val="3D8450D8"/>
    <w:lvl w:ilvl="0" w:tplc="C9EAB954">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34A6"/>
    <w:rsid w:val="00010ECE"/>
    <w:rsid w:val="00013487"/>
    <w:rsid w:val="00014CED"/>
    <w:rsid w:val="00014EC0"/>
    <w:rsid w:val="00022A98"/>
    <w:rsid w:val="00022FC5"/>
    <w:rsid w:val="000329E0"/>
    <w:rsid w:val="00034E35"/>
    <w:rsid w:val="00037ABA"/>
    <w:rsid w:val="0005599B"/>
    <w:rsid w:val="0006155E"/>
    <w:rsid w:val="00063144"/>
    <w:rsid w:val="00066012"/>
    <w:rsid w:val="00066D4E"/>
    <w:rsid w:val="00066FF0"/>
    <w:rsid w:val="00073F7A"/>
    <w:rsid w:val="00077B7C"/>
    <w:rsid w:val="00084308"/>
    <w:rsid w:val="00091F4C"/>
    <w:rsid w:val="0009642A"/>
    <w:rsid w:val="00097638"/>
    <w:rsid w:val="000A3C1F"/>
    <w:rsid w:val="000B58AA"/>
    <w:rsid w:val="000C290A"/>
    <w:rsid w:val="000C7646"/>
    <w:rsid w:val="000D60D7"/>
    <w:rsid w:val="000E0424"/>
    <w:rsid w:val="00110839"/>
    <w:rsid w:val="0011127D"/>
    <w:rsid w:val="00130D58"/>
    <w:rsid w:val="001316A7"/>
    <w:rsid w:val="00133A7B"/>
    <w:rsid w:val="001361DC"/>
    <w:rsid w:val="00136259"/>
    <w:rsid w:val="00137E55"/>
    <w:rsid w:val="0014007A"/>
    <w:rsid w:val="0014287C"/>
    <w:rsid w:val="00144A77"/>
    <w:rsid w:val="00152120"/>
    <w:rsid w:val="00152FC9"/>
    <w:rsid w:val="001651B5"/>
    <w:rsid w:val="00170702"/>
    <w:rsid w:val="00196144"/>
    <w:rsid w:val="001A3470"/>
    <w:rsid w:val="001B2CC7"/>
    <w:rsid w:val="001B3A44"/>
    <w:rsid w:val="001B56F0"/>
    <w:rsid w:val="001B69A0"/>
    <w:rsid w:val="001C6AC4"/>
    <w:rsid w:val="001D49F8"/>
    <w:rsid w:val="001E009C"/>
    <w:rsid w:val="001E1375"/>
    <w:rsid w:val="001E18D5"/>
    <w:rsid w:val="001E69C0"/>
    <w:rsid w:val="00210DBA"/>
    <w:rsid w:val="0021639C"/>
    <w:rsid w:val="00223856"/>
    <w:rsid w:val="00223F7F"/>
    <w:rsid w:val="002252B3"/>
    <w:rsid w:val="00226CA0"/>
    <w:rsid w:val="00227100"/>
    <w:rsid w:val="00242192"/>
    <w:rsid w:val="00247090"/>
    <w:rsid w:val="002564C0"/>
    <w:rsid w:val="0026392E"/>
    <w:rsid w:val="002763B0"/>
    <w:rsid w:val="00281F6A"/>
    <w:rsid w:val="00284D38"/>
    <w:rsid w:val="00285782"/>
    <w:rsid w:val="00292293"/>
    <w:rsid w:val="002A35C0"/>
    <w:rsid w:val="002A4DFB"/>
    <w:rsid w:val="002A6116"/>
    <w:rsid w:val="002A62A4"/>
    <w:rsid w:val="002B6E3D"/>
    <w:rsid w:val="002C1563"/>
    <w:rsid w:val="002C2F40"/>
    <w:rsid w:val="002D35EA"/>
    <w:rsid w:val="002D671A"/>
    <w:rsid w:val="002D672F"/>
    <w:rsid w:val="002E4DF7"/>
    <w:rsid w:val="002F0A40"/>
    <w:rsid w:val="002F439B"/>
    <w:rsid w:val="002F4C9D"/>
    <w:rsid w:val="002F6402"/>
    <w:rsid w:val="00301D18"/>
    <w:rsid w:val="0030786F"/>
    <w:rsid w:val="00307DF9"/>
    <w:rsid w:val="00312FDC"/>
    <w:rsid w:val="003145A9"/>
    <w:rsid w:val="00351CB1"/>
    <w:rsid w:val="003646FD"/>
    <w:rsid w:val="00364946"/>
    <w:rsid w:val="0037410B"/>
    <w:rsid w:val="00376DE0"/>
    <w:rsid w:val="003827F7"/>
    <w:rsid w:val="00392ACD"/>
    <w:rsid w:val="00394847"/>
    <w:rsid w:val="003A7FF3"/>
    <w:rsid w:val="003C4D3B"/>
    <w:rsid w:val="003D4FE5"/>
    <w:rsid w:val="003F4390"/>
    <w:rsid w:val="003F535B"/>
    <w:rsid w:val="003F66EE"/>
    <w:rsid w:val="004029F8"/>
    <w:rsid w:val="00403021"/>
    <w:rsid w:val="00412163"/>
    <w:rsid w:val="004278CB"/>
    <w:rsid w:val="00431221"/>
    <w:rsid w:val="00435FBF"/>
    <w:rsid w:val="004372BE"/>
    <w:rsid w:val="0043796C"/>
    <w:rsid w:val="004419C5"/>
    <w:rsid w:val="00441F4B"/>
    <w:rsid w:val="004577E7"/>
    <w:rsid w:val="00476920"/>
    <w:rsid w:val="00491F19"/>
    <w:rsid w:val="00494660"/>
    <w:rsid w:val="00497F29"/>
    <w:rsid w:val="004A0180"/>
    <w:rsid w:val="004B0602"/>
    <w:rsid w:val="004B0DEC"/>
    <w:rsid w:val="004D0E4B"/>
    <w:rsid w:val="004D3A6F"/>
    <w:rsid w:val="004E6B54"/>
    <w:rsid w:val="005025F0"/>
    <w:rsid w:val="005029E9"/>
    <w:rsid w:val="00503F5B"/>
    <w:rsid w:val="00504F5F"/>
    <w:rsid w:val="005103F9"/>
    <w:rsid w:val="005149BB"/>
    <w:rsid w:val="00516F9C"/>
    <w:rsid w:val="00524A6B"/>
    <w:rsid w:val="005266EF"/>
    <w:rsid w:val="00536200"/>
    <w:rsid w:val="00540CE5"/>
    <w:rsid w:val="00557205"/>
    <w:rsid w:val="00566CD3"/>
    <w:rsid w:val="00570DFA"/>
    <w:rsid w:val="00574A33"/>
    <w:rsid w:val="00581903"/>
    <w:rsid w:val="00583D8D"/>
    <w:rsid w:val="00587182"/>
    <w:rsid w:val="00592313"/>
    <w:rsid w:val="00593D08"/>
    <w:rsid w:val="0059651E"/>
    <w:rsid w:val="005A1AD1"/>
    <w:rsid w:val="005A4CB5"/>
    <w:rsid w:val="005B11DB"/>
    <w:rsid w:val="005B738A"/>
    <w:rsid w:val="005C2370"/>
    <w:rsid w:val="005C2A66"/>
    <w:rsid w:val="005C4FC4"/>
    <w:rsid w:val="005C5838"/>
    <w:rsid w:val="005D019A"/>
    <w:rsid w:val="005D12D9"/>
    <w:rsid w:val="005D15CF"/>
    <w:rsid w:val="005D67F7"/>
    <w:rsid w:val="005E255E"/>
    <w:rsid w:val="005E3F7B"/>
    <w:rsid w:val="005F3812"/>
    <w:rsid w:val="005F6A96"/>
    <w:rsid w:val="005F6CA3"/>
    <w:rsid w:val="006051CC"/>
    <w:rsid w:val="00606A1A"/>
    <w:rsid w:val="006251BA"/>
    <w:rsid w:val="00637401"/>
    <w:rsid w:val="00646E7D"/>
    <w:rsid w:val="006501B3"/>
    <w:rsid w:val="00651664"/>
    <w:rsid w:val="00663524"/>
    <w:rsid w:val="00667733"/>
    <w:rsid w:val="00667D75"/>
    <w:rsid w:val="00670A43"/>
    <w:rsid w:val="0067633E"/>
    <w:rsid w:val="006841D0"/>
    <w:rsid w:val="006A3C97"/>
    <w:rsid w:val="006D041E"/>
    <w:rsid w:val="006D1BBC"/>
    <w:rsid w:val="006D2A3C"/>
    <w:rsid w:val="006E1AA8"/>
    <w:rsid w:val="006E22D8"/>
    <w:rsid w:val="006E292A"/>
    <w:rsid w:val="006E6BA4"/>
    <w:rsid w:val="006F1858"/>
    <w:rsid w:val="006F46EF"/>
    <w:rsid w:val="006F6575"/>
    <w:rsid w:val="00701597"/>
    <w:rsid w:val="007027AA"/>
    <w:rsid w:val="0070542A"/>
    <w:rsid w:val="00712D25"/>
    <w:rsid w:val="00713A9F"/>
    <w:rsid w:val="007225B4"/>
    <w:rsid w:val="00725C0B"/>
    <w:rsid w:val="00736472"/>
    <w:rsid w:val="00736F3A"/>
    <w:rsid w:val="00740970"/>
    <w:rsid w:val="00751009"/>
    <w:rsid w:val="00753088"/>
    <w:rsid w:val="00757904"/>
    <w:rsid w:val="0076156F"/>
    <w:rsid w:val="00782B87"/>
    <w:rsid w:val="00785BD2"/>
    <w:rsid w:val="00793775"/>
    <w:rsid w:val="007937D5"/>
    <w:rsid w:val="0079503E"/>
    <w:rsid w:val="007A16BE"/>
    <w:rsid w:val="007A2DB6"/>
    <w:rsid w:val="007A55E0"/>
    <w:rsid w:val="007A7D8D"/>
    <w:rsid w:val="007B12E2"/>
    <w:rsid w:val="007B45F9"/>
    <w:rsid w:val="007B609F"/>
    <w:rsid w:val="007C2926"/>
    <w:rsid w:val="007D3B4D"/>
    <w:rsid w:val="007D46B3"/>
    <w:rsid w:val="007E1D5C"/>
    <w:rsid w:val="007E2FC5"/>
    <w:rsid w:val="007E3662"/>
    <w:rsid w:val="007E37CA"/>
    <w:rsid w:val="007E6ABA"/>
    <w:rsid w:val="007E7286"/>
    <w:rsid w:val="007F2290"/>
    <w:rsid w:val="007F702A"/>
    <w:rsid w:val="008011C5"/>
    <w:rsid w:val="00802470"/>
    <w:rsid w:val="00813145"/>
    <w:rsid w:val="00816950"/>
    <w:rsid w:val="00821FF7"/>
    <w:rsid w:val="008246FE"/>
    <w:rsid w:val="008337A1"/>
    <w:rsid w:val="00833BF4"/>
    <w:rsid w:val="00835015"/>
    <w:rsid w:val="00835805"/>
    <w:rsid w:val="00836729"/>
    <w:rsid w:val="00847032"/>
    <w:rsid w:val="00863400"/>
    <w:rsid w:val="00885EA3"/>
    <w:rsid w:val="00897D7E"/>
    <w:rsid w:val="008A34D5"/>
    <w:rsid w:val="008B009B"/>
    <w:rsid w:val="008B17A7"/>
    <w:rsid w:val="008B478E"/>
    <w:rsid w:val="008B777B"/>
    <w:rsid w:val="008C10BF"/>
    <w:rsid w:val="008C2B02"/>
    <w:rsid w:val="008D1286"/>
    <w:rsid w:val="008D20D0"/>
    <w:rsid w:val="008D2DD9"/>
    <w:rsid w:val="008D3E30"/>
    <w:rsid w:val="008D78BC"/>
    <w:rsid w:val="008E1900"/>
    <w:rsid w:val="008F1782"/>
    <w:rsid w:val="009004F0"/>
    <w:rsid w:val="00900FF2"/>
    <w:rsid w:val="0090117E"/>
    <w:rsid w:val="00902060"/>
    <w:rsid w:val="009053ED"/>
    <w:rsid w:val="0091359C"/>
    <w:rsid w:val="00925217"/>
    <w:rsid w:val="0092690F"/>
    <w:rsid w:val="009309B9"/>
    <w:rsid w:val="00932C07"/>
    <w:rsid w:val="00935B41"/>
    <w:rsid w:val="0093735E"/>
    <w:rsid w:val="009409BA"/>
    <w:rsid w:val="00941F79"/>
    <w:rsid w:val="00964BED"/>
    <w:rsid w:val="00970F0F"/>
    <w:rsid w:val="00972E67"/>
    <w:rsid w:val="00975125"/>
    <w:rsid w:val="00983C68"/>
    <w:rsid w:val="00991F54"/>
    <w:rsid w:val="009A20A5"/>
    <w:rsid w:val="009A5AF1"/>
    <w:rsid w:val="009A5E1C"/>
    <w:rsid w:val="009A635C"/>
    <w:rsid w:val="009B3099"/>
    <w:rsid w:val="009C0542"/>
    <w:rsid w:val="009D2F77"/>
    <w:rsid w:val="009D4647"/>
    <w:rsid w:val="009E08E6"/>
    <w:rsid w:val="009E79C2"/>
    <w:rsid w:val="00A060EF"/>
    <w:rsid w:val="00A2422E"/>
    <w:rsid w:val="00A279C7"/>
    <w:rsid w:val="00A338CE"/>
    <w:rsid w:val="00A3516A"/>
    <w:rsid w:val="00A36820"/>
    <w:rsid w:val="00A448AD"/>
    <w:rsid w:val="00A449CC"/>
    <w:rsid w:val="00A50985"/>
    <w:rsid w:val="00A523A1"/>
    <w:rsid w:val="00A70933"/>
    <w:rsid w:val="00A70F9F"/>
    <w:rsid w:val="00A76E50"/>
    <w:rsid w:val="00A84CA7"/>
    <w:rsid w:val="00A90CF9"/>
    <w:rsid w:val="00A9236A"/>
    <w:rsid w:val="00AA2566"/>
    <w:rsid w:val="00AA3055"/>
    <w:rsid w:val="00AA5C40"/>
    <w:rsid w:val="00AB29CC"/>
    <w:rsid w:val="00AB37C2"/>
    <w:rsid w:val="00AD0C78"/>
    <w:rsid w:val="00AD0F7C"/>
    <w:rsid w:val="00AD3095"/>
    <w:rsid w:val="00AD48D0"/>
    <w:rsid w:val="00AD62DD"/>
    <w:rsid w:val="00AE00EF"/>
    <w:rsid w:val="00AE23F4"/>
    <w:rsid w:val="00AF163D"/>
    <w:rsid w:val="00B10769"/>
    <w:rsid w:val="00B1179B"/>
    <w:rsid w:val="00B22FD3"/>
    <w:rsid w:val="00B231C2"/>
    <w:rsid w:val="00B26B84"/>
    <w:rsid w:val="00B3267F"/>
    <w:rsid w:val="00B41A97"/>
    <w:rsid w:val="00B45915"/>
    <w:rsid w:val="00B53ED5"/>
    <w:rsid w:val="00B54B63"/>
    <w:rsid w:val="00B55E8E"/>
    <w:rsid w:val="00B60831"/>
    <w:rsid w:val="00B6101B"/>
    <w:rsid w:val="00B63DBE"/>
    <w:rsid w:val="00B6601B"/>
    <w:rsid w:val="00B668EA"/>
    <w:rsid w:val="00B772CA"/>
    <w:rsid w:val="00B77EF0"/>
    <w:rsid w:val="00B82525"/>
    <w:rsid w:val="00B94F8A"/>
    <w:rsid w:val="00B97DF8"/>
    <w:rsid w:val="00BA7479"/>
    <w:rsid w:val="00BB4584"/>
    <w:rsid w:val="00BC1D19"/>
    <w:rsid w:val="00BC5595"/>
    <w:rsid w:val="00BD2FBF"/>
    <w:rsid w:val="00BD4A31"/>
    <w:rsid w:val="00BD7CBC"/>
    <w:rsid w:val="00BE6596"/>
    <w:rsid w:val="00C071FE"/>
    <w:rsid w:val="00C159C1"/>
    <w:rsid w:val="00C255EA"/>
    <w:rsid w:val="00C31EC9"/>
    <w:rsid w:val="00C56E16"/>
    <w:rsid w:val="00C709FD"/>
    <w:rsid w:val="00C72CF4"/>
    <w:rsid w:val="00C767B9"/>
    <w:rsid w:val="00C80691"/>
    <w:rsid w:val="00CA4213"/>
    <w:rsid w:val="00CB1FB4"/>
    <w:rsid w:val="00CB39E7"/>
    <w:rsid w:val="00CB6EB1"/>
    <w:rsid w:val="00CC2113"/>
    <w:rsid w:val="00CD1A17"/>
    <w:rsid w:val="00CE47E3"/>
    <w:rsid w:val="00CE563D"/>
    <w:rsid w:val="00CE6A58"/>
    <w:rsid w:val="00CF7667"/>
    <w:rsid w:val="00D00F1E"/>
    <w:rsid w:val="00D075BB"/>
    <w:rsid w:val="00D15B89"/>
    <w:rsid w:val="00D210B8"/>
    <w:rsid w:val="00D215AC"/>
    <w:rsid w:val="00D227BE"/>
    <w:rsid w:val="00D25CD3"/>
    <w:rsid w:val="00D31A57"/>
    <w:rsid w:val="00D346DC"/>
    <w:rsid w:val="00D3495E"/>
    <w:rsid w:val="00D41C3C"/>
    <w:rsid w:val="00D442CA"/>
    <w:rsid w:val="00D52203"/>
    <w:rsid w:val="00D61A99"/>
    <w:rsid w:val="00D62129"/>
    <w:rsid w:val="00D65A3C"/>
    <w:rsid w:val="00D842F0"/>
    <w:rsid w:val="00D8519D"/>
    <w:rsid w:val="00D860D3"/>
    <w:rsid w:val="00D86387"/>
    <w:rsid w:val="00D91C64"/>
    <w:rsid w:val="00D95F3B"/>
    <w:rsid w:val="00DA246F"/>
    <w:rsid w:val="00DA2686"/>
    <w:rsid w:val="00DA34F8"/>
    <w:rsid w:val="00DB36B2"/>
    <w:rsid w:val="00DB76F9"/>
    <w:rsid w:val="00DC29E7"/>
    <w:rsid w:val="00DC68F0"/>
    <w:rsid w:val="00DC7AC3"/>
    <w:rsid w:val="00DD4CA4"/>
    <w:rsid w:val="00DD5010"/>
    <w:rsid w:val="00DD77FD"/>
    <w:rsid w:val="00DE052F"/>
    <w:rsid w:val="00DE57E6"/>
    <w:rsid w:val="00DE7CE6"/>
    <w:rsid w:val="00DF3362"/>
    <w:rsid w:val="00E054C5"/>
    <w:rsid w:val="00E07AE5"/>
    <w:rsid w:val="00E16A8D"/>
    <w:rsid w:val="00E30D8F"/>
    <w:rsid w:val="00E43660"/>
    <w:rsid w:val="00E43CE5"/>
    <w:rsid w:val="00E600D8"/>
    <w:rsid w:val="00E72108"/>
    <w:rsid w:val="00E7535B"/>
    <w:rsid w:val="00E94830"/>
    <w:rsid w:val="00EA721E"/>
    <w:rsid w:val="00EB0728"/>
    <w:rsid w:val="00EB4922"/>
    <w:rsid w:val="00EB7EA5"/>
    <w:rsid w:val="00EC3A5C"/>
    <w:rsid w:val="00EC5C56"/>
    <w:rsid w:val="00EC667B"/>
    <w:rsid w:val="00ED0035"/>
    <w:rsid w:val="00ED1A5D"/>
    <w:rsid w:val="00ED419C"/>
    <w:rsid w:val="00ED6CFA"/>
    <w:rsid w:val="00EE12AE"/>
    <w:rsid w:val="00EE364A"/>
    <w:rsid w:val="00EE6A9A"/>
    <w:rsid w:val="00EF6A37"/>
    <w:rsid w:val="00F04F96"/>
    <w:rsid w:val="00F208DC"/>
    <w:rsid w:val="00F23500"/>
    <w:rsid w:val="00F24975"/>
    <w:rsid w:val="00F368E2"/>
    <w:rsid w:val="00F42007"/>
    <w:rsid w:val="00F54D14"/>
    <w:rsid w:val="00F65A5B"/>
    <w:rsid w:val="00F815F1"/>
    <w:rsid w:val="00F90078"/>
    <w:rsid w:val="00F966FA"/>
    <w:rsid w:val="00F9754E"/>
    <w:rsid w:val="00FA4744"/>
    <w:rsid w:val="00FA5FE1"/>
    <w:rsid w:val="00FB324D"/>
    <w:rsid w:val="00FB61E9"/>
    <w:rsid w:val="00FD442F"/>
    <w:rsid w:val="00FD586C"/>
    <w:rsid w:val="00FE2C08"/>
    <w:rsid w:val="00FE3160"/>
    <w:rsid w:val="00FE5FBC"/>
    <w:rsid w:val="00FE6386"/>
    <w:rsid w:val="00FF7E2F"/>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87B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12555601">
      <w:bodyDiv w:val="1"/>
      <w:marLeft w:val="0"/>
      <w:marRight w:val="0"/>
      <w:marTop w:val="0"/>
      <w:marBottom w:val="0"/>
      <w:divBdr>
        <w:top w:val="none" w:sz="0" w:space="0" w:color="auto"/>
        <w:left w:val="none" w:sz="0" w:space="0" w:color="auto"/>
        <w:bottom w:val="none" w:sz="0" w:space="0" w:color="auto"/>
        <w:right w:val="none" w:sz="0" w:space="0" w:color="auto"/>
      </w:divBdr>
    </w:div>
    <w:div w:id="270213298">
      <w:bodyDiv w:val="1"/>
      <w:marLeft w:val="0"/>
      <w:marRight w:val="0"/>
      <w:marTop w:val="0"/>
      <w:marBottom w:val="0"/>
      <w:divBdr>
        <w:top w:val="none" w:sz="0" w:space="0" w:color="auto"/>
        <w:left w:val="none" w:sz="0" w:space="0" w:color="auto"/>
        <w:bottom w:val="none" w:sz="0" w:space="0" w:color="auto"/>
        <w:right w:val="none" w:sz="0" w:space="0" w:color="auto"/>
      </w:divBdr>
    </w:div>
    <w:div w:id="793334449">
      <w:bodyDiv w:val="1"/>
      <w:marLeft w:val="0"/>
      <w:marRight w:val="0"/>
      <w:marTop w:val="0"/>
      <w:marBottom w:val="0"/>
      <w:divBdr>
        <w:top w:val="none" w:sz="0" w:space="0" w:color="auto"/>
        <w:left w:val="none" w:sz="0" w:space="0" w:color="auto"/>
        <w:bottom w:val="none" w:sz="0" w:space="0" w:color="auto"/>
        <w:right w:val="none" w:sz="0" w:space="0" w:color="auto"/>
      </w:divBdr>
      <w:divsChild>
        <w:div w:id="915746997">
          <w:marLeft w:val="-70"/>
          <w:marRight w:val="0"/>
          <w:marTop w:val="0"/>
          <w:marBottom w:val="0"/>
          <w:divBdr>
            <w:top w:val="none" w:sz="0" w:space="0" w:color="auto"/>
            <w:left w:val="none" w:sz="0" w:space="0" w:color="auto"/>
            <w:bottom w:val="none" w:sz="0" w:space="0" w:color="auto"/>
            <w:right w:val="none" w:sz="0" w:space="0" w:color="auto"/>
          </w:divBdr>
        </w:div>
      </w:divsChild>
    </w:div>
    <w:div w:id="1057171911">
      <w:bodyDiv w:val="1"/>
      <w:marLeft w:val="0"/>
      <w:marRight w:val="0"/>
      <w:marTop w:val="0"/>
      <w:marBottom w:val="0"/>
      <w:divBdr>
        <w:top w:val="none" w:sz="0" w:space="0" w:color="auto"/>
        <w:left w:val="none" w:sz="0" w:space="0" w:color="auto"/>
        <w:bottom w:val="none" w:sz="0" w:space="0" w:color="auto"/>
        <w:right w:val="none" w:sz="0" w:space="0" w:color="auto"/>
      </w:divBdr>
    </w:div>
    <w:div w:id="1126311706">
      <w:bodyDiv w:val="1"/>
      <w:marLeft w:val="0"/>
      <w:marRight w:val="0"/>
      <w:marTop w:val="0"/>
      <w:marBottom w:val="0"/>
      <w:divBdr>
        <w:top w:val="none" w:sz="0" w:space="0" w:color="auto"/>
        <w:left w:val="none" w:sz="0" w:space="0" w:color="auto"/>
        <w:bottom w:val="none" w:sz="0" w:space="0" w:color="auto"/>
        <w:right w:val="none" w:sz="0" w:space="0" w:color="auto"/>
      </w:divBdr>
    </w:div>
    <w:div w:id="1237083779">
      <w:bodyDiv w:val="1"/>
      <w:marLeft w:val="0"/>
      <w:marRight w:val="0"/>
      <w:marTop w:val="0"/>
      <w:marBottom w:val="0"/>
      <w:divBdr>
        <w:top w:val="none" w:sz="0" w:space="0" w:color="auto"/>
        <w:left w:val="none" w:sz="0" w:space="0" w:color="auto"/>
        <w:bottom w:val="none" w:sz="0" w:space="0" w:color="auto"/>
        <w:right w:val="none" w:sz="0" w:space="0" w:color="auto"/>
      </w:divBdr>
    </w:div>
    <w:div w:id="1272080809">
      <w:bodyDiv w:val="1"/>
      <w:marLeft w:val="0"/>
      <w:marRight w:val="0"/>
      <w:marTop w:val="0"/>
      <w:marBottom w:val="0"/>
      <w:divBdr>
        <w:top w:val="none" w:sz="0" w:space="0" w:color="auto"/>
        <w:left w:val="none" w:sz="0" w:space="0" w:color="auto"/>
        <w:bottom w:val="none" w:sz="0" w:space="0" w:color="auto"/>
        <w:right w:val="none" w:sz="0" w:space="0" w:color="auto"/>
      </w:divBdr>
    </w:div>
    <w:div w:id="1348946230">
      <w:bodyDiv w:val="1"/>
      <w:marLeft w:val="0"/>
      <w:marRight w:val="0"/>
      <w:marTop w:val="0"/>
      <w:marBottom w:val="0"/>
      <w:divBdr>
        <w:top w:val="none" w:sz="0" w:space="0" w:color="auto"/>
        <w:left w:val="none" w:sz="0" w:space="0" w:color="auto"/>
        <w:bottom w:val="none" w:sz="0" w:space="0" w:color="auto"/>
        <w:right w:val="none" w:sz="0" w:space="0" w:color="auto"/>
      </w:divBdr>
    </w:div>
    <w:div w:id="1592158257">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1995329081">
      <w:bodyDiv w:val="1"/>
      <w:marLeft w:val="0"/>
      <w:marRight w:val="0"/>
      <w:marTop w:val="0"/>
      <w:marBottom w:val="0"/>
      <w:divBdr>
        <w:top w:val="none" w:sz="0" w:space="0" w:color="auto"/>
        <w:left w:val="none" w:sz="0" w:space="0" w:color="auto"/>
        <w:bottom w:val="none" w:sz="0" w:space="0" w:color="auto"/>
        <w:right w:val="none" w:sz="0" w:space="0" w:color="auto"/>
      </w:divBdr>
    </w:div>
    <w:div w:id="2017682782">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fotocasa.es/indice/" TargetMode="External"/><Relationship Id="rId26" Type="http://schemas.openxmlformats.org/officeDocument/2006/relationships/hyperlink" Target="mailto:comunicacion@fotocasa.es" TargetMode="External"/><Relationship Id="rId3" Type="http://schemas.openxmlformats.org/officeDocument/2006/relationships/styles" Target="styles.xml"/><Relationship Id="rId21" Type="http://schemas.openxmlformats.org/officeDocument/2006/relationships/hyperlink" Target="https://www.infojob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mailto:rtorne@llorenteycuenca.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tocasa.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motos.coches.net/" TargetMode="External"/><Relationship Id="rId28" Type="http://schemas.openxmlformats.org/officeDocument/2006/relationships/footer" Target="footer1.xml"/><Relationship Id="rId10" Type="http://schemas.openxmlformats.org/officeDocument/2006/relationships/hyperlink" Target="http://www.fotocasa.es" TargetMode="External"/><Relationship Id="rId19" Type="http://schemas.openxmlformats.org/officeDocument/2006/relationships/hyperlink" Target="https://www.fotocasa.es/es/quienes-somo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s://www.coches.net/" TargetMode="External"/><Relationship Id="rId27" Type="http://schemas.openxmlformats.org/officeDocument/2006/relationships/hyperlink" Target="mailto:emerin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INCREMENTOS%20A&#209;OS\VENTA\DICIEMBRE%202020\PRENSA%20VENTA%20ACUMULATIVO%20DIC%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VENTA ACUMULATIVO DIC 2020.xlsx]ALQUILER CCAA!TablaDinámica3</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8"/>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9"/>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solidFill>
            <a:srgbClr val="8497B0"/>
          </a:solidFill>
          <a:ln>
            <a:noFill/>
          </a:ln>
          <a:effectLst/>
        </c:spPr>
        <c:marker>
          <c:symbol val="none"/>
        </c:marker>
        <c:dLbl>
          <c:idx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1"/>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2"/>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4"/>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5"/>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47"/>
        <c:spPr>
          <a:solidFill>
            <a:schemeClr val="accent1">
              <a:alpha val="7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48"/>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0"/>
        <c:spPr>
          <a:solidFill>
            <a:srgbClr val="8497B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5637718653229108E-2"/>
          <c:y val="5.5443897809111374E-2"/>
          <c:w val="0.96436223249871544"/>
          <c:h val="0.72587468384633735"/>
        </c:manualLayout>
      </c:layout>
      <c:barChart>
        <c:barDir val="col"/>
        <c:grouping val="clustered"/>
        <c:varyColors val="0"/>
        <c:ser>
          <c:idx val="0"/>
          <c:order val="0"/>
          <c:tx>
            <c:strRef>
              <c:f>'ALQUILER CCAA'!$R$7</c:f>
              <c:strCache>
                <c:ptCount val="1"/>
                <c:pt idx="0">
                  <c:v>Total</c:v>
                </c:pt>
              </c:strCache>
            </c:strRef>
          </c:tx>
          <c:spPr>
            <a:solidFill>
              <a:srgbClr val="8497B0"/>
            </a:solidFill>
            <a:ln>
              <a:noFill/>
            </a:ln>
            <a:effectLst/>
          </c:spPr>
          <c:invertIfNegative val="0"/>
          <c:dLbls>
            <c:dLbl>
              <c:idx val="0"/>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1F7-4483-890B-76739E5A4264}"/>
                </c:ext>
              </c:extLst>
            </c:dLbl>
            <c:dLbl>
              <c:idx val="1"/>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1F7-4483-890B-76739E5A4264}"/>
                </c:ext>
              </c:extLst>
            </c:dLbl>
            <c:dLbl>
              <c:idx val="2"/>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1F7-4483-890B-76739E5A426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'ALQUILER CCAA'!$Q$8:$Q$11</c:f>
              <c:strCache>
                <c:ptCount val="4"/>
                <c:pt idx="0">
                  <c:v>Acumulativo de 15 años (2020 vs 2005)</c:v>
                </c:pt>
                <c:pt idx="1">
                  <c:v>Acumulativo de 10 años (2020 vs 2010)</c:v>
                </c:pt>
                <c:pt idx="2">
                  <c:v>Acumulativo de 5 años  (2020 vs 2015)</c:v>
                </c:pt>
                <c:pt idx="3">
                  <c:v> Acumulativo de 1 año (2020 vs 2019)</c:v>
                </c:pt>
              </c:strCache>
            </c:strRef>
          </c:cat>
          <c:val>
            <c:numRef>
              <c:f>'ALQUILER CCAA'!$R$8:$R$11</c:f>
              <c:numCache>
                <c:formatCode>0.0%</c:formatCode>
                <c:ptCount val="4"/>
                <c:pt idx="0">
                  <c:v>-0.30125308300790554</c:v>
                </c:pt>
                <c:pt idx="1">
                  <c:v>-0.17055619229222604</c:v>
                </c:pt>
                <c:pt idx="2">
                  <c:v>0.15845718952583415</c:v>
                </c:pt>
                <c:pt idx="3">
                  <c:v>-7.404250785702193E-4</c:v>
                </c:pt>
              </c:numCache>
            </c:numRef>
          </c:val>
          <c:extLst>
            <c:ext xmlns:c16="http://schemas.microsoft.com/office/drawing/2014/chart" uri="{C3380CC4-5D6E-409C-BE32-E72D297353CC}">
              <c16:uniqueId val="{00000000-B8CB-4421-990F-502AFC9CD534}"/>
            </c:ext>
          </c:extLst>
        </c:ser>
        <c:dLbls>
          <c:showLegendKey val="0"/>
          <c:showVal val="0"/>
          <c:showCatName val="0"/>
          <c:showSerName val="0"/>
          <c:showPercent val="0"/>
          <c:showBubbleSize val="0"/>
        </c:dLbls>
        <c:gapWidth val="81"/>
        <c:overlap val="-1"/>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1000" b="1"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FBC09-2AA0-4378-A83A-7E269E93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8</Pages>
  <Words>2226</Words>
  <Characters>12246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31</cp:revision>
  <dcterms:created xsi:type="dcterms:W3CDTF">2021-02-17T13:43:00Z</dcterms:created>
  <dcterms:modified xsi:type="dcterms:W3CDTF">2021-02-24T07:40:00Z</dcterms:modified>
</cp:coreProperties>
</file>