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D2DB" w14:textId="381348DE" w:rsidR="00A84CA7" w:rsidRDefault="00034E35" w:rsidP="007937D5">
      <w:pPr>
        <w:ind w:right="-574"/>
      </w:pPr>
      <w:r w:rsidRPr="008C4E00">
        <w:rPr>
          <w:b/>
          <w:noProof/>
          <w:sz w:val="32"/>
        </w:rPr>
        <w:drawing>
          <wp:anchor distT="0" distB="0" distL="114300" distR="114300" simplePos="0" relativeHeight="251653120" behindDoc="0" locked="0" layoutInCell="1" allowOverlap="1" wp14:anchorId="7B7A2095" wp14:editId="470A4815">
            <wp:simplePos x="0" y="0"/>
            <wp:positionH relativeFrom="column">
              <wp:posOffset>-705781</wp:posOffset>
            </wp:positionH>
            <wp:positionV relativeFrom="paragraph">
              <wp:posOffset>-62507</wp:posOffset>
            </wp:positionV>
            <wp:extent cx="1748621" cy="400050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62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2ED0D652" wp14:editId="1CBADAAA">
            <wp:simplePos x="0" y="0"/>
            <wp:positionH relativeFrom="column">
              <wp:posOffset>4057015</wp:posOffset>
            </wp:positionH>
            <wp:positionV relativeFrom="paragraph">
              <wp:posOffset>-321945</wp:posOffset>
            </wp:positionV>
            <wp:extent cx="2431065" cy="658946"/>
            <wp:effectExtent l="0" t="0" r="762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949" cy="668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2FF5D" w14:textId="77777777" w:rsidR="000034A6" w:rsidRDefault="000034A6" w:rsidP="007937D5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158B6A87" w14:textId="77777777" w:rsidR="00A84CA7" w:rsidRDefault="00A84CA7" w:rsidP="007937D5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4B2B618F" w14:textId="198EBFB7" w:rsidR="00DE052F" w:rsidRPr="00DE052F" w:rsidRDefault="00CD1A17" w:rsidP="007937D5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30"/>
          <w:lang w:val="es-ES"/>
        </w:rPr>
      </w:pPr>
      <w:r>
        <w:rPr>
          <w:rFonts w:ascii="National" w:hAnsi="National"/>
          <w:b/>
          <w:bCs/>
          <w:iCs/>
          <w:color w:val="1DBDC5"/>
          <w:sz w:val="30"/>
          <w:lang w:val="es-ES"/>
        </w:rPr>
        <w:t xml:space="preserve">ANÁLISIS </w:t>
      </w:r>
      <w:r w:rsidR="0091359C">
        <w:rPr>
          <w:rFonts w:ascii="National" w:hAnsi="National"/>
          <w:b/>
          <w:bCs/>
          <w:iCs/>
          <w:color w:val="1DBDC5"/>
          <w:sz w:val="30"/>
          <w:lang w:val="es-ES"/>
        </w:rPr>
        <w:t xml:space="preserve">ACUMULATIVO PRECIO DE </w:t>
      </w:r>
      <w:r w:rsidR="00F628E0">
        <w:rPr>
          <w:rFonts w:ascii="National" w:hAnsi="National"/>
          <w:b/>
          <w:bCs/>
          <w:iCs/>
          <w:color w:val="1DBDC5"/>
          <w:sz w:val="30"/>
          <w:lang w:val="es-ES"/>
        </w:rPr>
        <w:t>GARAJES</w:t>
      </w:r>
      <w:r>
        <w:rPr>
          <w:rFonts w:ascii="National" w:hAnsi="National"/>
          <w:b/>
          <w:bCs/>
          <w:iCs/>
          <w:color w:val="1DBDC5"/>
          <w:sz w:val="30"/>
          <w:lang w:val="es-ES"/>
        </w:rPr>
        <w:t xml:space="preserve"> EN ESPAÑA</w:t>
      </w:r>
    </w:p>
    <w:p w14:paraId="2ABF5D48" w14:textId="39CD9927" w:rsidR="00170702" w:rsidRDefault="00170702" w:rsidP="00170702">
      <w:pPr>
        <w:pStyle w:val="Prrafodelista"/>
        <w:spacing w:line="276" w:lineRule="auto"/>
        <w:ind w:left="284" w:right="-574"/>
        <w:jc w:val="center"/>
        <w:rPr>
          <w:rFonts w:ascii="Open Sans" w:hAnsi="Open Sans" w:cs="Open Sans"/>
          <w:sz w:val="22"/>
          <w:szCs w:val="22"/>
        </w:rPr>
      </w:pPr>
      <w:r w:rsidRPr="007D3B4D"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 xml:space="preserve">El precio de </w:t>
      </w:r>
      <w:r w:rsidR="008B4C90"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>los garajes</w:t>
      </w:r>
      <w:r w:rsidRPr="007D3B4D"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 xml:space="preserve"> </w:t>
      </w:r>
      <w:r w:rsidR="008B4C90"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>se abarata casi un 30% en España en</w:t>
      </w:r>
      <w:r w:rsidRPr="007D3B4D"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 xml:space="preserve"> </w:t>
      </w:r>
      <w:r w:rsidR="00AE23F4"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>5</w:t>
      </w:r>
      <w:r w:rsidRPr="007D3B4D"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 xml:space="preserve"> años</w:t>
      </w:r>
      <w:r w:rsidRPr="00B63DBE"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 xml:space="preserve"> </w:t>
      </w:r>
    </w:p>
    <w:p w14:paraId="4B9D3214" w14:textId="611E023F" w:rsidR="005F6A96" w:rsidRDefault="00B63DBE" w:rsidP="007D3B4D">
      <w:pPr>
        <w:pStyle w:val="Prrafodelista"/>
        <w:spacing w:line="276" w:lineRule="auto"/>
        <w:ind w:left="284" w:right="-574"/>
        <w:jc w:val="center"/>
        <w:rPr>
          <w:rFonts w:ascii="Open Sans" w:hAnsi="Open Sans" w:cs="Open Sans"/>
          <w:sz w:val="22"/>
          <w:szCs w:val="22"/>
        </w:rPr>
      </w:pPr>
      <w:r w:rsidRPr="00B63DBE"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 xml:space="preserve"> </w:t>
      </w:r>
    </w:p>
    <w:p w14:paraId="7D7FE9B8" w14:textId="5D194A82" w:rsidR="005F2287" w:rsidRDefault="0014287C" w:rsidP="005F2287">
      <w:pPr>
        <w:pStyle w:val="Prrafodelista"/>
        <w:numPr>
          <w:ilvl w:val="0"/>
          <w:numId w:val="8"/>
        </w:numPr>
        <w:spacing w:line="276" w:lineRule="auto"/>
        <w:ind w:left="284"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En 2020 se ha pagado por </w:t>
      </w:r>
      <w:r w:rsidR="008B4C90">
        <w:rPr>
          <w:rFonts w:ascii="Open Sans" w:hAnsi="Open Sans" w:cs="Open Sans"/>
          <w:sz w:val="22"/>
          <w:szCs w:val="22"/>
        </w:rPr>
        <w:t xml:space="preserve">un garaje en </w:t>
      </w:r>
      <w:r w:rsidR="00B63DBE">
        <w:rPr>
          <w:rFonts w:ascii="Open Sans" w:hAnsi="Open Sans" w:cs="Open Sans"/>
          <w:sz w:val="22"/>
          <w:szCs w:val="22"/>
        </w:rPr>
        <w:t>venta</w:t>
      </w:r>
      <w:r w:rsidR="00ED419C">
        <w:rPr>
          <w:rFonts w:ascii="Open Sans" w:hAnsi="Open Sans" w:cs="Open Sans"/>
          <w:sz w:val="22"/>
          <w:szCs w:val="22"/>
        </w:rPr>
        <w:t xml:space="preserve"> en España </w:t>
      </w:r>
      <w:r>
        <w:rPr>
          <w:rFonts w:ascii="Open Sans" w:hAnsi="Open Sans" w:cs="Open Sans"/>
          <w:sz w:val="22"/>
          <w:szCs w:val="22"/>
        </w:rPr>
        <w:t xml:space="preserve">un </w:t>
      </w:r>
      <w:r w:rsidR="008B4C90">
        <w:rPr>
          <w:rFonts w:ascii="Open Sans" w:hAnsi="Open Sans" w:cs="Open Sans"/>
          <w:sz w:val="22"/>
          <w:szCs w:val="22"/>
        </w:rPr>
        <w:t>8,4</w:t>
      </w:r>
      <w:r>
        <w:rPr>
          <w:rFonts w:ascii="Open Sans" w:hAnsi="Open Sans" w:cs="Open Sans"/>
          <w:sz w:val="22"/>
          <w:szCs w:val="22"/>
        </w:rPr>
        <w:t xml:space="preserve">% </w:t>
      </w:r>
      <w:r w:rsidR="008B4C90">
        <w:rPr>
          <w:rFonts w:ascii="Open Sans" w:hAnsi="Open Sans" w:cs="Open Sans"/>
          <w:sz w:val="22"/>
          <w:szCs w:val="22"/>
        </w:rPr>
        <w:t>menos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45167C">
        <w:rPr>
          <w:rFonts w:ascii="Open Sans" w:hAnsi="Open Sans" w:cs="Open Sans"/>
          <w:sz w:val="22"/>
          <w:szCs w:val="22"/>
        </w:rPr>
        <w:t xml:space="preserve">que </w:t>
      </w:r>
      <w:r w:rsidR="00B72C28">
        <w:rPr>
          <w:rFonts w:ascii="Open Sans" w:hAnsi="Open Sans" w:cs="Open Sans"/>
          <w:sz w:val="22"/>
          <w:szCs w:val="22"/>
        </w:rPr>
        <w:t xml:space="preserve">en </w:t>
      </w:r>
      <w:r>
        <w:rPr>
          <w:rFonts w:ascii="Open Sans" w:hAnsi="Open Sans" w:cs="Open Sans"/>
          <w:sz w:val="22"/>
          <w:szCs w:val="22"/>
        </w:rPr>
        <w:t>20</w:t>
      </w:r>
      <w:r w:rsidR="00B63DBE">
        <w:rPr>
          <w:rFonts w:ascii="Open Sans" w:hAnsi="Open Sans" w:cs="Open Sans"/>
          <w:sz w:val="22"/>
          <w:szCs w:val="22"/>
        </w:rPr>
        <w:t>1</w:t>
      </w:r>
      <w:r w:rsidR="008B4C90">
        <w:rPr>
          <w:rFonts w:ascii="Open Sans" w:hAnsi="Open Sans" w:cs="Open Sans"/>
          <w:sz w:val="22"/>
          <w:szCs w:val="22"/>
        </w:rPr>
        <w:t xml:space="preserve">9 </w:t>
      </w:r>
    </w:p>
    <w:p w14:paraId="376D667E" w14:textId="425C6C0E" w:rsidR="00ED419C" w:rsidRPr="00736472" w:rsidRDefault="005F2287" w:rsidP="005F2287">
      <w:pPr>
        <w:pStyle w:val="Prrafodelista"/>
        <w:numPr>
          <w:ilvl w:val="0"/>
          <w:numId w:val="8"/>
        </w:numPr>
        <w:spacing w:line="276" w:lineRule="auto"/>
        <w:ind w:left="284" w:right="-574"/>
        <w:jc w:val="both"/>
        <w:rPr>
          <w:rFonts w:ascii="Open Sans" w:hAnsi="Open Sans" w:cs="Open Sans"/>
          <w:sz w:val="22"/>
          <w:szCs w:val="22"/>
        </w:rPr>
      </w:pPr>
      <w:r w:rsidRPr="005F2287">
        <w:rPr>
          <w:rFonts w:ascii="Open Sans" w:hAnsi="Open Sans" w:cs="Open Sans"/>
          <w:sz w:val="22"/>
          <w:szCs w:val="22"/>
        </w:rPr>
        <w:t xml:space="preserve">Castilla y León, Aragón, Navarra, Región de Murcia y Comunitat Valenciana </w:t>
      </w:r>
      <w:r w:rsidR="00B72C28">
        <w:rPr>
          <w:rFonts w:ascii="Open Sans" w:hAnsi="Open Sans" w:cs="Open Sans"/>
          <w:sz w:val="22"/>
          <w:szCs w:val="22"/>
        </w:rPr>
        <w:t xml:space="preserve">son </w:t>
      </w:r>
      <w:r>
        <w:rPr>
          <w:rFonts w:ascii="Open Sans" w:hAnsi="Open Sans" w:cs="Open Sans"/>
          <w:sz w:val="22"/>
          <w:szCs w:val="22"/>
        </w:rPr>
        <w:t xml:space="preserve">las comunidades en las que se reduce un tercio el valor de los garajes en 5 años  </w:t>
      </w:r>
    </w:p>
    <w:p w14:paraId="1B5BDB44" w14:textId="0167C6C3" w:rsidR="00A00150" w:rsidRDefault="00ED419C" w:rsidP="009E08E6">
      <w:pPr>
        <w:pStyle w:val="Prrafodelista"/>
        <w:numPr>
          <w:ilvl w:val="0"/>
          <w:numId w:val="8"/>
        </w:numPr>
        <w:spacing w:line="276" w:lineRule="auto"/>
        <w:ind w:left="284"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Los </w:t>
      </w:r>
      <w:r w:rsidRPr="00227100">
        <w:rPr>
          <w:rFonts w:ascii="Open Sans" w:hAnsi="Open Sans" w:cs="Open Sans"/>
          <w:sz w:val="22"/>
          <w:szCs w:val="22"/>
        </w:rPr>
        <w:t>más</w:t>
      </w:r>
      <w:r w:rsidR="00CB6EB1" w:rsidRPr="00227100">
        <w:rPr>
          <w:rFonts w:ascii="Open Sans" w:hAnsi="Open Sans" w:cs="Open Sans"/>
          <w:sz w:val="22"/>
          <w:szCs w:val="22"/>
        </w:rPr>
        <w:t xml:space="preserve"> </w:t>
      </w:r>
      <w:r w:rsidR="00A00150">
        <w:rPr>
          <w:rFonts w:ascii="Open Sans" w:hAnsi="Open Sans" w:cs="Open Sans"/>
          <w:sz w:val="22"/>
          <w:szCs w:val="22"/>
        </w:rPr>
        <w:t xml:space="preserve">beneficiados </w:t>
      </w:r>
      <w:r w:rsidRPr="00227100">
        <w:rPr>
          <w:rFonts w:ascii="Open Sans" w:hAnsi="Open Sans" w:cs="Open Sans"/>
          <w:sz w:val="22"/>
          <w:szCs w:val="22"/>
        </w:rPr>
        <w:t xml:space="preserve">por </w:t>
      </w:r>
      <w:r w:rsidR="00B63DBE" w:rsidRPr="00227100">
        <w:rPr>
          <w:rFonts w:ascii="Open Sans" w:hAnsi="Open Sans" w:cs="Open Sans"/>
          <w:sz w:val="22"/>
          <w:szCs w:val="22"/>
        </w:rPr>
        <w:t xml:space="preserve">el </w:t>
      </w:r>
      <w:r w:rsidR="00A00150">
        <w:rPr>
          <w:rFonts w:ascii="Open Sans" w:hAnsi="Open Sans" w:cs="Open Sans"/>
          <w:sz w:val="22"/>
          <w:szCs w:val="22"/>
        </w:rPr>
        <w:t xml:space="preserve">descenso </w:t>
      </w:r>
      <w:r w:rsidR="00B63DBE" w:rsidRPr="00227100">
        <w:rPr>
          <w:rFonts w:ascii="Open Sans" w:hAnsi="Open Sans" w:cs="Open Sans"/>
          <w:sz w:val="22"/>
          <w:szCs w:val="22"/>
        </w:rPr>
        <w:t xml:space="preserve">del precio de </w:t>
      </w:r>
      <w:r w:rsidR="00227100" w:rsidRPr="00227100">
        <w:rPr>
          <w:rFonts w:ascii="Open Sans" w:hAnsi="Open Sans" w:cs="Open Sans"/>
          <w:sz w:val="22"/>
          <w:szCs w:val="22"/>
        </w:rPr>
        <w:t>l</w:t>
      </w:r>
      <w:r w:rsidR="00A00150">
        <w:rPr>
          <w:rFonts w:ascii="Open Sans" w:hAnsi="Open Sans" w:cs="Open Sans"/>
          <w:sz w:val="22"/>
          <w:szCs w:val="22"/>
        </w:rPr>
        <w:t>os garajes en 2020 han sido los residentes de Huelva capital, cuyo descenso interanual ha alcanzado el -22%</w:t>
      </w:r>
    </w:p>
    <w:p w14:paraId="2215ADD6" w14:textId="77777777" w:rsidR="00F65A5B" w:rsidRPr="00F65A5B" w:rsidRDefault="00F65A5B" w:rsidP="005E255E">
      <w:pPr>
        <w:pStyle w:val="Prrafodelista"/>
        <w:spacing w:line="276" w:lineRule="auto"/>
        <w:ind w:left="284"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591FA1E5" w14:textId="30982587" w:rsidR="002A35C0" w:rsidRPr="002A35C0" w:rsidRDefault="002D35EA" w:rsidP="00863CB3">
      <w:pPr>
        <w:pStyle w:val="Prrafodelista"/>
        <w:spacing w:line="276" w:lineRule="auto"/>
        <w:ind w:left="0"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Madrid</w:t>
      </w:r>
      <w:r w:rsidR="0075308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, </w:t>
      </w:r>
      <w:r w:rsidR="00863CB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2</w:t>
      </w:r>
      <w:r w:rsidR="00A7093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</w:t>
      </w:r>
      <w:r w:rsidR="00F628E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marzo</w:t>
      </w:r>
      <w:r w:rsidR="002A35C0" w:rsidRPr="002A35C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</w:t>
      </w:r>
      <w:r w:rsidR="007937D5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2</w:t>
      </w:r>
      <w:r w:rsidR="00C31E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1</w:t>
      </w:r>
    </w:p>
    <w:p w14:paraId="32D1BEA4" w14:textId="3F54395C" w:rsidR="00833BF4" w:rsidRDefault="00A36820" w:rsidP="00BD2FBF">
      <w:pPr>
        <w:pStyle w:val="NormalWeb"/>
        <w:shd w:val="clear" w:color="auto" w:fill="FFFFFF"/>
        <w:spacing w:after="225" w:line="276" w:lineRule="auto"/>
        <w:ind w:right="-574"/>
        <w:jc w:val="both"/>
        <w:rPr>
          <w:color w:val="000000"/>
        </w:rPr>
      </w:pPr>
      <w:r>
        <w:rPr>
          <w:rFonts w:ascii="Open Sans" w:hAnsi="Open Sans" w:cs="Open Sans"/>
          <w:color w:val="000000"/>
          <w:sz w:val="22"/>
          <w:szCs w:val="22"/>
        </w:rPr>
        <w:t>El precio acumulativo de</w:t>
      </w:r>
      <w:r w:rsidR="0045167C">
        <w:rPr>
          <w:rFonts w:ascii="Open Sans" w:hAnsi="Open Sans" w:cs="Open Sans"/>
          <w:color w:val="000000"/>
          <w:sz w:val="22"/>
          <w:szCs w:val="22"/>
        </w:rPr>
        <w:t xml:space="preserve"> los garajes e</w:t>
      </w:r>
      <w:r>
        <w:rPr>
          <w:rFonts w:ascii="Open Sans" w:hAnsi="Open Sans" w:cs="Open Sans"/>
          <w:color w:val="000000"/>
          <w:sz w:val="22"/>
          <w:szCs w:val="22"/>
        </w:rPr>
        <w:t xml:space="preserve">n </w:t>
      </w:r>
      <w:r w:rsidR="00B231C2">
        <w:rPr>
          <w:rFonts w:ascii="Open Sans" w:hAnsi="Open Sans" w:cs="Open Sans"/>
          <w:color w:val="000000"/>
          <w:sz w:val="22"/>
          <w:szCs w:val="22"/>
        </w:rPr>
        <w:t>venta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4D0E4B" w:rsidRPr="008D20D0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ha </w:t>
      </w:r>
      <w:r w:rsidR="00B72C28">
        <w:rPr>
          <w:rFonts w:ascii="Open Sans" w:hAnsi="Open Sans" w:cs="Open Sans"/>
          <w:color w:val="0D0D0D" w:themeColor="text1" w:themeTint="F2"/>
          <w:sz w:val="22"/>
          <w:szCs w:val="22"/>
        </w:rPr>
        <w:t>bajado</w:t>
      </w:r>
      <w:r w:rsidRPr="008D20D0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en </w:t>
      </w:r>
      <w:r>
        <w:rPr>
          <w:rFonts w:ascii="Open Sans" w:hAnsi="Open Sans" w:cs="Open Sans"/>
          <w:color w:val="000000"/>
          <w:sz w:val="22"/>
          <w:szCs w:val="22"/>
        </w:rPr>
        <w:t xml:space="preserve">España un </w:t>
      </w:r>
      <w:r w:rsidR="00B72C28">
        <w:rPr>
          <w:rFonts w:ascii="Open Sans" w:hAnsi="Open Sans" w:cs="Open Sans"/>
          <w:color w:val="000000"/>
          <w:sz w:val="22"/>
          <w:szCs w:val="22"/>
        </w:rPr>
        <w:t>29</w:t>
      </w:r>
      <w:r>
        <w:rPr>
          <w:rFonts w:ascii="Open Sans" w:hAnsi="Open Sans" w:cs="Open Sans"/>
          <w:color w:val="000000"/>
          <w:sz w:val="22"/>
          <w:szCs w:val="22"/>
        </w:rPr>
        <w:t xml:space="preserve">% </w:t>
      </w:r>
      <w:r w:rsidR="00C31EC9">
        <w:rPr>
          <w:rFonts w:ascii="Open Sans" w:hAnsi="Open Sans" w:cs="Open Sans"/>
          <w:color w:val="000000"/>
          <w:sz w:val="22"/>
          <w:szCs w:val="22"/>
        </w:rPr>
        <w:t xml:space="preserve">en </w:t>
      </w:r>
      <w:r w:rsidR="00504F5F">
        <w:rPr>
          <w:rFonts w:ascii="Open Sans" w:hAnsi="Open Sans" w:cs="Open Sans"/>
          <w:color w:val="000000"/>
          <w:sz w:val="22"/>
          <w:szCs w:val="22"/>
        </w:rPr>
        <w:t>5</w:t>
      </w:r>
      <w:r w:rsidR="00C31EC9">
        <w:rPr>
          <w:rFonts w:ascii="Open Sans" w:hAnsi="Open Sans" w:cs="Open Sans"/>
          <w:color w:val="000000"/>
          <w:sz w:val="22"/>
          <w:szCs w:val="22"/>
        </w:rPr>
        <w:t xml:space="preserve"> años </w:t>
      </w:r>
      <w:r w:rsidR="00B72C28">
        <w:rPr>
          <w:rFonts w:ascii="Open Sans" w:hAnsi="Open Sans" w:cs="Open Sans"/>
          <w:color w:val="000000"/>
          <w:sz w:val="22"/>
          <w:szCs w:val="22"/>
        </w:rPr>
        <w:t xml:space="preserve">(respecto a 2015) </w:t>
      </w:r>
      <w:r w:rsidR="00C31EC9">
        <w:rPr>
          <w:rFonts w:ascii="Open Sans" w:hAnsi="Open Sans" w:cs="Open Sans"/>
          <w:color w:val="000000"/>
          <w:sz w:val="22"/>
          <w:szCs w:val="22"/>
        </w:rPr>
        <w:t>y</w:t>
      </w:r>
      <w:r w:rsidR="002D672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31EC9">
        <w:rPr>
          <w:rFonts w:ascii="Open Sans" w:hAnsi="Open Sans" w:cs="Open Sans"/>
          <w:color w:val="000000"/>
          <w:sz w:val="22"/>
          <w:szCs w:val="22"/>
        </w:rPr>
        <w:t xml:space="preserve">un </w:t>
      </w:r>
      <w:r w:rsidR="0045167C">
        <w:rPr>
          <w:rFonts w:ascii="Open Sans" w:hAnsi="Open Sans" w:cs="Open Sans"/>
          <w:color w:val="000000"/>
          <w:sz w:val="22"/>
          <w:szCs w:val="22"/>
        </w:rPr>
        <w:t>8,4</w:t>
      </w:r>
      <w:r w:rsidR="00C31EC9">
        <w:rPr>
          <w:rFonts w:ascii="Open Sans" w:hAnsi="Open Sans" w:cs="Open Sans"/>
          <w:color w:val="000000"/>
          <w:sz w:val="22"/>
          <w:szCs w:val="22"/>
        </w:rPr>
        <w:t>% en un año</w:t>
      </w:r>
      <w:r w:rsidR="00B72C28">
        <w:rPr>
          <w:rFonts w:ascii="Open Sans" w:hAnsi="Open Sans" w:cs="Open Sans"/>
          <w:color w:val="000000"/>
          <w:sz w:val="22"/>
          <w:szCs w:val="22"/>
        </w:rPr>
        <w:t xml:space="preserve"> (respecto a 2019), </w:t>
      </w:r>
      <w:r w:rsidRPr="008376CF">
        <w:rPr>
          <w:rFonts w:ascii="Open Sans" w:hAnsi="Open Sans" w:cs="Open Sans"/>
          <w:color w:val="000000"/>
          <w:sz w:val="22"/>
          <w:szCs w:val="22"/>
        </w:rPr>
        <w:t xml:space="preserve">según el estudio </w:t>
      </w:r>
      <w:r w:rsidRPr="008376CF">
        <w:rPr>
          <w:rFonts w:ascii="Open Sans" w:hAnsi="Open Sans" w:cs="Open Sans"/>
          <w:b/>
          <w:bCs/>
          <w:color w:val="000000"/>
          <w:sz w:val="22"/>
          <w:szCs w:val="22"/>
        </w:rPr>
        <w:t>“</w:t>
      </w:r>
      <w:r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 xml:space="preserve">Variación acumulativa de </w:t>
      </w:r>
      <w:r w:rsidR="00B72C28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los garajes</w:t>
      </w:r>
      <w:r w:rsidR="007F702A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 xml:space="preserve"> en España</w:t>
      </w:r>
      <w:r w:rsidR="00376DE0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 xml:space="preserve"> en 2020</w:t>
      </w:r>
      <w:r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”</w:t>
      </w:r>
      <w:r w:rsidR="00C31EC9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,</w:t>
      </w:r>
      <w:r w:rsidR="004C730E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basado en</w:t>
      </w:r>
      <w:r w:rsidRPr="008376CF">
        <w:rPr>
          <w:rFonts w:ascii="Open Sans" w:hAnsi="Open Sans" w:cs="Open Sans"/>
          <w:color w:val="000000"/>
          <w:sz w:val="22"/>
          <w:szCs w:val="22"/>
        </w:rPr>
        <w:t xml:space="preserve"> los </w:t>
      </w:r>
      <w:r w:rsidR="00C31EC9">
        <w:rPr>
          <w:rFonts w:ascii="Open Sans" w:hAnsi="Open Sans" w:cs="Open Sans"/>
          <w:color w:val="000000"/>
          <w:sz w:val="22"/>
          <w:szCs w:val="22"/>
        </w:rPr>
        <w:t xml:space="preserve">precios de </w:t>
      </w:r>
      <w:r w:rsidR="00B72C28">
        <w:rPr>
          <w:rFonts w:ascii="Open Sans" w:hAnsi="Open Sans" w:cs="Open Sans"/>
          <w:color w:val="000000"/>
          <w:sz w:val="22"/>
          <w:szCs w:val="22"/>
        </w:rPr>
        <w:t xml:space="preserve">los </w:t>
      </w:r>
      <w:bookmarkStart w:id="0" w:name="_Hlk65518006"/>
      <w:r w:rsidR="004C730E">
        <w:rPr>
          <w:rFonts w:ascii="Open Sans" w:hAnsi="Open Sans" w:cs="Open Sans"/>
          <w:color w:val="000000"/>
          <w:sz w:val="22"/>
          <w:szCs w:val="22"/>
        </w:rPr>
        <w:fldChar w:fldCharType="begin"/>
      </w:r>
      <w:r w:rsidR="004C730E">
        <w:rPr>
          <w:rFonts w:ascii="Open Sans" w:hAnsi="Open Sans" w:cs="Open Sans"/>
          <w:color w:val="000000"/>
          <w:sz w:val="22"/>
          <w:szCs w:val="22"/>
        </w:rPr>
        <w:instrText xml:space="preserve"> HYPERLINK "https://www.fotocasa.es/es/comprar/garajes/espana/todas-las-zonas/l" </w:instrText>
      </w:r>
      <w:r w:rsidR="004C730E">
        <w:rPr>
          <w:rFonts w:ascii="Open Sans" w:hAnsi="Open Sans" w:cs="Open Sans"/>
          <w:color w:val="000000"/>
          <w:sz w:val="22"/>
          <w:szCs w:val="22"/>
        </w:rPr>
      </w:r>
      <w:r w:rsidR="004C730E">
        <w:rPr>
          <w:rFonts w:ascii="Open Sans" w:hAnsi="Open Sans" w:cs="Open Sans"/>
          <w:color w:val="000000"/>
          <w:sz w:val="22"/>
          <w:szCs w:val="22"/>
        </w:rPr>
        <w:fldChar w:fldCharType="separate"/>
      </w:r>
      <w:r w:rsidR="00B72C28" w:rsidRPr="004C730E">
        <w:rPr>
          <w:rStyle w:val="Hipervnculo"/>
          <w:rFonts w:ascii="Open Sans" w:hAnsi="Open Sans" w:cs="Open Sans"/>
          <w:sz w:val="22"/>
          <w:szCs w:val="22"/>
        </w:rPr>
        <w:t>garajes</w:t>
      </w:r>
      <w:r w:rsidR="00C31EC9" w:rsidRPr="004C730E">
        <w:rPr>
          <w:rStyle w:val="Hipervnculo"/>
          <w:rFonts w:ascii="Open Sans" w:hAnsi="Open Sans" w:cs="Open Sans"/>
          <w:sz w:val="22"/>
          <w:szCs w:val="22"/>
        </w:rPr>
        <w:t xml:space="preserve"> en </w:t>
      </w:r>
      <w:r w:rsidR="00B231C2" w:rsidRPr="004C730E">
        <w:rPr>
          <w:rStyle w:val="Hipervnculo"/>
          <w:rFonts w:ascii="Open Sans" w:hAnsi="Open Sans" w:cs="Open Sans"/>
          <w:sz w:val="22"/>
          <w:szCs w:val="22"/>
        </w:rPr>
        <w:t>venta</w:t>
      </w:r>
      <w:r w:rsidR="004C730E">
        <w:rPr>
          <w:rFonts w:ascii="Open Sans" w:hAnsi="Open Sans" w:cs="Open Sans"/>
          <w:color w:val="000000"/>
          <w:sz w:val="22"/>
          <w:szCs w:val="22"/>
        </w:rPr>
        <w:fldChar w:fldCharType="end"/>
      </w:r>
      <w:bookmarkEnd w:id="0"/>
      <w:r w:rsidRPr="008376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d</w:t>
      </w:r>
      <w:r w:rsidR="009309B9">
        <w:rPr>
          <w:rFonts w:ascii="Open Sans" w:hAnsi="Open Sans" w:cs="Open Sans"/>
          <w:color w:val="000000"/>
          <w:sz w:val="22"/>
          <w:szCs w:val="22"/>
        </w:rPr>
        <w:t>el mes de diciembre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309B9">
        <w:rPr>
          <w:rFonts w:ascii="Open Sans" w:hAnsi="Open Sans" w:cs="Open Sans"/>
          <w:color w:val="000000"/>
          <w:sz w:val="22"/>
          <w:szCs w:val="22"/>
        </w:rPr>
        <w:t xml:space="preserve">de los últimos </w:t>
      </w:r>
      <w:r w:rsidR="0045167C">
        <w:rPr>
          <w:rFonts w:ascii="Open Sans" w:hAnsi="Open Sans" w:cs="Open Sans"/>
          <w:color w:val="000000"/>
          <w:sz w:val="22"/>
          <w:szCs w:val="22"/>
        </w:rPr>
        <w:t>5</w:t>
      </w:r>
      <w:r w:rsidR="009309B9">
        <w:rPr>
          <w:rFonts w:ascii="Open Sans" w:hAnsi="Open Sans" w:cs="Open Sans"/>
          <w:color w:val="000000"/>
          <w:sz w:val="22"/>
          <w:szCs w:val="22"/>
        </w:rPr>
        <w:t xml:space="preserve"> años del </w:t>
      </w:r>
      <w:r w:rsidRPr="008376CF">
        <w:rPr>
          <w:rFonts w:ascii="Open Sans" w:hAnsi="Open Sans" w:cs="Open Sans"/>
          <w:color w:val="000000"/>
          <w:sz w:val="22"/>
          <w:szCs w:val="22"/>
        </w:rPr>
        <w:t xml:space="preserve">Índice Inmobiliario </w:t>
      </w:r>
      <w:hyperlink r:id="rId10" w:history="1">
        <w:r w:rsidRPr="008376CF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1651B5">
        <w:rPr>
          <w:rStyle w:val="Hipervnculo"/>
          <w:rFonts w:ascii="Open Sans" w:hAnsi="Open Sans" w:cs="Open Sans"/>
          <w:sz w:val="22"/>
          <w:szCs w:val="22"/>
        </w:rPr>
        <w:t>.</w:t>
      </w:r>
      <w:r w:rsidR="001651B5" w:rsidRPr="001651B5">
        <w:rPr>
          <w:color w:val="000000"/>
        </w:rPr>
        <w:t xml:space="preserve"> </w:t>
      </w:r>
    </w:p>
    <w:p w14:paraId="7B938E6A" w14:textId="06D501CF" w:rsidR="00583D8D" w:rsidRDefault="00CE47E3" w:rsidP="00583D8D">
      <w:pPr>
        <w:pStyle w:val="NormalWeb"/>
        <w:shd w:val="clear" w:color="auto" w:fill="FFFFFF"/>
        <w:spacing w:after="225" w:line="276" w:lineRule="auto"/>
        <w:ind w:right="-574"/>
        <w:jc w:val="center"/>
        <w:rPr>
          <w:noProof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</w:rPr>
        <w:t>Variación acumulativa</w:t>
      </w:r>
      <w:r w:rsidR="00833BF4">
        <w:rPr>
          <w:rFonts w:ascii="National" w:hAnsi="National"/>
          <w:b/>
          <w:bCs/>
          <w:iCs/>
          <w:color w:val="303AB2"/>
          <w:sz w:val="28"/>
          <w:szCs w:val="160"/>
        </w:rPr>
        <w:t xml:space="preserve"> (%) por </w:t>
      </w:r>
      <w:r>
        <w:rPr>
          <w:rFonts w:ascii="National" w:hAnsi="National"/>
          <w:b/>
          <w:bCs/>
          <w:iCs/>
          <w:color w:val="303AB2"/>
          <w:sz w:val="28"/>
          <w:szCs w:val="160"/>
        </w:rPr>
        <w:t xml:space="preserve">años </w:t>
      </w:r>
      <w:r w:rsidR="0037410B">
        <w:rPr>
          <w:rFonts w:ascii="National" w:hAnsi="National"/>
          <w:b/>
          <w:bCs/>
          <w:iCs/>
          <w:color w:val="303AB2"/>
          <w:sz w:val="28"/>
          <w:szCs w:val="160"/>
        </w:rPr>
        <w:t>en España</w:t>
      </w:r>
      <w:r w:rsidR="00497F29" w:rsidRPr="00497F29">
        <w:rPr>
          <w:noProof/>
        </w:rPr>
        <w:t xml:space="preserve"> </w:t>
      </w:r>
      <w:r w:rsidR="00565BC8">
        <w:rPr>
          <w:noProof/>
        </w:rPr>
        <w:drawing>
          <wp:inline distT="0" distB="0" distL="0" distR="0" wp14:anchorId="208ACE05" wp14:editId="1EBF34CD">
            <wp:extent cx="4701540" cy="2596551"/>
            <wp:effectExtent l="0" t="0" r="381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DB894F-FCA0-4B2D-AEC4-6162D0E6D6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F88501F" w14:textId="36CAE6DE" w:rsidR="0045167C" w:rsidRPr="00C47AA7" w:rsidRDefault="00C47AA7" w:rsidP="00C47AA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" w:name="_Hlk65517907"/>
      <w:r w:rsidRPr="00C47AA7">
        <w:rPr>
          <w:rFonts w:ascii="Open Sans" w:hAnsi="Open Sans" w:cs="Open Sans"/>
          <w:color w:val="000000"/>
          <w:sz w:val="22"/>
          <w:szCs w:val="22"/>
        </w:rPr>
        <w:t>"E</w:t>
      </w:r>
      <w:r>
        <w:rPr>
          <w:rFonts w:ascii="Open Sans" w:hAnsi="Open Sans" w:cs="Open Sans"/>
          <w:color w:val="000000"/>
          <w:sz w:val="22"/>
          <w:szCs w:val="22"/>
        </w:rPr>
        <w:t>n los últimos cinco años el precio de los garajes en venta ha bajado con fuerza y</w:t>
      </w:r>
      <w:r w:rsidR="00C244AB">
        <w:rPr>
          <w:rFonts w:ascii="Open Sans" w:hAnsi="Open Sans" w:cs="Open Sans"/>
          <w:color w:val="000000"/>
          <w:sz w:val="22"/>
          <w:szCs w:val="22"/>
        </w:rPr>
        <w:t xml:space="preserve"> eso explica la alta rentabilidad que ofrece ahora mismo comprar una plaza de garaje para ponerla en alquiler, en concreto en 2020 ha cerrado con una rentabilidad del 9,3%. De esta manera, las plazas de garaje se están convirtiendo en una buena </w:t>
      </w:r>
      <w:r w:rsidR="00020390">
        <w:rPr>
          <w:rFonts w:ascii="Open Sans" w:hAnsi="Open Sans" w:cs="Open Sans"/>
          <w:color w:val="000000"/>
          <w:sz w:val="22"/>
          <w:szCs w:val="22"/>
        </w:rPr>
        <w:t xml:space="preserve">solución para los pequeños ahorradores”, explica Anaïs López, directora de Comunicación de </w:t>
      </w:r>
      <w:hyperlink r:id="rId12" w:history="1">
        <w:r w:rsidR="00020390" w:rsidRPr="008376CF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020390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bookmarkEnd w:id="1"/>
    <w:p w14:paraId="520792F6" w14:textId="35560935" w:rsidR="00752A3B" w:rsidRDefault="003A7DB8" w:rsidP="00583D8D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</w:rPr>
      </w:pPr>
      <w:r w:rsidRPr="003A7DB8">
        <w:rPr>
          <w:rFonts w:ascii="National" w:hAnsi="National"/>
          <w:b/>
          <w:bCs/>
          <w:iCs/>
          <w:color w:val="303AB2"/>
          <w:sz w:val="28"/>
          <w:szCs w:val="160"/>
        </w:rPr>
        <w:lastRenderedPageBreak/>
        <w:t xml:space="preserve">Mapa </w:t>
      </w:r>
      <w:r w:rsidR="00446B58">
        <w:rPr>
          <w:rFonts w:ascii="National" w:hAnsi="National"/>
          <w:b/>
          <w:bCs/>
          <w:iCs/>
          <w:color w:val="303AB2"/>
          <w:sz w:val="28"/>
          <w:szCs w:val="160"/>
        </w:rPr>
        <w:t>a</w:t>
      </w:r>
      <w:r w:rsidR="00446B58" w:rsidRPr="00446B58">
        <w:rPr>
          <w:rFonts w:ascii="National" w:hAnsi="National"/>
          <w:b/>
          <w:bCs/>
          <w:iCs/>
          <w:color w:val="303AB2"/>
          <w:sz w:val="28"/>
          <w:szCs w:val="160"/>
        </w:rPr>
        <w:t>cumulativo</w:t>
      </w:r>
      <w:r w:rsidR="0007477B">
        <w:rPr>
          <w:rFonts w:ascii="National" w:hAnsi="National"/>
          <w:b/>
          <w:bCs/>
          <w:iCs/>
          <w:color w:val="303AB2"/>
          <w:sz w:val="28"/>
          <w:szCs w:val="160"/>
        </w:rPr>
        <w:t xml:space="preserve"> (%)</w:t>
      </w:r>
      <w:r w:rsidR="00446B58" w:rsidRPr="00446B58">
        <w:rPr>
          <w:rFonts w:ascii="National" w:hAnsi="National"/>
          <w:b/>
          <w:bCs/>
          <w:iCs/>
          <w:color w:val="303AB2"/>
          <w:sz w:val="28"/>
          <w:szCs w:val="160"/>
        </w:rPr>
        <w:t xml:space="preserve"> del</w:t>
      </w:r>
      <w:r w:rsidR="00075BEA">
        <w:rPr>
          <w:rFonts w:ascii="National" w:hAnsi="National"/>
          <w:b/>
          <w:bCs/>
          <w:iCs/>
          <w:color w:val="303AB2"/>
          <w:sz w:val="28"/>
          <w:szCs w:val="160"/>
        </w:rPr>
        <w:t xml:space="preserve"> descenso de </w:t>
      </w:r>
      <w:r w:rsidR="00446B58" w:rsidRPr="00446B58">
        <w:rPr>
          <w:rFonts w:ascii="National" w:hAnsi="National"/>
          <w:b/>
          <w:bCs/>
          <w:iCs/>
          <w:color w:val="303AB2"/>
          <w:sz w:val="28"/>
          <w:szCs w:val="160"/>
        </w:rPr>
        <w:t>precio de los garajes de</w:t>
      </w:r>
      <w:r w:rsidR="00075BEA">
        <w:rPr>
          <w:rFonts w:ascii="National" w:hAnsi="National"/>
          <w:b/>
          <w:bCs/>
          <w:iCs/>
          <w:color w:val="303AB2"/>
          <w:sz w:val="28"/>
          <w:szCs w:val="160"/>
        </w:rPr>
        <w:t xml:space="preserve"> los últimos</w:t>
      </w:r>
      <w:r w:rsidR="00446B58" w:rsidRPr="00446B58">
        <w:rPr>
          <w:rFonts w:ascii="National" w:hAnsi="National"/>
          <w:b/>
          <w:bCs/>
          <w:iCs/>
          <w:color w:val="303AB2"/>
          <w:sz w:val="28"/>
          <w:szCs w:val="160"/>
        </w:rPr>
        <w:t xml:space="preserve"> 5 años (2020 vs 2015</w:t>
      </w:r>
      <w:r w:rsidR="0007477B">
        <w:rPr>
          <w:rFonts w:ascii="National" w:hAnsi="National"/>
          <w:b/>
          <w:bCs/>
          <w:iCs/>
          <w:color w:val="303AB2"/>
          <w:sz w:val="28"/>
          <w:szCs w:val="160"/>
        </w:rPr>
        <w:t xml:space="preserve">) </w:t>
      </w:r>
    </w:p>
    <w:p w14:paraId="34B31860" w14:textId="37F54CAB" w:rsidR="00FE3702" w:rsidRPr="003A7DB8" w:rsidRDefault="0045167C" w:rsidP="00583D8D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</w:rPr>
      </w:pPr>
      <w:r>
        <w:rPr>
          <w:noProof/>
        </w:rPr>
        <w:drawing>
          <wp:inline distT="0" distB="0" distL="0" distR="0" wp14:anchorId="588B06F9" wp14:editId="1BD7EE88">
            <wp:extent cx="5396230" cy="203200"/>
            <wp:effectExtent l="0" t="0" r="0" b="635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B2EC4" w14:textId="17D4CD32" w:rsidR="00FE3702" w:rsidRDefault="0045167C" w:rsidP="00583D8D">
      <w:pPr>
        <w:pStyle w:val="NormalWeb"/>
        <w:shd w:val="clear" w:color="auto" w:fill="FFFFFF"/>
        <w:spacing w:after="225" w:line="276" w:lineRule="auto"/>
        <w:ind w:right="-57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23157DE" wp14:editId="03B61CB3">
            <wp:extent cx="4658312" cy="3163080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58" cy="317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31D63B" w14:textId="0AA56595" w:rsidR="00583D8D" w:rsidRDefault="00FB61E9" w:rsidP="00583D8D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CCAA con p</w:t>
      </w:r>
      <w:r w:rsidR="00583D8D" w:rsidRPr="00D82713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orcentajes (%) </w:t>
      </w:r>
      <w:r w:rsidR="00583D8D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acumulativo</w:t>
      </w:r>
      <w:r w:rsidR="00014CED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 </w:t>
      </w:r>
      <w:r w:rsidR="003A7DB8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de garajes</w:t>
      </w:r>
    </w:p>
    <w:p w14:paraId="7AF4375F" w14:textId="77777777" w:rsidR="00583D8D" w:rsidRDefault="00583D8D" w:rsidP="00583D8D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  <w:lang w:val="es-ES"/>
        </w:rPr>
      </w:pPr>
    </w:p>
    <w:tbl>
      <w:tblPr>
        <w:tblW w:w="8956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2289"/>
        <w:gridCol w:w="2145"/>
        <w:gridCol w:w="2099"/>
      </w:tblGrid>
      <w:tr w:rsidR="003D07B3" w:rsidRPr="00565BC8" w14:paraId="20F3689B" w14:textId="77777777" w:rsidTr="003D07B3">
        <w:trPr>
          <w:trHeight w:val="668"/>
        </w:trPr>
        <w:tc>
          <w:tcPr>
            <w:tcW w:w="2423" w:type="dxa"/>
            <w:shd w:val="clear" w:color="auto" w:fill="ACB9CA"/>
            <w:vAlign w:val="center"/>
            <w:hideMark/>
          </w:tcPr>
          <w:p w14:paraId="05FD4295" w14:textId="77777777" w:rsidR="003D07B3" w:rsidRPr="00565BC8" w:rsidRDefault="003D07B3" w:rsidP="00565BC8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565BC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CCAA</w:t>
            </w:r>
          </w:p>
        </w:tc>
        <w:tc>
          <w:tcPr>
            <w:tcW w:w="2289" w:type="dxa"/>
            <w:shd w:val="clear" w:color="auto" w:fill="ACB9CA"/>
            <w:vAlign w:val="center"/>
          </w:tcPr>
          <w:p w14:paraId="0FE4DDE8" w14:textId="27C924D3" w:rsidR="003D07B3" w:rsidRPr="00446B58" w:rsidRDefault="00B76D65" w:rsidP="00565BC8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446B58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 xml:space="preserve">Acumulativo del precio de los garajes </w:t>
            </w:r>
            <w:r w:rsidR="003D07B3" w:rsidRPr="00446B58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de 5 años (2020 vs 2015)</w:t>
            </w:r>
          </w:p>
        </w:tc>
        <w:tc>
          <w:tcPr>
            <w:tcW w:w="2145" w:type="dxa"/>
            <w:shd w:val="clear" w:color="auto" w:fill="ACB9CA"/>
            <w:vAlign w:val="center"/>
            <w:hideMark/>
          </w:tcPr>
          <w:p w14:paraId="163260B5" w14:textId="36CDED1F" w:rsidR="003D07B3" w:rsidRPr="00446B58" w:rsidRDefault="00B76D65" w:rsidP="00565BC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446B58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 xml:space="preserve">Acumulativo del precio de los garajes de 2 años </w:t>
            </w:r>
            <w:r w:rsidR="003D07B3" w:rsidRPr="00446B58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(2020 vs 2018)</w:t>
            </w:r>
          </w:p>
        </w:tc>
        <w:tc>
          <w:tcPr>
            <w:tcW w:w="2099" w:type="dxa"/>
            <w:shd w:val="clear" w:color="auto" w:fill="ACB9CA" w:themeFill="text2" w:themeFillTint="66"/>
            <w:vAlign w:val="center"/>
          </w:tcPr>
          <w:p w14:paraId="25B4B794" w14:textId="1157C517" w:rsidR="003D07B3" w:rsidRPr="00446B58" w:rsidRDefault="00B76D65" w:rsidP="00565BC8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446B58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 xml:space="preserve">Acumulativo del precio de los garajes de 1 años </w:t>
            </w:r>
            <w:r w:rsidR="003D07B3" w:rsidRPr="00446B58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(2020 vs 2019)</w:t>
            </w:r>
          </w:p>
        </w:tc>
      </w:tr>
      <w:tr w:rsidR="003A7DB8" w:rsidRPr="00565BC8" w14:paraId="3075E1D6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3500D2DC" w14:textId="2FF73C4D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Castilla y León</w:t>
            </w:r>
          </w:p>
        </w:tc>
        <w:tc>
          <w:tcPr>
            <w:tcW w:w="2289" w:type="dxa"/>
            <w:vAlign w:val="bottom"/>
          </w:tcPr>
          <w:p w14:paraId="5C821D6C" w14:textId="6EF9F5E3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-37%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2A482A45" w14:textId="109EA9FB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-8,3%</w:t>
            </w:r>
          </w:p>
        </w:tc>
        <w:tc>
          <w:tcPr>
            <w:tcW w:w="2099" w:type="dxa"/>
            <w:vAlign w:val="bottom"/>
          </w:tcPr>
          <w:p w14:paraId="2D8A5F47" w14:textId="3E3F9C8E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-7,3%</w:t>
            </w:r>
          </w:p>
        </w:tc>
      </w:tr>
      <w:tr w:rsidR="003A7DB8" w:rsidRPr="00565BC8" w14:paraId="3700186F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3565ADAD" w14:textId="04D0DF80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Aragón</w:t>
            </w:r>
          </w:p>
        </w:tc>
        <w:tc>
          <w:tcPr>
            <w:tcW w:w="2289" w:type="dxa"/>
            <w:vAlign w:val="bottom"/>
          </w:tcPr>
          <w:p w14:paraId="1AD3D9F0" w14:textId="6C8807C8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-36%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4AFB0B6D" w14:textId="3EAF60FD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-21,4%</w:t>
            </w:r>
          </w:p>
        </w:tc>
        <w:tc>
          <w:tcPr>
            <w:tcW w:w="2099" w:type="dxa"/>
            <w:vAlign w:val="bottom"/>
          </w:tcPr>
          <w:p w14:paraId="1BF23C4D" w14:textId="5813236E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-9,1%</w:t>
            </w:r>
          </w:p>
        </w:tc>
      </w:tr>
      <w:tr w:rsidR="003A7DB8" w:rsidRPr="00565BC8" w14:paraId="7E636DC1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19B63896" w14:textId="0CE0B2BD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Navarra</w:t>
            </w:r>
          </w:p>
        </w:tc>
        <w:tc>
          <w:tcPr>
            <w:tcW w:w="2289" w:type="dxa"/>
            <w:vAlign w:val="bottom"/>
          </w:tcPr>
          <w:p w14:paraId="12CB77BF" w14:textId="33457220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-36%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31F6EB67" w14:textId="337D0F96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-6,4%</w:t>
            </w:r>
          </w:p>
        </w:tc>
        <w:tc>
          <w:tcPr>
            <w:tcW w:w="2099" w:type="dxa"/>
            <w:vAlign w:val="bottom"/>
          </w:tcPr>
          <w:p w14:paraId="68B18C62" w14:textId="26B3A4AD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-8,8%</w:t>
            </w:r>
          </w:p>
        </w:tc>
      </w:tr>
      <w:tr w:rsidR="003A7DB8" w:rsidRPr="00565BC8" w14:paraId="69512D6F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4776835E" w14:textId="605F219B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Región de Murcia</w:t>
            </w:r>
          </w:p>
        </w:tc>
        <w:tc>
          <w:tcPr>
            <w:tcW w:w="2289" w:type="dxa"/>
            <w:vAlign w:val="bottom"/>
          </w:tcPr>
          <w:p w14:paraId="5B5FFB52" w14:textId="2476B13D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-33%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4B9B252F" w14:textId="144E96D3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-15,6%</w:t>
            </w:r>
          </w:p>
        </w:tc>
        <w:tc>
          <w:tcPr>
            <w:tcW w:w="2099" w:type="dxa"/>
            <w:vAlign w:val="bottom"/>
          </w:tcPr>
          <w:p w14:paraId="19EE62CE" w14:textId="71D170BD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-14,3%</w:t>
            </w:r>
          </w:p>
        </w:tc>
      </w:tr>
      <w:tr w:rsidR="003A7DB8" w:rsidRPr="00565BC8" w14:paraId="266AA6AA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6A48E8CB" w14:textId="59A0948A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Comunitat Valenciana</w:t>
            </w:r>
          </w:p>
        </w:tc>
        <w:tc>
          <w:tcPr>
            <w:tcW w:w="2289" w:type="dxa"/>
            <w:vAlign w:val="bottom"/>
          </w:tcPr>
          <w:p w14:paraId="0F882C21" w14:textId="05687E83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-33%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46CA4C34" w14:textId="2866AB11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-13,7%</w:t>
            </w:r>
          </w:p>
        </w:tc>
        <w:tc>
          <w:tcPr>
            <w:tcW w:w="2099" w:type="dxa"/>
            <w:vAlign w:val="bottom"/>
          </w:tcPr>
          <w:p w14:paraId="59DA4A8B" w14:textId="52CFDA2F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-11,5%</w:t>
            </w:r>
          </w:p>
        </w:tc>
      </w:tr>
      <w:tr w:rsidR="003A7DB8" w:rsidRPr="00565BC8" w14:paraId="67809EBD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64889E5F" w14:textId="4D45ED24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Asturias</w:t>
            </w:r>
          </w:p>
        </w:tc>
        <w:tc>
          <w:tcPr>
            <w:tcW w:w="2289" w:type="dxa"/>
            <w:vAlign w:val="bottom"/>
          </w:tcPr>
          <w:p w14:paraId="1B8379E4" w14:textId="2B460CC7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-31%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2CBC99B5" w14:textId="0690A7B9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-3,0%</w:t>
            </w:r>
          </w:p>
        </w:tc>
        <w:tc>
          <w:tcPr>
            <w:tcW w:w="2099" w:type="dxa"/>
            <w:vAlign w:val="bottom"/>
          </w:tcPr>
          <w:p w14:paraId="5A6172DE" w14:textId="0634F54F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-12,3%</w:t>
            </w:r>
          </w:p>
        </w:tc>
      </w:tr>
      <w:tr w:rsidR="003A7DB8" w:rsidRPr="00565BC8" w14:paraId="142FBBF1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4C56AEAC" w14:textId="43C53C71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Andalucía</w:t>
            </w:r>
          </w:p>
        </w:tc>
        <w:tc>
          <w:tcPr>
            <w:tcW w:w="2289" w:type="dxa"/>
            <w:vAlign w:val="bottom"/>
          </w:tcPr>
          <w:p w14:paraId="63121874" w14:textId="7035BD37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-28%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74E19A43" w14:textId="5A765473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-11,1%</w:t>
            </w:r>
          </w:p>
        </w:tc>
        <w:tc>
          <w:tcPr>
            <w:tcW w:w="2099" w:type="dxa"/>
            <w:vAlign w:val="bottom"/>
          </w:tcPr>
          <w:p w14:paraId="0DE7E458" w14:textId="7DFBF2F6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-7,1%</w:t>
            </w:r>
          </w:p>
        </w:tc>
      </w:tr>
      <w:tr w:rsidR="003A7DB8" w:rsidRPr="00565BC8" w14:paraId="31B42FEE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0649DA55" w14:textId="7518802F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Canarias</w:t>
            </w:r>
          </w:p>
        </w:tc>
        <w:tc>
          <w:tcPr>
            <w:tcW w:w="2289" w:type="dxa"/>
            <w:vAlign w:val="bottom"/>
          </w:tcPr>
          <w:p w14:paraId="003B6615" w14:textId="61F6509D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-26%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5345ACFE" w14:textId="5A97DFAB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-11,9%</w:t>
            </w:r>
          </w:p>
        </w:tc>
        <w:tc>
          <w:tcPr>
            <w:tcW w:w="2099" w:type="dxa"/>
            <w:vAlign w:val="bottom"/>
          </w:tcPr>
          <w:p w14:paraId="330A6AE9" w14:textId="51D18638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-12,4%</w:t>
            </w:r>
          </w:p>
        </w:tc>
      </w:tr>
      <w:tr w:rsidR="003A7DB8" w:rsidRPr="00565BC8" w14:paraId="090F9AF7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689F9BA5" w14:textId="6DC18DE9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Extremadura</w:t>
            </w:r>
          </w:p>
        </w:tc>
        <w:tc>
          <w:tcPr>
            <w:tcW w:w="2289" w:type="dxa"/>
            <w:vAlign w:val="bottom"/>
          </w:tcPr>
          <w:p w14:paraId="6C4D503D" w14:textId="53D4939F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-25%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2D3D2EFE" w14:textId="7EAC4D0C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9,2%</w:t>
            </w:r>
          </w:p>
        </w:tc>
        <w:tc>
          <w:tcPr>
            <w:tcW w:w="2099" w:type="dxa"/>
            <w:vAlign w:val="bottom"/>
          </w:tcPr>
          <w:p w14:paraId="1F4083DE" w14:textId="3E1740A1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8,9%</w:t>
            </w:r>
          </w:p>
        </w:tc>
      </w:tr>
      <w:tr w:rsidR="003A7DB8" w:rsidRPr="00565BC8" w14:paraId="44BC40D9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36B8BBDD" w14:textId="5DEEE72A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289" w:type="dxa"/>
            <w:vAlign w:val="bottom"/>
          </w:tcPr>
          <w:p w14:paraId="07277F45" w14:textId="57E9913F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-25%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2BC58744" w14:textId="1FD4D24D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-12,7%</w:t>
            </w:r>
          </w:p>
        </w:tc>
        <w:tc>
          <w:tcPr>
            <w:tcW w:w="2099" w:type="dxa"/>
            <w:vAlign w:val="bottom"/>
          </w:tcPr>
          <w:p w14:paraId="53E2F420" w14:textId="599E1B9C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-8,0%</w:t>
            </w:r>
          </w:p>
        </w:tc>
      </w:tr>
      <w:tr w:rsidR="003A7DB8" w:rsidRPr="00565BC8" w14:paraId="65914DEE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05109AC7" w14:textId="46CBD0C6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Cataluña</w:t>
            </w:r>
          </w:p>
        </w:tc>
        <w:tc>
          <w:tcPr>
            <w:tcW w:w="2289" w:type="dxa"/>
            <w:vAlign w:val="bottom"/>
          </w:tcPr>
          <w:p w14:paraId="661DFB07" w14:textId="688D76A5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-24%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6D0C9B9B" w14:textId="14289611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-9,2%</w:t>
            </w:r>
          </w:p>
        </w:tc>
        <w:tc>
          <w:tcPr>
            <w:tcW w:w="2099" w:type="dxa"/>
            <w:vAlign w:val="bottom"/>
          </w:tcPr>
          <w:p w14:paraId="17BA6A6B" w14:textId="6894169B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-5,3%</w:t>
            </w:r>
          </w:p>
        </w:tc>
      </w:tr>
      <w:tr w:rsidR="003A7DB8" w:rsidRPr="00565BC8" w14:paraId="5B3065F0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1267931B" w14:textId="08B74F52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País Vasco</w:t>
            </w:r>
          </w:p>
        </w:tc>
        <w:tc>
          <w:tcPr>
            <w:tcW w:w="2289" w:type="dxa"/>
            <w:vAlign w:val="bottom"/>
          </w:tcPr>
          <w:p w14:paraId="174FBDCE" w14:textId="1D1AB419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-22%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08152584" w14:textId="2D164890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8,6%</w:t>
            </w:r>
          </w:p>
        </w:tc>
        <w:tc>
          <w:tcPr>
            <w:tcW w:w="2099" w:type="dxa"/>
            <w:vAlign w:val="bottom"/>
          </w:tcPr>
          <w:p w14:paraId="2E4D011C" w14:textId="24052E0D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-2,6%</w:t>
            </w:r>
          </w:p>
        </w:tc>
      </w:tr>
      <w:tr w:rsidR="003A7DB8" w:rsidRPr="00565BC8" w14:paraId="60F7897D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6AC38F10" w14:textId="44892E70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Cantabria</w:t>
            </w:r>
          </w:p>
        </w:tc>
        <w:tc>
          <w:tcPr>
            <w:tcW w:w="2289" w:type="dxa"/>
            <w:vAlign w:val="bottom"/>
          </w:tcPr>
          <w:p w14:paraId="24BC8FB2" w14:textId="3FA08993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-22%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1A69C859" w14:textId="09E698A2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2099" w:type="dxa"/>
            <w:vAlign w:val="bottom"/>
          </w:tcPr>
          <w:p w14:paraId="6737C117" w14:textId="61230F99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</w:tr>
      <w:tr w:rsidR="003A7DB8" w:rsidRPr="00565BC8" w14:paraId="69CFB4F8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13625D19" w14:textId="4556B0CC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Castilla-La Mancha</w:t>
            </w:r>
          </w:p>
        </w:tc>
        <w:tc>
          <w:tcPr>
            <w:tcW w:w="2289" w:type="dxa"/>
            <w:vAlign w:val="bottom"/>
          </w:tcPr>
          <w:p w14:paraId="13896C5A" w14:textId="5749B3D2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-20%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1EE260F9" w14:textId="2319DB0A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-18,3%</w:t>
            </w:r>
          </w:p>
        </w:tc>
        <w:tc>
          <w:tcPr>
            <w:tcW w:w="2099" w:type="dxa"/>
            <w:vAlign w:val="bottom"/>
          </w:tcPr>
          <w:p w14:paraId="6DAEE68E" w14:textId="1920174F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-1,4%</w:t>
            </w:r>
          </w:p>
        </w:tc>
      </w:tr>
      <w:tr w:rsidR="003A7DB8" w:rsidRPr="00565BC8" w14:paraId="34BB975D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605E70C6" w14:textId="2F68AD77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 Rioja</w:t>
            </w:r>
          </w:p>
        </w:tc>
        <w:tc>
          <w:tcPr>
            <w:tcW w:w="2289" w:type="dxa"/>
            <w:vAlign w:val="bottom"/>
          </w:tcPr>
          <w:p w14:paraId="3613A8C3" w14:textId="0FAF1DE5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-20%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3D7569A0" w14:textId="2B844293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-24,8%</w:t>
            </w:r>
          </w:p>
        </w:tc>
        <w:tc>
          <w:tcPr>
            <w:tcW w:w="2099" w:type="dxa"/>
            <w:vAlign w:val="bottom"/>
          </w:tcPr>
          <w:p w14:paraId="5C61F331" w14:textId="2D97DACA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-10,4%</w:t>
            </w:r>
          </w:p>
        </w:tc>
      </w:tr>
      <w:tr w:rsidR="003A7DB8" w:rsidRPr="00565BC8" w14:paraId="72C7FC36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1BAA883B" w14:textId="14324D94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Baleares</w:t>
            </w:r>
          </w:p>
        </w:tc>
        <w:tc>
          <w:tcPr>
            <w:tcW w:w="2289" w:type="dxa"/>
            <w:vAlign w:val="bottom"/>
          </w:tcPr>
          <w:p w14:paraId="06143399" w14:textId="304C9B38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-13%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3B7B29F0" w14:textId="6BC2A931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-13,7%</w:t>
            </w:r>
          </w:p>
        </w:tc>
        <w:tc>
          <w:tcPr>
            <w:tcW w:w="2099" w:type="dxa"/>
            <w:vAlign w:val="bottom"/>
          </w:tcPr>
          <w:p w14:paraId="7F04B606" w14:textId="5CBE47E8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-11,1%</w:t>
            </w:r>
          </w:p>
        </w:tc>
      </w:tr>
      <w:tr w:rsidR="003A7DB8" w:rsidRPr="00565BC8" w14:paraId="0BA5E7C4" w14:textId="77777777" w:rsidTr="003D07B3">
        <w:trPr>
          <w:trHeight w:val="194"/>
        </w:trPr>
        <w:tc>
          <w:tcPr>
            <w:tcW w:w="2423" w:type="dxa"/>
            <w:shd w:val="clear" w:color="auto" w:fill="auto"/>
            <w:vAlign w:val="bottom"/>
            <w:hideMark/>
          </w:tcPr>
          <w:p w14:paraId="7D23A384" w14:textId="198A1FA4" w:rsidR="003A7DB8" w:rsidRPr="00565BC8" w:rsidRDefault="003A7DB8" w:rsidP="003A7DB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Galicia</w:t>
            </w:r>
          </w:p>
        </w:tc>
        <w:tc>
          <w:tcPr>
            <w:tcW w:w="2289" w:type="dxa"/>
            <w:vAlign w:val="bottom"/>
          </w:tcPr>
          <w:p w14:paraId="7C7823FB" w14:textId="3674CE31" w:rsidR="003A7DB8" w:rsidRPr="00565BC8" w:rsidRDefault="003A7DB8" w:rsidP="003A7DB8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-13%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14:paraId="01596F25" w14:textId="53EA21AE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-8,4%</w:t>
            </w:r>
          </w:p>
        </w:tc>
        <w:tc>
          <w:tcPr>
            <w:tcW w:w="2099" w:type="dxa"/>
            <w:vAlign w:val="bottom"/>
          </w:tcPr>
          <w:p w14:paraId="5F0987A7" w14:textId="1C9D1A5F" w:rsidR="003A7DB8" w:rsidRPr="00565BC8" w:rsidRDefault="003A7DB8" w:rsidP="003A7DB8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-3,6%</w:t>
            </w:r>
          </w:p>
        </w:tc>
      </w:tr>
      <w:tr w:rsidR="003D07B3" w:rsidRPr="00565BC8" w14:paraId="656E1A7D" w14:textId="77777777" w:rsidTr="003D07B3">
        <w:trPr>
          <w:trHeight w:val="194"/>
        </w:trPr>
        <w:tc>
          <w:tcPr>
            <w:tcW w:w="2423" w:type="dxa"/>
            <w:shd w:val="clear" w:color="auto" w:fill="ACB9CA" w:themeFill="text2" w:themeFillTint="66"/>
            <w:vAlign w:val="bottom"/>
            <w:hideMark/>
          </w:tcPr>
          <w:p w14:paraId="76B8FDD3" w14:textId="36DC008D" w:rsidR="003D07B3" w:rsidRPr="00565BC8" w:rsidRDefault="003D07B3" w:rsidP="00565BC8">
            <w:pPr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565BC8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España</w:t>
            </w:r>
          </w:p>
        </w:tc>
        <w:tc>
          <w:tcPr>
            <w:tcW w:w="2289" w:type="dxa"/>
            <w:shd w:val="clear" w:color="auto" w:fill="ACB9CA" w:themeFill="text2" w:themeFillTint="66"/>
            <w:vAlign w:val="bottom"/>
          </w:tcPr>
          <w:p w14:paraId="09086AF0" w14:textId="69672873" w:rsidR="003D07B3" w:rsidRPr="00565BC8" w:rsidRDefault="003D07B3" w:rsidP="00565BC8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-29%</w:t>
            </w:r>
          </w:p>
        </w:tc>
        <w:tc>
          <w:tcPr>
            <w:tcW w:w="2145" w:type="dxa"/>
            <w:shd w:val="clear" w:color="auto" w:fill="ACB9CA" w:themeFill="text2" w:themeFillTint="66"/>
            <w:vAlign w:val="bottom"/>
            <w:hideMark/>
          </w:tcPr>
          <w:p w14:paraId="27BC0446" w14:textId="6D6A282D" w:rsidR="003D07B3" w:rsidRPr="00565BC8" w:rsidRDefault="003D07B3" w:rsidP="00565BC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-12%</w:t>
            </w:r>
          </w:p>
        </w:tc>
        <w:tc>
          <w:tcPr>
            <w:tcW w:w="2099" w:type="dxa"/>
            <w:shd w:val="clear" w:color="auto" w:fill="ACB9CA" w:themeFill="text2" w:themeFillTint="66"/>
            <w:vAlign w:val="bottom"/>
          </w:tcPr>
          <w:p w14:paraId="72FCC067" w14:textId="7D07BC20" w:rsidR="003D07B3" w:rsidRPr="00565BC8" w:rsidRDefault="003D07B3" w:rsidP="00565BC8">
            <w:pPr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-8,4%</w:t>
            </w:r>
          </w:p>
        </w:tc>
      </w:tr>
    </w:tbl>
    <w:p w14:paraId="19970716" w14:textId="48711160" w:rsidR="00E07AE5" w:rsidRDefault="00E07AE5" w:rsidP="00E07AE5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2" w:name="_Hlk46655914"/>
      <w:r>
        <w:rPr>
          <w:rFonts w:ascii="Open Sans" w:hAnsi="Open Sans" w:cs="Open Sans"/>
          <w:color w:val="000000" w:themeColor="text1"/>
          <w:sz w:val="22"/>
          <w:szCs w:val="22"/>
        </w:rPr>
        <w:lastRenderedPageBreak/>
        <w:t>A</w:t>
      </w:r>
      <w:r w:rsidRPr="008D1286">
        <w:rPr>
          <w:rFonts w:ascii="Open Sans" w:hAnsi="Open Sans" w:cs="Open Sans"/>
          <w:color w:val="000000" w:themeColor="text1"/>
          <w:sz w:val="22"/>
          <w:szCs w:val="22"/>
        </w:rPr>
        <w:t>nalizando los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precios que se pagaban por </w:t>
      </w:r>
      <w:r w:rsidR="003D07B3">
        <w:rPr>
          <w:rFonts w:ascii="Open Sans" w:hAnsi="Open Sans" w:cs="Open Sans"/>
          <w:color w:val="000000" w:themeColor="text1"/>
          <w:sz w:val="22"/>
          <w:szCs w:val="22"/>
        </w:rPr>
        <w:t>un garaje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en venta en 2015,</w:t>
      </w:r>
      <w:r w:rsidRPr="008D1286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8D12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el precio </w:t>
      </w:r>
      <w:r w:rsidR="003D07B3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medio del garaje</w:t>
      </w:r>
      <w:r w:rsidRPr="008D12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ha </w:t>
      </w:r>
      <w:r w:rsidR="003D07B3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caído</w:t>
      </w: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r w:rsidRPr="008D12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un </w:t>
      </w:r>
      <w:r w:rsidR="003D07B3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29</w:t>
      </w:r>
      <w:r w:rsidRPr="008D12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% en España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. </w:t>
      </w:r>
      <w:r>
        <w:rPr>
          <w:rFonts w:ascii="Open Sans" w:hAnsi="Open Sans" w:cs="Open Sans"/>
          <w:color w:val="000000"/>
          <w:sz w:val="22"/>
          <w:szCs w:val="22"/>
        </w:rPr>
        <w:t xml:space="preserve">Así, los españoles hace 5 años (2015) debían pagar por </w:t>
      </w:r>
      <w:r w:rsidR="003D07B3">
        <w:rPr>
          <w:rFonts w:ascii="Open Sans" w:hAnsi="Open Sans" w:cs="Open Sans"/>
          <w:color w:val="000000"/>
          <w:sz w:val="22"/>
          <w:szCs w:val="22"/>
        </w:rPr>
        <w:t>un garaje</w:t>
      </w:r>
      <w:r>
        <w:rPr>
          <w:rFonts w:ascii="Open Sans" w:hAnsi="Open Sans" w:cs="Open Sans"/>
          <w:color w:val="000000"/>
          <w:sz w:val="22"/>
          <w:szCs w:val="22"/>
        </w:rPr>
        <w:t xml:space="preserve"> una media de </w:t>
      </w:r>
      <w:r w:rsidR="003D07B3">
        <w:rPr>
          <w:rFonts w:ascii="Open Sans" w:hAnsi="Open Sans" w:cs="Open Sans"/>
          <w:color w:val="000000"/>
          <w:sz w:val="22"/>
          <w:szCs w:val="22"/>
        </w:rPr>
        <w:t>13.762</w:t>
      </w:r>
      <w:r>
        <w:rPr>
          <w:rFonts w:ascii="Open Sans" w:hAnsi="Open Sans" w:cs="Open Sans"/>
          <w:color w:val="000000"/>
          <w:sz w:val="22"/>
          <w:szCs w:val="22"/>
        </w:rPr>
        <w:t xml:space="preserve"> euros, frente a los </w:t>
      </w:r>
      <w:r w:rsidR="003D07B3">
        <w:rPr>
          <w:rFonts w:ascii="Open Sans" w:hAnsi="Open Sans" w:cs="Open Sans"/>
          <w:color w:val="000000"/>
          <w:sz w:val="22"/>
          <w:szCs w:val="22"/>
        </w:rPr>
        <w:t>9.817</w:t>
      </w:r>
      <w:r>
        <w:rPr>
          <w:rFonts w:ascii="Open Sans" w:hAnsi="Open Sans" w:cs="Open Sans"/>
          <w:color w:val="000000"/>
          <w:sz w:val="22"/>
          <w:szCs w:val="22"/>
        </w:rPr>
        <w:t xml:space="preserve"> euros que se paga como media en España en 2020. </w:t>
      </w:r>
    </w:p>
    <w:p w14:paraId="462BFCA9" w14:textId="3938FC35" w:rsidR="00E07AE5" w:rsidRDefault="00E07AE5" w:rsidP="00E07AE5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Precio medio de </w:t>
      </w:r>
      <w:r w:rsidR="0030236E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los garajes en venta </w:t>
      </w: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por CCAA</w:t>
      </w:r>
    </w:p>
    <w:p w14:paraId="2088AE5F" w14:textId="77777777" w:rsidR="00E07AE5" w:rsidRDefault="00E07AE5" w:rsidP="00E07AE5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  <w:lang w:val="es-ES"/>
        </w:rPr>
      </w:pPr>
    </w:p>
    <w:tbl>
      <w:tblPr>
        <w:tblW w:w="9104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350"/>
        <w:gridCol w:w="2169"/>
        <w:gridCol w:w="2247"/>
      </w:tblGrid>
      <w:tr w:rsidR="00A03C99" w:rsidRPr="0030236E" w14:paraId="62B4DC5D" w14:textId="77777777" w:rsidTr="00206126">
        <w:trPr>
          <w:trHeight w:val="705"/>
        </w:trPr>
        <w:tc>
          <w:tcPr>
            <w:tcW w:w="2338" w:type="dxa"/>
            <w:shd w:val="clear" w:color="auto" w:fill="ACB9CA"/>
            <w:vAlign w:val="center"/>
            <w:hideMark/>
          </w:tcPr>
          <w:p w14:paraId="486D78A0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>CCAA</w:t>
            </w:r>
          </w:p>
        </w:tc>
        <w:tc>
          <w:tcPr>
            <w:tcW w:w="2350" w:type="dxa"/>
            <w:shd w:val="clear" w:color="auto" w:fill="ACB9CA"/>
            <w:vAlign w:val="center"/>
          </w:tcPr>
          <w:p w14:paraId="2AB964EC" w14:textId="77777777" w:rsidR="00A03C99" w:rsidRPr="0030236E" w:rsidRDefault="00A03C99" w:rsidP="00206126">
            <w:pPr>
              <w:jc w:val="center"/>
              <w:rPr>
                <w:rFonts w:ascii="Open Sans" w:hAnsi="Open Sans" w:cs="Open Sans"/>
                <w:b/>
                <w:bCs/>
                <w:color w:val="0D0D0D" w:themeColor="text1" w:themeTint="F2"/>
                <w:sz w:val="22"/>
                <w:szCs w:val="22"/>
              </w:rPr>
            </w:pPr>
            <w:r w:rsidRPr="0030236E">
              <w:rPr>
                <w:rFonts w:ascii="Open Sans" w:hAnsi="Open Sans" w:cs="Open Sans"/>
                <w:b/>
                <w:bCs/>
                <w:color w:val="0D0D0D" w:themeColor="text1" w:themeTint="F2"/>
                <w:sz w:val="22"/>
                <w:szCs w:val="22"/>
              </w:rPr>
              <w:t xml:space="preserve">Precio </w:t>
            </w:r>
            <w:r>
              <w:rPr>
                <w:rFonts w:ascii="Open Sans" w:hAnsi="Open Sans" w:cs="Open Sans"/>
                <w:b/>
                <w:bCs/>
                <w:color w:val="0D0D0D" w:themeColor="text1" w:themeTint="F2"/>
                <w:sz w:val="22"/>
                <w:szCs w:val="22"/>
              </w:rPr>
              <w:t xml:space="preserve">medio </w:t>
            </w:r>
            <w:r w:rsidRPr="0030236E">
              <w:rPr>
                <w:rFonts w:ascii="Open Sans" w:hAnsi="Open Sans" w:cs="Open Sans"/>
                <w:b/>
                <w:bCs/>
                <w:color w:val="0D0D0D" w:themeColor="text1" w:themeTint="F2"/>
                <w:sz w:val="22"/>
                <w:szCs w:val="22"/>
              </w:rPr>
              <w:t>de un garaje en 2015</w:t>
            </w:r>
          </w:p>
        </w:tc>
        <w:tc>
          <w:tcPr>
            <w:tcW w:w="2169" w:type="dxa"/>
            <w:shd w:val="clear" w:color="auto" w:fill="ACB9CA"/>
            <w:vAlign w:val="center"/>
            <w:hideMark/>
          </w:tcPr>
          <w:p w14:paraId="25618090" w14:textId="77777777" w:rsidR="00A03C99" w:rsidRPr="0030236E" w:rsidRDefault="00A03C99" w:rsidP="00206126">
            <w:pPr>
              <w:jc w:val="center"/>
              <w:rPr>
                <w:rFonts w:ascii="Open Sans" w:eastAsia="Times New Roman" w:hAnsi="Open Sans" w:cs="Open Sans"/>
                <w:b/>
                <w:bCs/>
                <w:color w:val="0D0D0D" w:themeColor="text1" w:themeTint="F2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b/>
                <w:bCs/>
                <w:color w:val="0D0D0D" w:themeColor="text1" w:themeTint="F2"/>
                <w:sz w:val="22"/>
                <w:szCs w:val="22"/>
              </w:rPr>
              <w:t xml:space="preserve">Precio </w:t>
            </w:r>
            <w:r>
              <w:rPr>
                <w:rFonts w:ascii="Open Sans" w:hAnsi="Open Sans" w:cs="Open Sans"/>
                <w:b/>
                <w:bCs/>
                <w:color w:val="0D0D0D" w:themeColor="text1" w:themeTint="F2"/>
                <w:sz w:val="22"/>
                <w:szCs w:val="22"/>
              </w:rPr>
              <w:t xml:space="preserve">medio </w:t>
            </w:r>
            <w:r w:rsidRPr="0030236E">
              <w:rPr>
                <w:rFonts w:ascii="Open Sans" w:hAnsi="Open Sans" w:cs="Open Sans"/>
                <w:b/>
                <w:bCs/>
                <w:color w:val="0D0D0D" w:themeColor="text1" w:themeTint="F2"/>
                <w:sz w:val="22"/>
                <w:szCs w:val="22"/>
              </w:rPr>
              <w:t>de un garaje en 2019</w:t>
            </w:r>
          </w:p>
        </w:tc>
        <w:tc>
          <w:tcPr>
            <w:tcW w:w="2247" w:type="dxa"/>
            <w:shd w:val="clear" w:color="auto" w:fill="ACB9CA" w:themeFill="text2" w:themeFillTint="66"/>
            <w:vAlign w:val="center"/>
          </w:tcPr>
          <w:p w14:paraId="288DCB16" w14:textId="77777777" w:rsidR="00A03C99" w:rsidRPr="0030236E" w:rsidRDefault="00A03C99" w:rsidP="00206126">
            <w:pPr>
              <w:jc w:val="center"/>
              <w:rPr>
                <w:rFonts w:ascii="Open Sans" w:hAnsi="Open Sans" w:cs="Open Sans"/>
                <w:b/>
                <w:bCs/>
                <w:color w:val="0D0D0D" w:themeColor="text1" w:themeTint="F2"/>
                <w:sz w:val="22"/>
                <w:szCs w:val="22"/>
              </w:rPr>
            </w:pPr>
            <w:r w:rsidRPr="0030236E">
              <w:rPr>
                <w:rFonts w:ascii="Open Sans" w:hAnsi="Open Sans" w:cs="Open Sans"/>
                <w:b/>
                <w:bCs/>
                <w:color w:val="0D0D0D" w:themeColor="text1" w:themeTint="F2"/>
                <w:sz w:val="22"/>
                <w:szCs w:val="22"/>
              </w:rPr>
              <w:t xml:space="preserve">Precio </w:t>
            </w:r>
            <w:r>
              <w:rPr>
                <w:rFonts w:ascii="Open Sans" w:hAnsi="Open Sans" w:cs="Open Sans"/>
                <w:b/>
                <w:bCs/>
                <w:color w:val="0D0D0D" w:themeColor="text1" w:themeTint="F2"/>
                <w:sz w:val="22"/>
                <w:szCs w:val="22"/>
              </w:rPr>
              <w:t xml:space="preserve">medio </w:t>
            </w:r>
            <w:r w:rsidRPr="0030236E">
              <w:rPr>
                <w:rFonts w:ascii="Open Sans" w:hAnsi="Open Sans" w:cs="Open Sans"/>
                <w:b/>
                <w:bCs/>
                <w:color w:val="0D0D0D" w:themeColor="text1" w:themeTint="F2"/>
                <w:sz w:val="22"/>
                <w:szCs w:val="22"/>
              </w:rPr>
              <w:t>de un garaje en 2020</w:t>
            </w:r>
          </w:p>
        </w:tc>
      </w:tr>
      <w:tr w:rsidR="00A03C99" w:rsidRPr="0030236E" w14:paraId="3F82B1C5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4F76BFAA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Andalucía</w:t>
            </w:r>
          </w:p>
        </w:tc>
        <w:tc>
          <w:tcPr>
            <w:tcW w:w="2350" w:type="dxa"/>
            <w:vAlign w:val="bottom"/>
          </w:tcPr>
          <w:p w14:paraId="19A3BB78" w14:textId="3445AB44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12.563 €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395BB4D9" w14:textId="6B7BBBD9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9.783 €</w:t>
            </w:r>
          </w:p>
        </w:tc>
        <w:tc>
          <w:tcPr>
            <w:tcW w:w="2247" w:type="dxa"/>
            <w:vAlign w:val="bottom"/>
          </w:tcPr>
          <w:p w14:paraId="0E35C2E6" w14:textId="7DAA191A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9.089 €</w:t>
            </w:r>
          </w:p>
        </w:tc>
      </w:tr>
      <w:tr w:rsidR="00A03C99" w:rsidRPr="0030236E" w14:paraId="61D90B81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13EA9F99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Aragón</w:t>
            </w:r>
          </w:p>
        </w:tc>
        <w:tc>
          <w:tcPr>
            <w:tcW w:w="2350" w:type="dxa"/>
            <w:vAlign w:val="bottom"/>
          </w:tcPr>
          <w:p w14:paraId="2AF95992" w14:textId="55B181DA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16.373 €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3AEDF73A" w14:textId="4ECE7D77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11.493 €</w:t>
            </w:r>
          </w:p>
        </w:tc>
        <w:tc>
          <w:tcPr>
            <w:tcW w:w="2247" w:type="dxa"/>
            <w:vAlign w:val="bottom"/>
          </w:tcPr>
          <w:p w14:paraId="563246F5" w14:textId="1C35D292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10.451 €</w:t>
            </w:r>
          </w:p>
        </w:tc>
      </w:tr>
      <w:tr w:rsidR="00A03C99" w:rsidRPr="0030236E" w14:paraId="28B8AE2A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5E9B4048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Asturias</w:t>
            </w:r>
          </w:p>
        </w:tc>
        <w:tc>
          <w:tcPr>
            <w:tcW w:w="2350" w:type="dxa"/>
            <w:vAlign w:val="bottom"/>
          </w:tcPr>
          <w:p w14:paraId="04FE03FE" w14:textId="2B3EA53E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16.918 €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1FEBE817" w14:textId="0AEB9D8C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13.409 €</w:t>
            </w:r>
          </w:p>
        </w:tc>
        <w:tc>
          <w:tcPr>
            <w:tcW w:w="2247" w:type="dxa"/>
            <w:vAlign w:val="bottom"/>
          </w:tcPr>
          <w:p w14:paraId="38337267" w14:textId="1E873620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11.754 €</w:t>
            </w:r>
          </w:p>
        </w:tc>
      </w:tr>
      <w:tr w:rsidR="00A03C99" w:rsidRPr="0030236E" w14:paraId="11B09B79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4FFE4571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Baleares</w:t>
            </w:r>
          </w:p>
        </w:tc>
        <w:tc>
          <w:tcPr>
            <w:tcW w:w="2350" w:type="dxa"/>
            <w:vAlign w:val="bottom"/>
          </w:tcPr>
          <w:p w14:paraId="68BAE520" w14:textId="1F21F68D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12.976 €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64F4FE19" w14:textId="0A6B4C1E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12.680 €</w:t>
            </w:r>
          </w:p>
        </w:tc>
        <w:tc>
          <w:tcPr>
            <w:tcW w:w="2247" w:type="dxa"/>
            <w:vAlign w:val="bottom"/>
          </w:tcPr>
          <w:p w14:paraId="25C5007E" w14:textId="163B14E5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11.271 €</w:t>
            </w:r>
          </w:p>
        </w:tc>
      </w:tr>
      <w:tr w:rsidR="00A03C99" w:rsidRPr="0030236E" w14:paraId="161BB25D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3F491F30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Canarias</w:t>
            </w:r>
          </w:p>
        </w:tc>
        <w:tc>
          <w:tcPr>
            <w:tcW w:w="2350" w:type="dxa"/>
            <w:vAlign w:val="bottom"/>
          </w:tcPr>
          <w:p w14:paraId="733E510C" w14:textId="77523340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12.540 €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38B826AE" w14:textId="38CB9B71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10.642 €</w:t>
            </w:r>
          </w:p>
        </w:tc>
        <w:tc>
          <w:tcPr>
            <w:tcW w:w="2247" w:type="dxa"/>
            <w:vAlign w:val="bottom"/>
          </w:tcPr>
          <w:p w14:paraId="0BB0BBA7" w14:textId="6BE01B52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9.327 €</w:t>
            </w:r>
          </w:p>
        </w:tc>
      </w:tr>
      <w:tr w:rsidR="00A03C99" w:rsidRPr="0030236E" w14:paraId="4A76DDC0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3F965235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Cantabria</w:t>
            </w:r>
          </w:p>
        </w:tc>
        <w:tc>
          <w:tcPr>
            <w:tcW w:w="2350" w:type="dxa"/>
            <w:vAlign w:val="bottom"/>
          </w:tcPr>
          <w:p w14:paraId="04DC8C7B" w14:textId="7EA6EAD4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17.665 €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1C05FA44" w14:textId="622CD817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13.692 €</w:t>
            </w:r>
          </w:p>
        </w:tc>
        <w:tc>
          <w:tcPr>
            <w:tcW w:w="2247" w:type="dxa"/>
            <w:vAlign w:val="bottom"/>
          </w:tcPr>
          <w:p w14:paraId="2C5EC34B" w14:textId="37457DB0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13.800 €</w:t>
            </w:r>
          </w:p>
        </w:tc>
      </w:tr>
      <w:tr w:rsidR="00A03C99" w:rsidRPr="0030236E" w14:paraId="662D8DC4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4D25EFDB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Castilla y León</w:t>
            </w:r>
          </w:p>
        </w:tc>
        <w:tc>
          <w:tcPr>
            <w:tcW w:w="2350" w:type="dxa"/>
            <w:vAlign w:val="bottom"/>
          </w:tcPr>
          <w:p w14:paraId="436F8DFC" w14:textId="3CB36C44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15.151 €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29A6C5D4" w14:textId="0E67B8E6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10.379 €</w:t>
            </w:r>
          </w:p>
        </w:tc>
        <w:tc>
          <w:tcPr>
            <w:tcW w:w="2247" w:type="dxa"/>
            <w:vAlign w:val="bottom"/>
          </w:tcPr>
          <w:p w14:paraId="7E002237" w14:textId="28B43ABB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9.618 €</w:t>
            </w:r>
          </w:p>
        </w:tc>
      </w:tr>
      <w:tr w:rsidR="00A03C99" w:rsidRPr="0030236E" w14:paraId="5D4CDC4D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7CA486B8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Castilla-La Mancha</w:t>
            </w:r>
          </w:p>
        </w:tc>
        <w:tc>
          <w:tcPr>
            <w:tcW w:w="2350" w:type="dxa"/>
            <w:vAlign w:val="bottom"/>
          </w:tcPr>
          <w:p w14:paraId="4ED13DF9" w14:textId="52BC1E42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9.173 €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4C43607C" w14:textId="0E2805A6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7.440 €</w:t>
            </w:r>
          </w:p>
        </w:tc>
        <w:tc>
          <w:tcPr>
            <w:tcW w:w="2247" w:type="dxa"/>
            <w:vAlign w:val="bottom"/>
          </w:tcPr>
          <w:p w14:paraId="4FD94585" w14:textId="731E7787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7.338 €</w:t>
            </w:r>
          </w:p>
        </w:tc>
      </w:tr>
      <w:tr w:rsidR="00A03C99" w:rsidRPr="0030236E" w14:paraId="4EF1591B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68AC5FC5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Cataluña</w:t>
            </w:r>
          </w:p>
        </w:tc>
        <w:tc>
          <w:tcPr>
            <w:tcW w:w="2350" w:type="dxa"/>
            <w:vAlign w:val="bottom"/>
          </w:tcPr>
          <w:p w14:paraId="37E2F4B0" w14:textId="0D52706A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14.738 €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18D1E1E6" w14:textId="16B4D3DB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11.891 €</w:t>
            </w:r>
          </w:p>
        </w:tc>
        <w:tc>
          <w:tcPr>
            <w:tcW w:w="2247" w:type="dxa"/>
            <w:vAlign w:val="bottom"/>
          </w:tcPr>
          <w:p w14:paraId="46D405DA" w14:textId="014EF652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11.260 €</w:t>
            </w:r>
          </w:p>
        </w:tc>
      </w:tr>
      <w:tr w:rsidR="00A03C99" w:rsidRPr="0030236E" w14:paraId="0975EE81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1BF443A4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Comunitat Valenciana</w:t>
            </w:r>
          </w:p>
        </w:tc>
        <w:tc>
          <w:tcPr>
            <w:tcW w:w="2350" w:type="dxa"/>
            <w:vAlign w:val="bottom"/>
          </w:tcPr>
          <w:p w14:paraId="04D3B476" w14:textId="0305EC05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11.462 €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48BECA17" w14:textId="43536660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8.738 €</w:t>
            </w:r>
          </w:p>
        </w:tc>
        <w:tc>
          <w:tcPr>
            <w:tcW w:w="2247" w:type="dxa"/>
            <w:vAlign w:val="bottom"/>
          </w:tcPr>
          <w:p w14:paraId="5A5BA92C" w14:textId="060EF38E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7.734 €</w:t>
            </w:r>
          </w:p>
        </w:tc>
      </w:tr>
      <w:tr w:rsidR="00A03C99" w:rsidRPr="0030236E" w14:paraId="1DDB60C8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0C4B8576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Extremadura</w:t>
            </w:r>
          </w:p>
        </w:tc>
        <w:tc>
          <w:tcPr>
            <w:tcW w:w="2350" w:type="dxa"/>
            <w:vAlign w:val="bottom"/>
          </w:tcPr>
          <w:p w14:paraId="484BB4FE" w14:textId="1A62AAC3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14.592 €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1B6B45CC" w14:textId="19A55076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10.009 €</w:t>
            </w:r>
          </w:p>
        </w:tc>
        <w:tc>
          <w:tcPr>
            <w:tcW w:w="2247" w:type="dxa"/>
            <w:vAlign w:val="bottom"/>
          </w:tcPr>
          <w:p w14:paraId="7D616E8F" w14:textId="55BC74F3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10.904 €</w:t>
            </w:r>
          </w:p>
        </w:tc>
      </w:tr>
      <w:tr w:rsidR="00A03C99" w:rsidRPr="0030236E" w14:paraId="6BCE3D0E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041CA3D0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Galicia</w:t>
            </w:r>
          </w:p>
        </w:tc>
        <w:tc>
          <w:tcPr>
            <w:tcW w:w="2350" w:type="dxa"/>
            <w:vAlign w:val="bottom"/>
          </w:tcPr>
          <w:p w14:paraId="59C51D28" w14:textId="4ED76876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11.575 €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79FC6304" w14:textId="04803F9E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10.440 €</w:t>
            </w:r>
          </w:p>
        </w:tc>
        <w:tc>
          <w:tcPr>
            <w:tcW w:w="2247" w:type="dxa"/>
            <w:vAlign w:val="bottom"/>
          </w:tcPr>
          <w:p w14:paraId="626F8856" w14:textId="18A299FA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10.064 €</w:t>
            </w:r>
          </w:p>
        </w:tc>
      </w:tr>
      <w:tr w:rsidR="00A03C99" w:rsidRPr="0030236E" w14:paraId="1E21F7EA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62093EEA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La Rioja</w:t>
            </w:r>
          </w:p>
        </w:tc>
        <w:tc>
          <w:tcPr>
            <w:tcW w:w="2350" w:type="dxa"/>
            <w:vAlign w:val="bottom"/>
          </w:tcPr>
          <w:p w14:paraId="17BF8887" w14:textId="7A2C4142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9.909 €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29E55DA3" w14:textId="6F351C40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8.895 €</w:t>
            </w:r>
          </w:p>
        </w:tc>
        <w:tc>
          <w:tcPr>
            <w:tcW w:w="2247" w:type="dxa"/>
            <w:vAlign w:val="bottom"/>
          </w:tcPr>
          <w:p w14:paraId="5F4611B3" w14:textId="3416CDC1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7.971 €</w:t>
            </w:r>
          </w:p>
        </w:tc>
      </w:tr>
      <w:tr w:rsidR="00A03C99" w:rsidRPr="0030236E" w14:paraId="79C47D02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18309777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350" w:type="dxa"/>
            <w:vAlign w:val="bottom"/>
          </w:tcPr>
          <w:p w14:paraId="1B2F6056" w14:textId="56893A1A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14.782 €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038F8E40" w14:textId="7614784C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12.067 €</w:t>
            </w:r>
          </w:p>
        </w:tc>
        <w:tc>
          <w:tcPr>
            <w:tcW w:w="2247" w:type="dxa"/>
            <w:vAlign w:val="bottom"/>
          </w:tcPr>
          <w:p w14:paraId="3550D9E9" w14:textId="6C3ECE10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11.103 €</w:t>
            </w:r>
          </w:p>
        </w:tc>
      </w:tr>
      <w:tr w:rsidR="00A03C99" w:rsidRPr="0030236E" w14:paraId="599CE50E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01FCACDE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Navarra</w:t>
            </w:r>
          </w:p>
        </w:tc>
        <w:tc>
          <w:tcPr>
            <w:tcW w:w="2350" w:type="dxa"/>
            <w:vAlign w:val="bottom"/>
          </w:tcPr>
          <w:p w14:paraId="55806CEE" w14:textId="44BC67F5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13.404 €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3ADFCDB7" w14:textId="41B9F14E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9.445 €</w:t>
            </w:r>
          </w:p>
        </w:tc>
        <w:tc>
          <w:tcPr>
            <w:tcW w:w="2247" w:type="dxa"/>
            <w:vAlign w:val="bottom"/>
          </w:tcPr>
          <w:p w14:paraId="36E3BB80" w14:textId="457C6C84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8.612 €</w:t>
            </w:r>
          </w:p>
        </w:tc>
      </w:tr>
      <w:tr w:rsidR="00A03C99" w:rsidRPr="0030236E" w14:paraId="3A417944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730C35D4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País Vasco</w:t>
            </w:r>
          </w:p>
        </w:tc>
        <w:tc>
          <w:tcPr>
            <w:tcW w:w="2350" w:type="dxa"/>
            <w:vAlign w:val="bottom"/>
          </w:tcPr>
          <w:p w14:paraId="367A0DDD" w14:textId="4B41B2F6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22.902 €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037296E7" w14:textId="44A5C4E6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18.302 €</w:t>
            </w:r>
          </w:p>
        </w:tc>
        <w:tc>
          <w:tcPr>
            <w:tcW w:w="2247" w:type="dxa"/>
            <w:vAlign w:val="bottom"/>
          </w:tcPr>
          <w:p w14:paraId="5E13D78F" w14:textId="02840404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17.828 €</w:t>
            </w:r>
          </w:p>
        </w:tc>
      </w:tr>
      <w:tr w:rsidR="00A03C99" w:rsidRPr="0030236E" w14:paraId="05D993D7" w14:textId="77777777" w:rsidTr="00206126">
        <w:trPr>
          <w:trHeight w:val="204"/>
        </w:trPr>
        <w:tc>
          <w:tcPr>
            <w:tcW w:w="2338" w:type="dxa"/>
            <w:shd w:val="clear" w:color="auto" w:fill="auto"/>
            <w:vAlign w:val="bottom"/>
            <w:hideMark/>
          </w:tcPr>
          <w:p w14:paraId="7CD60A41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color w:val="000000"/>
                <w:sz w:val="22"/>
                <w:szCs w:val="22"/>
              </w:rPr>
              <w:t>Región de Murcia</w:t>
            </w:r>
          </w:p>
        </w:tc>
        <w:tc>
          <w:tcPr>
            <w:tcW w:w="2350" w:type="dxa"/>
            <w:vAlign w:val="bottom"/>
          </w:tcPr>
          <w:p w14:paraId="3A5456AD" w14:textId="577A7E85" w:rsidR="00A03C99" w:rsidRPr="0030236E" w:rsidRDefault="00A03C99" w:rsidP="00F3124B">
            <w:pPr>
              <w:ind w:left="708" w:hanging="708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10.439 €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508DF673" w14:textId="73CD26FA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8.150 €</w:t>
            </w:r>
          </w:p>
        </w:tc>
        <w:tc>
          <w:tcPr>
            <w:tcW w:w="2247" w:type="dxa"/>
            <w:vAlign w:val="bottom"/>
          </w:tcPr>
          <w:p w14:paraId="71347E2E" w14:textId="3311613E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6.983 €</w:t>
            </w:r>
          </w:p>
        </w:tc>
      </w:tr>
      <w:tr w:rsidR="00A03C99" w:rsidRPr="0030236E" w14:paraId="22075FD3" w14:textId="77777777" w:rsidTr="00206126">
        <w:trPr>
          <w:trHeight w:val="204"/>
        </w:trPr>
        <w:tc>
          <w:tcPr>
            <w:tcW w:w="2338" w:type="dxa"/>
            <w:shd w:val="clear" w:color="auto" w:fill="ACB9CA" w:themeFill="text2" w:themeFillTint="66"/>
            <w:vAlign w:val="bottom"/>
            <w:hideMark/>
          </w:tcPr>
          <w:p w14:paraId="07094C97" w14:textId="77777777" w:rsidR="00A03C99" w:rsidRPr="0030236E" w:rsidRDefault="00A03C99" w:rsidP="00206126">
            <w:pPr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España</w:t>
            </w:r>
          </w:p>
        </w:tc>
        <w:tc>
          <w:tcPr>
            <w:tcW w:w="2350" w:type="dxa"/>
            <w:shd w:val="clear" w:color="auto" w:fill="ACB9CA" w:themeFill="text2" w:themeFillTint="66"/>
            <w:vAlign w:val="bottom"/>
          </w:tcPr>
          <w:p w14:paraId="0ACBFA26" w14:textId="0419C87E" w:rsidR="00A03C99" w:rsidRPr="0030236E" w:rsidRDefault="00A03C99" w:rsidP="00F3124B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3023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13.762 €</w:t>
            </w:r>
          </w:p>
        </w:tc>
        <w:tc>
          <w:tcPr>
            <w:tcW w:w="2169" w:type="dxa"/>
            <w:shd w:val="clear" w:color="auto" w:fill="ACB9CA" w:themeFill="text2" w:themeFillTint="66"/>
            <w:vAlign w:val="bottom"/>
            <w:hideMark/>
          </w:tcPr>
          <w:p w14:paraId="4E484D9C" w14:textId="77777777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10.714 €</w:t>
            </w:r>
          </w:p>
        </w:tc>
        <w:tc>
          <w:tcPr>
            <w:tcW w:w="2247" w:type="dxa"/>
            <w:shd w:val="clear" w:color="auto" w:fill="ACB9CA" w:themeFill="text2" w:themeFillTint="66"/>
            <w:vAlign w:val="bottom"/>
          </w:tcPr>
          <w:p w14:paraId="46D6304A" w14:textId="1E00F885" w:rsidR="00A03C99" w:rsidRPr="0030236E" w:rsidRDefault="00A03C99" w:rsidP="00F3124B">
            <w:pPr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2"/>
                <w:szCs w:val="22"/>
                <w:lang w:val="es-ES" w:eastAsia="es-ES"/>
              </w:rPr>
            </w:pPr>
            <w:r w:rsidRPr="003023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9.817 €</w:t>
            </w:r>
          </w:p>
        </w:tc>
      </w:tr>
    </w:tbl>
    <w:p w14:paraId="1B55B1BB" w14:textId="77777777" w:rsidR="00020390" w:rsidRDefault="00020390" w:rsidP="00782B8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</w:pPr>
    </w:p>
    <w:p w14:paraId="1AED17D6" w14:textId="1E3CBE1A" w:rsidR="003F535B" w:rsidRDefault="00D41C3C" w:rsidP="00782B8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</w:pPr>
      <w:r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Los</w:t>
      </w:r>
      <w:r w:rsidR="003F535B" w:rsidRPr="00D41C3C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 </w:t>
      </w:r>
      <w:r w:rsidR="00C035A3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castellanoleoneses</w:t>
      </w:r>
      <w:r w:rsidR="00403021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 </w:t>
      </w:r>
      <w:r w:rsidRPr="00D41C3C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son los más </w:t>
      </w:r>
      <w:r w:rsidR="00C035A3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beneficiados con</w:t>
      </w:r>
      <w:r w:rsidRPr="00D41C3C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 </w:t>
      </w:r>
      <w:r w:rsidR="00BF065E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la caída de precios en los últimos 5 años</w:t>
      </w:r>
    </w:p>
    <w:bookmarkEnd w:id="2"/>
    <w:p w14:paraId="66B31DA5" w14:textId="2351051E" w:rsidR="00C91805" w:rsidRDefault="004B0602" w:rsidP="00C91805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En cuanto a las</w:t>
      </w:r>
      <w:r w:rsidR="00D41C3C" w:rsidRPr="00662836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D4647">
        <w:rPr>
          <w:rFonts w:ascii="Open Sans" w:hAnsi="Open Sans" w:cs="Open Sans"/>
          <w:color w:val="000000"/>
          <w:sz w:val="22"/>
          <w:szCs w:val="22"/>
        </w:rPr>
        <w:t>c</w:t>
      </w:r>
      <w:r w:rsidR="00D41C3C" w:rsidRPr="00662836">
        <w:rPr>
          <w:rFonts w:ascii="Open Sans" w:hAnsi="Open Sans" w:cs="Open Sans"/>
          <w:color w:val="000000"/>
          <w:sz w:val="22"/>
          <w:szCs w:val="22"/>
        </w:rPr>
        <w:t xml:space="preserve">omunidades </w:t>
      </w:r>
      <w:r w:rsidR="009D4647">
        <w:rPr>
          <w:rFonts w:ascii="Open Sans" w:hAnsi="Open Sans" w:cs="Open Sans"/>
          <w:color w:val="000000"/>
          <w:sz w:val="22"/>
          <w:szCs w:val="22"/>
        </w:rPr>
        <w:t>a</w:t>
      </w:r>
      <w:r w:rsidR="00D41C3C" w:rsidRPr="00662836">
        <w:rPr>
          <w:rFonts w:ascii="Open Sans" w:hAnsi="Open Sans" w:cs="Open Sans"/>
          <w:color w:val="000000"/>
          <w:sz w:val="22"/>
          <w:szCs w:val="22"/>
        </w:rPr>
        <w:t xml:space="preserve">utónomas </w:t>
      </w:r>
      <w:r w:rsidR="00D41C3C">
        <w:rPr>
          <w:rFonts w:ascii="Open Sans" w:hAnsi="Open Sans" w:cs="Open Sans"/>
          <w:color w:val="000000"/>
          <w:sz w:val="22"/>
          <w:szCs w:val="22"/>
        </w:rPr>
        <w:t xml:space="preserve">que </w:t>
      </w:r>
      <w:r>
        <w:rPr>
          <w:rFonts w:ascii="Open Sans" w:hAnsi="Open Sans" w:cs="Open Sans"/>
          <w:color w:val="000000"/>
          <w:sz w:val="22"/>
          <w:szCs w:val="22"/>
        </w:rPr>
        <w:t xml:space="preserve">han visto </w:t>
      </w:r>
      <w:r w:rsidR="00C91805">
        <w:rPr>
          <w:rFonts w:ascii="Open Sans" w:hAnsi="Open Sans" w:cs="Open Sans"/>
          <w:color w:val="000000"/>
          <w:sz w:val="22"/>
          <w:szCs w:val="22"/>
        </w:rPr>
        <w:t>caer</w:t>
      </w:r>
      <w:r>
        <w:rPr>
          <w:rFonts w:ascii="Open Sans" w:hAnsi="Open Sans" w:cs="Open Sans"/>
          <w:color w:val="000000"/>
          <w:sz w:val="22"/>
          <w:szCs w:val="22"/>
        </w:rPr>
        <w:t xml:space="preserve"> el acumulativo del </w:t>
      </w:r>
      <w:r w:rsidR="00EC5C56">
        <w:rPr>
          <w:rFonts w:ascii="Open Sans" w:hAnsi="Open Sans" w:cs="Open Sans"/>
          <w:color w:val="000000"/>
          <w:sz w:val="22"/>
          <w:szCs w:val="22"/>
        </w:rPr>
        <w:t xml:space="preserve">precio de </w:t>
      </w:r>
      <w:r w:rsidR="0030236E">
        <w:rPr>
          <w:rFonts w:ascii="Open Sans" w:hAnsi="Open Sans" w:cs="Open Sans"/>
          <w:color w:val="000000"/>
          <w:sz w:val="22"/>
          <w:szCs w:val="22"/>
        </w:rPr>
        <w:t xml:space="preserve">los garajes </w:t>
      </w:r>
      <w:r w:rsidR="00EC5C56">
        <w:rPr>
          <w:rFonts w:ascii="Open Sans" w:hAnsi="Open Sans" w:cs="Open Sans"/>
          <w:color w:val="000000"/>
          <w:sz w:val="22"/>
          <w:szCs w:val="22"/>
        </w:rPr>
        <w:t xml:space="preserve">en venta </w:t>
      </w:r>
      <w:r>
        <w:rPr>
          <w:rFonts w:ascii="Open Sans" w:hAnsi="Open Sans" w:cs="Open Sans"/>
          <w:color w:val="000000"/>
          <w:sz w:val="22"/>
          <w:szCs w:val="22"/>
        </w:rPr>
        <w:t>en los</w:t>
      </w:r>
      <w:r w:rsidR="00D41C3C">
        <w:rPr>
          <w:rFonts w:ascii="Open Sans" w:hAnsi="Open Sans" w:cs="Open Sans"/>
          <w:color w:val="000000"/>
          <w:sz w:val="22"/>
          <w:szCs w:val="22"/>
        </w:rPr>
        <w:t xml:space="preserve"> últimos </w:t>
      </w:r>
      <w:r w:rsidR="007B45F9">
        <w:rPr>
          <w:rFonts w:ascii="Open Sans" w:hAnsi="Open Sans" w:cs="Open Sans"/>
          <w:color w:val="000000"/>
          <w:sz w:val="22"/>
          <w:szCs w:val="22"/>
        </w:rPr>
        <w:t>5</w:t>
      </w:r>
      <w:r w:rsidR="00D41C3C">
        <w:rPr>
          <w:rFonts w:ascii="Open Sans" w:hAnsi="Open Sans" w:cs="Open Sans"/>
          <w:color w:val="000000"/>
          <w:sz w:val="22"/>
          <w:szCs w:val="22"/>
        </w:rPr>
        <w:t xml:space="preserve"> años, </w:t>
      </w:r>
      <w:r w:rsidR="00C91805">
        <w:rPr>
          <w:rFonts w:ascii="Open Sans" w:hAnsi="Open Sans" w:cs="Open Sans"/>
          <w:color w:val="000000"/>
          <w:sz w:val="22"/>
          <w:szCs w:val="22"/>
        </w:rPr>
        <w:t>6</w:t>
      </w:r>
      <w:r w:rsidR="00D41C3C">
        <w:rPr>
          <w:rFonts w:ascii="Open Sans" w:hAnsi="Open Sans" w:cs="Open Sans"/>
          <w:color w:val="000000"/>
          <w:sz w:val="22"/>
          <w:szCs w:val="22"/>
        </w:rPr>
        <w:t xml:space="preserve"> de ellas superan </w:t>
      </w:r>
      <w:r w:rsidR="00EC5C56">
        <w:rPr>
          <w:rFonts w:ascii="Open Sans" w:hAnsi="Open Sans" w:cs="Open Sans"/>
          <w:color w:val="000000"/>
          <w:sz w:val="22"/>
          <w:szCs w:val="22"/>
        </w:rPr>
        <w:t xml:space="preserve">la </w:t>
      </w:r>
      <w:r w:rsidR="00C91805">
        <w:rPr>
          <w:rFonts w:ascii="Open Sans" w:hAnsi="Open Sans" w:cs="Open Sans"/>
          <w:color w:val="000000"/>
          <w:sz w:val="22"/>
          <w:szCs w:val="22"/>
        </w:rPr>
        <w:t>caída</w:t>
      </w:r>
      <w:r w:rsidR="00EC5C56">
        <w:rPr>
          <w:rFonts w:ascii="Open Sans" w:hAnsi="Open Sans" w:cs="Open Sans"/>
          <w:color w:val="000000"/>
          <w:sz w:val="22"/>
          <w:szCs w:val="22"/>
        </w:rPr>
        <w:t xml:space="preserve"> d</w:t>
      </w:r>
      <w:r w:rsidR="00D41C3C">
        <w:rPr>
          <w:rFonts w:ascii="Open Sans" w:hAnsi="Open Sans" w:cs="Open Sans"/>
          <w:color w:val="000000"/>
          <w:sz w:val="22"/>
          <w:szCs w:val="22"/>
        </w:rPr>
        <w:t xml:space="preserve">el </w:t>
      </w:r>
      <w:r w:rsidR="00C91805">
        <w:rPr>
          <w:rFonts w:ascii="Open Sans" w:hAnsi="Open Sans" w:cs="Open Sans"/>
          <w:color w:val="000000"/>
          <w:sz w:val="22"/>
          <w:szCs w:val="22"/>
        </w:rPr>
        <w:t>3</w:t>
      </w:r>
      <w:r w:rsidR="00D41C3C">
        <w:rPr>
          <w:rFonts w:ascii="Open Sans" w:hAnsi="Open Sans" w:cs="Open Sans"/>
          <w:color w:val="000000"/>
          <w:sz w:val="22"/>
          <w:szCs w:val="22"/>
        </w:rPr>
        <w:t>0%, según el</w:t>
      </w:r>
      <w:r w:rsidR="00D41C3C" w:rsidRPr="0013234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D41C3C">
        <w:rPr>
          <w:rFonts w:ascii="Open Sans" w:hAnsi="Open Sans" w:cs="Open Sans"/>
          <w:color w:val="000000"/>
          <w:sz w:val="22"/>
          <w:szCs w:val="22"/>
        </w:rPr>
        <w:t>estudio</w:t>
      </w:r>
      <w:r w:rsidR="00D41C3C" w:rsidRPr="0013234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D41C3C">
        <w:rPr>
          <w:rFonts w:ascii="Open Sans" w:hAnsi="Open Sans" w:cs="Open Sans"/>
          <w:color w:val="000000"/>
          <w:sz w:val="22"/>
          <w:szCs w:val="22"/>
        </w:rPr>
        <w:t xml:space="preserve">de </w:t>
      </w:r>
      <w:hyperlink r:id="rId15" w:history="1">
        <w:r w:rsidR="00D41C3C" w:rsidRPr="00132340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D41C3C" w:rsidRPr="00A909FF">
        <w:rPr>
          <w:rFonts w:ascii="Open Sans" w:hAnsi="Open Sans" w:cs="Open Sans"/>
          <w:sz w:val="22"/>
          <w:szCs w:val="22"/>
        </w:rPr>
        <w:t>.</w:t>
      </w:r>
      <w:r w:rsidR="00D41C3C" w:rsidRPr="00410875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4B0602">
        <w:rPr>
          <w:rFonts w:ascii="Open Sans" w:hAnsi="Open Sans" w:cs="Open Sans"/>
          <w:sz w:val="22"/>
          <w:szCs w:val="22"/>
        </w:rPr>
        <w:t xml:space="preserve">Así, </w:t>
      </w:r>
      <w:r w:rsidR="00BF065E">
        <w:rPr>
          <w:rFonts w:ascii="Open Sans" w:hAnsi="Open Sans" w:cs="Open Sans"/>
          <w:sz w:val="22"/>
          <w:szCs w:val="22"/>
        </w:rPr>
        <w:t xml:space="preserve">las comunidades en el que el precio de los garajes se ha abaratado más son: </w:t>
      </w:r>
      <w:r w:rsidR="00C91805" w:rsidRPr="00C91805">
        <w:rPr>
          <w:rFonts w:ascii="Open Sans" w:hAnsi="Open Sans" w:cs="Open Sans"/>
          <w:sz w:val="22"/>
          <w:szCs w:val="22"/>
        </w:rPr>
        <w:t>Castilla y León</w:t>
      </w:r>
      <w:r w:rsidR="00C91805">
        <w:rPr>
          <w:rFonts w:ascii="Open Sans" w:hAnsi="Open Sans" w:cs="Open Sans"/>
          <w:sz w:val="22"/>
          <w:szCs w:val="22"/>
        </w:rPr>
        <w:t xml:space="preserve"> (</w:t>
      </w:r>
      <w:r w:rsidR="00C91805" w:rsidRPr="00C91805">
        <w:rPr>
          <w:rFonts w:ascii="Open Sans" w:hAnsi="Open Sans" w:cs="Open Sans"/>
          <w:sz w:val="22"/>
          <w:szCs w:val="22"/>
        </w:rPr>
        <w:t>-37%</w:t>
      </w:r>
      <w:r w:rsidR="00C91805">
        <w:rPr>
          <w:rFonts w:ascii="Open Sans" w:hAnsi="Open Sans" w:cs="Open Sans"/>
          <w:sz w:val="22"/>
          <w:szCs w:val="22"/>
        </w:rPr>
        <w:t xml:space="preserve">), </w:t>
      </w:r>
      <w:r w:rsidR="00C91805" w:rsidRPr="00C91805">
        <w:rPr>
          <w:rFonts w:ascii="Open Sans" w:hAnsi="Open Sans" w:cs="Open Sans"/>
          <w:sz w:val="22"/>
          <w:szCs w:val="22"/>
        </w:rPr>
        <w:t>Aragón</w:t>
      </w:r>
      <w:r w:rsidR="00C91805">
        <w:rPr>
          <w:rFonts w:ascii="Open Sans" w:hAnsi="Open Sans" w:cs="Open Sans"/>
          <w:sz w:val="22"/>
          <w:szCs w:val="22"/>
        </w:rPr>
        <w:t xml:space="preserve"> (</w:t>
      </w:r>
      <w:r w:rsidR="00C91805" w:rsidRPr="00C91805">
        <w:rPr>
          <w:rFonts w:ascii="Open Sans" w:hAnsi="Open Sans" w:cs="Open Sans"/>
          <w:sz w:val="22"/>
          <w:szCs w:val="22"/>
        </w:rPr>
        <w:t>-36%</w:t>
      </w:r>
      <w:r w:rsidR="00C91805">
        <w:rPr>
          <w:rFonts w:ascii="Open Sans" w:hAnsi="Open Sans" w:cs="Open Sans"/>
          <w:sz w:val="22"/>
          <w:szCs w:val="22"/>
        </w:rPr>
        <w:t xml:space="preserve">), </w:t>
      </w:r>
      <w:r w:rsidR="00C91805" w:rsidRPr="00C91805">
        <w:rPr>
          <w:rFonts w:ascii="Open Sans" w:hAnsi="Open Sans" w:cs="Open Sans"/>
          <w:sz w:val="22"/>
          <w:szCs w:val="22"/>
        </w:rPr>
        <w:t>Navarra</w:t>
      </w:r>
      <w:r w:rsidR="00C91805">
        <w:rPr>
          <w:rFonts w:ascii="Open Sans" w:hAnsi="Open Sans" w:cs="Open Sans"/>
          <w:sz w:val="22"/>
          <w:szCs w:val="22"/>
        </w:rPr>
        <w:t xml:space="preserve"> (</w:t>
      </w:r>
      <w:r w:rsidR="00C91805" w:rsidRPr="00C91805">
        <w:rPr>
          <w:rFonts w:ascii="Open Sans" w:hAnsi="Open Sans" w:cs="Open Sans"/>
          <w:sz w:val="22"/>
          <w:szCs w:val="22"/>
        </w:rPr>
        <w:t>-36%</w:t>
      </w:r>
      <w:r w:rsidR="00C91805">
        <w:rPr>
          <w:rFonts w:ascii="Open Sans" w:hAnsi="Open Sans" w:cs="Open Sans"/>
          <w:sz w:val="22"/>
          <w:szCs w:val="22"/>
        </w:rPr>
        <w:t xml:space="preserve">), </w:t>
      </w:r>
      <w:r w:rsidR="00C91805" w:rsidRPr="00C91805">
        <w:rPr>
          <w:rFonts w:ascii="Open Sans" w:hAnsi="Open Sans" w:cs="Open Sans"/>
          <w:sz w:val="22"/>
          <w:szCs w:val="22"/>
        </w:rPr>
        <w:t>Región de Murcia</w:t>
      </w:r>
      <w:r w:rsidR="00C91805">
        <w:rPr>
          <w:rFonts w:ascii="Open Sans" w:hAnsi="Open Sans" w:cs="Open Sans"/>
          <w:sz w:val="22"/>
          <w:szCs w:val="22"/>
        </w:rPr>
        <w:t xml:space="preserve"> (</w:t>
      </w:r>
      <w:r w:rsidR="00C91805" w:rsidRPr="00C91805">
        <w:rPr>
          <w:rFonts w:ascii="Open Sans" w:hAnsi="Open Sans" w:cs="Open Sans"/>
          <w:sz w:val="22"/>
          <w:szCs w:val="22"/>
        </w:rPr>
        <w:t>-33%</w:t>
      </w:r>
      <w:r w:rsidR="00C91805">
        <w:rPr>
          <w:rFonts w:ascii="Open Sans" w:hAnsi="Open Sans" w:cs="Open Sans"/>
          <w:sz w:val="22"/>
          <w:szCs w:val="22"/>
        </w:rPr>
        <w:t xml:space="preserve">), </w:t>
      </w:r>
      <w:r w:rsidR="00C91805" w:rsidRPr="00C91805">
        <w:rPr>
          <w:rFonts w:ascii="Open Sans" w:hAnsi="Open Sans" w:cs="Open Sans"/>
          <w:sz w:val="22"/>
          <w:szCs w:val="22"/>
        </w:rPr>
        <w:t>Comunitat Valenciana</w:t>
      </w:r>
      <w:r w:rsidR="00C91805">
        <w:rPr>
          <w:rFonts w:ascii="Open Sans" w:hAnsi="Open Sans" w:cs="Open Sans"/>
          <w:sz w:val="22"/>
          <w:szCs w:val="22"/>
        </w:rPr>
        <w:t xml:space="preserve"> (</w:t>
      </w:r>
      <w:r w:rsidR="00C91805" w:rsidRPr="00C91805">
        <w:rPr>
          <w:rFonts w:ascii="Open Sans" w:hAnsi="Open Sans" w:cs="Open Sans"/>
          <w:sz w:val="22"/>
          <w:szCs w:val="22"/>
        </w:rPr>
        <w:t>-33%</w:t>
      </w:r>
      <w:r w:rsidR="00C91805">
        <w:rPr>
          <w:rFonts w:ascii="Open Sans" w:hAnsi="Open Sans" w:cs="Open Sans"/>
          <w:sz w:val="22"/>
          <w:szCs w:val="22"/>
        </w:rPr>
        <w:t xml:space="preserve">) y </w:t>
      </w:r>
      <w:r w:rsidR="00C91805" w:rsidRPr="00C91805">
        <w:rPr>
          <w:rFonts w:ascii="Open Sans" w:hAnsi="Open Sans" w:cs="Open Sans"/>
          <w:sz w:val="22"/>
          <w:szCs w:val="22"/>
        </w:rPr>
        <w:t>Asturias</w:t>
      </w:r>
      <w:r w:rsidR="00C91805">
        <w:rPr>
          <w:rFonts w:ascii="Open Sans" w:hAnsi="Open Sans" w:cs="Open Sans"/>
          <w:sz w:val="22"/>
          <w:szCs w:val="22"/>
        </w:rPr>
        <w:t xml:space="preserve"> (</w:t>
      </w:r>
      <w:r w:rsidR="00C91805" w:rsidRPr="00C91805">
        <w:rPr>
          <w:rFonts w:ascii="Open Sans" w:hAnsi="Open Sans" w:cs="Open Sans"/>
          <w:sz w:val="22"/>
          <w:szCs w:val="22"/>
        </w:rPr>
        <w:t>-31%</w:t>
      </w:r>
      <w:r w:rsidR="00C91805">
        <w:rPr>
          <w:rFonts w:ascii="Open Sans" w:hAnsi="Open Sans" w:cs="Open Sans"/>
          <w:sz w:val="22"/>
          <w:szCs w:val="22"/>
        </w:rPr>
        <w:t>)</w:t>
      </w:r>
      <w:r w:rsidR="00BF065E">
        <w:rPr>
          <w:rFonts w:ascii="Open Sans" w:hAnsi="Open Sans" w:cs="Open Sans"/>
          <w:sz w:val="22"/>
          <w:szCs w:val="22"/>
        </w:rPr>
        <w:t xml:space="preserve">. </w:t>
      </w:r>
      <w:r w:rsidR="00C91805">
        <w:rPr>
          <w:rFonts w:ascii="Open Sans" w:hAnsi="Open Sans" w:cs="Open Sans"/>
          <w:sz w:val="22"/>
          <w:szCs w:val="22"/>
        </w:rPr>
        <w:t xml:space="preserve">En el resto de </w:t>
      </w:r>
      <w:r w:rsidR="00C1614B">
        <w:rPr>
          <w:rFonts w:ascii="Open Sans" w:hAnsi="Open Sans" w:cs="Open Sans"/>
          <w:sz w:val="22"/>
          <w:szCs w:val="22"/>
        </w:rPr>
        <w:t>las regiones</w:t>
      </w:r>
      <w:r w:rsidR="00C91805">
        <w:rPr>
          <w:rFonts w:ascii="Open Sans" w:hAnsi="Open Sans" w:cs="Open Sans"/>
          <w:sz w:val="22"/>
          <w:szCs w:val="22"/>
        </w:rPr>
        <w:t xml:space="preserve"> también se producen descensos en los últimos 5 años que van del </w:t>
      </w:r>
      <w:r w:rsidR="00542324">
        <w:rPr>
          <w:rFonts w:ascii="Open Sans" w:hAnsi="Open Sans" w:cs="Open Sans"/>
          <w:sz w:val="22"/>
          <w:szCs w:val="22"/>
        </w:rPr>
        <w:t>-</w:t>
      </w:r>
      <w:r w:rsidR="00C91805">
        <w:rPr>
          <w:rFonts w:ascii="Open Sans" w:hAnsi="Open Sans" w:cs="Open Sans"/>
          <w:sz w:val="22"/>
          <w:szCs w:val="22"/>
        </w:rPr>
        <w:t xml:space="preserve">28% de Andalucía al </w:t>
      </w:r>
      <w:r w:rsidR="00542324">
        <w:rPr>
          <w:rFonts w:ascii="Open Sans" w:hAnsi="Open Sans" w:cs="Open Sans"/>
          <w:sz w:val="22"/>
          <w:szCs w:val="22"/>
        </w:rPr>
        <w:t>-</w:t>
      </w:r>
      <w:r w:rsidR="00C91805">
        <w:rPr>
          <w:rFonts w:ascii="Open Sans" w:hAnsi="Open Sans" w:cs="Open Sans"/>
          <w:sz w:val="22"/>
          <w:szCs w:val="22"/>
        </w:rPr>
        <w:t>13% de Galicia.</w:t>
      </w:r>
    </w:p>
    <w:p w14:paraId="72088244" w14:textId="77777777" w:rsidR="00863CB3" w:rsidRDefault="00863CB3" w:rsidP="009004F0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</w:pPr>
    </w:p>
    <w:p w14:paraId="314D44A6" w14:textId="77777777" w:rsidR="00863CB3" w:rsidRDefault="00863CB3" w:rsidP="009004F0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</w:pPr>
    </w:p>
    <w:p w14:paraId="71C8BCE7" w14:textId="4B7A63A3" w:rsidR="00AA2566" w:rsidRDefault="00AA2566" w:rsidP="009004F0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</w:pPr>
      <w:r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lastRenderedPageBreak/>
        <w:t xml:space="preserve">Comparativa del acumulativo </w:t>
      </w:r>
      <w:r w:rsidR="00B231C2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de</w:t>
      </w:r>
      <w:r w:rsidR="0030236E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 los garajes en</w:t>
      </w:r>
      <w:r w:rsidR="00B231C2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 venta </w:t>
      </w:r>
      <w:r w:rsidR="0037410B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en España</w:t>
      </w:r>
    </w:p>
    <w:p w14:paraId="043684AB" w14:textId="3E11B37D" w:rsidR="0030236E" w:rsidRDefault="008D5906" w:rsidP="009004F0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</w:pPr>
      <w:r>
        <w:rPr>
          <w:noProof/>
        </w:rPr>
        <w:drawing>
          <wp:inline distT="0" distB="0" distL="0" distR="0" wp14:anchorId="0009DC21" wp14:editId="48D0C1EF">
            <wp:extent cx="5396230" cy="193040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36E" w:rsidRPr="0030236E">
        <w:rPr>
          <w:noProof/>
        </w:rPr>
        <w:drawing>
          <wp:anchor distT="0" distB="0" distL="114300" distR="114300" simplePos="0" relativeHeight="251658240" behindDoc="0" locked="0" layoutInCell="1" allowOverlap="1" wp14:anchorId="173EF2B3" wp14:editId="4CEA99D7">
            <wp:simplePos x="0" y="0"/>
            <wp:positionH relativeFrom="column">
              <wp:posOffset>-729379</wp:posOffset>
            </wp:positionH>
            <wp:positionV relativeFrom="paragraph">
              <wp:posOffset>78105</wp:posOffset>
            </wp:positionV>
            <wp:extent cx="6860540" cy="2009140"/>
            <wp:effectExtent l="0" t="0" r="0" b="0"/>
            <wp:wrapSquare wrapText="bothSides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54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9096E" w14:textId="5792F59D" w:rsidR="0014007A" w:rsidRDefault="0014007A" w:rsidP="0014007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14007A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Por </w:t>
      </w:r>
      <w:r w:rsidR="00B54B63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capital</w:t>
      </w:r>
      <w:r w:rsidR="00AD3095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es de provincia</w:t>
      </w:r>
    </w:p>
    <w:p w14:paraId="22E90478" w14:textId="3E593C76" w:rsidR="000314F8" w:rsidRDefault="00193C8D" w:rsidP="00E71B3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En 2020, en 7 de cada 10 ciudades el precio de los garajes cayó </w:t>
      </w:r>
      <w:r w:rsidR="009700D2">
        <w:rPr>
          <w:rFonts w:ascii="Open Sans" w:hAnsi="Open Sans" w:cs="Open Sans"/>
          <w:color w:val="000000"/>
          <w:sz w:val="22"/>
          <w:szCs w:val="22"/>
        </w:rPr>
        <w:t xml:space="preserve">respecto al año 2019. </w:t>
      </w:r>
      <w:r w:rsidR="00E71B3A">
        <w:rPr>
          <w:rFonts w:ascii="Open Sans" w:hAnsi="Open Sans" w:cs="Open Sans"/>
          <w:color w:val="000000"/>
          <w:sz w:val="22"/>
          <w:szCs w:val="22"/>
        </w:rPr>
        <w:t xml:space="preserve">Los precios de los garajes de las </w:t>
      </w:r>
      <w:r w:rsidR="009700D2">
        <w:rPr>
          <w:rFonts w:ascii="Open Sans" w:hAnsi="Open Sans" w:cs="Open Sans"/>
          <w:color w:val="000000"/>
          <w:sz w:val="22"/>
          <w:szCs w:val="22"/>
        </w:rPr>
        <w:t>ciudad</w:t>
      </w:r>
      <w:r w:rsidR="00E71B3A">
        <w:rPr>
          <w:rFonts w:ascii="Open Sans" w:hAnsi="Open Sans" w:cs="Open Sans"/>
          <w:color w:val="000000"/>
          <w:sz w:val="22"/>
          <w:szCs w:val="22"/>
        </w:rPr>
        <w:t>es</w:t>
      </w:r>
      <w:r w:rsidR="009700D2">
        <w:rPr>
          <w:rFonts w:ascii="Open Sans" w:hAnsi="Open Sans" w:cs="Open Sans"/>
          <w:color w:val="000000"/>
          <w:sz w:val="22"/>
          <w:szCs w:val="22"/>
        </w:rPr>
        <w:t xml:space="preserve"> que experimenta</w:t>
      </w:r>
      <w:r w:rsidR="00E71B3A">
        <w:rPr>
          <w:rFonts w:ascii="Open Sans" w:hAnsi="Open Sans" w:cs="Open Sans"/>
          <w:color w:val="000000"/>
          <w:sz w:val="22"/>
          <w:szCs w:val="22"/>
        </w:rPr>
        <w:t>n</w:t>
      </w:r>
      <w:r w:rsidR="009700D2">
        <w:rPr>
          <w:rFonts w:ascii="Open Sans" w:hAnsi="Open Sans" w:cs="Open Sans"/>
          <w:color w:val="000000"/>
          <w:sz w:val="22"/>
          <w:szCs w:val="22"/>
        </w:rPr>
        <w:t xml:space="preserve"> la</w:t>
      </w:r>
      <w:r w:rsidR="00E71B3A">
        <w:rPr>
          <w:rFonts w:ascii="Open Sans" w:hAnsi="Open Sans" w:cs="Open Sans"/>
          <w:color w:val="000000"/>
          <w:sz w:val="22"/>
          <w:szCs w:val="22"/>
        </w:rPr>
        <w:t>s</w:t>
      </w:r>
      <w:r w:rsidR="009700D2">
        <w:rPr>
          <w:rFonts w:ascii="Open Sans" w:hAnsi="Open Sans" w:cs="Open Sans"/>
          <w:color w:val="000000"/>
          <w:sz w:val="22"/>
          <w:szCs w:val="22"/>
        </w:rPr>
        <w:t xml:space="preserve"> mayor</w:t>
      </w:r>
      <w:r w:rsidR="00E71B3A">
        <w:rPr>
          <w:rFonts w:ascii="Open Sans" w:hAnsi="Open Sans" w:cs="Open Sans"/>
          <w:color w:val="000000"/>
          <w:sz w:val="22"/>
          <w:szCs w:val="22"/>
        </w:rPr>
        <w:t xml:space="preserve">es </w:t>
      </w:r>
      <w:r w:rsidR="009700D2">
        <w:rPr>
          <w:rFonts w:ascii="Open Sans" w:hAnsi="Open Sans" w:cs="Open Sans"/>
          <w:color w:val="000000"/>
          <w:sz w:val="22"/>
          <w:szCs w:val="22"/>
        </w:rPr>
        <w:t>caída</w:t>
      </w:r>
      <w:r w:rsidR="00E71B3A">
        <w:rPr>
          <w:rFonts w:ascii="Open Sans" w:hAnsi="Open Sans" w:cs="Open Sans"/>
          <w:color w:val="000000"/>
          <w:sz w:val="22"/>
          <w:szCs w:val="22"/>
        </w:rPr>
        <w:t>s</w:t>
      </w:r>
      <w:r w:rsidR="009700D2">
        <w:rPr>
          <w:rFonts w:ascii="Open Sans" w:hAnsi="Open Sans" w:cs="Open Sans"/>
          <w:color w:val="000000"/>
          <w:sz w:val="22"/>
          <w:szCs w:val="22"/>
        </w:rPr>
        <w:t xml:space="preserve"> interanual</w:t>
      </w:r>
      <w:r w:rsidR="00E71B3A">
        <w:rPr>
          <w:rFonts w:ascii="Open Sans" w:hAnsi="Open Sans" w:cs="Open Sans"/>
          <w:color w:val="000000"/>
          <w:sz w:val="22"/>
          <w:szCs w:val="22"/>
        </w:rPr>
        <w:t>es</w:t>
      </w:r>
      <w:r w:rsidR="009700D2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E71B3A">
        <w:rPr>
          <w:rFonts w:ascii="Open Sans" w:hAnsi="Open Sans" w:cs="Open Sans"/>
          <w:color w:val="000000"/>
          <w:sz w:val="22"/>
          <w:szCs w:val="22"/>
        </w:rPr>
        <w:t xml:space="preserve">son 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 xml:space="preserve">Huelva </w:t>
      </w:r>
      <w:r w:rsidR="00E71B3A">
        <w:rPr>
          <w:rFonts w:ascii="Open Sans" w:hAnsi="Open Sans" w:cs="Open Sans"/>
          <w:color w:val="000000"/>
          <w:sz w:val="22"/>
          <w:szCs w:val="22"/>
        </w:rPr>
        <w:t>c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apital</w:t>
      </w:r>
      <w:r w:rsidR="00E71B3A">
        <w:rPr>
          <w:rFonts w:ascii="Open Sans" w:hAnsi="Open Sans" w:cs="Open Sans"/>
          <w:sz w:val="22"/>
          <w:szCs w:val="22"/>
        </w:rPr>
        <w:t xml:space="preserve"> (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-22,7%</w:t>
      </w:r>
      <w:r w:rsidR="00E71B3A">
        <w:rPr>
          <w:rFonts w:ascii="Open Sans" w:hAnsi="Open Sans" w:cs="Open Sans"/>
          <w:sz w:val="22"/>
          <w:szCs w:val="22"/>
        </w:rPr>
        <w:t xml:space="preserve">), 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 xml:space="preserve">Lleida </w:t>
      </w:r>
      <w:r w:rsidR="00E71B3A">
        <w:rPr>
          <w:rFonts w:ascii="Open Sans" w:hAnsi="Open Sans" w:cs="Open Sans"/>
          <w:color w:val="000000"/>
          <w:sz w:val="22"/>
          <w:szCs w:val="22"/>
        </w:rPr>
        <w:t>c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apital</w:t>
      </w:r>
      <w:r w:rsidR="00E71B3A">
        <w:rPr>
          <w:rFonts w:ascii="Open Sans" w:hAnsi="Open Sans" w:cs="Open Sans"/>
          <w:sz w:val="22"/>
          <w:szCs w:val="22"/>
        </w:rPr>
        <w:t xml:space="preserve"> (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-20,6%</w:t>
      </w:r>
      <w:r w:rsidR="00E71B3A">
        <w:rPr>
          <w:rFonts w:ascii="Open Sans" w:hAnsi="Open Sans" w:cs="Open Sans"/>
          <w:sz w:val="22"/>
          <w:szCs w:val="22"/>
        </w:rPr>
        <w:t xml:space="preserve">), 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 xml:space="preserve">Murcia </w:t>
      </w:r>
      <w:r w:rsidR="00E71B3A">
        <w:rPr>
          <w:rFonts w:ascii="Open Sans" w:hAnsi="Open Sans" w:cs="Open Sans"/>
          <w:color w:val="000000"/>
          <w:sz w:val="22"/>
          <w:szCs w:val="22"/>
        </w:rPr>
        <w:t>c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apital</w:t>
      </w:r>
      <w:r w:rsidR="00E71B3A">
        <w:rPr>
          <w:rFonts w:ascii="Open Sans" w:hAnsi="Open Sans" w:cs="Open Sans"/>
          <w:sz w:val="22"/>
          <w:szCs w:val="22"/>
        </w:rPr>
        <w:t xml:space="preserve"> (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-19,0%</w:t>
      </w:r>
      <w:r w:rsidR="00E71B3A">
        <w:rPr>
          <w:rFonts w:ascii="Open Sans" w:hAnsi="Open Sans" w:cs="Open Sans"/>
          <w:sz w:val="22"/>
          <w:szCs w:val="22"/>
        </w:rPr>
        <w:t xml:space="preserve">), 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 xml:space="preserve">A Coruña </w:t>
      </w:r>
      <w:r w:rsidR="00E71B3A">
        <w:rPr>
          <w:rFonts w:ascii="Open Sans" w:hAnsi="Open Sans" w:cs="Open Sans"/>
          <w:color w:val="000000"/>
          <w:sz w:val="22"/>
          <w:szCs w:val="22"/>
        </w:rPr>
        <w:t>c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apital</w:t>
      </w:r>
      <w:r w:rsidR="00E71B3A">
        <w:rPr>
          <w:rFonts w:ascii="Open Sans" w:hAnsi="Open Sans" w:cs="Open Sans"/>
          <w:sz w:val="22"/>
          <w:szCs w:val="22"/>
        </w:rPr>
        <w:t xml:space="preserve"> (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-18,8%</w:t>
      </w:r>
      <w:r w:rsidR="00E71B3A">
        <w:rPr>
          <w:rFonts w:ascii="Open Sans" w:hAnsi="Open Sans" w:cs="Open Sans"/>
          <w:sz w:val="22"/>
          <w:szCs w:val="22"/>
        </w:rPr>
        <w:t xml:space="preserve">), 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 xml:space="preserve">Málaga </w:t>
      </w:r>
      <w:r w:rsidR="00E71B3A">
        <w:rPr>
          <w:rFonts w:ascii="Open Sans" w:hAnsi="Open Sans" w:cs="Open Sans"/>
          <w:color w:val="000000"/>
          <w:sz w:val="22"/>
          <w:szCs w:val="22"/>
        </w:rPr>
        <w:t>c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apital</w:t>
      </w:r>
      <w:r w:rsidR="00E71B3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E71B3A">
        <w:rPr>
          <w:rFonts w:ascii="Open Sans" w:hAnsi="Open Sans" w:cs="Open Sans"/>
          <w:sz w:val="22"/>
          <w:szCs w:val="22"/>
        </w:rPr>
        <w:t>(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-15,0%</w:t>
      </w:r>
      <w:r w:rsidR="00E71B3A">
        <w:rPr>
          <w:rFonts w:ascii="Open Sans" w:hAnsi="Open Sans" w:cs="Open Sans"/>
          <w:sz w:val="22"/>
          <w:szCs w:val="22"/>
        </w:rPr>
        <w:t xml:space="preserve">), 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Pamplona / Iruña</w:t>
      </w:r>
      <w:r w:rsidR="00E71B3A">
        <w:rPr>
          <w:rFonts w:ascii="Open Sans" w:hAnsi="Open Sans" w:cs="Open Sans"/>
          <w:sz w:val="22"/>
          <w:szCs w:val="22"/>
        </w:rPr>
        <w:t xml:space="preserve"> (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-13,5%</w:t>
      </w:r>
      <w:r w:rsidR="00E71B3A">
        <w:rPr>
          <w:rFonts w:ascii="Open Sans" w:hAnsi="Open Sans" w:cs="Open Sans"/>
          <w:sz w:val="22"/>
          <w:szCs w:val="22"/>
        </w:rPr>
        <w:t xml:space="preserve">), 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Palma de Mallorca</w:t>
      </w:r>
      <w:r w:rsidR="00E71B3A">
        <w:rPr>
          <w:rFonts w:ascii="Open Sans" w:hAnsi="Open Sans" w:cs="Open Sans"/>
          <w:sz w:val="22"/>
          <w:szCs w:val="22"/>
        </w:rPr>
        <w:t xml:space="preserve"> (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-11,2%</w:t>
      </w:r>
      <w:r w:rsidR="00E71B3A">
        <w:rPr>
          <w:rFonts w:ascii="Open Sans" w:hAnsi="Open Sans" w:cs="Open Sans"/>
          <w:sz w:val="22"/>
          <w:szCs w:val="22"/>
        </w:rPr>
        <w:t xml:space="preserve">), 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 xml:space="preserve">Almería </w:t>
      </w:r>
      <w:r w:rsidR="00E71B3A">
        <w:rPr>
          <w:rFonts w:ascii="Open Sans" w:hAnsi="Open Sans" w:cs="Open Sans"/>
          <w:color w:val="000000"/>
          <w:sz w:val="22"/>
          <w:szCs w:val="22"/>
        </w:rPr>
        <w:t>c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apital</w:t>
      </w:r>
      <w:r w:rsidR="00E71B3A">
        <w:rPr>
          <w:rFonts w:ascii="Open Sans" w:hAnsi="Open Sans" w:cs="Open Sans"/>
          <w:sz w:val="22"/>
          <w:szCs w:val="22"/>
        </w:rPr>
        <w:t xml:space="preserve"> (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-10,9%</w:t>
      </w:r>
      <w:r w:rsidR="00E71B3A">
        <w:rPr>
          <w:rFonts w:ascii="Open Sans" w:hAnsi="Open Sans" w:cs="Open Sans"/>
          <w:sz w:val="22"/>
          <w:szCs w:val="22"/>
        </w:rPr>
        <w:t xml:space="preserve">), 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 xml:space="preserve">Zaragoza </w:t>
      </w:r>
      <w:r w:rsidR="00E71B3A">
        <w:rPr>
          <w:rFonts w:ascii="Open Sans" w:hAnsi="Open Sans" w:cs="Open Sans"/>
          <w:color w:val="000000"/>
          <w:sz w:val="22"/>
          <w:szCs w:val="22"/>
        </w:rPr>
        <w:t>c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apital</w:t>
      </w:r>
      <w:r w:rsidR="00E71B3A">
        <w:rPr>
          <w:rFonts w:ascii="Open Sans" w:hAnsi="Open Sans" w:cs="Open Sans"/>
          <w:sz w:val="22"/>
          <w:szCs w:val="22"/>
        </w:rPr>
        <w:t xml:space="preserve"> (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-10,3%</w:t>
      </w:r>
      <w:r w:rsidR="00E71B3A">
        <w:rPr>
          <w:rFonts w:ascii="Open Sans" w:hAnsi="Open Sans" w:cs="Open Sans"/>
          <w:sz w:val="22"/>
          <w:szCs w:val="22"/>
        </w:rPr>
        <w:t xml:space="preserve">) y 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Alicante / Alacant</w:t>
      </w:r>
      <w:r w:rsidR="00E71B3A">
        <w:rPr>
          <w:rFonts w:ascii="Open Sans" w:hAnsi="Open Sans" w:cs="Open Sans"/>
          <w:sz w:val="22"/>
          <w:szCs w:val="22"/>
        </w:rPr>
        <w:t xml:space="preserve"> (</w:t>
      </w:r>
      <w:r w:rsidR="00E71B3A" w:rsidRPr="00E71B3A">
        <w:rPr>
          <w:rFonts w:ascii="Open Sans" w:hAnsi="Open Sans" w:cs="Open Sans"/>
          <w:color w:val="000000"/>
          <w:sz w:val="22"/>
          <w:szCs w:val="22"/>
        </w:rPr>
        <w:t>-10,0%</w:t>
      </w:r>
      <w:r w:rsidR="00E71B3A">
        <w:rPr>
          <w:rFonts w:ascii="Open Sans" w:hAnsi="Open Sans" w:cs="Open Sans"/>
          <w:sz w:val="22"/>
          <w:szCs w:val="22"/>
        </w:rPr>
        <w:t xml:space="preserve">). </w:t>
      </w:r>
    </w:p>
    <w:p w14:paraId="1EB49277" w14:textId="79672930" w:rsidR="00222A5A" w:rsidRDefault="00E71B3A" w:rsidP="000314F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Le siguen, las ciudades en donde los descensos van por </w:t>
      </w:r>
      <w:r w:rsidR="000314F8">
        <w:rPr>
          <w:rFonts w:ascii="Open Sans" w:hAnsi="Open Sans" w:cs="Open Sans"/>
          <w:sz w:val="22"/>
          <w:szCs w:val="22"/>
        </w:rPr>
        <w:t>encima</w:t>
      </w:r>
      <w:r>
        <w:rPr>
          <w:rFonts w:ascii="Open Sans" w:hAnsi="Open Sans" w:cs="Open Sans"/>
          <w:sz w:val="22"/>
          <w:szCs w:val="22"/>
        </w:rPr>
        <w:t xml:space="preserve"> del -10%: </w:t>
      </w:r>
      <w:r w:rsidR="000314F8" w:rsidRPr="000314F8">
        <w:rPr>
          <w:rFonts w:ascii="Open Sans" w:hAnsi="Open Sans" w:cs="Open Sans"/>
          <w:sz w:val="22"/>
          <w:szCs w:val="22"/>
        </w:rPr>
        <w:t xml:space="preserve">Valladolid </w:t>
      </w:r>
      <w:r w:rsidR="000314F8">
        <w:rPr>
          <w:rFonts w:ascii="Open Sans" w:hAnsi="Open Sans" w:cs="Open Sans"/>
          <w:sz w:val="22"/>
          <w:szCs w:val="22"/>
        </w:rPr>
        <w:t>c</w:t>
      </w:r>
      <w:r w:rsidR="000314F8" w:rsidRPr="000314F8">
        <w:rPr>
          <w:rFonts w:ascii="Open Sans" w:hAnsi="Open Sans" w:cs="Open Sans"/>
          <w:sz w:val="22"/>
          <w:szCs w:val="22"/>
        </w:rPr>
        <w:t>apital</w:t>
      </w:r>
      <w:r w:rsidR="000314F8">
        <w:rPr>
          <w:rFonts w:ascii="Open Sans" w:hAnsi="Open Sans" w:cs="Open Sans"/>
          <w:sz w:val="22"/>
          <w:szCs w:val="22"/>
        </w:rPr>
        <w:t xml:space="preserve"> (</w:t>
      </w:r>
      <w:r w:rsidR="000314F8" w:rsidRPr="000314F8">
        <w:rPr>
          <w:rFonts w:ascii="Open Sans" w:hAnsi="Open Sans" w:cs="Open Sans"/>
          <w:sz w:val="22"/>
          <w:szCs w:val="22"/>
        </w:rPr>
        <w:t>-7,7%</w:t>
      </w:r>
      <w:r w:rsidR="000314F8">
        <w:rPr>
          <w:rFonts w:ascii="Open Sans" w:hAnsi="Open Sans" w:cs="Open Sans"/>
          <w:sz w:val="22"/>
          <w:szCs w:val="22"/>
        </w:rPr>
        <w:t xml:space="preserve">), </w:t>
      </w:r>
      <w:r w:rsidR="000314F8" w:rsidRPr="000314F8">
        <w:rPr>
          <w:rFonts w:ascii="Open Sans" w:hAnsi="Open Sans" w:cs="Open Sans"/>
          <w:sz w:val="22"/>
          <w:szCs w:val="22"/>
        </w:rPr>
        <w:t>Oviedo</w:t>
      </w:r>
      <w:r w:rsidR="000314F8">
        <w:rPr>
          <w:rFonts w:ascii="Open Sans" w:hAnsi="Open Sans" w:cs="Open Sans"/>
          <w:sz w:val="22"/>
          <w:szCs w:val="22"/>
        </w:rPr>
        <w:t xml:space="preserve"> (</w:t>
      </w:r>
      <w:r w:rsidR="000314F8" w:rsidRPr="000314F8">
        <w:rPr>
          <w:rFonts w:ascii="Open Sans" w:hAnsi="Open Sans" w:cs="Open Sans"/>
          <w:sz w:val="22"/>
          <w:szCs w:val="22"/>
        </w:rPr>
        <w:t>-6,8%</w:t>
      </w:r>
      <w:r w:rsidR="000314F8">
        <w:rPr>
          <w:rFonts w:ascii="Open Sans" w:hAnsi="Open Sans" w:cs="Open Sans"/>
          <w:sz w:val="22"/>
          <w:szCs w:val="22"/>
        </w:rPr>
        <w:t xml:space="preserve">), </w:t>
      </w:r>
      <w:r w:rsidR="000314F8" w:rsidRPr="000314F8">
        <w:rPr>
          <w:rFonts w:ascii="Open Sans" w:hAnsi="Open Sans" w:cs="Open Sans"/>
          <w:sz w:val="22"/>
          <w:szCs w:val="22"/>
        </w:rPr>
        <w:t>Vitoria - Gasteiz</w:t>
      </w:r>
      <w:r w:rsidR="000314F8">
        <w:rPr>
          <w:rFonts w:ascii="Open Sans" w:hAnsi="Open Sans" w:cs="Open Sans"/>
          <w:sz w:val="22"/>
          <w:szCs w:val="22"/>
        </w:rPr>
        <w:t xml:space="preserve"> (</w:t>
      </w:r>
      <w:r w:rsidR="000314F8" w:rsidRPr="000314F8">
        <w:rPr>
          <w:rFonts w:ascii="Open Sans" w:hAnsi="Open Sans" w:cs="Open Sans"/>
          <w:sz w:val="22"/>
          <w:szCs w:val="22"/>
        </w:rPr>
        <w:t>-6,2%</w:t>
      </w:r>
      <w:r w:rsidR="000314F8">
        <w:rPr>
          <w:rFonts w:ascii="Open Sans" w:hAnsi="Open Sans" w:cs="Open Sans"/>
          <w:sz w:val="22"/>
          <w:szCs w:val="22"/>
        </w:rPr>
        <w:t xml:space="preserve">), </w:t>
      </w:r>
      <w:r w:rsidR="000314F8" w:rsidRPr="000314F8">
        <w:rPr>
          <w:rFonts w:ascii="Open Sans" w:hAnsi="Open Sans" w:cs="Open Sans"/>
          <w:sz w:val="22"/>
          <w:szCs w:val="22"/>
        </w:rPr>
        <w:t xml:space="preserve">Girona </w:t>
      </w:r>
      <w:r w:rsidR="000314F8">
        <w:rPr>
          <w:rFonts w:ascii="Open Sans" w:hAnsi="Open Sans" w:cs="Open Sans"/>
          <w:sz w:val="22"/>
          <w:szCs w:val="22"/>
        </w:rPr>
        <w:t>c</w:t>
      </w:r>
      <w:r w:rsidR="000314F8" w:rsidRPr="000314F8">
        <w:rPr>
          <w:rFonts w:ascii="Open Sans" w:hAnsi="Open Sans" w:cs="Open Sans"/>
          <w:sz w:val="22"/>
          <w:szCs w:val="22"/>
        </w:rPr>
        <w:t>apital</w:t>
      </w:r>
      <w:r w:rsidR="000314F8">
        <w:rPr>
          <w:rFonts w:ascii="Open Sans" w:hAnsi="Open Sans" w:cs="Open Sans"/>
          <w:sz w:val="22"/>
          <w:szCs w:val="22"/>
        </w:rPr>
        <w:t xml:space="preserve"> (-</w:t>
      </w:r>
      <w:r w:rsidR="000314F8" w:rsidRPr="000314F8">
        <w:rPr>
          <w:rFonts w:ascii="Open Sans" w:hAnsi="Open Sans" w:cs="Open Sans"/>
          <w:sz w:val="22"/>
          <w:szCs w:val="22"/>
        </w:rPr>
        <w:t>5,8%</w:t>
      </w:r>
      <w:r w:rsidR="000314F8">
        <w:rPr>
          <w:rFonts w:ascii="Open Sans" w:hAnsi="Open Sans" w:cs="Open Sans"/>
          <w:sz w:val="22"/>
          <w:szCs w:val="22"/>
        </w:rPr>
        <w:t xml:space="preserve">), </w:t>
      </w:r>
      <w:r w:rsidR="000314F8" w:rsidRPr="000314F8">
        <w:rPr>
          <w:rFonts w:ascii="Open Sans" w:hAnsi="Open Sans" w:cs="Open Sans"/>
          <w:sz w:val="22"/>
          <w:szCs w:val="22"/>
        </w:rPr>
        <w:t xml:space="preserve">Valencia </w:t>
      </w:r>
      <w:r w:rsidR="000314F8">
        <w:rPr>
          <w:rFonts w:ascii="Open Sans" w:hAnsi="Open Sans" w:cs="Open Sans"/>
          <w:sz w:val="22"/>
          <w:szCs w:val="22"/>
        </w:rPr>
        <w:t>c</w:t>
      </w:r>
      <w:r w:rsidR="000314F8" w:rsidRPr="000314F8">
        <w:rPr>
          <w:rFonts w:ascii="Open Sans" w:hAnsi="Open Sans" w:cs="Open Sans"/>
          <w:sz w:val="22"/>
          <w:szCs w:val="22"/>
        </w:rPr>
        <w:t>apital</w:t>
      </w:r>
      <w:r w:rsidR="000314F8">
        <w:rPr>
          <w:rFonts w:ascii="Open Sans" w:hAnsi="Open Sans" w:cs="Open Sans"/>
          <w:sz w:val="22"/>
          <w:szCs w:val="22"/>
        </w:rPr>
        <w:t xml:space="preserve"> (</w:t>
      </w:r>
      <w:r w:rsidR="000314F8" w:rsidRPr="000314F8">
        <w:rPr>
          <w:rFonts w:ascii="Open Sans" w:hAnsi="Open Sans" w:cs="Open Sans"/>
          <w:sz w:val="22"/>
          <w:szCs w:val="22"/>
        </w:rPr>
        <w:t>-5,7%</w:t>
      </w:r>
      <w:r w:rsidR="000314F8">
        <w:rPr>
          <w:rFonts w:ascii="Open Sans" w:hAnsi="Open Sans" w:cs="Open Sans"/>
          <w:sz w:val="22"/>
          <w:szCs w:val="22"/>
        </w:rPr>
        <w:t xml:space="preserve">), </w:t>
      </w:r>
      <w:r w:rsidR="000314F8" w:rsidRPr="000314F8">
        <w:rPr>
          <w:rFonts w:ascii="Open Sans" w:hAnsi="Open Sans" w:cs="Open Sans"/>
          <w:sz w:val="22"/>
          <w:szCs w:val="22"/>
        </w:rPr>
        <w:t xml:space="preserve">Tarragona </w:t>
      </w:r>
      <w:r w:rsidR="000314F8">
        <w:rPr>
          <w:rFonts w:ascii="Open Sans" w:hAnsi="Open Sans" w:cs="Open Sans"/>
          <w:sz w:val="22"/>
          <w:szCs w:val="22"/>
        </w:rPr>
        <w:t>c</w:t>
      </w:r>
      <w:r w:rsidR="000314F8" w:rsidRPr="000314F8">
        <w:rPr>
          <w:rFonts w:ascii="Open Sans" w:hAnsi="Open Sans" w:cs="Open Sans"/>
          <w:sz w:val="22"/>
          <w:szCs w:val="22"/>
        </w:rPr>
        <w:t>apital</w:t>
      </w:r>
      <w:r w:rsidR="000314F8">
        <w:rPr>
          <w:rFonts w:ascii="Open Sans" w:hAnsi="Open Sans" w:cs="Open Sans"/>
          <w:sz w:val="22"/>
          <w:szCs w:val="22"/>
        </w:rPr>
        <w:t xml:space="preserve"> (</w:t>
      </w:r>
      <w:r w:rsidR="000314F8" w:rsidRPr="000314F8">
        <w:rPr>
          <w:rFonts w:ascii="Open Sans" w:hAnsi="Open Sans" w:cs="Open Sans"/>
          <w:sz w:val="22"/>
          <w:szCs w:val="22"/>
        </w:rPr>
        <w:t>-5,7%</w:t>
      </w:r>
      <w:r w:rsidR="000314F8">
        <w:rPr>
          <w:rFonts w:ascii="Open Sans" w:hAnsi="Open Sans" w:cs="Open Sans"/>
          <w:sz w:val="22"/>
          <w:szCs w:val="22"/>
        </w:rPr>
        <w:t xml:space="preserve">), </w:t>
      </w:r>
      <w:r w:rsidR="000314F8" w:rsidRPr="000314F8">
        <w:rPr>
          <w:rFonts w:ascii="Open Sans" w:hAnsi="Open Sans" w:cs="Open Sans"/>
          <w:sz w:val="22"/>
          <w:szCs w:val="22"/>
        </w:rPr>
        <w:t xml:space="preserve">Madrid </w:t>
      </w:r>
      <w:r w:rsidR="000314F8">
        <w:rPr>
          <w:rFonts w:ascii="Open Sans" w:hAnsi="Open Sans" w:cs="Open Sans"/>
          <w:sz w:val="22"/>
          <w:szCs w:val="22"/>
        </w:rPr>
        <w:t>c</w:t>
      </w:r>
      <w:r w:rsidR="000314F8" w:rsidRPr="000314F8">
        <w:rPr>
          <w:rFonts w:ascii="Open Sans" w:hAnsi="Open Sans" w:cs="Open Sans"/>
          <w:sz w:val="22"/>
          <w:szCs w:val="22"/>
        </w:rPr>
        <w:t>apital</w:t>
      </w:r>
      <w:r w:rsidR="000314F8">
        <w:rPr>
          <w:rFonts w:ascii="Open Sans" w:hAnsi="Open Sans" w:cs="Open Sans"/>
          <w:sz w:val="22"/>
          <w:szCs w:val="22"/>
        </w:rPr>
        <w:t xml:space="preserve"> (</w:t>
      </w:r>
      <w:r w:rsidR="000314F8" w:rsidRPr="000314F8">
        <w:rPr>
          <w:rFonts w:ascii="Open Sans" w:hAnsi="Open Sans" w:cs="Open Sans"/>
          <w:sz w:val="22"/>
          <w:szCs w:val="22"/>
        </w:rPr>
        <w:t>-5,5%</w:t>
      </w:r>
      <w:r w:rsidR="000314F8">
        <w:rPr>
          <w:rFonts w:ascii="Open Sans" w:hAnsi="Open Sans" w:cs="Open Sans"/>
          <w:sz w:val="22"/>
          <w:szCs w:val="22"/>
        </w:rPr>
        <w:t xml:space="preserve">), </w:t>
      </w:r>
      <w:r w:rsidR="000314F8" w:rsidRPr="000314F8">
        <w:rPr>
          <w:rFonts w:ascii="Open Sans" w:hAnsi="Open Sans" w:cs="Open Sans"/>
          <w:sz w:val="22"/>
          <w:szCs w:val="22"/>
        </w:rPr>
        <w:t xml:space="preserve">Ourense </w:t>
      </w:r>
      <w:r w:rsidR="000314F8">
        <w:rPr>
          <w:rFonts w:ascii="Open Sans" w:hAnsi="Open Sans" w:cs="Open Sans"/>
          <w:sz w:val="22"/>
          <w:szCs w:val="22"/>
        </w:rPr>
        <w:t>c</w:t>
      </w:r>
      <w:r w:rsidR="000314F8" w:rsidRPr="000314F8">
        <w:rPr>
          <w:rFonts w:ascii="Open Sans" w:hAnsi="Open Sans" w:cs="Open Sans"/>
          <w:sz w:val="22"/>
          <w:szCs w:val="22"/>
        </w:rPr>
        <w:t>apital</w:t>
      </w:r>
      <w:r w:rsidR="000314F8">
        <w:rPr>
          <w:rFonts w:ascii="Open Sans" w:hAnsi="Open Sans" w:cs="Open Sans"/>
          <w:sz w:val="22"/>
          <w:szCs w:val="22"/>
        </w:rPr>
        <w:t xml:space="preserve"> (</w:t>
      </w:r>
      <w:r w:rsidR="000314F8" w:rsidRPr="000314F8">
        <w:rPr>
          <w:rFonts w:ascii="Open Sans" w:hAnsi="Open Sans" w:cs="Open Sans"/>
          <w:sz w:val="22"/>
          <w:szCs w:val="22"/>
        </w:rPr>
        <w:t>-3,7%</w:t>
      </w:r>
      <w:r w:rsidR="000314F8">
        <w:rPr>
          <w:rFonts w:ascii="Open Sans" w:hAnsi="Open Sans" w:cs="Open Sans"/>
          <w:sz w:val="22"/>
          <w:szCs w:val="22"/>
        </w:rPr>
        <w:t xml:space="preserve">), </w:t>
      </w:r>
      <w:r w:rsidR="000314F8" w:rsidRPr="000314F8">
        <w:rPr>
          <w:rFonts w:ascii="Open Sans" w:hAnsi="Open Sans" w:cs="Open Sans"/>
          <w:sz w:val="22"/>
          <w:szCs w:val="22"/>
        </w:rPr>
        <w:t>Castellón de la Plana / Castelló de la Plana</w:t>
      </w:r>
      <w:r w:rsidR="000314F8">
        <w:rPr>
          <w:rFonts w:ascii="Open Sans" w:hAnsi="Open Sans" w:cs="Open Sans"/>
          <w:sz w:val="22"/>
          <w:szCs w:val="22"/>
        </w:rPr>
        <w:t xml:space="preserve"> (</w:t>
      </w:r>
      <w:r w:rsidR="000314F8" w:rsidRPr="000314F8">
        <w:rPr>
          <w:rFonts w:ascii="Open Sans" w:hAnsi="Open Sans" w:cs="Open Sans"/>
          <w:sz w:val="22"/>
          <w:szCs w:val="22"/>
        </w:rPr>
        <w:t>-2,5%</w:t>
      </w:r>
      <w:r w:rsidR="000314F8">
        <w:rPr>
          <w:rFonts w:ascii="Open Sans" w:hAnsi="Open Sans" w:cs="Open Sans"/>
          <w:sz w:val="22"/>
          <w:szCs w:val="22"/>
        </w:rPr>
        <w:t xml:space="preserve">), </w:t>
      </w:r>
      <w:r w:rsidR="000314F8" w:rsidRPr="000314F8">
        <w:rPr>
          <w:rFonts w:ascii="Open Sans" w:hAnsi="Open Sans" w:cs="Open Sans"/>
          <w:sz w:val="22"/>
          <w:szCs w:val="22"/>
        </w:rPr>
        <w:t xml:space="preserve">León </w:t>
      </w:r>
      <w:r w:rsidR="000314F8">
        <w:rPr>
          <w:rFonts w:ascii="Open Sans" w:hAnsi="Open Sans" w:cs="Open Sans"/>
          <w:sz w:val="22"/>
          <w:szCs w:val="22"/>
        </w:rPr>
        <w:t>c</w:t>
      </w:r>
      <w:r w:rsidR="000314F8" w:rsidRPr="000314F8">
        <w:rPr>
          <w:rFonts w:ascii="Open Sans" w:hAnsi="Open Sans" w:cs="Open Sans"/>
          <w:sz w:val="22"/>
          <w:szCs w:val="22"/>
        </w:rPr>
        <w:t>apital</w:t>
      </w:r>
      <w:r w:rsidR="000314F8">
        <w:rPr>
          <w:rFonts w:ascii="Open Sans" w:hAnsi="Open Sans" w:cs="Open Sans"/>
          <w:sz w:val="22"/>
          <w:szCs w:val="22"/>
        </w:rPr>
        <w:t xml:space="preserve"> (</w:t>
      </w:r>
      <w:r w:rsidR="000314F8" w:rsidRPr="000314F8">
        <w:rPr>
          <w:rFonts w:ascii="Open Sans" w:hAnsi="Open Sans" w:cs="Open Sans"/>
          <w:sz w:val="22"/>
          <w:szCs w:val="22"/>
        </w:rPr>
        <w:t>-2,3%</w:t>
      </w:r>
      <w:r w:rsidR="000314F8">
        <w:rPr>
          <w:rFonts w:ascii="Open Sans" w:hAnsi="Open Sans" w:cs="Open Sans"/>
          <w:sz w:val="22"/>
          <w:szCs w:val="22"/>
        </w:rPr>
        <w:t xml:space="preserve">), </w:t>
      </w:r>
      <w:r w:rsidR="000314F8" w:rsidRPr="000314F8">
        <w:rPr>
          <w:rFonts w:ascii="Open Sans" w:hAnsi="Open Sans" w:cs="Open Sans"/>
          <w:sz w:val="22"/>
          <w:szCs w:val="22"/>
        </w:rPr>
        <w:t>Santander</w:t>
      </w:r>
      <w:r w:rsidR="000314F8">
        <w:rPr>
          <w:rFonts w:ascii="Open Sans" w:hAnsi="Open Sans" w:cs="Open Sans"/>
          <w:sz w:val="22"/>
          <w:szCs w:val="22"/>
        </w:rPr>
        <w:t xml:space="preserve"> (</w:t>
      </w:r>
      <w:r w:rsidR="000314F8" w:rsidRPr="000314F8">
        <w:rPr>
          <w:rFonts w:ascii="Open Sans" w:hAnsi="Open Sans" w:cs="Open Sans"/>
          <w:sz w:val="22"/>
          <w:szCs w:val="22"/>
        </w:rPr>
        <w:t>-1,4%</w:t>
      </w:r>
      <w:r w:rsidR="000314F8">
        <w:rPr>
          <w:rFonts w:ascii="Open Sans" w:hAnsi="Open Sans" w:cs="Open Sans"/>
          <w:sz w:val="22"/>
          <w:szCs w:val="22"/>
        </w:rPr>
        <w:t xml:space="preserve">) y </w:t>
      </w:r>
      <w:r w:rsidR="000314F8" w:rsidRPr="000314F8">
        <w:rPr>
          <w:rFonts w:ascii="Open Sans" w:hAnsi="Open Sans" w:cs="Open Sans"/>
          <w:sz w:val="22"/>
          <w:szCs w:val="22"/>
        </w:rPr>
        <w:t xml:space="preserve">Barcelona </w:t>
      </w:r>
      <w:r w:rsidR="000314F8">
        <w:rPr>
          <w:rFonts w:ascii="Open Sans" w:hAnsi="Open Sans" w:cs="Open Sans"/>
          <w:sz w:val="22"/>
          <w:szCs w:val="22"/>
        </w:rPr>
        <w:t>c</w:t>
      </w:r>
      <w:r w:rsidR="000314F8" w:rsidRPr="000314F8">
        <w:rPr>
          <w:rFonts w:ascii="Open Sans" w:hAnsi="Open Sans" w:cs="Open Sans"/>
          <w:sz w:val="22"/>
          <w:szCs w:val="22"/>
        </w:rPr>
        <w:t>apital</w:t>
      </w:r>
      <w:r w:rsidR="000314F8">
        <w:rPr>
          <w:rFonts w:ascii="Open Sans" w:hAnsi="Open Sans" w:cs="Open Sans"/>
          <w:sz w:val="22"/>
          <w:szCs w:val="22"/>
        </w:rPr>
        <w:t xml:space="preserve"> (</w:t>
      </w:r>
      <w:r w:rsidR="000314F8" w:rsidRPr="000314F8">
        <w:rPr>
          <w:rFonts w:ascii="Open Sans" w:hAnsi="Open Sans" w:cs="Open Sans"/>
          <w:sz w:val="22"/>
          <w:szCs w:val="22"/>
        </w:rPr>
        <w:t>-1,2%</w:t>
      </w:r>
      <w:r w:rsidR="000314F8">
        <w:rPr>
          <w:rFonts w:ascii="Open Sans" w:hAnsi="Open Sans" w:cs="Open Sans"/>
          <w:sz w:val="22"/>
          <w:szCs w:val="22"/>
        </w:rPr>
        <w:t>).</w:t>
      </w:r>
    </w:p>
    <w:p w14:paraId="3F5A04C0" w14:textId="0896FB1D" w:rsidR="00222A5A" w:rsidRDefault="00222A5A" w:rsidP="00222A5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Por otro lado, las ciudades en donde el precio de los garajes se ha incrementado respecto al año anterior (2019) han sido:</w:t>
      </w:r>
      <w:r w:rsidRPr="00222A5A">
        <w:t xml:space="preserve"> </w:t>
      </w:r>
      <w:r w:rsidRPr="00222A5A">
        <w:rPr>
          <w:rFonts w:ascii="Open Sans" w:hAnsi="Open Sans" w:cs="Open Sans"/>
          <w:sz w:val="22"/>
          <w:szCs w:val="22"/>
        </w:rPr>
        <w:t>Granada capital</w:t>
      </w:r>
      <w:r>
        <w:rPr>
          <w:rFonts w:ascii="Open Sans" w:hAnsi="Open Sans" w:cs="Open Sans"/>
          <w:sz w:val="22"/>
          <w:szCs w:val="22"/>
        </w:rPr>
        <w:t xml:space="preserve"> (57</w:t>
      </w:r>
      <w:r w:rsidRPr="00222A5A">
        <w:rPr>
          <w:rFonts w:ascii="Open Sans" w:hAnsi="Open Sans" w:cs="Open Sans"/>
          <w:sz w:val="22"/>
          <w:szCs w:val="22"/>
        </w:rPr>
        <w:t>%</w:t>
      </w:r>
      <w:r>
        <w:rPr>
          <w:rFonts w:ascii="Open Sans" w:hAnsi="Open Sans" w:cs="Open Sans"/>
          <w:sz w:val="22"/>
          <w:szCs w:val="22"/>
        </w:rPr>
        <w:t xml:space="preserve">), </w:t>
      </w:r>
      <w:r w:rsidRPr="00222A5A">
        <w:rPr>
          <w:rFonts w:ascii="Open Sans" w:hAnsi="Open Sans" w:cs="Open Sans"/>
          <w:sz w:val="22"/>
          <w:szCs w:val="22"/>
        </w:rPr>
        <w:t>Burgos capital</w:t>
      </w:r>
      <w:r>
        <w:rPr>
          <w:rFonts w:ascii="Open Sans" w:hAnsi="Open Sans" w:cs="Open Sans"/>
          <w:sz w:val="22"/>
          <w:szCs w:val="22"/>
        </w:rPr>
        <w:t xml:space="preserve"> (</w:t>
      </w:r>
      <w:r w:rsidRPr="00222A5A">
        <w:rPr>
          <w:rFonts w:ascii="Open Sans" w:hAnsi="Open Sans" w:cs="Open Sans"/>
          <w:sz w:val="22"/>
          <w:szCs w:val="22"/>
        </w:rPr>
        <w:t>18,2%</w:t>
      </w:r>
      <w:r>
        <w:rPr>
          <w:rFonts w:ascii="Open Sans" w:hAnsi="Open Sans" w:cs="Open Sans"/>
          <w:sz w:val="22"/>
          <w:szCs w:val="22"/>
        </w:rPr>
        <w:t xml:space="preserve">), </w:t>
      </w:r>
      <w:r w:rsidRPr="00222A5A">
        <w:rPr>
          <w:rFonts w:ascii="Open Sans" w:hAnsi="Open Sans" w:cs="Open Sans"/>
          <w:sz w:val="22"/>
          <w:szCs w:val="22"/>
        </w:rPr>
        <w:t>Huesca capital</w:t>
      </w:r>
      <w:r>
        <w:rPr>
          <w:rFonts w:ascii="Open Sans" w:hAnsi="Open Sans" w:cs="Open Sans"/>
          <w:sz w:val="22"/>
          <w:szCs w:val="22"/>
        </w:rPr>
        <w:t xml:space="preserve"> (</w:t>
      </w:r>
      <w:r w:rsidRPr="00222A5A">
        <w:rPr>
          <w:rFonts w:ascii="Open Sans" w:hAnsi="Open Sans" w:cs="Open Sans"/>
          <w:sz w:val="22"/>
          <w:szCs w:val="22"/>
        </w:rPr>
        <w:t>10,9%</w:t>
      </w:r>
      <w:r>
        <w:rPr>
          <w:rFonts w:ascii="Open Sans" w:hAnsi="Open Sans" w:cs="Open Sans"/>
          <w:sz w:val="22"/>
          <w:szCs w:val="22"/>
        </w:rPr>
        <w:t xml:space="preserve">), </w:t>
      </w:r>
      <w:r w:rsidRPr="00222A5A">
        <w:rPr>
          <w:rFonts w:ascii="Open Sans" w:hAnsi="Open Sans" w:cs="Open Sans"/>
          <w:sz w:val="22"/>
          <w:szCs w:val="22"/>
        </w:rPr>
        <w:t>Ciudad Real capital</w:t>
      </w:r>
      <w:r>
        <w:rPr>
          <w:rFonts w:ascii="Open Sans" w:hAnsi="Open Sans" w:cs="Open Sans"/>
          <w:sz w:val="22"/>
          <w:szCs w:val="22"/>
        </w:rPr>
        <w:t xml:space="preserve"> (</w:t>
      </w:r>
      <w:r w:rsidRPr="00222A5A">
        <w:rPr>
          <w:rFonts w:ascii="Open Sans" w:hAnsi="Open Sans" w:cs="Open Sans"/>
          <w:sz w:val="22"/>
          <w:szCs w:val="22"/>
        </w:rPr>
        <w:t>7,8%</w:t>
      </w:r>
      <w:r>
        <w:rPr>
          <w:rFonts w:ascii="Open Sans" w:hAnsi="Open Sans" w:cs="Open Sans"/>
          <w:sz w:val="22"/>
          <w:szCs w:val="22"/>
        </w:rPr>
        <w:t xml:space="preserve">), </w:t>
      </w:r>
      <w:r w:rsidRPr="00222A5A">
        <w:rPr>
          <w:rFonts w:ascii="Open Sans" w:hAnsi="Open Sans" w:cs="Open Sans"/>
          <w:sz w:val="22"/>
          <w:szCs w:val="22"/>
        </w:rPr>
        <w:t>Sevilla capital</w:t>
      </w:r>
      <w:r>
        <w:rPr>
          <w:rFonts w:ascii="Open Sans" w:hAnsi="Open Sans" w:cs="Open Sans"/>
          <w:sz w:val="22"/>
          <w:szCs w:val="22"/>
        </w:rPr>
        <w:t xml:space="preserve"> (</w:t>
      </w:r>
      <w:r w:rsidRPr="00222A5A">
        <w:rPr>
          <w:rFonts w:ascii="Open Sans" w:hAnsi="Open Sans" w:cs="Open Sans"/>
          <w:sz w:val="22"/>
          <w:szCs w:val="22"/>
        </w:rPr>
        <w:t>7,6%</w:t>
      </w:r>
      <w:r>
        <w:rPr>
          <w:rFonts w:ascii="Open Sans" w:hAnsi="Open Sans" w:cs="Open Sans"/>
          <w:sz w:val="22"/>
          <w:szCs w:val="22"/>
        </w:rPr>
        <w:t xml:space="preserve">), </w:t>
      </w:r>
      <w:r w:rsidRPr="00222A5A">
        <w:rPr>
          <w:rFonts w:ascii="Open Sans" w:hAnsi="Open Sans" w:cs="Open Sans"/>
          <w:sz w:val="22"/>
          <w:szCs w:val="22"/>
        </w:rPr>
        <w:t>Guadalajara capital</w:t>
      </w:r>
      <w:r>
        <w:rPr>
          <w:rFonts w:ascii="Open Sans" w:hAnsi="Open Sans" w:cs="Open Sans"/>
          <w:sz w:val="22"/>
          <w:szCs w:val="22"/>
        </w:rPr>
        <w:t xml:space="preserve"> (</w:t>
      </w:r>
      <w:r w:rsidRPr="00222A5A">
        <w:rPr>
          <w:rFonts w:ascii="Open Sans" w:hAnsi="Open Sans" w:cs="Open Sans"/>
          <w:sz w:val="22"/>
          <w:szCs w:val="22"/>
        </w:rPr>
        <w:t>7,5%</w:t>
      </w:r>
      <w:r>
        <w:rPr>
          <w:rFonts w:ascii="Open Sans" w:hAnsi="Open Sans" w:cs="Open Sans"/>
          <w:sz w:val="22"/>
          <w:szCs w:val="22"/>
        </w:rPr>
        <w:t xml:space="preserve">), </w:t>
      </w:r>
      <w:r w:rsidRPr="00222A5A">
        <w:rPr>
          <w:rFonts w:ascii="Open Sans" w:hAnsi="Open Sans" w:cs="Open Sans"/>
          <w:sz w:val="22"/>
          <w:szCs w:val="22"/>
        </w:rPr>
        <w:t>Logroño</w:t>
      </w:r>
      <w:r>
        <w:rPr>
          <w:rFonts w:ascii="Open Sans" w:hAnsi="Open Sans" w:cs="Open Sans"/>
          <w:sz w:val="22"/>
          <w:szCs w:val="22"/>
        </w:rPr>
        <w:t xml:space="preserve"> (</w:t>
      </w:r>
      <w:r w:rsidRPr="00222A5A">
        <w:rPr>
          <w:rFonts w:ascii="Open Sans" w:hAnsi="Open Sans" w:cs="Open Sans"/>
          <w:sz w:val="22"/>
          <w:szCs w:val="22"/>
        </w:rPr>
        <w:t>4,1%</w:t>
      </w:r>
      <w:r>
        <w:rPr>
          <w:rFonts w:ascii="Open Sans" w:hAnsi="Open Sans" w:cs="Open Sans"/>
          <w:sz w:val="22"/>
          <w:szCs w:val="22"/>
        </w:rPr>
        <w:t xml:space="preserve">), </w:t>
      </w:r>
      <w:r w:rsidRPr="00222A5A">
        <w:rPr>
          <w:rFonts w:ascii="Open Sans" w:hAnsi="Open Sans" w:cs="Open Sans"/>
          <w:sz w:val="22"/>
          <w:szCs w:val="22"/>
        </w:rPr>
        <w:t>Toledo capital</w:t>
      </w:r>
      <w:r>
        <w:rPr>
          <w:rFonts w:ascii="Open Sans" w:hAnsi="Open Sans" w:cs="Open Sans"/>
          <w:sz w:val="22"/>
          <w:szCs w:val="22"/>
        </w:rPr>
        <w:t xml:space="preserve"> (</w:t>
      </w:r>
      <w:r w:rsidRPr="00222A5A">
        <w:rPr>
          <w:rFonts w:ascii="Open Sans" w:hAnsi="Open Sans" w:cs="Open Sans"/>
          <w:sz w:val="22"/>
          <w:szCs w:val="22"/>
        </w:rPr>
        <w:t>4,1%</w:t>
      </w:r>
      <w:r>
        <w:rPr>
          <w:rFonts w:ascii="Open Sans" w:hAnsi="Open Sans" w:cs="Open Sans"/>
          <w:sz w:val="22"/>
          <w:szCs w:val="22"/>
        </w:rPr>
        <w:t xml:space="preserve">) y </w:t>
      </w:r>
      <w:r w:rsidRPr="00222A5A">
        <w:rPr>
          <w:rFonts w:ascii="Open Sans" w:hAnsi="Open Sans" w:cs="Open Sans"/>
          <w:sz w:val="22"/>
          <w:szCs w:val="22"/>
        </w:rPr>
        <w:t>Donostia - San Sebastián</w:t>
      </w:r>
      <w:r>
        <w:rPr>
          <w:rFonts w:ascii="Open Sans" w:hAnsi="Open Sans" w:cs="Open Sans"/>
          <w:sz w:val="22"/>
          <w:szCs w:val="22"/>
        </w:rPr>
        <w:t xml:space="preserve"> (</w:t>
      </w:r>
      <w:r w:rsidRPr="00222A5A">
        <w:rPr>
          <w:rFonts w:ascii="Open Sans" w:hAnsi="Open Sans" w:cs="Open Sans"/>
          <w:sz w:val="22"/>
          <w:szCs w:val="22"/>
        </w:rPr>
        <w:t>1,3%</w:t>
      </w:r>
      <w:r>
        <w:rPr>
          <w:rFonts w:ascii="Open Sans" w:hAnsi="Open Sans" w:cs="Open Sans"/>
          <w:sz w:val="22"/>
          <w:szCs w:val="22"/>
        </w:rPr>
        <w:t>)</w:t>
      </w:r>
      <w:r w:rsidR="00C36760">
        <w:rPr>
          <w:rFonts w:ascii="Open Sans" w:hAnsi="Open Sans" w:cs="Open Sans"/>
          <w:sz w:val="22"/>
          <w:szCs w:val="22"/>
        </w:rPr>
        <w:t>.</w:t>
      </w:r>
    </w:p>
    <w:p w14:paraId="6DDFE6C3" w14:textId="23C6B460" w:rsidR="00A449CC" w:rsidRDefault="00B54B63" w:rsidP="002C1563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Capital</w:t>
      </w:r>
      <w:r w:rsidR="00AD3095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es </w:t>
      </w:r>
      <w:r w:rsidR="00FB61E9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con p</w:t>
      </w:r>
      <w:r w:rsidR="00FB61E9" w:rsidRPr="00D82713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orcentaje (%) </w:t>
      </w:r>
      <w:r w:rsidR="00FB61E9" w:rsidRPr="004419C5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acumulativo</w:t>
      </w:r>
      <w:r w:rsidR="00FB61E9" w:rsidRPr="001C6AC4">
        <w:rPr>
          <w:rFonts w:ascii="National" w:hAnsi="National"/>
          <w:b/>
          <w:bCs/>
          <w:iCs/>
          <w:color w:val="FF0000"/>
          <w:sz w:val="28"/>
          <w:szCs w:val="160"/>
          <w:lang w:val="es-ES"/>
        </w:rPr>
        <w:t xml:space="preserve"> </w:t>
      </w:r>
    </w:p>
    <w:p w14:paraId="381EC2A0" w14:textId="24B665EB" w:rsidR="00E94830" w:rsidRDefault="00E94830" w:rsidP="002C1563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  <w:lang w:val="es-ES"/>
        </w:rPr>
      </w:pPr>
    </w:p>
    <w:tbl>
      <w:tblPr>
        <w:tblW w:w="9204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268"/>
        <w:gridCol w:w="2410"/>
        <w:gridCol w:w="2268"/>
      </w:tblGrid>
      <w:tr w:rsidR="00984444" w:rsidRPr="00F815F1" w14:paraId="73B9FF49" w14:textId="77777777" w:rsidTr="0081352E">
        <w:trPr>
          <w:trHeight w:val="763"/>
        </w:trPr>
        <w:tc>
          <w:tcPr>
            <w:tcW w:w="2258" w:type="dxa"/>
            <w:shd w:val="clear" w:color="auto" w:fill="ACB9CA"/>
            <w:vAlign w:val="center"/>
          </w:tcPr>
          <w:p w14:paraId="0737157A" w14:textId="122428D0" w:rsidR="00984444" w:rsidRPr="00984444" w:rsidRDefault="00984444" w:rsidP="00984444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984444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Ciudad</w:t>
            </w:r>
          </w:p>
        </w:tc>
        <w:tc>
          <w:tcPr>
            <w:tcW w:w="2268" w:type="dxa"/>
            <w:shd w:val="clear" w:color="auto" w:fill="ACB9CA"/>
            <w:vAlign w:val="center"/>
          </w:tcPr>
          <w:p w14:paraId="73B22053" w14:textId="3803ED2F" w:rsidR="00984444" w:rsidRPr="00984444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984444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Acumulativo del precio de los garajes de 3 años (2020 vs 2017)</w:t>
            </w:r>
          </w:p>
        </w:tc>
        <w:tc>
          <w:tcPr>
            <w:tcW w:w="2410" w:type="dxa"/>
            <w:shd w:val="clear" w:color="auto" w:fill="ACB9CA"/>
            <w:vAlign w:val="center"/>
            <w:hideMark/>
          </w:tcPr>
          <w:p w14:paraId="1DD30149" w14:textId="77777777" w:rsidR="00984444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984444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 xml:space="preserve">Acumulativo del precio de los garajes de 2 años </w:t>
            </w:r>
          </w:p>
          <w:p w14:paraId="673F8AD0" w14:textId="296EE1A3" w:rsidR="00984444" w:rsidRPr="00984444" w:rsidRDefault="00984444" w:rsidP="0098444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984444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(2020 vs 2018)</w:t>
            </w:r>
          </w:p>
        </w:tc>
        <w:tc>
          <w:tcPr>
            <w:tcW w:w="2268" w:type="dxa"/>
            <w:shd w:val="clear" w:color="auto" w:fill="ACB9CA" w:themeFill="text2" w:themeFillTint="66"/>
            <w:vAlign w:val="center"/>
          </w:tcPr>
          <w:p w14:paraId="66C5C3E9" w14:textId="4BB67A73" w:rsidR="00984444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984444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 xml:space="preserve">Acumulativo del precio de los garajes de 1 año </w:t>
            </w:r>
          </w:p>
          <w:p w14:paraId="0BBD2ED3" w14:textId="42E5038B" w:rsidR="00984444" w:rsidRPr="00984444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984444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(2020 vs 2019)</w:t>
            </w:r>
          </w:p>
        </w:tc>
      </w:tr>
      <w:tr w:rsidR="00984444" w:rsidRPr="00F815F1" w14:paraId="54395A4E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6FC70DA6" w14:textId="47C04CD3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Huelva capital</w:t>
            </w:r>
          </w:p>
        </w:tc>
        <w:tc>
          <w:tcPr>
            <w:tcW w:w="2268" w:type="dxa"/>
            <w:vAlign w:val="bottom"/>
          </w:tcPr>
          <w:p w14:paraId="6FCA0387" w14:textId="6E056DE5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-4,2%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24F9E9D" w14:textId="36A3C6BC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9,0%</w:t>
            </w:r>
          </w:p>
        </w:tc>
        <w:tc>
          <w:tcPr>
            <w:tcW w:w="2268" w:type="dxa"/>
            <w:vAlign w:val="bottom"/>
          </w:tcPr>
          <w:p w14:paraId="4384AEF9" w14:textId="17EFA7EB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-22,7%</w:t>
            </w:r>
          </w:p>
        </w:tc>
      </w:tr>
      <w:tr w:rsidR="00984444" w:rsidRPr="00F815F1" w14:paraId="77531F54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351EA597" w14:textId="18BE59F6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Lleida capital</w:t>
            </w:r>
          </w:p>
        </w:tc>
        <w:tc>
          <w:tcPr>
            <w:tcW w:w="2268" w:type="dxa"/>
            <w:vAlign w:val="bottom"/>
          </w:tcPr>
          <w:p w14:paraId="0AA73942" w14:textId="1BDF14B9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AAB617A" w14:textId="2A2D7045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14:paraId="0BC74949" w14:textId="0585E1C3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-20,6%</w:t>
            </w:r>
          </w:p>
        </w:tc>
      </w:tr>
      <w:tr w:rsidR="00984444" w:rsidRPr="00F815F1" w14:paraId="65E83C97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6B29A444" w14:textId="3691804B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Murcia capital</w:t>
            </w:r>
          </w:p>
        </w:tc>
        <w:tc>
          <w:tcPr>
            <w:tcW w:w="2268" w:type="dxa"/>
            <w:vAlign w:val="bottom"/>
          </w:tcPr>
          <w:p w14:paraId="24CD7EF2" w14:textId="4051062F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-29,6%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F51432D" w14:textId="2D1D1169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-12,2%</w:t>
            </w:r>
          </w:p>
        </w:tc>
        <w:tc>
          <w:tcPr>
            <w:tcW w:w="2268" w:type="dxa"/>
            <w:vAlign w:val="bottom"/>
          </w:tcPr>
          <w:p w14:paraId="0B8AC65B" w14:textId="40323054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-19,0%</w:t>
            </w:r>
          </w:p>
        </w:tc>
      </w:tr>
      <w:tr w:rsidR="00984444" w:rsidRPr="00F815F1" w14:paraId="04534D0A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79DAA907" w14:textId="48430C52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A Coruña capital</w:t>
            </w:r>
          </w:p>
        </w:tc>
        <w:tc>
          <w:tcPr>
            <w:tcW w:w="2268" w:type="dxa"/>
            <w:vAlign w:val="bottom"/>
          </w:tcPr>
          <w:p w14:paraId="6120B224" w14:textId="7BDEB69C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58E3495" w14:textId="56A3A054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2268" w:type="dxa"/>
            <w:vAlign w:val="bottom"/>
          </w:tcPr>
          <w:p w14:paraId="2B840F7F" w14:textId="6CCA6DA7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-18,8%</w:t>
            </w:r>
          </w:p>
        </w:tc>
      </w:tr>
      <w:tr w:rsidR="00984444" w:rsidRPr="00F815F1" w14:paraId="344BE44A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605CFEC0" w14:textId="60CAC035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Málaga capital</w:t>
            </w:r>
          </w:p>
        </w:tc>
        <w:tc>
          <w:tcPr>
            <w:tcW w:w="2268" w:type="dxa"/>
            <w:vAlign w:val="bottom"/>
          </w:tcPr>
          <w:p w14:paraId="5C423836" w14:textId="6295C1BB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D3417AF" w14:textId="4AD1AA0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14:paraId="527D845E" w14:textId="1DE07E2E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-15,0%</w:t>
            </w:r>
          </w:p>
        </w:tc>
      </w:tr>
      <w:tr w:rsidR="00984444" w:rsidRPr="00F815F1" w14:paraId="6B40BC70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3098FF15" w14:textId="7A0F4297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Pamplona / Iruña</w:t>
            </w:r>
          </w:p>
        </w:tc>
        <w:tc>
          <w:tcPr>
            <w:tcW w:w="2268" w:type="dxa"/>
            <w:vAlign w:val="bottom"/>
          </w:tcPr>
          <w:p w14:paraId="2AEC871F" w14:textId="0F27BC4F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20,1%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BA798BA" w14:textId="1980969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22,5%</w:t>
            </w:r>
          </w:p>
        </w:tc>
        <w:tc>
          <w:tcPr>
            <w:tcW w:w="2268" w:type="dxa"/>
            <w:vAlign w:val="bottom"/>
          </w:tcPr>
          <w:p w14:paraId="579ADDED" w14:textId="39BB5E2F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-13,5%</w:t>
            </w:r>
          </w:p>
        </w:tc>
      </w:tr>
      <w:tr w:rsidR="00984444" w:rsidRPr="00F815F1" w14:paraId="2A5D7941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24D78602" w14:textId="173CAFFA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Palma de Mallorca</w:t>
            </w:r>
          </w:p>
        </w:tc>
        <w:tc>
          <w:tcPr>
            <w:tcW w:w="2268" w:type="dxa"/>
            <w:vAlign w:val="bottom"/>
          </w:tcPr>
          <w:p w14:paraId="15B2589A" w14:textId="2E82932A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5DF056D" w14:textId="60AC2B75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26,1%</w:t>
            </w:r>
          </w:p>
        </w:tc>
        <w:tc>
          <w:tcPr>
            <w:tcW w:w="2268" w:type="dxa"/>
            <w:vAlign w:val="bottom"/>
          </w:tcPr>
          <w:p w14:paraId="37E0139E" w14:textId="14DDA21E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-11,2%</w:t>
            </w:r>
          </w:p>
        </w:tc>
      </w:tr>
      <w:tr w:rsidR="00984444" w:rsidRPr="00F815F1" w14:paraId="471FB2E8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5684F1B2" w14:textId="0CFB2C0D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Almería capital</w:t>
            </w:r>
          </w:p>
        </w:tc>
        <w:tc>
          <w:tcPr>
            <w:tcW w:w="2268" w:type="dxa"/>
            <w:vAlign w:val="bottom"/>
          </w:tcPr>
          <w:p w14:paraId="25DB7EEC" w14:textId="6280A136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-6,9%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A7184BE" w14:textId="7E3823AF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268" w:type="dxa"/>
            <w:vAlign w:val="bottom"/>
          </w:tcPr>
          <w:p w14:paraId="2FFE3ABA" w14:textId="74045173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-10,9%</w:t>
            </w:r>
          </w:p>
        </w:tc>
      </w:tr>
      <w:tr w:rsidR="00984444" w:rsidRPr="00F815F1" w14:paraId="153EC312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1B5D8512" w14:textId="0FD37AAE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Zaragoza capital</w:t>
            </w:r>
          </w:p>
        </w:tc>
        <w:tc>
          <w:tcPr>
            <w:tcW w:w="2268" w:type="dxa"/>
            <w:vAlign w:val="bottom"/>
          </w:tcPr>
          <w:p w14:paraId="66F3F2B3" w14:textId="28401596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-18,2%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E4D84C1" w14:textId="4572E684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-22,8%</w:t>
            </w:r>
          </w:p>
        </w:tc>
        <w:tc>
          <w:tcPr>
            <w:tcW w:w="2268" w:type="dxa"/>
            <w:vAlign w:val="bottom"/>
          </w:tcPr>
          <w:p w14:paraId="7EEAEACD" w14:textId="40E24816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-10,3%</w:t>
            </w:r>
          </w:p>
        </w:tc>
      </w:tr>
      <w:tr w:rsidR="00984444" w:rsidRPr="00F815F1" w14:paraId="2FFB2759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3ACB0B55" w14:textId="4BF4DE2C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Alicante / Alacant</w:t>
            </w:r>
          </w:p>
        </w:tc>
        <w:tc>
          <w:tcPr>
            <w:tcW w:w="2268" w:type="dxa"/>
            <w:vAlign w:val="bottom"/>
          </w:tcPr>
          <w:p w14:paraId="5B85FAF9" w14:textId="0C526D76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-47,1%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370DA78" w14:textId="545B740F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-51,0%</w:t>
            </w:r>
          </w:p>
        </w:tc>
        <w:tc>
          <w:tcPr>
            <w:tcW w:w="2268" w:type="dxa"/>
            <w:vAlign w:val="bottom"/>
          </w:tcPr>
          <w:p w14:paraId="1B79F00F" w14:textId="7B292121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-10,0%</w:t>
            </w:r>
          </w:p>
        </w:tc>
      </w:tr>
      <w:tr w:rsidR="00984444" w:rsidRPr="00F815F1" w14:paraId="46A34A81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04D95982" w14:textId="618F66CC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Córdoba capital</w:t>
            </w:r>
          </w:p>
        </w:tc>
        <w:tc>
          <w:tcPr>
            <w:tcW w:w="2268" w:type="dxa"/>
            <w:vAlign w:val="bottom"/>
          </w:tcPr>
          <w:p w14:paraId="39EF05AE" w14:textId="466A07CC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A9ACFF4" w14:textId="35211B81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21,1%</w:t>
            </w:r>
          </w:p>
        </w:tc>
        <w:tc>
          <w:tcPr>
            <w:tcW w:w="2268" w:type="dxa"/>
            <w:vAlign w:val="bottom"/>
          </w:tcPr>
          <w:p w14:paraId="5028C1E5" w14:textId="0577E3A9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-8,0%</w:t>
            </w:r>
          </w:p>
        </w:tc>
      </w:tr>
      <w:tr w:rsidR="00984444" w:rsidRPr="00F815F1" w14:paraId="2AC5530D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7541A98B" w14:textId="7F0E81D1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Valladolid capital</w:t>
            </w:r>
          </w:p>
        </w:tc>
        <w:tc>
          <w:tcPr>
            <w:tcW w:w="2268" w:type="dxa"/>
            <w:vAlign w:val="bottom"/>
          </w:tcPr>
          <w:p w14:paraId="6BABE230" w14:textId="44D7857F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-13,6%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D592406" w14:textId="18F6D714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17,3%</w:t>
            </w:r>
          </w:p>
        </w:tc>
        <w:tc>
          <w:tcPr>
            <w:tcW w:w="2268" w:type="dxa"/>
            <w:vAlign w:val="bottom"/>
          </w:tcPr>
          <w:p w14:paraId="7FC7B059" w14:textId="050EF579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-7,7%</w:t>
            </w:r>
          </w:p>
        </w:tc>
      </w:tr>
      <w:tr w:rsidR="00984444" w:rsidRPr="00F815F1" w14:paraId="5581BBA3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4CF7E6EC" w14:textId="41A21D38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Oviedo</w:t>
            </w:r>
          </w:p>
        </w:tc>
        <w:tc>
          <w:tcPr>
            <w:tcW w:w="2268" w:type="dxa"/>
            <w:vAlign w:val="bottom"/>
          </w:tcPr>
          <w:p w14:paraId="7D25749E" w14:textId="588B269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-7,0%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1EEE251" w14:textId="7B07B59C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2268" w:type="dxa"/>
            <w:vAlign w:val="bottom"/>
          </w:tcPr>
          <w:p w14:paraId="346D05BC" w14:textId="2FC3FD9C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-6,8%</w:t>
            </w:r>
          </w:p>
        </w:tc>
      </w:tr>
      <w:tr w:rsidR="00984444" w:rsidRPr="00F815F1" w14:paraId="2F9C0C46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6FC6807A" w14:textId="7529B6CD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Vitoria - Gasteiz</w:t>
            </w:r>
          </w:p>
        </w:tc>
        <w:tc>
          <w:tcPr>
            <w:tcW w:w="2268" w:type="dxa"/>
            <w:vAlign w:val="bottom"/>
          </w:tcPr>
          <w:p w14:paraId="5C7EC625" w14:textId="4BA1C081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22,8%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A3506AA" w14:textId="4C186248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10,4%</w:t>
            </w:r>
          </w:p>
        </w:tc>
        <w:tc>
          <w:tcPr>
            <w:tcW w:w="2268" w:type="dxa"/>
            <w:vAlign w:val="bottom"/>
          </w:tcPr>
          <w:p w14:paraId="0F4D9D66" w14:textId="54E71560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-6,2%</w:t>
            </w:r>
          </w:p>
        </w:tc>
      </w:tr>
      <w:tr w:rsidR="00984444" w:rsidRPr="00F815F1" w14:paraId="780E7435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74A386D0" w14:textId="09FAF929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Girona capital</w:t>
            </w:r>
          </w:p>
        </w:tc>
        <w:tc>
          <w:tcPr>
            <w:tcW w:w="2268" w:type="dxa"/>
            <w:vAlign w:val="bottom"/>
          </w:tcPr>
          <w:p w14:paraId="1EAF54FE" w14:textId="6CA95560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E7A4217" w14:textId="434A11F2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2268" w:type="dxa"/>
            <w:vAlign w:val="bottom"/>
          </w:tcPr>
          <w:p w14:paraId="4346393B" w14:textId="7882459A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-5,8%</w:t>
            </w:r>
          </w:p>
        </w:tc>
      </w:tr>
      <w:tr w:rsidR="00984444" w:rsidRPr="00F815F1" w14:paraId="6FC581CF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06077781" w14:textId="27138296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Valencia capital</w:t>
            </w:r>
          </w:p>
        </w:tc>
        <w:tc>
          <w:tcPr>
            <w:tcW w:w="2268" w:type="dxa"/>
            <w:vAlign w:val="bottom"/>
          </w:tcPr>
          <w:p w14:paraId="3D10A1B4" w14:textId="1759603F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BD8727B" w14:textId="30EE22E4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-1,9%</w:t>
            </w:r>
          </w:p>
        </w:tc>
        <w:tc>
          <w:tcPr>
            <w:tcW w:w="2268" w:type="dxa"/>
            <w:vAlign w:val="bottom"/>
          </w:tcPr>
          <w:p w14:paraId="79ACA867" w14:textId="0DD178B4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-5,7%</w:t>
            </w:r>
          </w:p>
        </w:tc>
      </w:tr>
      <w:tr w:rsidR="00984444" w:rsidRPr="00F815F1" w14:paraId="42AA1CFA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4E636C74" w14:textId="46567FB6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Tarragona capital</w:t>
            </w:r>
          </w:p>
        </w:tc>
        <w:tc>
          <w:tcPr>
            <w:tcW w:w="2268" w:type="dxa"/>
            <w:vAlign w:val="bottom"/>
          </w:tcPr>
          <w:p w14:paraId="38B3E5A7" w14:textId="700AD1E3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7ECB32A" w14:textId="18A058F9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-2,5%</w:t>
            </w:r>
          </w:p>
        </w:tc>
        <w:tc>
          <w:tcPr>
            <w:tcW w:w="2268" w:type="dxa"/>
            <w:vAlign w:val="bottom"/>
          </w:tcPr>
          <w:p w14:paraId="4EA247D2" w14:textId="46C1FBF9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-5,7%</w:t>
            </w:r>
          </w:p>
        </w:tc>
      </w:tr>
      <w:tr w:rsidR="00984444" w:rsidRPr="00F815F1" w14:paraId="5E163028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48F8F501" w14:textId="4170A0AE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Madrid capital</w:t>
            </w:r>
          </w:p>
        </w:tc>
        <w:tc>
          <w:tcPr>
            <w:tcW w:w="2268" w:type="dxa"/>
            <w:vAlign w:val="bottom"/>
          </w:tcPr>
          <w:p w14:paraId="440B8116" w14:textId="76617ED7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15,5%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E4CAEE7" w14:textId="1FCC89FF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11,8%</w:t>
            </w:r>
          </w:p>
        </w:tc>
        <w:tc>
          <w:tcPr>
            <w:tcW w:w="2268" w:type="dxa"/>
            <w:vAlign w:val="bottom"/>
          </w:tcPr>
          <w:p w14:paraId="1EDEA2BF" w14:textId="3E6FB606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-5,5%</w:t>
            </w:r>
          </w:p>
        </w:tc>
      </w:tr>
      <w:tr w:rsidR="00984444" w:rsidRPr="00F815F1" w14:paraId="72D3009F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525A2295" w14:textId="26700316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Ourense capital</w:t>
            </w:r>
          </w:p>
        </w:tc>
        <w:tc>
          <w:tcPr>
            <w:tcW w:w="2268" w:type="dxa"/>
            <w:vAlign w:val="bottom"/>
          </w:tcPr>
          <w:p w14:paraId="7D2435B3" w14:textId="663F5DC5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240DE5C" w14:textId="14748F82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-24,0%</w:t>
            </w:r>
          </w:p>
        </w:tc>
        <w:tc>
          <w:tcPr>
            <w:tcW w:w="2268" w:type="dxa"/>
            <w:vAlign w:val="bottom"/>
          </w:tcPr>
          <w:p w14:paraId="4D9F497C" w14:textId="0AA7095C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-3,7%</w:t>
            </w:r>
          </w:p>
        </w:tc>
      </w:tr>
      <w:tr w:rsidR="00984444" w:rsidRPr="00F815F1" w14:paraId="1D4BE3AC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5BA3F284" w14:textId="710DDBEE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2268" w:type="dxa"/>
            <w:vAlign w:val="bottom"/>
          </w:tcPr>
          <w:p w14:paraId="664071B4" w14:textId="485D6217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-12,0%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B5CC4C0" w14:textId="395EBB95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268" w:type="dxa"/>
            <w:vAlign w:val="bottom"/>
          </w:tcPr>
          <w:p w14:paraId="10F4E041" w14:textId="2E56BBF1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-2,5%</w:t>
            </w:r>
          </w:p>
        </w:tc>
      </w:tr>
      <w:tr w:rsidR="00984444" w:rsidRPr="00F815F1" w14:paraId="532A49CC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171947D2" w14:textId="16BD163C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León capital</w:t>
            </w:r>
          </w:p>
        </w:tc>
        <w:tc>
          <w:tcPr>
            <w:tcW w:w="2268" w:type="dxa"/>
            <w:vAlign w:val="bottom"/>
          </w:tcPr>
          <w:p w14:paraId="0F23EF3E" w14:textId="38BAD2F3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E8AE6FC" w14:textId="2BEB0B97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14:paraId="41CC3C18" w14:textId="5DB2FC07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-2,3%</w:t>
            </w:r>
          </w:p>
        </w:tc>
      </w:tr>
      <w:tr w:rsidR="00984444" w:rsidRPr="00F815F1" w14:paraId="303AEB61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672249C0" w14:textId="0931F3C0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Santander</w:t>
            </w:r>
          </w:p>
        </w:tc>
        <w:tc>
          <w:tcPr>
            <w:tcW w:w="2268" w:type="dxa"/>
            <w:vAlign w:val="bottom"/>
          </w:tcPr>
          <w:p w14:paraId="744D5D4E" w14:textId="388C8F06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62,2%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89B1BCB" w14:textId="5713F1A2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19,1%</w:t>
            </w:r>
          </w:p>
        </w:tc>
        <w:tc>
          <w:tcPr>
            <w:tcW w:w="2268" w:type="dxa"/>
            <w:vAlign w:val="bottom"/>
          </w:tcPr>
          <w:p w14:paraId="2186175C" w14:textId="62AB3D71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-1,4%</w:t>
            </w:r>
          </w:p>
        </w:tc>
      </w:tr>
      <w:tr w:rsidR="00984444" w:rsidRPr="00F815F1" w14:paraId="248E25DE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378A6A08" w14:textId="071CFE59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Barcelona capital</w:t>
            </w:r>
          </w:p>
        </w:tc>
        <w:tc>
          <w:tcPr>
            <w:tcW w:w="2268" w:type="dxa"/>
            <w:vAlign w:val="bottom"/>
          </w:tcPr>
          <w:p w14:paraId="6A7324FD" w14:textId="4C9636A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-3,7%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856D768" w14:textId="0A1F34BE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2268" w:type="dxa"/>
            <w:vAlign w:val="bottom"/>
          </w:tcPr>
          <w:p w14:paraId="6692B09B" w14:textId="60B40B50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-1,2%</w:t>
            </w:r>
          </w:p>
        </w:tc>
      </w:tr>
      <w:tr w:rsidR="00984444" w:rsidRPr="00F815F1" w14:paraId="6E9A2567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1085FF83" w14:textId="522EF3A0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Donostia - San Sebastián</w:t>
            </w:r>
          </w:p>
        </w:tc>
        <w:tc>
          <w:tcPr>
            <w:tcW w:w="2268" w:type="dxa"/>
            <w:vAlign w:val="bottom"/>
          </w:tcPr>
          <w:p w14:paraId="784849C1" w14:textId="3399D7E4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-6,1%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A6E6FA3" w14:textId="734F97B5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-6,4%</w:t>
            </w:r>
          </w:p>
        </w:tc>
        <w:tc>
          <w:tcPr>
            <w:tcW w:w="2268" w:type="dxa"/>
            <w:vAlign w:val="bottom"/>
          </w:tcPr>
          <w:p w14:paraId="29BDBA20" w14:textId="624BDB44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1,3%</w:t>
            </w:r>
          </w:p>
        </w:tc>
      </w:tr>
      <w:tr w:rsidR="00984444" w:rsidRPr="00F815F1" w14:paraId="12DE152A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6C5C44BB" w14:textId="6F1F2542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Toledo capital</w:t>
            </w:r>
          </w:p>
        </w:tc>
        <w:tc>
          <w:tcPr>
            <w:tcW w:w="2268" w:type="dxa"/>
            <w:vAlign w:val="bottom"/>
          </w:tcPr>
          <w:p w14:paraId="76CE6FEF" w14:textId="74ACB376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BC821CF" w14:textId="2BFD0191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8,1%</w:t>
            </w:r>
          </w:p>
        </w:tc>
        <w:tc>
          <w:tcPr>
            <w:tcW w:w="2268" w:type="dxa"/>
            <w:vAlign w:val="bottom"/>
          </w:tcPr>
          <w:p w14:paraId="47C605EC" w14:textId="27E36AF8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4,1%</w:t>
            </w:r>
          </w:p>
        </w:tc>
      </w:tr>
      <w:tr w:rsidR="00984444" w:rsidRPr="00F815F1" w14:paraId="4BC2B8C1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35604CED" w14:textId="2EE52FC6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Logroño</w:t>
            </w:r>
          </w:p>
        </w:tc>
        <w:tc>
          <w:tcPr>
            <w:tcW w:w="2268" w:type="dxa"/>
            <w:vAlign w:val="bottom"/>
          </w:tcPr>
          <w:p w14:paraId="38DE34A3" w14:textId="30DE0A34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-5,0%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A7CA992" w14:textId="406E0B80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23,3%</w:t>
            </w:r>
          </w:p>
        </w:tc>
        <w:tc>
          <w:tcPr>
            <w:tcW w:w="2268" w:type="dxa"/>
            <w:vAlign w:val="bottom"/>
          </w:tcPr>
          <w:p w14:paraId="7B822B44" w14:textId="3D5BE9D8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4,1%</w:t>
            </w:r>
          </w:p>
        </w:tc>
      </w:tr>
      <w:tr w:rsidR="00984444" w:rsidRPr="00F815F1" w14:paraId="3F0E6BFD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3068018F" w14:textId="5C595945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Guadalajara capital</w:t>
            </w:r>
          </w:p>
        </w:tc>
        <w:tc>
          <w:tcPr>
            <w:tcW w:w="2268" w:type="dxa"/>
            <w:vAlign w:val="bottom"/>
          </w:tcPr>
          <w:p w14:paraId="7DF335C8" w14:textId="501EE40B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37B0E7E" w14:textId="671AC546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-13,8%</w:t>
            </w:r>
          </w:p>
        </w:tc>
        <w:tc>
          <w:tcPr>
            <w:tcW w:w="2268" w:type="dxa"/>
            <w:vAlign w:val="bottom"/>
          </w:tcPr>
          <w:p w14:paraId="72E7BB6E" w14:textId="2049DEB1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7,5%</w:t>
            </w:r>
          </w:p>
        </w:tc>
      </w:tr>
      <w:tr w:rsidR="00984444" w:rsidRPr="00F815F1" w14:paraId="0C89A303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00A6FF65" w14:textId="43054D8D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Sevilla capital</w:t>
            </w:r>
          </w:p>
        </w:tc>
        <w:tc>
          <w:tcPr>
            <w:tcW w:w="2268" w:type="dxa"/>
            <w:vAlign w:val="bottom"/>
          </w:tcPr>
          <w:p w14:paraId="578FE004" w14:textId="5229EB6B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16,9%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1F99374" w14:textId="0938CDAE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41,0%</w:t>
            </w:r>
          </w:p>
        </w:tc>
        <w:tc>
          <w:tcPr>
            <w:tcW w:w="2268" w:type="dxa"/>
            <w:vAlign w:val="bottom"/>
          </w:tcPr>
          <w:p w14:paraId="7E9A9D18" w14:textId="5A08EF4E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7,6%</w:t>
            </w:r>
          </w:p>
        </w:tc>
      </w:tr>
      <w:tr w:rsidR="00984444" w:rsidRPr="00F815F1" w14:paraId="739605E0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74825A85" w14:textId="7A9B1EC9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Ciudad Real capital</w:t>
            </w:r>
          </w:p>
        </w:tc>
        <w:tc>
          <w:tcPr>
            <w:tcW w:w="2268" w:type="dxa"/>
            <w:vAlign w:val="bottom"/>
          </w:tcPr>
          <w:p w14:paraId="0760AA8B" w14:textId="354BD25A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13,4%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219CF66" w14:textId="5C47E21B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-2,3%</w:t>
            </w:r>
          </w:p>
        </w:tc>
        <w:tc>
          <w:tcPr>
            <w:tcW w:w="2268" w:type="dxa"/>
            <w:vAlign w:val="bottom"/>
          </w:tcPr>
          <w:p w14:paraId="23364231" w14:textId="17A268B1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7,8%</w:t>
            </w:r>
          </w:p>
        </w:tc>
      </w:tr>
      <w:tr w:rsidR="00984444" w:rsidRPr="00F815F1" w14:paraId="118DEC28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1DB06BE6" w14:textId="0D18F890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Huesca capital</w:t>
            </w:r>
          </w:p>
        </w:tc>
        <w:tc>
          <w:tcPr>
            <w:tcW w:w="2268" w:type="dxa"/>
            <w:vAlign w:val="bottom"/>
          </w:tcPr>
          <w:p w14:paraId="6C2585E8" w14:textId="18E3BA72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FE1BD65" w14:textId="44125DCC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-4,4%</w:t>
            </w:r>
          </w:p>
        </w:tc>
        <w:tc>
          <w:tcPr>
            <w:tcW w:w="2268" w:type="dxa"/>
            <w:vAlign w:val="bottom"/>
          </w:tcPr>
          <w:p w14:paraId="722BB364" w14:textId="4EE78BB8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10,9%</w:t>
            </w:r>
          </w:p>
        </w:tc>
      </w:tr>
      <w:tr w:rsidR="00984444" w:rsidRPr="00F815F1" w14:paraId="4253F351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5B9A8CA3" w14:textId="4B184E5C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Burgos capital</w:t>
            </w:r>
          </w:p>
        </w:tc>
        <w:tc>
          <w:tcPr>
            <w:tcW w:w="2268" w:type="dxa"/>
            <w:vAlign w:val="bottom"/>
          </w:tcPr>
          <w:p w14:paraId="67A8A547" w14:textId="11ED99E6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CF6BDCD" w14:textId="2000A57C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23,4%</w:t>
            </w:r>
          </w:p>
        </w:tc>
        <w:tc>
          <w:tcPr>
            <w:tcW w:w="2268" w:type="dxa"/>
            <w:vAlign w:val="bottom"/>
          </w:tcPr>
          <w:p w14:paraId="20DC6679" w14:textId="53C20A56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18,2%</w:t>
            </w:r>
          </w:p>
        </w:tc>
      </w:tr>
      <w:tr w:rsidR="00984444" w:rsidRPr="00F815F1" w14:paraId="58A88ED4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05BBC2DA" w14:textId="00C9BAB7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Granada capital</w:t>
            </w:r>
          </w:p>
        </w:tc>
        <w:tc>
          <w:tcPr>
            <w:tcW w:w="2268" w:type="dxa"/>
            <w:vAlign w:val="bottom"/>
          </w:tcPr>
          <w:p w14:paraId="7347628D" w14:textId="05EF8FEE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1E4FF8D" w14:textId="5A03C54C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14:paraId="192C6EEF" w14:textId="1CB74142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57,0%</w:t>
            </w:r>
          </w:p>
        </w:tc>
      </w:tr>
      <w:tr w:rsidR="00984444" w:rsidRPr="00F815F1" w14:paraId="26DEA057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6C0F7CAF" w14:textId="4058D293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Bilbao</w:t>
            </w:r>
          </w:p>
        </w:tc>
        <w:tc>
          <w:tcPr>
            <w:tcW w:w="2268" w:type="dxa"/>
            <w:vAlign w:val="bottom"/>
          </w:tcPr>
          <w:p w14:paraId="58BB79C7" w14:textId="2300B34A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24,4%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92F3452" w14:textId="08BED8F7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-27,6%</w:t>
            </w:r>
          </w:p>
        </w:tc>
        <w:tc>
          <w:tcPr>
            <w:tcW w:w="2268" w:type="dxa"/>
            <w:vAlign w:val="bottom"/>
          </w:tcPr>
          <w:p w14:paraId="12F6F340" w14:textId="2D1114B0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984444" w:rsidRPr="00F815F1" w14:paraId="38BE6CF5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0793F299" w14:textId="69426E76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Jaén capital</w:t>
            </w:r>
          </w:p>
        </w:tc>
        <w:tc>
          <w:tcPr>
            <w:tcW w:w="2268" w:type="dxa"/>
          </w:tcPr>
          <w:p w14:paraId="2D199F10" w14:textId="0F56308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9042A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1CE7BC6" w14:textId="405F08DD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268" w:type="dxa"/>
          </w:tcPr>
          <w:p w14:paraId="796F2A80" w14:textId="199224AC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2"/>
                <w:szCs w:val="22"/>
                <w:lang w:val="es-ES" w:eastAsia="es-ES"/>
              </w:rPr>
            </w:pPr>
            <w:r w:rsidRPr="003B1E77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984444" w:rsidRPr="00F815F1" w14:paraId="716E41B1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0D1E1F8B" w14:textId="4584D599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Ávila capital</w:t>
            </w:r>
          </w:p>
        </w:tc>
        <w:tc>
          <w:tcPr>
            <w:tcW w:w="2268" w:type="dxa"/>
          </w:tcPr>
          <w:p w14:paraId="265CBFEC" w14:textId="792D6B60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9042A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7ACCEDE" w14:textId="2E9CD13F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14,7%</w:t>
            </w:r>
          </w:p>
        </w:tc>
        <w:tc>
          <w:tcPr>
            <w:tcW w:w="2268" w:type="dxa"/>
          </w:tcPr>
          <w:p w14:paraId="1B88FD68" w14:textId="06E914B3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2"/>
                <w:szCs w:val="22"/>
                <w:lang w:val="es-ES" w:eastAsia="es-ES"/>
              </w:rPr>
            </w:pPr>
            <w:r w:rsidRPr="003B1E77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984444" w:rsidRPr="00F815F1" w14:paraId="7A6ECAD4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465BF22C" w14:textId="59FB9458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Las Palmas de Gran Canaria</w:t>
            </w:r>
          </w:p>
        </w:tc>
        <w:tc>
          <w:tcPr>
            <w:tcW w:w="2268" w:type="dxa"/>
            <w:vAlign w:val="bottom"/>
          </w:tcPr>
          <w:p w14:paraId="386FDB92" w14:textId="6A25E3CC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06650A9" w14:textId="1CF52A80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15,9%</w:t>
            </w:r>
          </w:p>
        </w:tc>
        <w:tc>
          <w:tcPr>
            <w:tcW w:w="2268" w:type="dxa"/>
          </w:tcPr>
          <w:p w14:paraId="00313299" w14:textId="451B91E7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2"/>
                <w:szCs w:val="22"/>
                <w:lang w:val="es-ES" w:eastAsia="es-ES"/>
              </w:rPr>
            </w:pPr>
            <w:r w:rsidRPr="003B1E77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984444" w:rsidRPr="00F815F1" w14:paraId="0994A44F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4319DF71" w14:textId="1F3B35F4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Pontevedra capital</w:t>
            </w:r>
          </w:p>
        </w:tc>
        <w:tc>
          <w:tcPr>
            <w:tcW w:w="2268" w:type="dxa"/>
            <w:vAlign w:val="bottom"/>
          </w:tcPr>
          <w:p w14:paraId="69799C6E" w14:textId="155A5489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104,5%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29DC153" w14:textId="083EBE82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111,3%</w:t>
            </w:r>
          </w:p>
        </w:tc>
        <w:tc>
          <w:tcPr>
            <w:tcW w:w="2268" w:type="dxa"/>
          </w:tcPr>
          <w:p w14:paraId="090E6DBD" w14:textId="53DACB9A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2"/>
                <w:szCs w:val="22"/>
                <w:lang w:val="es-ES" w:eastAsia="es-ES"/>
              </w:rPr>
            </w:pPr>
            <w:r w:rsidRPr="003B1E77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984444" w:rsidRPr="00F815F1" w14:paraId="712B04F3" w14:textId="77777777" w:rsidTr="0081352E">
        <w:trPr>
          <w:trHeight w:val="223"/>
        </w:trPr>
        <w:tc>
          <w:tcPr>
            <w:tcW w:w="2258" w:type="dxa"/>
            <w:shd w:val="clear" w:color="auto" w:fill="auto"/>
            <w:vAlign w:val="bottom"/>
          </w:tcPr>
          <w:p w14:paraId="3819E0D0" w14:textId="12E33F1E" w:rsidR="00984444" w:rsidRPr="00984444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984444">
              <w:rPr>
                <w:rFonts w:ascii="Open Sans" w:hAnsi="Open Sans" w:cs="Open Sans"/>
                <w:color w:val="000000"/>
                <w:sz w:val="22"/>
                <w:szCs w:val="22"/>
              </w:rPr>
              <w:t>Lugo capital</w:t>
            </w:r>
          </w:p>
        </w:tc>
        <w:tc>
          <w:tcPr>
            <w:tcW w:w="2268" w:type="dxa"/>
            <w:vAlign w:val="bottom"/>
          </w:tcPr>
          <w:p w14:paraId="522C012E" w14:textId="2D293413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90,3%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3D24D46" w14:textId="755CCE87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45EB5BBC" w14:textId="2352E70F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2"/>
                <w:szCs w:val="22"/>
                <w:lang w:val="es-ES" w:eastAsia="es-ES"/>
              </w:rPr>
            </w:pPr>
            <w:r w:rsidRPr="003B1E77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</w:tbl>
    <w:p w14:paraId="04AE3047" w14:textId="1DFEEF02" w:rsidR="00467F02" w:rsidRDefault="00467F02" w:rsidP="00467F02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En cuanto a los precios </w:t>
      </w:r>
      <w:r w:rsidR="00DC4985">
        <w:rPr>
          <w:rFonts w:ascii="Open Sans" w:hAnsi="Open Sans" w:cs="Open Sans"/>
          <w:sz w:val="22"/>
          <w:szCs w:val="22"/>
        </w:rPr>
        <w:t xml:space="preserve">medios </w:t>
      </w:r>
      <w:r>
        <w:rPr>
          <w:rFonts w:ascii="Open Sans" w:hAnsi="Open Sans" w:cs="Open Sans"/>
          <w:sz w:val="22"/>
          <w:szCs w:val="22"/>
        </w:rPr>
        <w:t>por ciudades, vemos que los garajes en venta más caros corresponden a las ciudades de:</w:t>
      </w:r>
      <w:r w:rsidRPr="00467F02">
        <w:t xml:space="preserve"> </w:t>
      </w:r>
      <w:r w:rsidRPr="00467F02">
        <w:rPr>
          <w:rFonts w:ascii="Open Sans" w:hAnsi="Open Sans" w:cs="Open Sans"/>
          <w:sz w:val="22"/>
          <w:szCs w:val="22"/>
        </w:rPr>
        <w:t>Donostia - San Sebastián</w:t>
      </w:r>
      <w:r w:rsidRPr="00467F02">
        <w:rPr>
          <w:rFonts w:ascii="Open Sans" w:hAnsi="Open Sans" w:cs="Open Sans"/>
          <w:sz w:val="22"/>
          <w:szCs w:val="22"/>
        </w:rPr>
        <w:tab/>
        <w:t xml:space="preserve"> </w:t>
      </w:r>
      <w:r>
        <w:rPr>
          <w:rFonts w:ascii="Open Sans" w:hAnsi="Open Sans" w:cs="Open Sans"/>
          <w:sz w:val="22"/>
          <w:szCs w:val="22"/>
        </w:rPr>
        <w:t>(</w:t>
      </w:r>
      <w:r w:rsidRPr="00467F02">
        <w:rPr>
          <w:rFonts w:ascii="Open Sans" w:hAnsi="Open Sans" w:cs="Open Sans"/>
          <w:sz w:val="22"/>
          <w:szCs w:val="22"/>
        </w:rPr>
        <w:t xml:space="preserve">25.734 </w:t>
      </w:r>
      <w:r>
        <w:rPr>
          <w:rFonts w:ascii="Open Sans" w:hAnsi="Open Sans" w:cs="Open Sans"/>
          <w:sz w:val="22"/>
          <w:szCs w:val="22"/>
        </w:rPr>
        <w:t xml:space="preserve">euros), </w:t>
      </w:r>
      <w:r w:rsidRPr="00467F02">
        <w:rPr>
          <w:rFonts w:ascii="Open Sans" w:hAnsi="Open Sans" w:cs="Open Sans"/>
          <w:sz w:val="22"/>
          <w:szCs w:val="22"/>
        </w:rPr>
        <w:t xml:space="preserve">Bilbao </w:t>
      </w:r>
      <w:r>
        <w:rPr>
          <w:rFonts w:ascii="Open Sans" w:hAnsi="Open Sans" w:cs="Open Sans"/>
          <w:sz w:val="22"/>
          <w:szCs w:val="22"/>
        </w:rPr>
        <w:t>(</w:t>
      </w:r>
      <w:r w:rsidRPr="00467F02">
        <w:rPr>
          <w:rFonts w:ascii="Open Sans" w:hAnsi="Open Sans" w:cs="Open Sans"/>
          <w:sz w:val="22"/>
          <w:szCs w:val="22"/>
        </w:rPr>
        <w:t xml:space="preserve">23.757 </w:t>
      </w:r>
      <w:r>
        <w:rPr>
          <w:rFonts w:ascii="Open Sans" w:hAnsi="Open Sans" w:cs="Open Sans"/>
          <w:sz w:val="22"/>
          <w:szCs w:val="22"/>
        </w:rPr>
        <w:t>euros),</w:t>
      </w:r>
      <w:r w:rsidRPr="00467F02">
        <w:rPr>
          <w:rFonts w:ascii="Open Sans" w:hAnsi="Open Sans" w:cs="Open Sans"/>
          <w:sz w:val="22"/>
          <w:szCs w:val="22"/>
        </w:rPr>
        <w:t xml:space="preserve"> Granada capital </w:t>
      </w:r>
      <w:r>
        <w:rPr>
          <w:rFonts w:ascii="Open Sans" w:hAnsi="Open Sans" w:cs="Open Sans"/>
          <w:sz w:val="22"/>
          <w:szCs w:val="22"/>
        </w:rPr>
        <w:t>(</w:t>
      </w:r>
      <w:r w:rsidRPr="00467F02">
        <w:rPr>
          <w:rFonts w:ascii="Open Sans" w:hAnsi="Open Sans" w:cs="Open Sans"/>
          <w:sz w:val="22"/>
          <w:szCs w:val="22"/>
        </w:rPr>
        <w:t>20.902</w:t>
      </w:r>
      <w:r>
        <w:rPr>
          <w:rFonts w:ascii="Open Sans" w:hAnsi="Open Sans" w:cs="Open Sans"/>
          <w:sz w:val="22"/>
          <w:szCs w:val="22"/>
        </w:rPr>
        <w:t xml:space="preserve"> euros),</w:t>
      </w:r>
      <w:r w:rsidRPr="00467F02">
        <w:rPr>
          <w:rFonts w:ascii="Open Sans" w:hAnsi="Open Sans" w:cs="Open Sans"/>
          <w:sz w:val="22"/>
          <w:szCs w:val="22"/>
        </w:rPr>
        <w:t xml:space="preserve"> Ourense capital </w:t>
      </w:r>
      <w:r>
        <w:rPr>
          <w:rFonts w:ascii="Open Sans" w:hAnsi="Open Sans" w:cs="Open Sans"/>
          <w:sz w:val="22"/>
          <w:szCs w:val="22"/>
        </w:rPr>
        <w:t>(</w:t>
      </w:r>
      <w:r w:rsidRPr="00467F02">
        <w:rPr>
          <w:rFonts w:ascii="Open Sans" w:hAnsi="Open Sans" w:cs="Open Sans"/>
          <w:sz w:val="22"/>
          <w:szCs w:val="22"/>
        </w:rPr>
        <w:t xml:space="preserve">19.922 </w:t>
      </w:r>
      <w:r>
        <w:rPr>
          <w:rFonts w:ascii="Open Sans" w:hAnsi="Open Sans" w:cs="Open Sans"/>
          <w:sz w:val="22"/>
          <w:szCs w:val="22"/>
        </w:rPr>
        <w:t>euros),</w:t>
      </w:r>
      <w:r w:rsidRPr="00467F02">
        <w:rPr>
          <w:rFonts w:ascii="Open Sans" w:hAnsi="Open Sans" w:cs="Open Sans"/>
          <w:sz w:val="22"/>
          <w:szCs w:val="22"/>
        </w:rPr>
        <w:t xml:space="preserve"> Santander </w:t>
      </w:r>
      <w:r>
        <w:rPr>
          <w:rFonts w:ascii="Open Sans" w:hAnsi="Open Sans" w:cs="Open Sans"/>
          <w:sz w:val="22"/>
          <w:szCs w:val="22"/>
        </w:rPr>
        <w:t>(</w:t>
      </w:r>
      <w:r w:rsidRPr="00467F02">
        <w:rPr>
          <w:rFonts w:ascii="Open Sans" w:hAnsi="Open Sans" w:cs="Open Sans"/>
          <w:sz w:val="22"/>
          <w:szCs w:val="22"/>
        </w:rPr>
        <w:t xml:space="preserve">18.962 </w:t>
      </w:r>
      <w:r>
        <w:rPr>
          <w:rFonts w:ascii="Open Sans" w:hAnsi="Open Sans" w:cs="Open Sans"/>
          <w:sz w:val="22"/>
          <w:szCs w:val="22"/>
        </w:rPr>
        <w:t>euros),</w:t>
      </w:r>
      <w:r w:rsidRPr="00467F02">
        <w:rPr>
          <w:rFonts w:ascii="Open Sans" w:hAnsi="Open Sans" w:cs="Open Sans"/>
          <w:sz w:val="22"/>
          <w:szCs w:val="22"/>
        </w:rPr>
        <w:t xml:space="preserve"> Barcelona capital </w:t>
      </w:r>
      <w:r>
        <w:rPr>
          <w:rFonts w:ascii="Open Sans" w:hAnsi="Open Sans" w:cs="Open Sans"/>
          <w:sz w:val="22"/>
          <w:szCs w:val="22"/>
        </w:rPr>
        <w:t>(</w:t>
      </w:r>
      <w:r w:rsidRPr="00467F02">
        <w:rPr>
          <w:rFonts w:ascii="Open Sans" w:hAnsi="Open Sans" w:cs="Open Sans"/>
          <w:sz w:val="22"/>
          <w:szCs w:val="22"/>
        </w:rPr>
        <w:t>18.538</w:t>
      </w:r>
      <w:r>
        <w:rPr>
          <w:rFonts w:ascii="Open Sans" w:hAnsi="Open Sans" w:cs="Open Sans"/>
          <w:sz w:val="22"/>
          <w:szCs w:val="22"/>
        </w:rPr>
        <w:t xml:space="preserve"> euros),</w:t>
      </w:r>
      <w:r w:rsidRPr="00467F02">
        <w:rPr>
          <w:rFonts w:ascii="Open Sans" w:hAnsi="Open Sans" w:cs="Open Sans"/>
          <w:sz w:val="22"/>
          <w:szCs w:val="22"/>
        </w:rPr>
        <w:t xml:space="preserve"> Jaén capital</w:t>
      </w:r>
      <w:r>
        <w:rPr>
          <w:rFonts w:ascii="Open Sans" w:hAnsi="Open Sans" w:cs="Open Sans"/>
          <w:sz w:val="22"/>
          <w:szCs w:val="22"/>
        </w:rPr>
        <w:t xml:space="preserve"> (</w:t>
      </w:r>
      <w:r w:rsidRPr="00467F02">
        <w:rPr>
          <w:rFonts w:ascii="Open Sans" w:hAnsi="Open Sans" w:cs="Open Sans"/>
          <w:sz w:val="22"/>
          <w:szCs w:val="22"/>
        </w:rPr>
        <w:t xml:space="preserve">17.806 </w:t>
      </w:r>
      <w:r>
        <w:rPr>
          <w:rFonts w:ascii="Open Sans" w:hAnsi="Open Sans" w:cs="Open Sans"/>
          <w:sz w:val="22"/>
          <w:szCs w:val="22"/>
        </w:rPr>
        <w:t xml:space="preserve">euros), </w:t>
      </w:r>
      <w:r w:rsidRPr="00467F02">
        <w:rPr>
          <w:rFonts w:ascii="Open Sans" w:hAnsi="Open Sans" w:cs="Open Sans"/>
          <w:sz w:val="22"/>
          <w:szCs w:val="22"/>
        </w:rPr>
        <w:t xml:space="preserve">Madrid capital </w:t>
      </w:r>
      <w:r>
        <w:rPr>
          <w:rFonts w:ascii="Open Sans" w:hAnsi="Open Sans" w:cs="Open Sans"/>
          <w:sz w:val="22"/>
          <w:szCs w:val="22"/>
        </w:rPr>
        <w:t>(</w:t>
      </w:r>
      <w:r w:rsidRPr="00467F02">
        <w:rPr>
          <w:rFonts w:ascii="Open Sans" w:hAnsi="Open Sans" w:cs="Open Sans"/>
          <w:sz w:val="22"/>
          <w:szCs w:val="22"/>
        </w:rPr>
        <w:t xml:space="preserve">17.274 </w:t>
      </w:r>
      <w:r>
        <w:rPr>
          <w:rFonts w:ascii="Open Sans" w:hAnsi="Open Sans" w:cs="Open Sans"/>
          <w:sz w:val="22"/>
          <w:szCs w:val="22"/>
        </w:rPr>
        <w:t>euros),</w:t>
      </w:r>
      <w:r w:rsidRPr="00467F02">
        <w:rPr>
          <w:rFonts w:ascii="Open Sans" w:hAnsi="Open Sans" w:cs="Open Sans"/>
          <w:sz w:val="22"/>
          <w:szCs w:val="22"/>
        </w:rPr>
        <w:t xml:space="preserve"> Córdoba capital</w:t>
      </w:r>
      <w:r>
        <w:rPr>
          <w:rFonts w:ascii="Open Sans" w:hAnsi="Open Sans" w:cs="Open Sans"/>
          <w:sz w:val="22"/>
          <w:szCs w:val="22"/>
        </w:rPr>
        <w:t xml:space="preserve"> (</w:t>
      </w:r>
      <w:r w:rsidRPr="00467F02">
        <w:rPr>
          <w:rFonts w:ascii="Open Sans" w:hAnsi="Open Sans" w:cs="Open Sans"/>
          <w:sz w:val="22"/>
          <w:szCs w:val="22"/>
        </w:rPr>
        <w:t xml:space="preserve">17.151 </w:t>
      </w:r>
      <w:r>
        <w:rPr>
          <w:rFonts w:ascii="Open Sans" w:hAnsi="Open Sans" w:cs="Open Sans"/>
          <w:sz w:val="22"/>
          <w:szCs w:val="22"/>
        </w:rPr>
        <w:t>euros),</w:t>
      </w:r>
      <w:r w:rsidRPr="00467F02">
        <w:rPr>
          <w:rFonts w:ascii="Open Sans" w:hAnsi="Open Sans" w:cs="Open Sans"/>
          <w:sz w:val="22"/>
          <w:szCs w:val="22"/>
        </w:rPr>
        <w:t xml:space="preserve"> Pontevedra capital </w:t>
      </w:r>
      <w:r>
        <w:rPr>
          <w:rFonts w:ascii="Open Sans" w:hAnsi="Open Sans" w:cs="Open Sans"/>
          <w:sz w:val="22"/>
          <w:szCs w:val="22"/>
        </w:rPr>
        <w:t>(</w:t>
      </w:r>
      <w:r w:rsidRPr="00467F02">
        <w:rPr>
          <w:rFonts w:ascii="Open Sans" w:hAnsi="Open Sans" w:cs="Open Sans"/>
          <w:sz w:val="22"/>
          <w:szCs w:val="22"/>
        </w:rPr>
        <w:t xml:space="preserve">16.868 </w:t>
      </w:r>
      <w:r>
        <w:rPr>
          <w:rFonts w:ascii="Open Sans" w:hAnsi="Open Sans" w:cs="Open Sans"/>
          <w:sz w:val="22"/>
          <w:szCs w:val="22"/>
        </w:rPr>
        <w:t>euros),</w:t>
      </w:r>
      <w:r w:rsidRPr="00467F02">
        <w:rPr>
          <w:rFonts w:ascii="Open Sans" w:hAnsi="Open Sans" w:cs="Open Sans"/>
          <w:sz w:val="22"/>
          <w:szCs w:val="22"/>
        </w:rPr>
        <w:t xml:space="preserve"> Girona capital </w:t>
      </w:r>
      <w:r>
        <w:rPr>
          <w:rFonts w:ascii="Open Sans" w:hAnsi="Open Sans" w:cs="Open Sans"/>
          <w:sz w:val="22"/>
          <w:szCs w:val="22"/>
        </w:rPr>
        <w:t>(</w:t>
      </w:r>
      <w:r w:rsidRPr="00467F02">
        <w:rPr>
          <w:rFonts w:ascii="Open Sans" w:hAnsi="Open Sans" w:cs="Open Sans"/>
          <w:sz w:val="22"/>
          <w:szCs w:val="22"/>
        </w:rPr>
        <w:t xml:space="preserve">15.367 </w:t>
      </w:r>
      <w:r>
        <w:rPr>
          <w:rFonts w:ascii="Open Sans" w:hAnsi="Open Sans" w:cs="Open Sans"/>
          <w:sz w:val="22"/>
          <w:szCs w:val="22"/>
        </w:rPr>
        <w:t>euros).</w:t>
      </w:r>
    </w:p>
    <w:p w14:paraId="5858B040" w14:textId="3978143F" w:rsidR="00467F02" w:rsidRDefault="00467F02" w:rsidP="00467F02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Por otro lado, los garajes en donde se encuentran los garajes más económicos para comprar están en: </w:t>
      </w:r>
      <w:r w:rsidRPr="00467F02">
        <w:rPr>
          <w:rFonts w:ascii="Open Sans" w:hAnsi="Open Sans" w:cs="Open Sans"/>
          <w:sz w:val="22"/>
          <w:szCs w:val="22"/>
        </w:rPr>
        <w:t>Ávila capital</w:t>
      </w:r>
      <w:r>
        <w:rPr>
          <w:rFonts w:ascii="Open Sans" w:hAnsi="Open Sans" w:cs="Open Sans"/>
          <w:sz w:val="22"/>
          <w:szCs w:val="22"/>
        </w:rPr>
        <w:t xml:space="preserve"> (</w:t>
      </w:r>
      <w:r w:rsidRPr="00467F02">
        <w:rPr>
          <w:rFonts w:ascii="Open Sans" w:hAnsi="Open Sans" w:cs="Open Sans"/>
          <w:sz w:val="22"/>
          <w:szCs w:val="22"/>
        </w:rPr>
        <w:t xml:space="preserve"> 6.553 </w:t>
      </w:r>
      <w:r>
        <w:rPr>
          <w:rFonts w:ascii="Open Sans" w:hAnsi="Open Sans" w:cs="Open Sans"/>
          <w:sz w:val="22"/>
          <w:szCs w:val="22"/>
        </w:rPr>
        <w:t>euros),</w:t>
      </w:r>
      <w:r w:rsidRPr="00467F02">
        <w:rPr>
          <w:rFonts w:ascii="Open Sans" w:hAnsi="Open Sans" w:cs="Open Sans"/>
          <w:sz w:val="22"/>
          <w:szCs w:val="22"/>
        </w:rPr>
        <w:t xml:space="preserve"> Murcia capital</w:t>
      </w:r>
      <w:r>
        <w:rPr>
          <w:rFonts w:ascii="Open Sans" w:hAnsi="Open Sans" w:cs="Open Sans"/>
          <w:sz w:val="22"/>
          <w:szCs w:val="22"/>
        </w:rPr>
        <w:t xml:space="preserve"> (</w:t>
      </w:r>
      <w:r w:rsidRPr="00467F02">
        <w:rPr>
          <w:rFonts w:ascii="Open Sans" w:hAnsi="Open Sans" w:cs="Open Sans"/>
          <w:sz w:val="22"/>
          <w:szCs w:val="22"/>
        </w:rPr>
        <w:t xml:space="preserve">8.132 </w:t>
      </w:r>
      <w:r>
        <w:rPr>
          <w:rFonts w:ascii="Open Sans" w:hAnsi="Open Sans" w:cs="Open Sans"/>
          <w:sz w:val="22"/>
          <w:szCs w:val="22"/>
        </w:rPr>
        <w:t>euros),</w:t>
      </w:r>
      <w:r w:rsidRPr="00467F02">
        <w:rPr>
          <w:rFonts w:ascii="Open Sans" w:hAnsi="Open Sans" w:cs="Open Sans"/>
          <w:sz w:val="22"/>
          <w:szCs w:val="22"/>
        </w:rPr>
        <w:t xml:space="preserve"> Castellón de la Plana / Castelló de la Plana</w:t>
      </w:r>
      <w:r>
        <w:rPr>
          <w:rFonts w:ascii="Open Sans" w:hAnsi="Open Sans" w:cs="Open Sans"/>
          <w:sz w:val="22"/>
          <w:szCs w:val="22"/>
        </w:rPr>
        <w:t xml:space="preserve"> (</w:t>
      </w:r>
      <w:r w:rsidRPr="00467F02">
        <w:rPr>
          <w:rFonts w:ascii="Open Sans" w:hAnsi="Open Sans" w:cs="Open Sans"/>
          <w:sz w:val="22"/>
          <w:szCs w:val="22"/>
        </w:rPr>
        <w:t xml:space="preserve">8.407 </w:t>
      </w:r>
      <w:r>
        <w:rPr>
          <w:rFonts w:ascii="Open Sans" w:hAnsi="Open Sans" w:cs="Open Sans"/>
          <w:sz w:val="22"/>
          <w:szCs w:val="22"/>
        </w:rPr>
        <w:t>euros),</w:t>
      </w:r>
      <w:r w:rsidRPr="00467F02">
        <w:rPr>
          <w:rFonts w:ascii="Open Sans" w:hAnsi="Open Sans" w:cs="Open Sans"/>
          <w:sz w:val="22"/>
          <w:szCs w:val="22"/>
        </w:rPr>
        <w:t xml:space="preserve"> Lleida capital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467F02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(</w:t>
      </w:r>
      <w:r w:rsidRPr="00467F02">
        <w:rPr>
          <w:rFonts w:ascii="Open Sans" w:hAnsi="Open Sans" w:cs="Open Sans"/>
          <w:sz w:val="22"/>
          <w:szCs w:val="22"/>
        </w:rPr>
        <w:t xml:space="preserve">9.706 </w:t>
      </w:r>
      <w:r>
        <w:rPr>
          <w:rFonts w:ascii="Open Sans" w:hAnsi="Open Sans" w:cs="Open Sans"/>
          <w:sz w:val="22"/>
          <w:szCs w:val="22"/>
        </w:rPr>
        <w:t>euros),</w:t>
      </w:r>
      <w:r w:rsidRPr="00467F02">
        <w:rPr>
          <w:rFonts w:ascii="Open Sans" w:hAnsi="Open Sans" w:cs="Open Sans"/>
          <w:sz w:val="22"/>
          <w:szCs w:val="22"/>
        </w:rPr>
        <w:t xml:space="preserve"> León capital </w:t>
      </w:r>
      <w:r>
        <w:rPr>
          <w:rFonts w:ascii="Open Sans" w:hAnsi="Open Sans" w:cs="Open Sans"/>
          <w:sz w:val="22"/>
          <w:szCs w:val="22"/>
        </w:rPr>
        <w:t>(</w:t>
      </w:r>
      <w:r w:rsidRPr="00467F02">
        <w:rPr>
          <w:rFonts w:ascii="Open Sans" w:hAnsi="Open Sans" w:cs="Open Sans"/>
          <w:sz w:val="22"/>
          <w:szCs w:val="22"/>
        </w:rPr>
        <w:t xml:space="preserve">9.748 </w:t>
      </w:r>
      <w:r>
        <w:rPr>
          <w:rFonts w:ascii="Open Sans" w:hAnsi="Open Sans" w:cs="Open Sans"/>
          <w:sz w:val="22"/>
          <w:szCs w:val="22"/>
        </w:rPr>
        <w:t>euros).</w:t>
      </w:r>
    </w:p>
    <w:p w14:paraId="14062012" w14:textId="77777777" w:rsidR="00EB4922" w:rsidRDefault="00EB4922" w:rsidP="00EB4922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</w:p>
    <w:p w14:paraId="17527A2E" w14:textId="5F54CE5D" w:rsidR="00EB4922" w:rsidRDefault="00EB4922" w:rsidP="00EB4922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lastRenderedPageBreak/>
        <w:t xml:space="preserve">Precio medio de </w:t>
      </w:r>
      <w:r w:rsidR="008D5906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los garajes</w:t>
      </w: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 por ciudades</w:t>
      </w:r>
    </w:p>
    <w:p w14:paraId="7B4E86F9" w14:textId="5C21006F" w:rsidR="00D210B8" w:rsidRDefault="00D210B8" w:rsidP="00D210B8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  <w:lang w:val="es-ES"/>
        </w:rPr>
      </w:pPr>
    </w:p>
    <w:tbl>
      <w:tblPr>
        <w:tblW w:w="9034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1701"/>
        <w:gridCol w:w="1701"/>
        <w:gridCol w:w="1814"/>
      </w:tblGrid>
      <w:tr w:rsidR="00EB4922" w:rsidRPr="00F815F1" w14:paraId="14466A86" w14:textId="77777777" w:rsidTr="00EB4922">
        <w:trPr>
          <w:trHeight w:val="772"/>
        </w:trPr>
        <w:tc>
          <w:tcPr>
            <w:tcW w:w="2117" w:type="dxa"/>
            <w:shd w:val="clear" w:color="auto" w:fill="ACB9CA"/>
            <w:vAlign w:val="center"/>
          </w:tcPr>
          <w:p w14:paraId="2E7026F3" w14:textId="77777777" w:rsidR="00EB4922" w:rsidRPr="00A060EF" w:rsidRDefault="00EB4922" w:rsidP="00EB4922">
            <w:pPr>
              <w:rPr>
                <w:rFonts w:ascii="Open Sans" w:eastAsia="Times New Roman" w:hAnsi="Open Sans" w:cs="Open Sans"/>
                <w:b/>
                <w:bCs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A060EF">
              <w:rPr>
                <w:rFonts w:ascii="Open Sans" w:eastAsia="Times New Roman" w:hAnsi="Open Sans" w:cs="Open Sans"/>
                <w:b/>
                <w:bCs/>
                <w:color w:val="0D0D0D" w:themeColor="text1" w:themeTint="F2"/>
                <w:sz w:val="20"/>
                <w:szCs w:val="20"/>
                <w:lang w:val="es-ES" w:eastAsia="es-ES"/>
              </w:rPr>
              <w:t>Ciudad</w:t>
            </w:r>
          </w:p>
        </w:tc>
        <w:tc>
          <w:tcPr>
            <w:tcW w:w="1701" w:type="dxa"/>
            <w:shd w:val="clear" w:color="auto" w:fill="ACB9CA"/>
            <w:vAlign w:val="center"/>
          </w:tcPr>
          <w:p w14:paraId="1F92F1E6" w14:textId="1F8009F4" w:rsidR="00EB4922" w:rsidRPr="00A060EF" w:rsidRDefault="00EB4922" w:rsidP="00EB4922">
            <w:pPr>
              <w:jc w:val="center"/>
              <w:rPr>
                <w:rFonts w:ascii="Open Sans" w:hAnsi="Open Sans" w:cs="Open Sans"/>
                <w:b/>
                <w:bCs/>
                <w:color w:val="0D0D0D" w:themeColor="text1" w:themeTint="F2"/>
                <w:sz w:val="20"/>
                <w:szCs w:val="20"/>
              </w:rPr>
            </w:pPr>
            <w:r w:rsidRPr="00E07AE5"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 xml:space="preserve">Precio de </w:t>
            </w:r>
            <w:r w:rsidR="008D5906"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>los garajes e</w:t>
            </w:r>
            <w:r w:rsidRPr="00E07AE5"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>n 20</w:t>
            </w:r>
            <w:r w:rsidR="00984444"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CB9CA"/>
            <w:vAlign w:val="center"/>
          </w:tcPr>
          <w:p w14:paraId="6356D22E" w14:textId="1D0A1C1C" w:rsidR="00EB4922" w:rsidRPr="00A060EF" w:rsidRDefault="00984444" w:rsidP="00EB4922">
            <w:pPr>
              <w:jc w:val="center"/>
              <w:rPr>
                <w:rFonts w:ascii="Open Sans" w:eastAsia="Times New Roman" w:hAnsi="Open Sans" w:cs="Open Sans"/>
                <w:b/>
                <w:bCs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E07AE5"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 xml:space="preserve">Precio de </w:t>
            </w:r>
            <w:r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>los garajes e</w:t>
            </w:r>
            <w:r w:rsidRPr="00E07AE5"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>n 201</w:t>
            </w:r>
            <w:r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CB9CA"/>
            <w:vAlign w:val="center"/>
            <w:hideMark/>
          </w:tcPr>
          <w:p w14:paraId="14CA0F72" w14:textId="73245D2B" w:rsidR="00EB4922" w:rsidRPr="00A060EF" w:rsidRDefault="008D5906" w:rsidP="00EB4922">
            <w:pPr>
              <w:jc w:val="center"/>
              <w:rPr>
                <w:rFonts w:ascii="Open Sans" w:eastAsia="Times New Roman" w:hAnsi="Open Sans" w:cs="Open Sans"/>
                <w:b/>
                <w:bCs/>
                <w:color w:val="0D0D0D" w:themeColor="text1" w:themeTint="F2"/>
                <w:sz w:val="20"/>
                <w:szCs w:val="20"/>
                <w:lang w:val="es-ES" w:eastAsia="es-ES"/>
              </w:rPr>
            </w:pPr>
            <w:r w:rsidRPr="00E07AE5"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 xml:space="preserve">Precio de </w:t>
            </w:r>
            <w:r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>los garajes e</w:t>
            </w:r>
            <w:r w:rsidRPr="00E07AE5"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>n</w:t>
            </w:r>
            <w:r w:rsidR="00EB4922" w:rsidRPr="00E07AE5"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 xml:space="preserve"> 201</w:t>
            </w:r>
            <w:r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1814" w:type="dxa"/>
            <w:shd w:val="clear" w:color="auto" w:fill="ACB9CA" w:themeFill="text2" w:themeFillTint="66"/>
            <w:vAlign w:val="center"/>
          </w:tcPr>
          <w:p w14:paraId="26BF4F00" w14:textId="11A92034" w:rsidR="00EB4922" w:rsidRPr="00A060EF" w:rsidRDefault="008D5906" w:rsidP="00EB4922">
            <w:pPr>
              <w:jc w:val="center"/>
              <w:rPr>
                <w:rFonts w:ascii="Open Sans" w:hAnsi="Open Sans" w:cs="Open Sans"/>
                <w:b/>
                <w:bCs/>
                <w:color w:val="0D0D0D" w:themeColor="text1" w:themeTint="F2"/>
                <w:sz w:val="20"/>
                <w:szCs w:val="20"/>
              </w:rPr>
            </w:pPr>
            <w:r w:rsidRPr="00E07AE5"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 xml:space="preserve">Precio de </w:t>
            </w:r>
            <w:r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>los garajes e</w:t>
            </w:r>
            <w:r w:rsidRPr="00E07AE5"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>n</w:t>
            </w:r>
            <w:r>
              <w:rPr>
                <w:rFonts w:ascii="Open Sans" w:hAnsi="Open Sans" w:cs="Open Sans"/>
                <w:b/>
                <w:bCs/>
                <w:color w:val="0D0D0D" w:themeColor="text1" w:themeTint="F2"/>
                <w:sz w:val="18"/>
                <w:szCs w:val="18"/>
              </w:rPr>
              <w:t xml:space="preserve"> 2020</w:t>
            </w:r>
          </w:p>
        </w:tc>
      </w:tr>
      <w:tr w:rsidR="00984444" w:rsidRPr="00F815F1" w14:paraId="490502B4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6C716102" w14:textId="13D293A7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Donostia - San Sebastián</w:t>
            </w:r>
          </w:p>
        </w:tc>
        <w:tc>
          <w:tcPr>
            <w:tcW w:w="1701" w:type="dxa"/>
            <w:vAlign w:val="bottom"/>
          </w:tcPr>
          <w:p w14:paraId="54A36AC2" w14:textId="34CEBAE8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27.419 €</w:t>
            </w:r>
          </w:p>
        </w:tc>
        <w:tc>
          <w:tcPr>
            <w:tcW w:w="1701" w:type="dxa"/>
            <w:vAlign w:val="bottom"/>
          </w:tcPr>
          <w:p w14:paraId="1C437703" w14:textId="65FB8362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27.503 €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395C18" w14:textId="0D3D3757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25.393 €</w:t>
            </w:r>
          </w:p>
        </w:tc>
        <w:tc>
          <w:tcPr>
            <w:tcW w:w="1814" w:type="dxa"/>
            <w:vAlign w:val="bottom"/>
          </w:tcPr>
          <w:p w14:paraId="2A8EF2CA" w14:textId="68AF266E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25.734 €</w:t>
            </w:r>
          </w:p>
        </w:tc>
      </w:tr>
      <w:tr w:rsidR="00984444" w:rsidRPr="00F815F1" w14:paraId="475EF160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60458CA1" w14:textId="49332C97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Bilbao</w:t>
            </w:r>
          </w:p>
        </w:tc>
        <w:tc>
          <w:tcPr>
            <w:tcW w:w="1701" w:type="dxa"/>
            <w:vAlign w:val="bottom"/>
          </w:tcPr>
          <w:p w14:paraId="6730E323" w14:textId="3003478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19.095 €</w:t>
            </w:r>
          </w:p>
        </w:tc>
        <w:tc>
          <w:tcPr>
            <w:tcW w:w="1701" w:type="dxa"/>
            <w:vAlign w:val="bottom"/>
          </w:tcPr>
          <w:p w14:paraId="5986B012" w14:textId="154BAC28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32.827 €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1D9422" w14:textId="3EFAFF7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4" w:type="dxa"/>
            <w:vAlign w:val="bottom"/>
          </w:tcPr>
          <w:p w14:paraId="4CC89DEA" w14:textId="2247ED4A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23.757 €</w:t>
            </w:r>
          </w:p>
        </w:tc>
      </w:tr>
      <w:tr w:rsidR="00984444" w:rsidRPr="00F815F1" w14:paraId="768FCD61" w14:textId="77777777" w:rsidTr="00446B58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205EC1C6" w14:textId="50D310B2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Granada capital</w:t>
            </w:r>
          </w:p>
        </w:tc>
        <w:tc>
          <w:tcPr>
            <w:tcW w:w="1701" w:type="dxa"/>
          </w:tcPr>
          <w:p w14:paraId="6E3C90DC" w14:textId="0092DA83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25E4F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248E3026" w14:textId="471E63A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D9EEC1" w14:textId="52A2ECCA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13.311 €</w:t>
            </w:r>
          </w:p>
        </w:tc>
        <w:tc>
          <w:tcPr>
            <w:tcW w:w="1814" w:type="dxa"/>
            <w:vAlign w:val="bottom"/>
          </w:tcPr>
          <w:p w14:paraId="2CA950DC" w14:textId="21DC64B6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20.902 €</w:t>
            </w:r>
          </w:p>
        </w:tc>
      </w:tr>
      <w:tr w:rsidR="00984444" w:rsidRPr="00F815F1" w14:paraId="1CD30905" w14:textId="77777777" w:rsidTr="00446B58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05C6EAB1" w14:textId="10BECF54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Ourense capital</w:t>
            </w:r>
          </w:p>
        </w:tc>
        <w:tc>
          <w:tcPr>
            <w:tcW w:w="1701" w:type="dxa"/>
          </w:tcPr>
          <w:p w14:paraId="3B2643DF" w14:textId="1CD58A11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25E4F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460684FF" w14:textId="547CB857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26.211 €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91351" w14:textId="7E0CE9CC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20.689 €</w:t>
            </w:r>
          </w:p>
        </w:tc>
        <w:tc>
          <w:tcPr>
            <w:tcW w:w="1814" w:type="dxa"/>
            <w:vAlign w:val="bottom"/>
          </w:tcPr>
          <w:p w14:paraId="59D6B462" w14:textId="4781B817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19.922 €</w:t>
            </w:r>
          </w:p>
        </w:tc>
      </w:tr>
      <w:tr w:rsidR="00984444" w:rsidRPr="00F815F1" w14:paraId="05837D67" w14:textId="77777777" w:rsidTr="00446B58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670DC122" w14:textId="2BFE1560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Santander</w:t>
            </w:r>
          </w:p>
        </w:tc>
        <w:tc>
          <w:tcPr>
            <w:tcW w:w="1701" w:type="dxa"/>
            <w:vAlign w:val="bottom"/>
          </w:tcPr>
          <w:p w14:paraId="15B717A9" w14:textId="0C7809A9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11.688 €</w:t>
            </w:r>
          </w:p>
        </w:tc>
        <w:tc>
          <w:tcPr>
            <w:tcW w:w="1701" w:type="dxa"/>
            <w:vAlign w:val="bottom"/>
          </w:tcPr>
          <w:p w14:paraId="2C136DDC" w14:textId="3BC0E774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15.917 €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6A64FF" w14:textId="1E974C60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19.232 €</w:t>
            </w:r>
          </w:p>
        </w:tc>
        <w:tc>
          <w:tcPr>
            <w:tcW w:w="1814" w:type="dxa"/>
            <w:vAlign w:val="bottom"/>
          </w:tcPr>
          <w:p w14:paraId="0CB13679" w14:textId="6A2F3DE9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18.962 €</w:t>
            </w:r>
          </w:p>
        </w:tc>
      </w:tr>
      <w:tr w:rsidR="00984444" w:rsidRPr="00F815F1" w14:paraId="025AA5B7" w14:textId="77777777" w:rsidTr="00446B58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206E954D" w14:textId="4787BA17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Barcelona capital</w:t>
            </w:r>
          </w:p>
        </w:tc>
        <w:tc>
          <w:tcPr>
            <w:tcW w:w="1701" w:type="dxa"/>
            <w:vAlign w:val="bottom"/>
          </w:tcPr>
          <w:p w14:paraId="4D6261A2" w14:textId="572FA302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19.241 €</w:t>
            </w:r>
          </w:p>
        </w:tc>
        <w:tc>
          <w:tcPr>
            <w:tcW w:w="1701" w:type="dxa"/>
            <w:vAlign w:val="bottom"/>
          </w:tcPr>
          <w:p w14:paraId="52485DF4" w14:textId="201A4C0A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18.717 €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49308F" w14:textId="5F02E608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18.763 €</w:t>
            </w:r>
          </w:p>
        </w:tc>
        <w:tc>
          <w:tcPr>
            <w:tcW w:w="1814" w:type="dxa"/>
            <w:vAlign w:val="bottom"/>
          </w:tcPr>
          <w:p w14:paraId="3BD8AC66" w14:textId="5C42E181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18.538 €</w:t>
            </w:r>
          </w:p>
        </w:tc>
      </w:tr>
      <w:tr w:rsidR="00984444" w:rsidRPr="00F815F1" w14:paraId="45A418EA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6A941D18" w14:textId="7EE8D8CF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Jaén capital</w:t>
            </w:r>
          </w:p>
        </w:tc>
        <w:tc>
          <w:tcPr>
            <w:tcW w:w="1701" w:type="dxa"/>
            <w:vAlign w:val="bottom"/>
          </w:tcPr>
          <w:p w14:paraId="4F2D03BA" w14:textId="214C378B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0CF4D788" w14:textId="70513BC3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17.924 €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FD3188" w14:textId="525D855C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4" w:type="dxa"/>
            <w:vAlign w:val="bottom"/>
          </w:tcPr>
          <w:p w14:paraId="3761FFEE" w14:textId="687F9EC7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17.806 €</w:t>
            </w:r>
          </w:p>
        </w:tc>
      </w:tr>
      <w:tr w:rsidR="00984444" w:rsidRPr="00F815F1" w14:paraId="503D30FB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435C9F7A" w14:textId="34056E10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Madrid capital</w:t>
            </w:r>
          </w:p>
        </w:tc>
        <w:tc>
          <w:tcPr>
            <w:tcW w:w="1701" w:type="dxa"/>
            <w:vAlign w:val="bottom"/>
          </w:tcPr>
          <w:p w14:paraId="535ED653" w14:textId="7A6E34E9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14.956 €</w:t>
            </w:r>
          </w:p>
        </w:tc>
        <w:tc>
          <w:tcPr>
            <w:tcW w:w="1701" w:type="dxa"/>
            <w:vAlign w:val="bottom"/>
          </w:tcPr>
          <w:p w14:paraId="7851012B" w14:textId="5EBE2037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15.445 €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6D8B6" w14:textId="379C1D21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18.279 €</w:t>
            </w:r>
          </w:p>
        </w:tc>
        <w:tc>
          <w:tcPr>
            <w:tcW w:w="1814" w:type="dxa"/>
            <w:vAlign w:val="bottom"/>
          </w:tcPr>
          <w:p w14:paraId="59D4B554" w14:textId="22316128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17.274 €</w:t>
            </w:r>
          </w:p>
        </w:tc>
      </w:tr>
      <w:tr w:rsidR="00984444" w:rsidRPr="00F815F1" w14:paraId="690C7340" w14:textId="77777777" w:rsidTr="00446B58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568CE260" w14:textId="2021323B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Córdoba capital</w:t>
            </w:r>
          </w:p>
        </w:tc>
        <w:tc>
          <w:tcPr>
            <w:tcW w:w="1701" w:type="dxa"/>
            <w:vAlign w:val="bottom"/>
          </w:tcPr>
          <w:p w14:paraId="75D56ADE" w14:textId="65B6D99A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15.249 €</w:t>
            </w:r>
          </w:p>
        </w:tc>
        <w:tc>
          <w:tcPr>
            <w:tcW w:w="1701" w:type="dxa"/>
            <w:vAlign w:val="bottom"/>
          </w:tcPr>
          <w:p w14:paraId="1771B95E" w14:textId="0F731BF4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14.157 €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E1023A" w14:textId="0BE2C8A5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18.646 €</w:t>
            </w:r>
          </w:p>
        </w:tc>
        <w:tc>
          <w:tcPr>
            <w:tcW w:w="1814" w:type="dxa"/>
            <w:vAlign w:val="bottom"/>
          </w:tcPr>
          <w:p w14:paraId="531F0B97" w14:textId="0191B06D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17.151 €</w:t>
            </w:r>
          </w:p>
        </w:tc>
      </w:tr>
      <w:tr w:rsidR="00984444" w:rsidRPr="00F815F1" w14:paraId="0E8AFA09" w14:textId="77777777" w:rsidTr="00446B58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1DAE49ED" w14:textId="2EEEFB04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Pontevedra capital</w:t>
            </w:r>
          </w:p>
        </w:tc>
        <w:tc>
          <w:tcPr>
            <w:tcW w:w="1701" w:type="dxa"/>
            <w:vAlign w:val="bottom"/>
          </w:tcPr>
          <w:p w14:paraId="4256BD3F" w14:textId="5CD53021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8.248 €</w:t>
            </w:r>
          </w:p>
        </w:tc>
        <w:tc>
          <w:tcPr>
            <w:tcW w:w="1701" w:type="dxa"/>
            <w:vAlign w:val="bottom"/>
          </w:tcPr>
          <w:p w14:paraId="14A703EA" w14:textId="2CCEA33B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7.982 €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4DDC4E" w14:textId="00CC794E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4" w:type="dxa"/>
            <w:vAlign w:val="bottom"/>
          </w:tcPr>
          <w:p w14:paraId="5409944C" w14:textId="0388DA78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16.868 €</w:t>
            </w:r>
          </w:p>
        </w:tc>
      </w:tr>
      <w:tr w:rsidR="00984444" w:rsidRPr="00F815F1" w14:paraId="544C4D2F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04A6D742" w14:textId="799AA476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Girona capital</w:t>
            </w:r>
          </w:p>
        </w:tc>
        <w:tc>
          <w:tcPr>
            <w:tcW w:w="1701" w:type="dxa"/>
            <w:vAlign w:val="bottom"/>
          </w:tcPr>
          <w:p w14:paraId="0F9CA3FF" w14:textId="77524FB1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14.323 €</w:t>
            </w:r>
          </w:p>
        </w:tc>
        <w:tc>
          <w:tcPr>
            <w:tcW w:w="1701" w:type="dxa"/>
            <w:vAlign w:val="bottom"/>
          </w:tcPr>
          <w:p w14:paraId="074C16C7" w14:textId="3B6F9A51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15.564 €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12790F" w14:textId="1E97AF0A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16.316 €</w:t>
            </w:r>
          </w:p>
        </w:tc>
        <w:tc>
          <w:tcPr>
            <w:tcW w:w="1814" w:type="dxa"/>
            <w:vAlign w:val="bottom"/>
          </w:tcPr>
          <w:p w14:paraId="18BAE0BC" w14:textId="214161DE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15.367 €</w:t>
            </w:r>
          </w:p>
        </w:tc>
      </w:tr>
      <w:tr w:rsidR="00984444" w:rsidRPr="00F815F1" w14:paraId="54767E3A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0E39E975" w14:textId="03ED43E1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Vitoria - Gasteiz</w:t>
            </w:r>
          </w:p>
        </w:tc>
        <w:tc>
          <w:tcPr>
            <w:tcW w:w="1701" w:type="dxa"/>
            <w:vAlign w:val="bottom"/>
          </w:tcPr>
          <w:p w14:paraId="5EBDD7C3" w14:textId="0E4D3560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11.817 €</w:t>
            </w:r>
          </w:p>
        </w:tc>
        <w:tc>
          <w:tcPr>
            <w:tcW w:w="1701" w:type="dxa"/>
            <w:vAlign w:val="bottom"/>
          </w:tcPr>
          <w:p w14:paraId="340B3EC3" w14:textId="4244E337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13.141 €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73A066" w14:textId="55A4AC2C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15.467 €</w:t>
            </w:r>
          </w:p>
        </w:tc>
        <w:tc>
          <w:tcPr>
            <w:tcW w:w="1814" w:type="dxa"/>
            <w:vAlign w:val="bottom"/>
          </w:tcPr>
          <w:p w14:paraId="24DD2F90" w14:textId="7C7704B9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14.507 €</w:t>
            </w:r>
          </w:p>
        </w:tc>
      </w:tr>
      <w:tr w:rsidR="00984444" w:rsidRPr="00F815F1" w14:paraId="0FB578ED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60D56BE2" w14:textId="1CA59D5E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 Coruña capital</w:t>
            </w:r>
          </w:p>
        </w:tc>
        <w:tc>
          <w:tcPr>
            <w:tcW w:w="1701" w:type="dxa"/>
            <w:vAlign w:val="bottom"/>
          </w:tcPr>
          <w:p w14:paraId="76989DC2" w14:textId="1565621B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13.630 €</w:t>
            </w:r>
          </w:p>
        </w:tc>
        <w:tc>
          <w:tcPr>
            <w:tcW w:w="1701" w:type="dxa"/>
            <w:vAlign w:val="bottom"/>
          </w:tcPr>
          <w:p w14:paraId="57E90174" w14:textId="3440EBB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13.346 €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E9A139" w14:textId="5E7F05E5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17.241 €</w:t>
            </w:r>
          </w:p>
        </w:tc>
        <w:tc>
          <w:tcPr>
            <w:tcW w:w="1814" w:type="dxa"/>
            <w:vAlign w:val="bottom"/>
          </w:tcPr>
          <w:p w14:paraId="3DDAD8A1" w14:textId="324BAA8F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14.007 €</w:t>
            </w:r>
          </w:p>
        </w:tc>
      </w:tr>
      <w:tr w:rsidR="00984444" w:rsidRPr="00F815F1" w14:paraId="4635800A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3FECC6CF" w14:textId="5827C1F0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Tarragona capital</w:t>
            </w:r>
          </w:p>
        </w:tc>
        <w:tc>
          <w:tcPr>
            <w:tcW w:w="1701" w:type="dxa"/>
            <w:vAlign w:val="bottom"/>
          </w:tcPr>
          <w:p w14:paraId="7993BB34" w14:textId="057BF7A6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3381A916" w14:textId="39A9835F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14.342 €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4079C0" w14:textId="1FF8FEE8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14.818 €</w:t>
            </w:r>
          </w:p>
        </w:tc>
        <w:tc>
          <w:tcPr>
            <w:tcW w:w="1814" w:type="dxa"/>
            <w:vAlign w:val="bottom"/>
          </w:tcPr>
          <w:p w14:paraId="148B7C8A" w14:textId="7A30E974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13.980 €</w:t>
            </w:r>
          </w:p>
        </w:tc>
      </w:tr>
      <w:tr w:rsidR="00984444" w:rsidRPr="00F815F1" w14:paraId="78162279" w14:textId="77777777" w:rsidTr="00446B58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0D7DEB88" w14:textId="4A01FA09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Lugo capital</w:t>
            </w:r>
          </w:p>
        </w:tc>
        <w:tc>
          <w:tcPr>
            <w:tcW w:w="1701" w:type="dxa"/>
            <w:vAlign w:val="bottom"/>
          </w:tcPr>
          <w:p w14:paraId="32C18976" w14:textId="574FF86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7.042 €</w:t>
            </w:r>
          </w:p>
        </w:tc>
        <w:tc>
          <w:tcPr>
            <w:tcW w:w="1701" w:type="dxa"/>
          </w:tcPr>
          <w:p w14:paraId="45C35187" w14:textId="009FE65C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84C0C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11B83D4" w14:textId="115503B5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84C0C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4" w:type="dxa"/>
            <w:vAlign w:val="bottom"/>
          </w:tcPr>
          <w:p w14:paraId="479D4969" w14:textId="6C53A5AC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13.400 €</w:t>
            </w:r>
          </w:p>
        </w:tc>
      </w:tr>
      <w:tr w:rsidR="00984444" w:rsidRPr="00F815F1" w14:paraId="5231290A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04357A4A" w14:textId="20E5409D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Alicante / Alacant</w:t>
            </w:r>
          </w:p>
        </w:tc>
        <w:tc>
          <w:tcPr>
            <w:tcW w:w="1701" w:type="dxa"/>
            <w:vAlign w:val="bottom"/>
          </w:tcPr>
          <w:p w14:paraId="12A125F4" w14:textId="2138E29E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25.221 €</w:t>
            </w:r>
          </w:p>
        </w:tc>
        <w:tc>
          <w:tcPr>
            <w:tcW w:w="1701" w:type="dxa"/>
            <w:vAlign w:val="bottom"/>
          </w:tcPr>
          <w:p w14:paraId="4B39B68A" w14:textId="1311338E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27.235 €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1CAF1E" w14:textId="3AC5C67E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14.843 €</w:t>
            </w:r>
          </w:p>
        </w:tc>
        <w:tc>
          <w:tcPr>
            <w:tcW w:w="1814" w:type="dxa"/>
            <w:vAlign w:val="bottom"/>
          </w:tcPr>
          <w:p w14:paraId="6776C359" w14:textId="0D11E727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13.354 €</w:t>
            </w:r>
          </w:p>
        </w:tc>
      </w:tr>
      <w:tr w:rsidR="00984444" w:rsidRPr="00F815F1" w14:paraId="6FA1EF64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43004896" w14:textId="3088B2B2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Ciudad Real capital</w:t>
            </w:r>
          </w:p>
        </w:tc>
        <w:tc>
          <w:tcPr>
            <w:tcW w:w="1701" w:type="dxa"/>
            <w:vAlign w:val="bottom"/>
          </w:tcPr>
          <w:p w14:paraId="7CED882B" w14:textId="042354DE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11.591 €</w:t>
            </w:r>
          </w:p>
        </w:tc>
        <w:tc>
          <w:tcPr>
            <w:tcW w:w="1701" w:type="dxa"/>
            <w:vAlign w:val="bottom"/>
          </w:tcPr>
          <w:p w14:paraId="3F8DC61E" w14:textId="50414A2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13.454 €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F64756" w14:textId="46905625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12.193 €</w:t>
            </w:r>
          </w:p>
        </w:tc>
        <w:tc>
          <w:tcPr>
            <w:tcW w:w="1814" w:type="dxa"/>
            <w:vAlign w:val="bottom"/>
          </w:tcPr>
          <w:p w14:paraId="4F1B914C" w14:textId="4BBB5CA8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13.144 €</w:t>
            </w:r>
          </w:p>
        </w:tc>
      </w:tr>
      <w:tr w:rsidR="00984444" w:rsidRPr="00F815F1" w14:paraId="4E3BC79E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3269C6EA" w14:textId="2B097771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Palma de Mallorca</w:t>
            </w:r>
          </w:p>
        </w:tc>
        <w:tc>
          <w:tcPr>
            <w:tcW w:w="1701" w:type="dxa"/>
            <w:vAlign w:val="bottom"/>
          </w:tcPr>
          <w:p w14:paraId="1F00D4F4" w14:textId="0AC9DC9A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13.094 €</w:t>
            </w:r>
          </w:p>
        </w:tc>
        <w:tc>
          <w:tcPr>
            <w:tcW w:w="1701" w:type="dxa"/>
            <w:vAlign w:val="bottom"/>
          </w:tcPr>
          <w:p w14:paraId="7DF6553A" w14:textId="685121C5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10.276 €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3081F0" w14:textId="326833E6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14.599 €</w:t>
            </w:r>
          </w:p>
        </w:tc>
        <w:tc>
          <w:tcPr>
            <w:tcW w:w="1814" w:type="dxa"/>
            <w:vAlign w:val="bottom"/>
          </w:tcPr>
          <w:p w14:paraId="55F5B55E" w14:textId="0E81BB1C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12.960 €</w:t>
            </w:r>
          </w:p>
        </w:tc>
      </w:tr>
      <w:tr w:rsidR="00984444" w:rsidRPr="00F815F1" w14:paraId="11608F9A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6665C486" w14:textId="6F7BC4B3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Las Palmas de Gran Canaria</w:t>
            </w:r>
          </w:p>
        </w:tc>
        <w:tc>
          <w:tcPr>
            <w:tcW w:w="1701" w:type="dxa"/>
            <w:vAlign w:val="bottom"/>
          </w:tcPr>
          <w:p w14:paraId="6931377F" w14:textId="238AA676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12.686 €</w:t>
            </w:r>
          </w:p>
        </w:tc>
        <w:tc>
          <w:tcPr>
            <w:tcW w:w="1701" w:type="dxa"/>
            <w:vAlign w:val="bottom"/>
          </w:tcPr>
          <w:p w14:paraId="202AF5C7" w14:textId="16A9AB2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11.113 €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23A9B0" w14:textId="2102B74A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4" w:type="dxa"/>
            <w:vAlign w:val="bottom"/>
          </w:tcPr>
          <w:p w14:paraId="123188FA" w14:textId="7B051774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12.879 €</w:t>
            </w:r>
          </w:p>
        </w:tc>
      </w:tr>
      <w:tr w:rsidR="00984444" w:rsidRPr="00F815F1" w14:paraId="17B00C1C" w14:textId="77777777" w:rsidTr="00446B58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4071C3F0" w14:textId="0195C417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Valencia capital</w:t>
            </w:r>
          </w:p>
        </w:tc>
        <w:tc>
          <w:tcPr>
            <w:tcW w:w="1701" w:type="dxa"/>
            <w:vAlign w:val="bottom"/>
          </w:tcPr>
          <w:p w14:paraId="6776A27B" w14:textId="79E8E7DE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13.183 €</w:t>
            </w:r>
          </w:p>
        </w:tc>
        <w:tc>
          <w:tcPr>
            <w:tcW w:w="1701" w:type="dxa"/>
            <w:vAlign w:val="bottom"/>
          </w:tcPr>
          <w:p w14:paraId="4D442FC9" w14:textId="5B5FFCAB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13.044 €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A0976" w14:textId="512256A7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13.577 €</w:t>
            </w:r>
          </w:p>
        </w:tc>
        <w:tc>
          <w:tcPr>
            <w:tcW w:w="1814" w:type="dxa"/>
            <w:vAlign w:val="bottom"/>
          </w:tcPr>
          <w:p w14:paraId="6C79CCBB" w14:textId="521CCA4A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12.799 €</w:t>
            </w:r>
          </w:p>
        </w:tc>
      </w:tr>
      <w:tr w:rsidR="00984444" w:rsidRPr="00F815F1" w14:paraId="14C9CD0E" w14:textId="77777777" w:rsidTr="00446B58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57CD507B" w14:textId="60ED1C65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Málaga capital</w:t>
            </w:r>
          </w:p>
        </w:tc>
        <w:tc>
          <w:tcPr>
            <w:tcW w:w="1701" w:type="dxa"/>
          </w:tcPr>
          <w:p w14:paraId="7A95755E" w14:textId="3D946A23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326B3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2C48C8F" w14:textId="01B89397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326B3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513C10" w14:textId="71B2C3CE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15.010 €</w:t>
            </w:r>
          </w:p>
        </w:tc>
        <w:tc>
          <w:tcPr>
            <w:tcW w:w="1814" w:type="dxa"/>
            <w:vAlign w:val="bottom"/>
          </w:tcPr>
          <w:p w14:paraId="1C7A2428" w14:textId="3850BC0E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12.762 €</w:t>
            </w:r>
          </w:p>
        </w:tc>
      </w:tr>
      <w:tr w:rsidR="00984444" w:rsidRPr="00F815F1" w14:paraId="4D118CF6" w14:textId="77777777" w:rsidTr="00446B58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1CCC403F" w14:textId="2C9B20C1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Sevilla capital</w:t>
            </w:r>
          </w:p>
        </w:tc>
        <w:tc>
          <w:tcPr>
            <w:tcW w:w="1701" w:type="dxa"/>
            <w:vAlign w:val="bottom"/>
          </w:tcPr>
          <w:p w14:paraId="62C9602A" w14:textId="3BFF2FB0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10.875 €</w:t>
            </w:r>
          </w:p>
        </w:tc>
        <w:tc>
          <w:tcPr>
            <w:tcW w:w="1701" w:type="dxa"/>
            <w:vAlign w:val="bottom"/>
          </w:tcPr>
          <w:p w14:paraId="627B1CB3" w14:textId="5A3D5F00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9.019 €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08D905" w14:textId="65CD02D2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11.819 €</w:t>
            </w:r>
          </w:p>
        </w:tc>
        <w:tc>
          <w:tcPr>
            <w:tcW w:w="1814" w:type="dxa"/>
            <w:vAlign w:val="bottom"/>
          </w:tcPr>
          <w:p w14:paraId="767A4E0F" w14:textId="589973B0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12.717 €</w:t>
            </w:r>
          </w:p>
        </w:tc>
      </w:tr>
      <w:tr w:rsidR="00984444" w:rsidRPr="00F815F1" w14:paraId="52E4868B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3559886B" w14:textId="166491B5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Zaragoza capital</w:t>
            </w:r>
          </w:p>
        </w:tc>
        <w:tc>
          <w:tcPr>
            <w:tcW w:w="1701" w:type="dxa"/>
            <w:vAlign w:val="bottom"/>
          </w:tcPr>
          <w:p w14:paraId="46D33C8C" w14:textId="74EEC52F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14.900 €</w:t>
            </w:r>
          </w:p>
        </w:tc>
        <w:tc>
          <w:tcPr>
            <w:tcW w:w="1701" w:type="dxa"/>
            <w:vAlign w:val="bottom"/>
          </w:tcPr>
          <w:p w14:paraId="30C6B23C" w14:textId="799847D1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15.795 €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B06670" w14:textId="6C216F02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13.590 €</w:t>
            </w:r>
          </w:p>
        </w:tc>
        <w:tc>
          <w:tcPr>
            <w:tcW w:w="1814" w:type="dxa"/>
            <w:vAlign w:val="bottom"/>
          </w:tcPr>
          <w:p w14:paraId="7756AAD4" w14:textId="49C615BB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12.190 €</w:t>
            </w:r>
          </w:p>
        </w:tc>
      </w:tr>
      <w:tr w:rsidR="00984444" w:rsidRPr="00F815F1" w14:paraId="0F2B8124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240A6255" w14:textId="663839B7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Oviedo</w:t>
            </w:r>
          </w:p>
        </w:tc>
        <w:tc>
          <w:tcPr>
            <w:tcW w:w="1701" w:type="dxa"/>
            <w:vAlign w:val="bottom"/>
          </w:tcPr>
          <w:p w14:paraId="3D6B1692" w14:textId="5CB539AA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12.683 €</w:t>
            </w:r>
          </w:p>
        </w:tc>
        <w:tc>
          <w:tcPr>
            <w:tcW w:w="1701" w:type="dxa"/>
            <w:vAlign w:val="bottom"/>
          </w:tcPr>
          <w:p w14:paraId="504DA1A6" w14:textId="46787378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11.231 €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3F4980" w14:textId="14D5DD9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12.649 €</w:t>
            </w:r>
          </w:p>
        </w:tc>
        <w:tc>
          <w:tcPr>
            <w:tcW w:w="1814" w:type="dxa"/>
            <w:vAlign w:val="bottom"/>
          </w:tcPr>
          <w:p w14:paraId="0FF3986F" w14:textId="7E5A4355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11.793 €</w:t>
            </w:r>
          </w:p>
        </w:tc>
      </w:tr>
      <w:tr w:rsidR="00984444" w:rsidRPr="00F815F1" w14:paraId="511E56E7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1305F901" w14:textId="3F861CE2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Valladolid capital</w:t>
            </w:r>
          </w:p>
        </w:tc>
        <w:tc>
          <w:tcPr>
            <w:tcW w:w="1701" w:type="dxa"/>
            <w:vAlign w:val="bottom"/>
          </w:tcPr>
          <w:p w14:paraId="672E544F" w14:textId="18D35224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13.633 €</w:t>
            </w:r>
          </w:p>
        </w:tc>
        <w:tc>
          <w:tcPr>
            <w:tcW w:w="1701" w:type="dxa"/>
            <w:vAlign w:val="bottom"/>
          </w:tcPr>
          <w:p w14:paraId="77653655" w14:textId="502A4E37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10.040 €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E260B4" w14:textId="70E7B026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12.757 €</w:t>
            </w:r>
          </w:p>
        </w:tc>
        <w:tc>
          <w:tcPr>
            <w:tcW w:w="1814" w:type="dxa"/>
            <w:vAlign w:val="bottom"/>
          </w:tcPr>
          <w:p w14:paraId="07A49CC1" w14:textId="39CC9306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11.775 €</w:t>
            </w:r>
          </w:p>
        </w:tc>
      </w:tr>
      <w:tr w:rsidR="00984444" w:rsidRPr="00F815F1" w14:paraId="5484FB23" w14:textId="77777777" w:rsidTr="00446B58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13F8C981" w14:textId="2F9F197E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Burgos capital</w:t>
            </w:r>
          </w:p>
        </w:tc>
        <w:tc>
          <w:tcPr>
            <w:tcW w:w="1701" w:type="dxa"/>
            <w:vAlign w:val="bottom"/>
          </w:tcPr>
          <w:p w14:paraId="4A57131C" w14:textId="0F512C66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11.481 €</w:t>
            </w:r>
          </w:p>
        </w:tc>
        <w:tc>
          <w:tcPr>
            <w:tcW w:w="1701" w:type="dxa"/>
            <w:vAlign w:val="bottom"/>
          </w:tcPr>
          <w:p w14:paraId="0984EA53" w14:textId="65163DA0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9.290 €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1E1AC3" w14:textId="4014EB58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9.698 €</w:t>
            </w:r>
          </w:p>
        </w:tc>
        <w:tc>
          <w:tcPr>
            <w:tcW w:w="1814" w:type="dxa"/>
            <w:vAlign w:val="bottom"/>
          </w:tcPr>
          <w:p w14:paraId="5CF595E9" w14:textId="6861192E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11.462 €</w:t>
            </w:r>
          </w:p>
        </w:tc>
      </w:tr>
      <w:tr w:rsidR="00984444" w:rsidRPr="00F815F1" w14:paraId="516467C1" w14:textId="77777777" w:rsidTr="00446B58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0CA35259" w14:textId="2BC44919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Almería capital</w:t>
            </w:r>
          </w:p>
        </w:tc>
        <w:tc>
          <w:tcPr>
            <w:tcW w:w="1701" w:type="dxa"/>
            <w:vAlign w:val="bottom"/>
          </w:tcPr>
          <w:p w14:paraId="709AD1A2" w14:textId="2BBA884F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11.880 €</w:t>
            </w:r>
          </w:p>
        </w:tc>
        <w:tc>
          <w:tcPr>
            <w:tcW w:w="1701" w:type="dxa"/>
            <w:vAlign w:val="bottom"/>
          </w:tcPr>
          <w:p w14:paraId="7E69219E" w14:textId="1D89E0A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11.115 €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3BAEA6" w14:textId="4F208638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12.409 €</w:t>
            </w:r>
          </w:p>
        </w:tc>
        <w:tc>
          <w:tcPr>
            <w:tcW w:w="1814" w:type="dxa"/>
            <w:vAlign w:val="bottom"/>
          </w:tcPr>
          <w:p w14:paraId="66A7E0B5" w14:textId="3A256E54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11.059 €</w:t>
            </w:r>
          </w:p>
        </w:tc>
      </w:tr>
      <w:tr w:rsidR="00984444" w:rsidRPr="00F815F1" w14:paraId="31B52548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13ED3573" w14:textId="20D3060F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Toledo capital</w:t>
            </w:r>
          </w:p>
        </w:tc>
        <w:tc>
          <w:tcPr>
            <w:tcW w:w="1701" w:type="dxa"/>
            <w:vAlign w:val="bottom"/>
          </w:tcPr>
          <w:p w14:paraId="0E284A8E" w14:textId="14275307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10.526 €</w:t>
            </w:r>
          </w:p>
        </w:tc>
        <w:tc>
          <w:tcPr>
            <w:tcW w:w="1701" w:type="dxa"/>
            <w:vAlign w:val="bottom"/>
          </w:tcPr>
          <w:p w14:paraId="3AC0F1E4" w14:textId="44B5D9D4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10.140 €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0C9C89" w14:textId="35F89D0A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10.534 €</w:t>
            </w:r>
          </w:p>
        </w:tc>
        <w:tc>
          <w:tcPr>
            <w:tcW w:w="1814" w:type="dxa"/>
            <w:vAlign w:val="bottom"/>
          </w:tcPr>
          <w:p w14:paraId="59DDEC0A" w14:textId="1FD58B90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10.961 €</w:t>
            </w:r>
          </w:p>
        </w:tc>
      </w:tr>
      <w:tr w:rsidR="00984444" w:rsidRPr="00F815F1" w14:paraId="2DEBD1A7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0D641958" w14:textId="37E099A2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Huesca capital</w:t>
            </w:r>
          </w:p>
        </w:tc>
        <w:tc>
          <w:tcPr>
            <w:tcW w:w="1701" w:type="dxa"/>
            <w:vAlign w:val="bottom"/>
          </w:tcPr>
          <w:p w14:paraId="542D04CF" w14:textId="63C7DBB7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5E1E49BF" w14:textId="69FEB335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11.429 €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000857" w14:textId="58D32987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9.844 €</w:t>
            </w:r>
          </w:p>
        </w:tc>
        <w:tc>
          <w:tcPr>
            <w:tcW w:w="1814" w:type="dxa"/>
            <w:vAlign w:val="bottom"/>
          </w:tcPr>
          <w:p w14:paraId="5B4CD748" w14:textId="190D26D8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10.921 €</w:t>
            </w:r>
          </w:p>
        </w:tc>
      </w:tr>
      <w:tr w:rsidR="00984444" w:rsidRPr="00F815F1" w14:paraId="58B1C59B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4AD6CE1B" w14:textId="51E7B684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Pamplona / Iruña</w:t>
            </w:r>
          </w:p>
        </w:tc>
        <w:tc>
          <w:tcPr>
            <w:tcW w:w="1701" w:type="dxa"/>
            <w:vAlign w:val="bottom"/>
          </w:tcPr>
          <w:p w14:paraId="2DADC4DE" w14:textId="6987A9C5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9.028 €</w:t>
            </w:r>
          </w:p>
        </w:tc>
        <w:tc>
          <w:tcPr>
            <w:tcW w:w="1701" w:type="dxa"/>
            <w:vAlign w:val="bottom"/>
          </w:tcPr>
          <w:p w14:paraId="7E663111" w14:textId="5E7914BA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8.853 €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7550C3" w14:textId="03829C2E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12.534 €</w:t>
            </w:r>
          </w:p>
        </w:tc>
        <w:tc>
          <w:tcPr>
            <w:tcW w:w="1814" w:type="dxa"/>
            <w:vAlign w:val="bottom"/>
          </w:tcPr>
          <w:p w14:paraId="7CA81EC7" w14:textId="6BABC06B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10.842 €</w:t>
            </w:r>
          </w:p>
        </w:tc>
      </w:tr>
      <w:tr w:rsidR="00984444" w:rsidRPr="00F815F1" w14:paraId="7D0C1D7D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36F6BB54" w14:textId="77EA03E8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Guadalajara capital</w:t>
            </w:r>
          </w:p>
        </w:tc>
        <w:tc>
          <w:tcPr>
            <w:tcW w:w="1701" w:type="dxa"/>
            <w:vAlign w:val="bottom"/>
          </w:tcPr>
          <w:p w14:paraId="327D4E32" w14:textId="78770B1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0C2DB559" w14:textId="58F38203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11.853 €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92E15C" w14:textId="06E7EE13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9.500 €</w:t>
            </w:r>
          </w:p>
        </w:tc>
        <w:tc>
          <w:tcPr>
            <w:tcW w:w="1814" w:type="dxa"/>
            <w:vAlign w:val="bottom"/>
          </w:tcPr>
          <w:p w14:paraId="2DDC71F2" w14:textId="757ECA3F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10.215 €</w:t>
            </w:r>
          </w:p>
        </w:tc>
      </w:tr>
      <w:tr w:rsidR="00984444" w:rsidRPr="00F815F1" w14:paraId="344D0120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54D436AD" w14:textId="39E11D3E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Logroño</w:t>
            </w:r>
          </w:p>
        </w:tc>
        <w:tc>
          <w:tcPr>
            <w:tcW w:w="1701" w:type="dxa"/>
            <w:vAlign w:val="bottom"/>
          </w:tcPr>
          <w:p w14:paraId="6C4264D6" w14:textId="57055E0A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10.682 €</w:t>
            </w:r>
          </w:p>
        </w:tc>
        <w:tc>
          <w:tcPr>
            <w:tcW w:w="1701" w:type="dxa"/>
            <w:vAlign w:val="bottom"/>
          </w:tcPr>
          <w:p w14:paraId="4A23455A" w14:textId="7AE3453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8.231 €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285ED8" w14:textId="7D9ADA0C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9.755 €</w:t>
            </w:r>
          </w:p>
        </w:tc>
        <w:tc>
          <w:tcPr>
            <w:tcW w:w="1814" w:type="dxa"/>
            <w:vAlign w:val="bottom"/>
          </w:tcPr>
          <w:p w14:paraId="15CB5372" w14:textId="395D2B8B" w:rsidR="00984444" w:rsidRPr="00F815F1" w:rsidRDefault="00984444" w:rsidP="00984444">
            <w:pPr>
              <w:jc w:val="center"/>
              <w:rPr>
                <w:rFonts w:ascii="Open Sans" w:hAnsi="Open Sans"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10.153 €</w:t>
            </w:r>
          </w:p>
        </w:tc>
      </w:tr>
      <w:tr w:rsidR="00984444" w:rsidRPr="00F815F1" w14:paraId="3058590A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0930F1C2" w14:textId="7FA15D3E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Huelva capital</w:t>
            </w:r>
          </w:p>
        </w:tc>
        <w:tc>
          <w:tcPr>
            <w:tcW w:w="1701" w:type="dxa"/>
            <w:vAlign w:val="bottom"/>
          </w:tcPr>
          <w:p w14:paraId="35B75DBE" w14:textId="5C915F1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10.458 €</w:t>
            </w:r>
          </w:p>
        </w:tc>
        <w:tc>
          <w:tcPr>
            <w:tcW w:w="1701" w:type="dxa"/>
            <w:vAlign w:val="bottom"/>
          </w:tcPr>
          <w:p w14:paraId="569419B0" w14:textId="61A2434F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9.185 €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AA62B6" w14:textId="12EDF311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12.960 €</w:t>
            </w:r>
          </w:p>
        </w:tc>
        <w:tc>
          <w:tcPr>
            <w:tcW w:w="1814" w:type="dxa"/>
            <w:vAlign w:val="bottom"/>
          </w:tcPr>
          <w:p w14:paraId="45999790" w14:textId="0D3B38B1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10.014 €</w:t>
            </w:r>
          </w:p>
        </w:tc>
      </w:tr>
      <w:tr w:rsidR="00984444" w:rsidRPr="00F815F1" w14:paraId="2253FDF3" w14:textId="77777777" w:rsidTr="00446B58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485C936C" w14:textId="7AEEFFDE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León capital</w:t>
            </w:r>
          </w:p>
        </w:tc>
        <w:tc>
          <w:tcPr>
            <w:tcW w:w="1701" w:type="dxa"/>
          </w:tcPr>
          <w:p w14:paraId="22907851" w14:textId="2FB647C0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A1DB5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1B648C5A" w14:textId="356DA447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50409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6912C3" w14:textId="2F1BEC71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9.978 €</w:t>
            </w:r>
          </w:p>
        </w:tc>
        <w:tc>
          <w:tcPr>
            <w:tcW w:w="1814" w:type="dxa"/>
            <w:vAlign w:val="bottom"/>
          </w:tcPr>
          <w:p w14:paraId="0901BA47" w14:textId="0A698396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9.748 €</w:t>
            </w:r>
          </w:p>
        </w:tc>
      </w:tr>
      <w:tr w:rsidR="00984444" w:rsidRPr="00F815F1" w14:paraId="12C50A9E" w14:textId="77777777" w:rsidTr="00446B58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0B422A0C" w14:textId="13E05238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Lleida capital</w:t>
            </w:r>
          </w:p>
        </w:tc>
        <w:tc>
          <w:tcPr>
            <w:tcW w:w="1701" w:type="dxa"/>
          </w:tcPr>
          <w:p w14:paraId="0453CEE0" w14:textId="7EEB4FFC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A1DB5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1E3429EA" w14:textId="4A440844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50409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38B4DF" w14:textId="01A033F7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12.228 €</w:t>
            </w:r>
          </w:p>
        </w:tc>
        <w:tc>
          <w:tcPr>
            <w:tcW w:w="1814" w:type="dxa"/>
            <w:vAlign w:val="bottom"/>
          </w:tcPr>
          <w:p w14:paraId="647FB80F" w14:textId="761F3009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9.706 €</w:t>
            </w:r>
          </w:p>
        </w:tc>
      </w:tr>
      <w:tr w:rsidR="00984444" w:rsidRPr="00F815F1" w14:paraId="59F26CAD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2C3509D8" w14:textId="24688271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Castellón de la Plana </w:t>
            </w:r>
          </w:p>
        </w:tc>
        <w:tc>
          <w:tcPr>
            <w:tcW w:w="1701" w:type="dxa"/>
            <w:vAlign w:val="bottom"/>
          </w:tcPr>
          <w:p w14:paraId="09C77106" w14:textId="269D2B84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9.556 €</w:t>
            </w:r>
          </w:p>
        </w:tc>
        <w:tc>
          <w:tcPr>
            <w:tcW w:w="1701" w:type="dxa"/>
            <w:vAlign w:val="bottom"/>
          </w:tcPr>
          <w:p w14:paraId="4347A695" w14:textId="388B1189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8.463 €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CE6CD5" w14:textId="2C05B5B9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8.620 €</w:t>
            </w:r>
          </w:p>
        </w:tc>
        <w:tc>
          <w:tcPr>
            <w:tcW w:w="1814" w:type="dxa"/>
            <w:vAlign w:val="bottom"/>
          </w:tcPr>
          <w:p w14:paraId="403204E4" w14:textId="4DF701D8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8.407 €</w:t>
            </w:r>
          </w:p>
        </w:tc>
      </w:tr>
      <w:tr w:rsidR="00984444" w:rsidRPr="00F815F1" w14:paraId="7E6D882C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44401E7C" w14:textId="5D317179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Murcia capital</w:t>
            </w:r>
          </w:p>
        </w:tc>
        <w:tc>
          <w:tcPr>
            <w:tcW w:w="1701" w:type="dxa"/>
            <w:vAlign w:val="bottom"/>
          </w:tcPr>
          <w:p w14:paraId="6ADE5BA1" w14:textId="04E42DF5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11.559 €</w:t>
            </w:r>
          </w:p>
        </w:tc>
        <w:tc>
          <w:tcPr>
            <w:tcW w:w="1701" w:type="dxa"/>
            <w:vAlign w:val="bottom"/>
          </w:tcPr>
          <w:p w14:paraId="6F6E0E7F" w14:textId="326B4921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9.265 €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2F0443" w14:textId="57E39B4E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10.043 €</w:t>
            </w:r>
          </w:p>
        </w:tc>
        <w:tc>
          <w:tcPr>
            <w:tcW w:w="1814" w:type="dxa"/>
            <w:vAlign w:val="bottom"/>
          </w:tcPr>
          <w:p w14:paraId="62C36E5B" w14:textId="4AB10195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8.132 €</w:t>
            </w:r>
          </w:p>
        </w:tc>
      </w:tr>
      <w:tr w:rsidR="00984444" w:rsidRPr="00F815F1" w14:paraId="6032AF09" w14:textId="77777777" w:rsidTr="005F2287">
        <w:trPr>
          <w:trHeight w:val="226"/>
        </w:trPr>
        <w:tc>
          <w:tcPr>
            <w:tcW w:w="2117" w:type="dxa"/>
            <w:shd w:val="clear" w:color="auto" w:fill="auto"/>
            <w:vAlign w:val="bottom"/>
          </w:tcPr>
          <w:p w14:paraId="4B0E0E7F" w14:textId="0ECFB387" w:rsidR="00984444" w:rsidRPr="00F815F1" w:rsidRDefault="00984444" w:rsidP="0098444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Ávila capital</w:t>
            </w:r>
          </w:p>
        </w:tc>
        <w:tc>
          <w:tcPr>
            <w:tcW w:w="1701" w:type="dxa"/>
            <w:vAlign w:val="bottom"/>
          </w:tcPr>
          <w:p w14:paraId="754F0A8E" w14:textId="2BFF9CAD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7454E36B" w14:textId="448E7909" w:rsidR="00984444" w:rsidRPr="00F815F1" w:rsidRDefault="00984444" w:rsidP="00984444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5.712 €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A56732" w14:textId="5FB81905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4" w:type="dxa"/>
            <w:vAlign w:val="bottom"/>
          </w:tcPr>
          <w:p w14:paraId="1F74D596" w14:textId="57C0AC07" w:rsidR="00984444" w:rsidRPr="00F815F1" w:rsidRDefault="00984444" w:rsidP="00984444">
            <w:pPr>
              <w:jc w:val="center"/>
              <w:rPr>
                <w:rFonts w:ascii="Open Sans" w:eastAsia="Times New Roman" w:hAnsi="Open Sans" w:cs="Open Sans"/>
                <w:b/>
                <w:bCs/>
                <w:color w:val="2E74B5" w:themeColor="accent5" w:themeShade="BF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6.553 €</w:t>
            </w:r>
          </w:p>
        </w:tc>
      </w:tr>
    </w:tbl>
    <w:p w14:paraId="791A9350" w14:textId="0B9260F9" w:rsidR="00EB4922" w:rsidRDefault="00EB4922" w:rsidP="00D210B8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  <w:lang w:val="es-ES"/>
        </w:rPr>
      </w:pPr>
    </w:p>
    <w:p w14:paraId="0CF1023F" w14:textId="77777777" w:rsidR="00863CB3" w:rsidRDefault="00863CB3" w:rsidP="00FE2C0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705BDBA1" w14:textId="77777777" w:rsidR="00863CB3" w:rsidRDefault="00863CB3" w:rsidP="00863CB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bookmarkStart w:id="3" w:name="_Hlk65518037"/>
      <w:r>
        <w:rPr>
          <w:rFonts w:ascii="Open Sans Light" w:eastAsia="Open Sans Light" w:hAnsi="Open Sans Light" w:cs="Open Sans Light"/>
          <w:b/>
          <w:color w:val="303AB2"/>
        </w:rPr>
        <w:lastRenderedPageBreak/>
        <w:t>Sobre Fotocasa</w:t>
      </w:r>
    </w:p>
    <w:p w14:paraId="0F059B77" w14:textId="77777777" w:rsidR="00863CB3" w:rsidRDefault="00863CB3" w:rsidP="00863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bookmarkStart w:id="4" w:name="_heading=h.30j0zll" w:colFirst="0" w:colLast="0"/>
    <w:bookmarkEnd w:id="4"/>
    <w:p w14:paraId="6529CDF7" w14:textId="77777777" w:rsidR="00863CB3" w:rsidRDefault="00863CB3" w:rsidP="00863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fldChar w:fldCharType="begin"/>
      </w:r>
      <w:r>
        <w:instrText xml:space="preserve"> HYPERLINK "http://www.fotocasa.es/"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Marketplace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” del sector a nivel mundial. Con presencia en 12 países de Europa, América Latina y África del Norte, el conjunto de sus plataformas locales recibe un promedio de 1.500 millones de visitas cada mes.</w:t>
      </w:r>
    </w:p>
    <w:p w14:paraId="0FCF5D3E" w14:textId="77777777" w:rsidR="00863CB3" w:rsidRDefault="00863CB3" w:rsidP="00863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2138C534" w14:textId="77777777" w:rsidR="00863CB3" w:rsidRDefault="00863CB3" w:rsidP="00863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España,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antes Schibsted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2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hyperlink r:id="rId2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>
        <w:rPr>
          <w:rFonts w:ascii="Open Sans" w:eastAsia="Open Sans" w:hAnsi="Open Sans" w:cs="Open Sans"/>
          <w:color w:val="000000"/>
          <w:sz w:val="22"/>
          <w:szCs w:val="22"/>
        </w:rPr>
        <w:t>) y segunda mano (</w:t>
      </w:r>
      <w:proofErr w:type="spellStart"/>
      <w:r>
        <w:fldChar w:fldCharType="begin"/>
      </w:r>
      <w:r>
        <w:instrText xml:space="preserve"> HYPERLINK "https://www.milanuncios.es/"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"https://www.vibbo.com/"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). Sus más de 18 millones de usuarios al mes sitúan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cuenta en la actualidad con una plantilla de más de 1.000 empleados en España. </w:t>
      </w:r>
    </w:p>
    <w:p w14:paraId="19F21FC7" w14:textId="77777777" w:rsidR="00863CB3" w:rsidRDefault="00863CB3" w:rsidP="00863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78B9DE7F" w14:textId="77777777" w:rsidR="00863CB3" w:rsidRDefault="00863CB3" w:rsidP="00863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24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p w14:paraId="0D9999BD" w14:textId="77777777" w:rsidR="00863CB3" w:rsidRDefault="00863CB3" w:rsidP="00863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58AB94D7" w14:textId="77777777" w:rsidR="00863CB3" w:rsidRDefault="00863CB3" w:rsidP="00863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651C7389" w14:textId="77777777" w:rsidR="00863CB3" w:rsidRDefault="00863CB3" w:rsidP="00863CB3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0F894A41" w14:textId="77777777" w:rsidR="00863CB3" w:rsidRDefault="00863CB3" w:rsidP="00863CB3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                 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20F26047" w14:textId="77777777" w:rsidR="00863CB3" w:rsidRDefault="00863CB3" w:rsidP="00863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  <w:t xml:space="preserve">                              Anaïs López </w:t>
      </w:r>
    </w:p>
    <w:p w14:paraId="0D645445" w14:textId="77777777" w:rsidR="00863CB3" w:rsidRDefault="00863CB3" w:rsidP="00863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5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          </w:t>
      </w:r>
      <w:hyperlink r:id="rId26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5D0191B0" w14:textId="77777777" w:rsidR="00863CB3" w:rsidRDefault="00863CB3" w:rsidP="00863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  <w:t xml:space="preserve">                 620 66 29 26</w:t>
      </w:r>
    </w:p>
    <w:p w14:paraId="203EF6BD" w14:textId="77777777" w:rsidR="00863CB3" w:rsidRDefault="00863CB3" w:rsidP="00863CB3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2A8C766C" w14:textId="77777777" w:rsidR="00863CB3" w:rsidRDefault="00863CB3" w:rsidP="00863CB3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Fanny Merino</w:t>
      </w:r>
    </w:p>
    <w:p w14:paraId="69A7C4D4" w14:textId="77777777" w:rsidR="00863CB3" w:rsidRDefault="00863CB3" w:rsidP="00863CB3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7">
        <w:r>
          <w:rPr>
            <w:rFonts w:ascii="Open Sans" w:eastAsia="Open Sans" w:hAnsi="Open Sans" w:cs="Open Sans"/>
            <w:color w:val="0000FF"/>
            <w:sz w:val="19"/>
            <w:szCs w:val="19"/>
          </w:rPr>
          <w:t>emerino@llorenteycuenca.com</w:t>
        </w:r>
      </w:hyperlink>
    </w:p>
    <w:p w14:paraId="6436F0AD" w14:textId="77777777" w:rsidR="00863CB3" w:rsidRDefault="00863CB3" w:rsidP="00863CB3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663 35 69 75 </w:t>
      </w:r>
    </w:p>
    <w:bookmarkEnd w:id="3"/>
    <w:p w14:paraId="76417EC0" w14:textId="20336FFC" w:rsidR="002E4DF7" w:rsidRDefault="002E4DF7" w:rsidP="00863CB3">
      <w:pPr>
        <w:spacing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2E4DF7" w:rsidSect="007937D5">
      <w:footerReference w:type="default" r:id="rId2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46370" w14:textId="77777777" w:rsidR="00A865E1" w:rsidRDefault="00A865E1" w:rsidP="00DD4CA4">
      <w:r>
        <w:separator/>
      </w:r>
    </w:p>
  </w:endnote>
  <w:endnote w:type="continuationSeparator" w:id="0">
    <w:p w14:paraId="4486DCCD" w14:textId="77777777" w:rsidR="00A865E1" w:rsidRDefault="00A865E1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A755" w14:textId="77777777" w:rsidR="00C47AA7" w:rsidRDefault="00C47AA7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8752" behindDoc="1" locked="0" layoutInCell="1" allowOverlap="1" wp14:anchorId="4FA99DDF" wp14:editId="391A5857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B3561" w14:textId="77777777" w:rsidR="00A865E1" w:rsidRDefault="00A865E1" w:rsidP="00DD4CA4">
      <w:r>
        <w:separator/>
      </w:r>
    </w:p>
  </w:footnote>
  <w:footnote w:type="continuationSeparator" w:id="0">
    <w:p w14:paraId="295342BE" w14:textId="77777777" w:rsidR="00A865E1" w:rsidRDefault="00A865E1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974"/>
    <w:multiLevelType w:val="hybridMultilevel"/>
    <w:tmpl w:val="3D8450D8"/>
    <w:lvl w:ilvl="0" w:tplc="C9EAB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A67"/>
    <w:multiLevelType w:val="hybridMultilevel"/>
    <w:tmpl w:val="6EB4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34A6"/>
    <w:rsid w:val="00010ECE"/>
    <w:rsid w:val="00013487"/>
    <w:rsid w:val="00014CED"/>
    <w:rsid w:val="00014EC0"/>
    <w:rsid w:val="00020390"/>
    <w:rsid w:val="00022A98"/>
    <w:rsid w:val="000314F8"/>
    <w:rsid w:val="000329E0"/>
    <w:rsid w:val="00034E35"/>
    <w:rsid w:val="0005599B"/>
    <w:rsid w:val="0006155E"/>
    <w:rsid w:val="00063144"/>
    <w:rsid w:val="00066012"/>
    <w:rsid w:val="00066D4E"/>
    <w:rsid w:val="00066FF0"/>
    <w:rsid w:val="00073F7A"/>
    <w:rsid w:val="0007477B"/>
    <w:rsid w:val="00075BEA"/>
    <w:rsid w:val="00077B7C"/>
    <w:rsid w:val="00084308"/>
    <w:rsid w:val="00091F4C"/>
    <w:rsid w:val="0009642A"/>
    <w:rsid w:val="00097638"/>
    <w:rsid w:val="000A3C1F"/>
    <w:rsid w:val="000B58AA"/>
    <w:rsid w:val="000C290A"/>
    <w:rsid w:val="000C7646"/>
    <w:rsid w:val="000D60D7"/>
    <w:rsid w:val="000E0424"/>
    <w:rsid w:val="00110839"/>
    <w:rsid w:val="0011127D"/>
    <w:rsid w:val="00130D58"/>
    <w:rsid w:val="001316A7"/>
    <w:rsid w:val="00133A7B"/>
    <w:rsid w:val="001361DC"/>
    <w:rsid w:val="00136259"/>
    <w:rsid w:val="00137E55"/>
    <w:rsid w:val="0014007A"/>
    <w:rsid w:val="0014287C"/>
    <w:rsid w:val="00144A77"/>
    <w:rsid w:val="00152120"/>
    <w:rsid w:val="00152FC9"/>
    <w:rsid w:val="001651B5"/>
    <w:rsid w:val="00170702"/>
    <w:rsid w:val="00193C8D"/>
    <w:rsid w:val="00196144"/>
    <w:rsid w:val="001A3470"/>
    <w:rsid w:val="001B2CC7"/>
    <w:rsid w:val="001B3A44"/>
    <w:rsid w:val="001B56F0"/>
    <w:rsid w:val="001B69A0"/>
    <w:rsid w:val="001C6AC4"/>
    <w:rsid w:val="001D4723"/>
    <w:rsid w:val="001D49F8"/>
    <w:rsid w:val="001E009C"/>
    <w:rsid w:val="001E1375"/>
    <w:rsid w:val="001E18D5"/>
    <w:rsid w:val="001E69C0"/>
    <w:rsid w:val="00206126"/>
    <w:rsid w:val="00210DBA"/>
    <w:rsid w:val="0021639C"/>
    <w:rsid w:val="002203EE"/>
    <w:rsid w:val="00222A5A"/>
    <w:rsid w:val="00223856"/>
    <w:rsid w:val="00223F7F"/>
    <w:rsid w:val="002252B3"/>
    <w:rsid w:val="00226CA0"/>
    <w:rsid w:val="00227100"/>
    <w:rsid w:val="00242192"/>
    <w:rsid w:val="00247090"/>
    <w:rsid w:val="002564C0"/>
    <w:rsid w:val="0026392E"/>
    <w:rsid w:val="002763B0"/>
    <w:rsid w:val="00281F6A"/>
    <w:rsid w:val="00284D38"/>
    <w:rsid w:val="00285782"/>
    <w:rsid w:val="00292293"/>
    <w:rsid w:val="002A35C0"/>
    <w:rsid w:val="002A4DFB"/>
    <w:rsid w:val="002A6116"/>
    <w:rsid w:val="002A62A4"/>
    <w:rsid w:val="002B6E3D"/>
    <w:rsid w:val="002C1563"/>
    <w:rsid w:val="002C2F40"/>
    <w:rsid w:val="002D35EA"/>
    <w:rsid w:val="002D671A"/>
    <w:rsid w:val="002D672F"/>
    <w:rsid w:val="002E4DF7"/>
    <w:rsid w:val="002F0A40"/>
    <w:rsid w:val="002F439B"/>
    <w:rsid w:val="002F4C9D"/>
    <w:rsid w:val="002F6402"/>
    <w:rsid w:val="00301D18"/>
    <w:rsid w:val="0030236E"/>
    <w:rsid w:val="0030786F"/>
    <w:rsid w:val="00307DF9"/>
    <w:rsid w:val="00312FDC"/>
    <w:rsid w:val="003145A9"/>
    <w:rsid w:val="00351CB1"/>
    <w:rsid w:val="003646FD"/>
    <w:rsid w:val="00364946"/>
    <w:rsid w:val="0037410B"/>
    <w:rsid w:val="00376DE0"/>
    <w:rsid w:val="003827F7"/>
    <w:rsid w:val="00392ACD"/>
    <w:rsid w:val="00394847"/>
    <w:rsid w:val="003A7DB8"/>
    <w:rsid w:val="003A7FF3"/>
    <w:rsid w:val="003C4D3B"/>
    <w:rsid w:val="003D07B3"/>
    <w:rsid w:val="003D4FE5"/>
    <w:rsid w:val="003F4390"/>
    <w:rsid w:val="003F535B"/>
    <w:rsid w:val="003F66EE"/>
    <w:rsid w:val="004029F8"/>
    <w:rsid w:val="00403021"/>
    <w:rsid w:val="00412163"/>
    <w:rsid w:val="004278CB"/>
    <w:rsid w:val="00431221"/>
    <w:rsid w:val="00435FBF"/>
    <w:rsid w:val="004372BE"/>
    <w:rsid w:val="0043796C"/>
    <w:rsid w:val="004419C5"/>
    <w:rsid w:val="00441F4B"/>
    <w:rsid w:val="00446B58"/>
    <w:rsid w:val="0045167C"/>
    <w:rsid w:val="004577E7"/>
    <w:rsid w:val="00467F02"/>
    <w:rsid w:val="00476920"/>
    <w:rsid w:val="00491F19"/>
    <w:rsid w:val="00494660"/>
    <w:rsid w:val="00497F29"/>
    <w:rsid w:val="004A0180"/>
    <w:rsid w:val="004B0602"/>
    <w:rsid w:val="004B0DEC"/>
    <w:rsid w:val="004C730E"/>
    <w:rsid w:val="004D0E4B"/>
    <w:rsid w:val="004D3A6F"/>
    <w:rsid w:val="004E6B54"/>
    <w:rsid w:val="005025F0"/>
    <w:rsid w:val="005029E9"/>
    <w:rsid w:val="00503F5B"/>
    <w:rsid w:val="00504F5F"/>
    <w:rsid w:val="005103F9"/>
    <w:rsid w:val="005149BB"/>
    <w:rsid w:val="00516F9C"/>
    <w:rsid w:val="00524A6B"/>
    <w:rsid w:val="005266EF"/>
    <w:rsid w:val="00540CE5"/>
    <w:rsid w:val="00542324"/>
    <w:rsid w:val="00557205"/>
    <w:rsid w:val="00565BC8"/>
    <w:rsid w:val="00566CD3"/>
    <w:rsid w:val="00570DFA"/>
    <w:rsid w:val="00574A33"/>
    <w:rsid w:val="00581903"/>
    <w:rsid w:val="00583D8D"/>
    <w:rsid w:val="00587182"/>
    <w:rsid w:val="00592313"/>
    <w:rsid w:val="00593D08"/>
    <w:rsid w:val="0059651E"/>
    <w:rsid w:val="005A1AD1"/>
    <w:rsid w:val="005A4CB5"/>
    <w:rsid w:val="005B11DB"/>
    <w:rsid w:val="005B738A"/>
    <w:rsid w:val="005C2370"/>
    <w:rsid w:val="005C2A66"/>
    <w:rsid w:val="005C4FC4"/>
    <w:rsid w:val="005C5838"/>
    <w:rsid w:val="005D019A"/>
    <w:rsid w:val="005D12D9"/>
    <w:rsid w:val="005D15CF"/>
    <w:rsid w:val="005D67F7"/>
    <w:rsid w:val="005E255E"/>
    <w:rsid w:val="005E3F7B"/>
    <w:rsid w:val="005F2287"/>
    <w:rsid w:val="005F3812"/>
    <w:rsid w:val="005F6A96"/>
    <w:rsid w:val="005F6CA3"/>
    <w:rsid w:val="006051CC"/>
    <w:rsid w:val="00606A1A"/>
    <w:rsid w:val="006251BA"/>
    <w:rsid w:val="00637401"/>
    <w:rsid w:val="00646E7D"/>
    <w:rsid w:val="006501B3"/>
    <w:rsid w:val="00651664"/>
    <w:rsid w:val="00663524"/>
    <w:rsid w:val="00667733"/>
    <w:rsid w:val="00667D75"/>
    <w:rsid w:val="00670A43"/>
    <w:rsid w:val="006841D0"/>
    <w:rsid w:val="006A3C97"/>
    <w:rsid w:val="006D041E"/>
    <w:rsid w:val="006D1BBC"/>
    <w:rsid w:val="006D2A3C"/>
    <w:rsid w:val="006E1AA8"/>
    <w:rsid w:val="006E22D8"/>
    <w:rsid w:val="006E6BA4"/>
    <w:rsid w:val="006F1858"/>
    <w:rsid w:val="006F46EF"/>
    <w:rsid w:val="006F6575"/>
    <w:rsid w:val="00701597"/>
    <w:rsid w:val="00702056"/>
    <w:rsid w:val="007027AA"/>
    <w:rsid w:val="0070542A"/>
    <w:rsid w:val="00712D25"/>
    <w:rsid w:val="00713A9F"/>
    <w:rsid w:val="007225B4"/>
    <w:rsid w:val="00725C0B"/>
    <w:rsid w:val="00736472"/>
    <w:rsid w:val="00736F3A"/>
    <w:rsid w:val="00740970"/>
    <w:rsid w:val="00751009"/>
    <w:rsid w:val="00752A3B"/>
    <w:rsid w:val="00753088"/>
    <w:rsid w:val="00757904"/>
    <w:rsid w:val="0076156F"/>
    <w:rsid w:val="00782B87"/>
    <w:rsid w:val="00785BD2"/>
    <w:rsid w:val="00793775"/>
    <w:rsid w:val="007937D5"/>
    <w:rsid w:val="0079503E"/>
    <w:rsid w:val="007A16BE"/>
    <w:rsid w:val="007A2DB6"/>
    <w:rsid w:val="007A55E0"/>
    <w:rsid w:val="007A7D8D"/>
    <w:rsid w:val="007B12E2"/>
    <w:rsid w:val="007B45F9"/>
    <w:rsid w:val="007B609F"/>
    <w:rsid w:val="007C2926"/>
    <w:rsid w:val="007D3B4D"/>
    <w:rsid w:val="007D46B3"/>
    <w:rsid w:val="007E1D5C"/>
    <w:rsid w:val="007E2FC5"/>
    <w:rsid w:val="007E3662"/>
    <w:rsid w:val="007E37CA"/>
    <w:rsid w:val="007E6ABA"/>
    <w:rsid w:val="007E7286"/>
    <w:rsid w:val="007F2290"/>
    <w:rsid w:val="007F702A"/>
    <w:rsid w:val="008011C5"/>
    <w:rsid w:val="00802470"/>
    <w:rsid w:val="00813145"/>
    <w:rsid w:val="0081352E"/>
    <w:rsid w:val="00816950"/>
    <w:rsid w:val="00821FF7"/>
    <w:rsid w:val="008246FE"/>
    <w:rsid w:val="008337A1"/>
    <w:rsid w:val="00833BF4"/>
    <w:rsid w:val="00835015"/>
    <w:rsid w:val="00835805"/>
    <w:rsid w:val="00836729"/>
    <w:rsid w:val="00847032"/>
    <w:rsid w:val="00863400"/>
    <w:rsid w:val="00863CB3"/>
    <w:rsid w:val="00885EA3"/>
    <w:rsid w:val="00897D7E"/>
    <w:rsid w:val="008A34D5"/>
    <w:rsid w:val="008B009B"/>
    <w:rsid w:val="008B17A7"/>
    <w:rsid w:val="008B478E"/>
    <w:rsid w:val="008B4C90"/>
    <w:rsid w:val="008B777B"/>
    <w:rsid w:val="008C10BF"/>
    <w:rsid w:val="008C2B02"/>
    <w:rsid w:val="008D1286"/>
    <w:rsid w:val="008D20D0"/>
    <w:rsid w:val="008D2DD9"/>
    <w:rsid w:val="008D3E30"/>
    <w:rsid w:val="008D5906"/>
    <w:rsid w:val="008D78BC"/>
    <w:rsid w:val="008E1900"/>
    <w:rsid w:val="008F1782"/>
    <w:rsid w:val="009004F0"/>
    <w:rsid w:val="00900FF2"/>
    <w:rsid w:val="0090117E"/>
    <w:rsid w:val="00902060"/>
    <w:rsid w:val="009053ED"/>
    <w:rsid w:val="0091359C"/>
    <w:rsid w:val="0092147B"/>
    <w:rsid w:val="00925217"/>
    <w:rsid w:val="0092690F"/>
    <w:rsid w:val="009309B9"/>
    <w:rsid w:val="00932C07"/>
    <w:rsid w:val="00935B41"/>
    <w:rsid w:val="0093735E"/>
    <w:rsid w:val="009409BA"/>
    <w:rsid w:val="00941F79"/>
    <w:rsid w:val="00964BED"/>
    <w:rsid w:val="009700D2"/>
    <w:rsid w:val="00970F0F"/>
    <w:rsid w:val="00971FCA"/>
    <w:rsid w:val="00972E67"/>
    <w:rsid w:val="00975125"/>
    <w:rsid w:val="00983C68"/>
    <w:rsid w:val="00984444"/>
    <w:rsid w:val="00991F54"/>
    <w:rsid w:val="009A20A5"/>
    <w:rsid w:val="009A5AF1"/>
    <w:rsid w:val="009A5E1C"/>
    <w:rsid w:val="009A635C"/>
    <w:rsid w:val="009B3099"/>
    <w:rsid w:val="009C0542"/>
    <w:rsid w:val="009C55A6"/>
    <w:rsid w:val="009D2F77"/>
    <w:rsid w:val="009D4647"/>
    <w:rsid w:val="009E08E6"/>
    <w:rsid w:val="009E79C2"/>
    <w:rsid w:val="00A00150"/>
    <w:rsid w:val="00A03C99"/>
    <w:rsid w:val="00A060EF"/>
    <w:rsid w:val="00A2422E"/>
    <w:rsid w:val="00A279C7"/>
    <w:rsid w:val="00A338CE"/>
    <w:rsid w:val="00A3516A"/>
    <w:rsid w:val="00A36820"/>
    <w:rsid w:val="00A448AD"/>
    <w:rsid w:val="00A449CC"/>
    <w:rsid w:val="00A50985"/>
    <w:rsid w:val="00A523A1"/>
    <w:rsid w:val="00A70933"/>
    <w:rsid w:val="00A70F9F"/>
    <w:rsid w:val="00A76E50"/>
    <w:rsid w:val="00A84CA7"/>
    <w:rsid w:val="00A865E1"/>
    <w:rsid w:val="00A90CF9"/>
    <w:rsid w:val="00A9236A"/>
    <w:rsid w:val="00AA2566"/>
    <w:rsid w:val="00AA3055"/>
    <w:rsid w:val="00AA5C40"/>
    <w:rsid w:val="00AB188C"/>
    <w:rsid w:val="00AB29CC"/>
    <w:rsid w:val="00AB37C2"/>
    <w:rsid w:val="00AD0C78"/>
    <w:rsid w:val="00AD0F7C"/>
    <w:rsid w:val="00AD3095"/>
    <w:rsid w:val="00AD48D0"/>
    <w:rsid w:val="00AD62DD"/>
    <w:rsid w:val="00AE00EF"/>
    <w:rsid w:val="00AE23F4"/>
    <w:rsid w:val="00AF163D"/>
    <w:rsid w:val="00B10769"/>
    <w:rsid w:val="00B1179B"/>
    <w:rsid w:val="00B22FD3"/>
    <w:rsid w:val="00B231C2"/>
    <w:rsid w:val="00B26B84"/>
    <w:rsid w:val="00B3267F"/>
    <w:rsid w:val="00B41A97"/>
    <w:rsid w:val="00B45915"/>
    <w:rsid w:val="00B53ED5"/>
    <w:rsid w:val="00B54B63"/>
    <w:rsid w:val="00B55E8E"/>
    <w:rsid w:val="00B6101B"/>
    <w:rsid w:val="00B63DBE"/>
    <w:rsid w:val="00B6601B"/>
    <w:rsid w:val="00B668EA"/>
    <w:rsid w:val="00B72C28"/>
    <w:rsid w:val="00B76D65"/>
    <w:rsid w:val="00B772CA"/>
    <w:rsid w:val="00B77EF0"/>
    <w:rsid w:val="00B82525"/>
    <w:rsid w:val="00B94F8A"/>
    <w:rsid w:val="00B97DF8"/>
    <w:rsid w:val="00BA7479"/>
    <w:rsid w:val="00BB4584"/>
    <w:rsid w:val="00BC1D19"/>
    <w:rsid w:val="00BC5595"/>
    <w:rsid w:val="00BD2FBF"/>
    <w:rsid w:val="00BD4A31"/>
    <w:rsid w:val="00BD7CBC"/>
    <w:rsid w:val="00BE6596"/>
    <w:rsid w:val="00BF065E"/>
    <w:rsid w:val="00BF63D2"/>
    <w:rsid w:val="00C035A3"/>
    <w:rsid w:val="00C071FE"/>
    <w:rsid w:val="00C07932"/>
    <w:rsid w:val="00C159C1"/>
    <w:rsid w:val="00C1614B"/>
    <w:rsid w:val="00C244AB"/>
    <w:rsid w:val="00C255EA"/>
    <w:rsid w:val="00C31EC9"/>
    <w:rsid w:val="00C36760"/>
    <w:rsid w:val="00C47AA7"/>
    <w:rsid w:val="00C56E16"/>
    <w:rsid w:val="00C709FD"/>
    <w:rsid w:val="00C72CF4"/>
    <w:rsid w:val="00C767B9"/>
    <w:rsid w:val="00C80691"/>
    <w:rsid w:val="00C91805"/>
    <w:rsid w:val="00CA4213"/>
    <w:rsid w:val="00CB1FB4"/>
    <w:rsid w:val="00CB39E7"/>
    <w:rsid w:val="00CB6EB1"/>
    <w:rsid w:val="00CC2113"/>
    <w:rsid w:val="00CD1A17"/>
    <w:rsid w:val="00CE47E3"/>
    <w:rsid w:val="00CE563D"/>
    <w:rsid w:val="00CE6A58"/>
    <w:rsid w:val="00CF7667"/>
    <w:rsid w:val="00D00F1E"/>
    <w:rsid w:val="00D075BB"/>
    <w:rsid w:val="00D15B89"/>
    <w:rsid w:val="00D210B8"/>
    <w:rsid w:val="00D215AC"/>
    <w:rsid w:val="00D227BE"/>
    <w:rsid w:val="00D25CD3"/>
    <w:rsid w:val="00D31A57"/>
    <w:rsid w:val="00D3495E"/>
    <w:rsid w:val="00D41C3C"/>
    <w:rsid w:val="00D442CA"/>
    <w:rsid w:val="00D52203"/>
    <w:rsid w:val="00D57087"/>
    <w:rsid w:val="00D61A99"/>
    <w:rsid w:val="00D62129"/>
    <w:rsid w:val="00D65A3C"/>
    <w:rsid w:val="00D842F0"/>
    <w:rsid w:val="00D8519D"/>
    <w:rsid w:val="00D85906"/>
    <w:rsid w:val="00D860D3"/>
    <w:rsid w:val="00D86387"/>
    <w:rsid w:val="00D91C64"/>
    <w:rsid w:val="00DA246F"/>
    <w:rsid w:val="00DA2686"/>
    <w:rsid w:val="00DA34F8"/>
    <w:rsid w:val="00DB36B2"/>
    <w:rsid w:val="00DB76F9"/>
    <w:rsid w:val="00DC1517"/>
    <w:rsid w:val="00DC29E7"/>
    <w:rsid w:val="00DC4985"/>
    <w:rsid w:val="00DC68F0"/>
    <w:rsid w:val="00DC7AC3"/>
    <w:rsid w:val="00DD4CA4"/>
    <w:rsid w:val="00DD5010"/>
    <w:rsid w:val="00DD77FD"/>
    <w:rsid w:val="00DE052F"/>
    <w:rsid w:val="00DE7CE6"/>
    <w:rsid w:val="00DF3362"/>
    <w:rsid w:val="00DF5955"/>
    <w:rsid w:val="00E054C5"/>
    <w:rsid w:val="00E07AE5"/>
    <w:rsid w:val="00E30D8F"/>
    <w:rsid w:val="00E36BCE"/>
    <w:rsid w:val="00E43660"/>
    <w:rsid w:val="00E43CE5"/>
    <w:rsid w:val="00E600D8"/>
    <w:rsid w:val="00E71B3A"/>
    <w:rsid w:val="00E72108"/>
    <w:rsid w:val="00E7535B"/>
    <w:rsid w:val="00E867EA"/>
    <w:rsid w:val="00E94830"/>
    <w:rsid w:val="00EA721E"/>
    <w:rsid w:val="00EB0728"/>
    <w:rsid w:val="00EB4922"/>
    <w:rsid w:val="00EB7EA5"/>
    <w:rsid w:val="00EC3A5C"/>
    <w:rsid w:val="00EC5C56"/>
    <w:rsid w:val="00EC667B"/>
    <w:rsid w:val="00ED0035"/>
    <w:rsid w:val="00ED1A5D"/>
    <w:rsid w:val="00ED419C"/>
    <w:rsid w:val="00ED6CFA"/>
    <w:rsid w:val="00EE12AE"/>
    <w:rsid w:val="00EE364A"/>
    <w:rsid w:val="00EE6A9A"/>
    <w:rsid w:val="00EF6A37"/>
    <w:rsid w:val="00F04F96"/>
    <w:rsid w:val="00F208DC"/>
    <w:rsid w:val="00F23500"/>
    <w:rsid w:val="00F24975"/>
    <w:rsid w:val="00F3124B"/>
    <w:rsid w:val="00F368E2"/>
    <w:rsid w:val="00F42007"/>
    <w:rsid w:val="00F54D14"/>
    <w:rsid w:val="00F628E0"/>
    <w:rsid w:val="00F65A5B"/>
    <w:rsid w:val="00F815F1"/>
    <w:rsid w:val="00F90078"/>
    <w:rsid w:val="00F966FA"/>
    <w:rsid w:val="00F9754E"/>
    <w:rsid w:val="00FA36BD"/>
    <w:rsid w:val="00FA4744"/>
    <w:rsid w:val="00FA5FE1"/>
    <w:rsid w:val="00FB324D"/>
    <w:rsid w:val="00FB61E9"/>
    <w:rsid w:val="00FD442F"/>
    <w:rsid w:val="00FD586C"/>
    <w:rsid w:val="00FE1C60"/>
    <w:rsid w:val="00FE1EA7"/>
    <w:rsid w:val="00FE2C08"/>
    <w:rsid w:val="00FE3160"/>
    <w:rsid w:val="00FE3702"/>
    <w:rsid w:val="00FE5FBC"/>
    <w:rsid w:val="00FE6386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D87BB"/>
  <w15:docId w15:val="{9FB972BF-DF11-49B5-8942-60CC427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A7093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5F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FB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fotocasa.es/indice/" TargetMode="External"/><Relationship Id="rId26" Type="http://schemas.openxmlformats.org/officeDocument/2006/relationships/hyperlink" Target="mailto:comunicacion@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fojob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rtorne@llorenteycuenca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fotocasa.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prensa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s://motos.coches.net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s://www.fotocasa.es/es/quienes-somo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www.coches.net/" TargetMode="External"/><Relationship Id="rId27" Type="http://schemas.openxmlformats.org/officeDocument/2006/relationships/hyperlink" Target="mailto:emerino@llorenteycuenca.com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rani\Google%20Drive\PATRI%20Y%20ELENA\001%20CLIENTES\01-SCHIBSTED\04-ESTUDIO%20NdP\GARAJES\NdP%202020\PRECIO%20ACUMULATIVO\PRENSA%20ACUMULATIVO%20GARAJES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circle"/>
          <c:size val="6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2.9173266982451526E-2"/>
          <c:y val="0.14121551472732574"/>
          <c:w val="0.93789283147751767"/>
          <c:h val="0.5830134448343030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" lastClr="FFFFFF">
                <a:lumMod val="50000"/>
              </a:sysClr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6D-4454-9268-3CACDF18EF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Hoja1!$A$13:$A$17</c:f>
              <c:strCache>
                <c:ptCount val="5"/>
                <c:pt idx="0">
                  <c:v> Acumulativo garaje (%) de 5 años  (2020 vs 2015)</c:v>
                </c:pt>
                <c:pt idx="1">
                  <c:v> Acumulativo garaje (%) de 4 años  (2020 vs 2016)</c:v>
                </c:pt>
                <c:pt idx="2">
                  <c:v> Acumulativo garaje (%) de 3 años  (2020 vs 2017)</c:v>
                </c:pt>
                <c:pt idx="3">
                  <c:v> Acumulativo garaje (%) de 2 años  (2020 vs 2018)</c:v>
                </c:pt>
                <c:pt idx="4">
                  <c:v>Acumulativo garaje (%) de 1 año (2020 vs 2019)</c:v>
                </c:pt>
              </c:strCache>
            </c:strRef>
          </c:cat>
          <c:val>
            <c:numRef>
              <c:f>Hoja1!$B$13:$B$17</c:f>
              <c:numCache>
                <c:formatCode>0%</c:formatCode>
                <c:ptCount val="5"/>
                <c:pt idx="0">
                  <c:v>-0.28661803881217818</c:v>
                </c:pt>
                <c:pt idx="1">
                  <c:v>-0.18250448412942943</c:v>
                </c:pt>
                <c:pt idx="2">
                  <c:v>-0.14918097146378226</c:v>
                </c:pt>
                <c:pt idx="3">
                  <c:v>-0.11625022167290347</c:v>
                </c:pt>
                <c:pt idx="4">
                  <c:v>-8.3720587288239223E-2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6D-4454-9268-3CACDF18E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25153663"/>
        <c:axId val="424963199"/>
      </c:barChart>
      <c:catAx>
        <c:axId val="425153663"/>
        <c:scaling>
          <c:orientation val="minMax"/>
        </c:scaling>
        <c:delete val="0"/>
        <c:axPos val="b"/>
        <c:numFmt formatCode="[$-C0A]mmmm\-yy;@" sourceLinked="0"/>
        <c:majorTickMark val="out"/>
        <c:minorTickMark val="none"/>
        <c:tickLblPos val="low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24963199"/>
        <c:crosses val="autoZero"/>
        <c:auto val="1"/>
        <c:lblAlgn val="ctr"/>
        <c:lblOffset val="100"/>
        <c:noMultiLvlLbl val="0"/>
      </c:catAx>
      <c:valAx>
        <c:axId val="424963199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25153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4">
    <c:autoUpdate val="0"/>
  </c:externalData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BC09-2AA0-4378-A83A-7E269E93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1921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Anaïs López García</cp:lastModifiedBy>
  <cp:revision>38</cp:revision>
  <cp:lastPrinted>2021-03-01T18:03:00Z</cp:lastPrinted>
  <dcterms:created xsi:type="dcterms:W3CDTF">2021-02-21T18:54:00Z</dcterms:created>
  <dcterms:modified xsi:type="dcterms:W3CDTF">2021-03-01T18:42:00Z</dcterms:modified>
</cp:coreProperties>
</file>