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5766" w14:textId="77777777" w:rsidR="00177D93" w:rsidRDefault="00D9004F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88F2ED" wp14:editId="40DC3EB9">
            <wp:simplePos x="0" y="0"/>
            <wp:positionH relativeFrom="column">
              <wp:posOffset>4057015</wp:posOffset>
            </wp:positionH>
            <wp:positionV relativeFrom="paragraph">
              <wp:posOffset>-321941</wp:posOffset>
            </wp:positionV>
            <wp:extent cx="2465949" cy="668401"/>
            <wp:effectExtent l="0" t="0" r="0" b="0"/>
            <wp:wrapNone/>
            <wp:docPr id="8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949" cy="668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C5F03C4" wp14:editId="442057C3">
            <wp:simplePos x="0" y="0"/>
            <wp:positionH relativeFrom="column">
              <wp:posOffset>-705777</wp:posOffset>
            </wp:positionH>
            <wp:positionV relativeFrom="paragraph">
              <wp:posOffset>-62502</wp:posOffset>
            </wp:positionV>
            <wp:extent cx="1748621" cy="400050"/>
            <wp:effectExtent l="0" t="0" r="0" b="0"/>
            <wp:wrapNone/>
            <wp:docPr id="8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62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8FA8FE" w14:textId="77777777" w:rsidR="00177D93" w:rsidRDefault="00177D93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4452CFF2" w14:textId="77777777" w:rsidR="00177D93" w:rsidRDefault="00177D93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7582B2D9" w14:textId="43870EC7" w:rsidR="00706A85" w:rsidRPr="000A4242" w:rsidRDefault="00706A85" w:rsidP="00706A85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8"/>
          <w:szCs w:val="40"/>
        </w:rPr>
      </w:pPr>
      <w:r>
        <w:rPr>
          <w:rFonts w:ascii="National" w:hAnsi="National"/>
          <w:b/>
          <w:bCs/>
          <w:iCs/>
          <w:color w:val="1DBDC5"/>
          <w:sz w:val="38"/>
          <w:szCs w:val="40"/>
        </w:rPr>
        <w:t>IMPACTO CORONAVIRUS EN ZONAS PRIME</w:t>
      </w:r>
    </w:p>
    <w:p w14:paraId="02EAC1B6" w14:textId="70659713" w:rsidR="00177D93" w:rsidRDefault="00286F9E" w:rsidP="00C100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74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National" w:eastAsia="National" w:hAnsi="National" w:cs="National"/>
          <w:b/>
          <w:color w:val="303AB2"/>
          <w:sz w:val="56"/>
          <w:szCs w:val="56"/>
        </w:rPr>
        <w:t>El precio de la vivienda de lujo en Madrid y Barcelona se ha mantenido estable durante el coronavirus</w:t>
      </w:r>
    </w:p>
    <w:p w14:paraId="486E93E8" w14:textId="552D0711" w:rsidR="000A2378" w:rsidRPr="000A2378" w:rsidRDefault="000A2378" w:rsidP="00EE4162">
      <w:pPr>
        <w:pStyle w:val="Prrafodelista"/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es-ES_tradnl"/>
        </w:rPr>
      </w:pPr>
      <w:r w:rsidRPr="000A2378">
        <w:rPr>
          <w:rFonts w:ascii="Open Sans" w:eastAsia="Times New Roman" w:hAnsi="Open Sans" w:cs="Open Sans"/>
          <w:color w:val="000000"/>
          <w:sz w:val="22"/>
          <w:szCs w:val="22"/>
          <w:lang w:eastAsia="es-ES_tradnl"/>
        </w:rPr>
        <w:t>Los precios en las zonas de lujo se han mantenido, por lo general, más estables que en las zonas de precio medio de Madrid y Barcelona en las que las caídas de precio han sido algo más acusadas durante los meses de pandemia</w:t>
      </w:r>
    </w:p>
    <w:p w14:paraId="7E823884" w14:textId="69E5D663" w:rsidR="00177D93" w:rsidRPr="002F2947" w:rsidRDefault="002F2947" w:rsidP="00EE4162">
      <w:pPr>
        <w:pStyle w:val="Prrafodelista"/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es-ES_tradnl"/>
        </w:rPr>
      </w:pPr>
      <w:r w:rsidRPr="002F2947">
        <w:rPr>
          <w:rFonts w:ascii="Open Sans" w:eastAsia="Times New Roman" w:hAnsi="Open Sans" w:cs="Open Sans"/>
          <w:color w:val="000000"/>
          <w:sz w:val="22"/>
          <w:szCs w:val="22"/>
          <w:lang w:eastAsia="es-ES_tradnl"/>
        </w:rPr>
        <w:t>Los precios de la vivienda en alquiler sí que sufren descensos más acusados que el precio de venta</w:t>
      </w:r>
    </w:p>
    <w:p w14:paraId="3B05E958" w14:textId="0967CA87" w:rsidR="00EE4162" w:rsidRPr="002F2947" w:rsidRDefault="002F2947" w:rsidP="00EE4162">
      <w:pPr>
        <w:pStyle w:val="Prrafodelista"/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000000"/>
          <w:sz w:val="22"/>
          <w:szCs w:val="22"/>
          <w:lang w:eastAsia="es-ES_tradnl"/>
        </w:rPr>
      </w:pPr>
      <w:r w:rsidRPr="002F2947">
        <w:rPr>
          <w:rFonts w:ascii="Open Sans" w:eastAsia="Times New Roman" w:hAnsi="Open Sans" w:cs="Open Sans"/>
          <w:color w:val="000000"/>
          <w:sz w:val="22"/>
          <w:szCs w:val="22"/>
          <w:lang w:eastAsia="es-ES_tradnl"/>
        </w:rPr>
        <w:t xml:space="preserve">Durante la pandemia se ha incrementado exponencialmente </w:t>
      </w:r>
      <w:r w:rsidR="00343C3A">
        <w:rPr>
          <w:rFonts w:ascii="Open Sans" w:eastAsia="Times New Roman" w:hAnsi="Open Sans" w:cs="Open Sans"/>
          <w:color w:val="000000"/>
          <w:sz w:val="22"/>
          <w:szCs w:val="22"/>
          <w:lang w:eastAsia="es-ES_tradnl"/>
        </w:rPr>
        <w:t>la oferta de vivienda en alquiler, principalmente por el trasvase de viviendas turísticas al residencial</w:t>
      </w:r>
    </w:p>
    <w:p w14:paraId="64BF0DA4" w14:textId="77777777" w:rsidR="00177D93" w:rsidRDefault="00177D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74"/>
        <w:rPr>
          <w:rFonts w:ascii="Open Sans Light" w:eastAsia="Open Sans Light" w:hAnsi="Open Sans Light" w:cs="Open Sans Light"/>
          <w:b/>
          <w:color w:val="303AB2"/>
        </w:rPr>
      </w:pPr>
    </w:p>
    <w:p w14:paraId="107B424B" w14:textId="782DE50F" w:rsidR="00177D93" w:rsidRDefault="00D90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Madrid, </w:t>
      </w:r>
      <w:r w:rsidR="00EE4162">
        <w:rPr>
          <w:rFonts w:ascii="Open Sans Light" w:eastAsia="Open Sans Light" w:hAnsi="Open Sans Light" w:cs="Open Sans Light"/>
          <w:b/>
          <w:color w:val="303AB2"/>
        </w:rPr>
        <w:t>30 de marzo</w:t>
      </w:r>
      <w:r>
        <w:rPr>
          <w:rFonts w:ascii="Open Sans Light" w:eastAsia="Open Sans Light" w:hAnsi="Open Sans Light" w:cs="Open Sans Light"/>
          <w:b/>
          <w:color w:val="303AB2"/>
        </w:rPr>
        <w:t xml:space="preserve"> de 2021</w:t>
      </w:r>
    </w:p>
    <w:p w14:paraId="065657A5" w14:textId="480436B7" w:rsidR="00286F9E" w:rsidRDefault="00DD5821" w:rsidP="00DD58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año </w:t>
      </w:r>
      <w:r w:rsidRPr="00DD5821">
        <w:rPr>
          <w:rFonts w:ascii="Open Sans" w:eastAsia="Open Sans" w:hAnsi="Open Sans" w:cs="Open Sans"/>
          <w:sz w:val="22"/>
          <w:szCs w:val="22"/>
        </w:rPr>
        <w:t>2020 ha sido un año claramente marcado por la crisis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DD5821">
        <w:rPr>
          <w:rFonts w:ascii="Open Sans" w:eastAsia="Open Sans" w:hAnsi="Open Sans" w:cs="Open Sans"/>
          <w:sz w:val="22"/>
          <w:szCs w:val="22"/>
        </w:rPr>
        <w:t>sanitaria y económica provocada por la COVID-19.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DD5821">
        <w:rPr>
          <w:rFonts w:ascii="Open Sans" w:eastAsia="Open Sans" w:hAnsi="Open Sans" w:cs="Open Sans"/>
          <w:sz w:val="22"/>
          <w:szCs w:val="22"/>
        </w:rPr>
        <w:t xml:space="preserve">Sin embargo, </w:t>
      </w:r>
      <w:hyperlink r:id="rId11" w:history="1">
        <w:r w:rsidRPr="00CB3F25">
          <w:rPr>
            <w:rStyle w:val="Hipervnculo"/>
            <w:rFonts w:ascii="Open Sans" w:eastAsia="Open Sans" w:hAnsi="Open Sans" w:cs="Open Sans"/>
            <w:sz w:val="22"/>
            <w:szCs w:val="22"/>
          </w:rPr>
          <w:t>la vivienda de lujo</w:t>
        </w:r>
      </w:hyperlink>
      <w:r w:rsidRPr="00DD5821">
        <w:rPr>
          <w:rFonts w:ascii="Open Sans" w:eastAsia="Open Sans" w:hAnsi="Open Sans" w:cs="Open Sans"/>
          <w:sz w:val="22"/>
          <w:szCs w:val="22"/>
        </w:rPr>
        <w:t xml:space="preserve"> </w:t>
      </w:r>
      <w:r w:rsidR="00F41A2D">
        <w:rPr>
          <w:rFonts w:ascii="Open Sans" w:eastAsia="Open Sans" w:hAnsi="Open Sans" w:cs="Open Sans"/>
          <w:sz w:val="22"/>
          <w:szCs w:val="22"/>
        </w:rPr>
        <w:t xml:space="preserve">en las principales ciudades como Madrid y Barcelona </w:t>
      </w:r>
      <w:r w:rsidR="00D30733">
        <w:rPr>
          <w:rFonts w:ascii="Open Sans" w:eastAsia="Open Sans" w:hAnsi="Open Sans" w:cs="Open Sans"/>
          <w:sz w:val="22"/>
          <w:szCs w:val="22"/>
        </w:rPr>
        <w:t>ha demostrado se</w:t>
      </w:r>
      <w:r w:rsidR="00F41A2D">
        <w:rPr>
          <w:rFonts w:ascii="Open Sans" w:eastAsia="Open Sans" w:hAnsi="Open Sans" w:cs="Open Sans"/>
          <w:sz w:val="22"/>
          <w:szCs w:val="22"/>
        </w:rPr>
        <w:t>r un segmento dentro del</w:t>
      </w:r>
      <w:r w:rsidRPr="00DD5821">
        <w:rPr>
          <w:rFonts w:ascii="Open Sans" w:eastAsia="Open Sans" w:hAnsi="Open Sans" w:cs="Open Sans"/>
          <w:sz w:val="22"/>
          <w:szCs w:val="22"/>
        </w:rPr>
        <w:t xml:space="preserve"> mercado </w:t>
      </w:r>
      <w:r w:rsidR="00F41A2D">
        <w:rPr>
          <w:rFonts w:ascii="Open Sans" w:eastAsia="Open Sans" w:hAnsi="Open Sans" w:cs="Open Sans"/>
          <w:sz w:val="22"/>
          <w:szCs w:val="22"/>
        </w:rPr>
        <w:t xml:space="preserve">inmobiliario </w:t>
      </w:r>
      <w:r w:rsidRPr="00DD5821">
        <w:rPr>
          <w:rFonts w:ascii="Open Sans" w:eastAsia="Open Sans" w:hAnsi="Open Sans" w:cs="Open Sans"/>
          <w:sz w:val="22"/>
          <w:szCs w:val="22"/>
        </w:rPr>
        <w:t>que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DD5821">
        <w:rPr>
          <w:rFonts w:ascii="Open Sans" w:eastAsia="Open Sans" w:hAnsi="Open Sans" w:cs="Open Sans"/>
          <w:sz w:val="22"/>
          <w:szCs w:val="22"/>
        </w:rPr>
        <w:t>se mantiene</w:t>
      </w:r>
      <w:r>
        <w:rPr>
          <w:rFonts w:ascii="Open Sans" w:eastAsia="Open Sans" w:hAnsi="Open Sans" w:cs="Open Sans"/>
          <w:sz w:val="22"/>
          <w:szCs w:val="22"/>
        </w:rPr>
        <w:t xml:space="preserve"> estable </w:t>
      </w:r>
      <w:r w:rsidRPr="00DD5821">
        <w:rPr>
          <w:rFonts w:ascii="Open Sans" w:eastAsia="Open Sans" w:hAnsi="Open Sans" w:cs="Open Sans"/>
          <w:sz w:val="22"/>
          <w:szCs w:val="22"/>
        </w:rPr>
        <w:t>ante las crisis</w:t>
      </w:r>
      <w:r w:rsidR="00F41A2D">
        <w:rPr>
          <w:rFonts w:ascii="Open Sans" w:eastAsia="Open Sans" w:hAnsi="Open Sans" w:cs="Open Sans"/>
          <w:sz w:val="22"/>
          <w:szCs w:val="22"/>
        </w:rPr>
        <w:t>. Así se desprende del informe “</w:t>
      </w:r>
      <w:r w:rsidR="00F41A2D" w:rsidRPr="00F41A2D">
        <w:rPr>
          <w:rFonts w:ascii="Open Sans" w:eastAsia="Open Sans" w:hAnsi="Open Sans" w:cs="Open Sans"/>
          <w:b/>
          <w:bCs/>
          <w:i/>
          <w:iCs/>
          <w:sz w:val="22"/>
          <w:szCs w:val="22"/>
        </w:rPr>
        <w:t>Impacto de la pandemia en las zonas prime de Madrid y Barcelona</w:t>
      </w:r>
      <w:r w:rsidR="00F41A2D">
        <w:rPr>
          <w:rFonts w:ascii="Open Sans" w:eastAsia="Open Sans" w:hAnsi="Open Sans" w:cs="Open Sans"/>
          <w:sz w:val="22"/>
          <w:szCs w:val="22"/>
        </w:rPr>
        <w:t xml:space="preserve">” realizado por el portal inmobiliario </w:t>
      </w:r>
      <w:hyperlink r:id="rId12" w:history="1">
        <w:r w:rsidR="00F41A2D" w:rsidRPr="00CB3F25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="00F41A2D">
        <w:rPr>
          <w:rFonts w:ascii="Open Sans" w:eastAsia="Open Sans" w:hAnsi="Open Sans" w:cs="Open Sans"/>
          <w:sz w:val="22"/>
          <w:szCs w:val="22"/>
        </w:rPr>
        <w:t xml:space="preserve">, a partir de los datos de </w:t>
      </w:r>
      <w:hyperlink r:id="rId13" w:history="1">
        <w:proofErr w:type="spellStart"/>
        <w:r w:rsidR="00F41A2D" w:rsidRPr="00604194">
          <w:rPr>
            <w:rStyle w:val="Hipervnculo"/>
            <w:rFonts w:ascii="Open Sans" w:eastAsia="Open Sans" w:hAnsi="Open Sans" w:cs="Open Sans"/>
            <w:sz w:val="22"/>
            <w:szCs w:val="22"/>
          </w:rPr>
          <w:t>DataVenues</w:t>
        </w:r>
        <w:proofErr w:type="spellEnd"/>
      </w:hyperlink>
      <w:r w:rsidR="00F41A2D">
        <w:rPr>
          <w:rFonts w:ascii="Open Sans" w:eastAsia="Open Sans" w:hAnsi="Open Sans" w:cs="Open Sans"/>
          <w:sz w:val="22"/>
          <w:szCs w:val="22"/>
        </w:rPr>
        <w:t xml:space="preserve">, una herramienta de Big Data Inmobiliario </w:t>
      </w:r>
      <w:r w:rsidR="00604194">
        <w:rPr>
          <w:rFonts w:ascii="Open Sans" w:eastAsia="Open Sans" w:hAnsi="Open Sans" w:cs="Open Sans"/>
          <w:sz w:val="22"/>
          <w:szCs w:val="22"/>
        </w:rPr>
        <w:t xml:space="preserve">que trabaja los datos del portal inmobiliario y elaborado por la empresa </w:t>
      </w:r>
      <w:hyperlink r:id="rId14" w:history="1">
        <w:proofErr w:type="spellStart"/>
        <w:r w:rsidR="00604194" w:rsidRPr="00604194">
          <w:rPr>
            <w:rStyle w:val="Hipervnculo"/>
            <w:rFonts w:ascii="Open Sans" w:eastAsia="Open Sans" w:hAnsi="Open Sans" w:cs="Open Sans"/>
            <w:sz w:val="22"/>
            <w:szCs w:val="22"/>
          </w:rPr>
          <w:t>Pixie</w:t>
        </w:r>
        <w:proofErr w:type="spellEnd"/>
        <w:r w:rsidR="00604194" w:rsidRPr="00604194">
          <w:rPr>
            <w:rStyle w:val="Hipervnculo"/>
            <w:rFonts w:ascii="Open Sans" w:eastAsia="Open Sans" w:hAnsi="Open Sans" w:cs="Open Sans"/>
            <w:sz w:val="22"/>
            <w:szCs w:val="22"/>
          </w:rPr>
          <w:t xml:space="preserve"> Pixel</w:t>
        </w:r>
      </w:hyperlink>
      <w:r w:rsidR="00604194"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183B23DD" w14:textId="790F08CE" w:rsidR="00604194" w:rsidRDefault="005C198E" w:rsidP="005C19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</w:t>
      </w:r>
      <w:r w:rsidRPr="005C198E">
        <w:rPr>
          <w:rFonts w:ascii="Open Sans" w:eastAsia="Open Sans" w:hAnsi="Open Sans" w:cs="Open Sans"/>
          <w:sz w:val="22"/>
          <w:szCs w:val="22"/>
        </w:rPr>
        <w:t>os precios en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C198E">
        <w:rPr>
          <w:rFonts w:ascii="Open Sans" w:eastAsia="Open Sans" w:hAnsi="Open Sans" w:cs="Open Sans"/>
          <w:sz w:val="22"/>
          <w:szCs w:val="22"/>
        </w:rPr>
        <w:t>las zonas consideradas de lujo se han mantenido, por lo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C198E">
        <w:rPr>
          <w:rFonts w:ascii="Open Sans" w:eastAsia="Open Sans" w:hAnsi="Open Sans" w:cs="Open Sans"/>
          <w:sz w:val="22"/>
          <w:szCs w:val="22"/>
        </w:rPr>
        <w:t>general, más estables que en las zonas de precio medio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C198E">
        <w:rPr>
          <w:rFonts w:ascii="Open Sans" w:eastAsia="Open Sans" w:hAnsi="Open Sans" w:cs="Open Sans"/>
          <w:sz w:val="22"/>
          <w:szCs w:val="22"/>
        </w:rPr>
        <w:t>de Madrid y Barcelona en las que las caídas de precio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C198E">
        <w:rPr>
          <w:rFonts w:ascii="Open Sans" w:eastAsia="Open Sans" w:hAnsi="Open Sans" w:cs="Open Sans"/>
          <w:sz w:val="22"/>
          <w:szCs w:val="22"/>
        </w:rPr>
        <w:t>han sido algo más acusadas durante los meses de pandemia.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C198E">
        <w:rPr>
          <w:rFonts w:ascii="Open Sans" w:eastAsia="Open Sans" w:hAnsi="Open Sans" w:cs="Open Sans"/>
          <w:sz w:val="22"/>
          <w:szCs w:val="22"/>
        </w:rPr>
        <w:t xml:space="preserve">A pesar de que </w:t>
      </w:r>
      <w:proofErr w:type="gramStart"/>
      <w:r w:rsidRPr="005C198E">
        <w:rPr>
          <w:rFonts w:ascii="Open Sans" w:eastAsia="Open Sans" w:hAnsi="Open Sans" w:cs="Open Sans"/>
          <w:sz w:val="22"/>
          <w:szCs w:val="22"/>
        </w:rPr>
        <w:t>los precios prime</w:t>
      </w:r>
      <w:proofErr w:type="gramEnd"/>
      <w:r w:rsidRPr="005C198E">
        <w:rPr>
          <w:rFonts w:ascii="Open Sans" w:eastAsia="Open Sans" w:hAnsi="Open Sans" w:cs="Open Sans"/>
          <w:sz w:val="22"/>
          <w:szCs w:val="22"/>
        </w:rPr>
        <w:t xml:space="preserve"> han tenido una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C198E">
        <w:rPr>
          <w:rFonts w:ascii="Open Sans" w:eastAsia="Open Sans" w:hAnsi="Open Sans" w:cs="Open Sans"/>
          <w:sz w:val="22"/>
          <w:szCs w:val="22"/>
        </w:rPr>
        <w:t>bajada a cierre de 2020 en la mayoría de las regiones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C198E">
        <w:rPr>
          <w:rFonts w:ascii="Open Sans" w:eastAsia="Open Sans" w:hAnsi="Open Sans" w:cs="Open Sans"/>
          <w:sz w:val="22"/>
          <w:szCs w:val="22"/>
        </w:rPr>
        <w:t>analizadas, esta caída ha sido más suavizada que en el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C198E">
        <w:rPr>
          <w:rFonts w:ascii="Open Sans" w:eastAsia="Open Sans" w:hAnsi="Open Sans" w:cs="Open Sans"/>
          <w:sz w:val="22"/>
          <w:szCs w:val="22"/>
        </w:rPr>
        <w:t>mercado residencial convencional, mostrando así una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C198E">
        <w:rPr>
          <w:rFonts w:ascii="Open Sans" w:eastAsia="Open Sans" w:hAnsi="Open Sans" w:cs="Open Sans"/>
          <w:sz w:val="22"/>
          <w:szCs w:val="22"/>
        </w:rPr>
        <w:t>mayor resiliencia frente a la crisis</w:t>
      </w:r>
    </w:p>
    <w:p w14:paraId="4391ED97" w14:textId="77777777" w:rsidR="00604194" w:rsidRDefault="00604194" w:rsidP="00DD58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68C372E" w14:textId="0C2DBF2C" w:rsidR="00DD5821" w:rsidRDefault="00DD5821" w:rsidP="00DD58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20BBE32" w14:textId="110E7826" w:rsidR="00DD5821" w:rsidRPr="00727004" w:rsidRDefault="00727004" w:rsidP="007270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" w:eastAsia="Open Sans Light" w:hAnsi="Open Sans" w:cs="Open Sans"/>
          <w:b/>
          <w:color w:val="303AB2"/>
        </w:rPr>
      </w:pPr>
      <w:r w:rsidRPr="00727004">
        <w:rPr>
          <w:rFonts w:ascii="Open Sans" w:eastAsia="Open Sans Light" w:hAnsi="Open Sans" w:cs="Open Sans"/>
          <w:b/>
          <w:color w:val="303AB2"/>
        </w:rPr>
        <w:lastRenderedPageBreak/>
        <w:t>Vivienda plurifamiliar en los principales mercados: Madrid y Barcelona</w:t>
      </w:r>
    </w:p>
    <w:p w14:paraId="4E9A8290" w14:textId="70A4F7D7" w:rsidR="00DD5821" w:rsidRDefault="0055017D" w:rsidP="0055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55017D">
        <w:rPr>
          <w:rFonts w:ascii="Open Sans" w:eastAsia="Open Sans" w:hAnsi="Open Sans" w:cs="Open Sans"/>
          <w:sz w:val="22"/>
          <w:szCs w:val="22"/>
        </w:rPr>
        <w:t>Si nos centramos en el análisis de los precios de la vivienda plurifamiliar en el mercado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de compraventa de las zonas prime de Madrid, observamos que éstos se han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mantenido muy estables los dos últimos años. Incluso en 2020 las variaciones mensuales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de precios son hasta más suaves que el año anterior, lo que demuestra que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el segmento inmobiliario de lujo se trata de un mercado que presenta una mayor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estabilidad frente a las crisis.</w:t>
      </w:r>
    </w:p>
    <w:p w14:paraId="475CD1AD" w14:textId="4C9A42AC" w:rsidR="0055017D" w:rsidRPr="0055017D" w:rsidRDefault="0055017D" w:rsidP="0055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55017D">
        <w:rPr>
          <w:rFonts w:ascii="Open Sans" w:eastAsia="Open Sans" w:hAnsi="Open Sans" w:cs="Open Sans"/>
          <w:sz w:val="22"/>
          <w:szCs w:val="22"/>
        </w:rPr>
        <w:t>Analizando la variación interanual del valor unitario de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la vivienda plurifamiliar por zonas, vemos que en las viviendas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prime de la zona Norte la variación del precio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unitario se ha movido entre el 4%, máximo alcanzado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en febrero de 2019, y el -2%, registrado en los meses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de febrero de 2019 y 2020. Los precios de las viviendas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de lujo de la zona Noroeste presenta su máximo en febrero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de 2019, con un 2%, y un mínimo del -3% en julio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de ese mismo año. En la zona Centro observamos la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misma tendencia, pero de forma más atenuada, el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máximo alcanzado no excede del 2%, que se registra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en mayo de 2020 y se corrige rápidamente el mes siguiente,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cuando se registra la mínima en un -3%.</w:t>
      </w:r>
    </w:p>
    <w:p w14:paraId="5A61AFD3" w14:textId="36D64E1E" w:rsidR="0055017D" w:rsidRDefault="0055017D" w:rsidP="0055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55017D">
        <w:rPr>
          <w:rFonts w:ascii="Open Sans" w:eastAsia="Open Sans" w:hAnsi="Open Sans" w:cs="Open Sans"/>
          <w:sz w:val="22"/>
          <w:szCs w:val="22"/>
        </w:rPr>
        <w:t xml:space="preserve">En cuanto a los cierres anuales, </w:t>
      </w:r>
      <w:r w:rsidR="00DE4328">
        <w:rPr>
          <w:rFonts w:ascii="Open Sans" w:eastAsia="Open Sans" w:hAnsi="Open Sans" w:cs="Open Sans"/>
          <w:sz w:val="22"/>
          <w:szCs w:val="22"/>
        </w:rPr>
        <w:t xml:space="preserve">la zona </w:t>
      </w:r>
      <w:r w:rsidRPr="0055017D">
        <w:rPr>
          <w:rFonts w:ascii="Open Sans" w:eastAsia="Open Sans" w:hAnsi="Open Sans" w:cs="Open Sans"/>
          <w:sz w:val="22"/>
          <w:szCs w:val="22"/>
        </w:rPr>
        <w:t>Norte y Centro empeoran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de 2019 a 2020 pasando del 2% al -4% y del 0% al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-1%, respectivamente. La zona Noroeste, en cambio,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 xml:space="preserve">invierte los porcentajes, con un –3% en 2019 y un 2%para 2020. Observamos, por tanto, que </w:t>
      </w:r>
      <w:proofErr w:type="gramStart"/>
      <w:r w:rsidRPr="0055017D">
        <w:rPr>
          <w:rFonts w:ascii="Open Sans" w:eastAsia="Open Sans" w:hAnsi="Open Sans" w:cs="Open Sans"/>
          <w:sz w:val="22"/>
          <w:szCs w:val="22"/>
        </w:rPr>
        <w:t>las viviendas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prime</w:t>
      </w:r>
      <w:proofErr w:type="gramEnd"/>
      <w:r w:rsidRPr="0055017D">
        <w:rPr>
          <w:rFonts w:ascii="Open Sans" w:eastAsia="Open Sans" w:hAnsi="Open Sans" w:cs="Open Sans"/>
          <w:sz w:val="22"/>
          <w:szCs w:val="22"/>
        </w:rPr>
        <w:t xml:space="preserve"> de la zona Centro muestran una mayor estabilidad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en la evolución del precio que el resto.</w:t>
      </w:r>
    </w:p>
    <w:p w14:paraId="78E77261" w14:textId="0E801CB6" w:rsidR="00DE4328" w:rsidRDefault="00DE4328" w:rsidP="0055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inline distT="0" distB="0" distL="0" distR="0" wp14:anchorId="63DA3DDE" wp14:editId="08C33642">
            <wp:extent cx="5832724" cy="2409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1358" cy="241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00EE8" w14:textId="5178C8BA" w:rsidR="00DE4328" w:rsidRDefault="00DE4328" w:rsidP="0055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1B9575F" w14:textId="77777777" w:rsidR="00DE4328" w:rsidRPr="0055017D" w:rsidRDefault="00DE4328" w:rsidP="0055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8712788" w14:textId="438E1D7E" w:rsidR="0055017D" w:rsidRPr="0055017D" w:rsidRDefault="0055017D" w:rsidP="0055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55017D">
        <w:rPr>
          <w:rFonts w:ascii="Open Sans" w:eastAsia="Open Sans" w:hAnsi="Open Sans" w:cs="Open Sans"/>
          <w:sz w:val="22"/>
          <w:szCs w:val="22"/>
        </w:rPr>
        <w:lastRenderedPageBreak/>
        <w:t>En el caso de las zonas prime de Barcelona, detectamos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la misma tendencia. En las viviendas de alto standing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de la zona del Eixample el precio de las viviendas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se ha mantenido considerablemente estable durante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2020, con oscilaciones de entre uno y tres puntos porcentuales.</w:t>
      </w:r>
    </w:p>
    <w:p w14:paraId="1C3541A4" w14:textId="17C3FCB3" w:rsidR="0055017D" w:rsidRPr="0055017D" w:rsidRDefault="0055017D" w:rsidP="0055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55017D">
        <w:rPr>
          <w:rFonts w:ascii="Open Sans" w:eastAsia="Open Sans" w:hAnsi="Open Sans" w:cs="Open Sans"/>
          <w:sz w:val="22"/>
          <w:szCs w:val="22"/>
        </w:rPr>
        <w:t>El mínimo corresponde al mes de julio que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alcanza un -3%. No obstante, la zona prime de Pedralbes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de nuevo muestra un comportamiento incluso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más estable, con variaciones mensuales que no van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más allá de un punto porcentual, con un máximo que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no supera el 1% y un mínimo del -1%.</w:t>
      </w:r>
    </w:p>
    <w:p w14:paraId="58BFE286" w14:textId="3666385A" w:rsidR="00DD5821" w:rsidRDefault="0055017D" w:rsidP="0055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55017D">
        <w:rPr>
          <w:rFonts w:ascii="Open Sans" w:eastAsia="Open Sans" w:hAnsi="Open Sans" w:cs="Open Sans"/>
          <w:sz w:val="22"/>
          <w:szCs w:val="22"/>
        </w:rPr>
        <w:t>En cuanto al cierre interanual, Eixample registra una</w:t>
      </w:r>
      <w:r w:rsidR="006E5C08">
        <w:rPr>
          <w:rFonts w:ascii="Open Sans" w:eastAsia="Open Sans" w:hAnsi="Open Sans" w:cs="Open Sans"/>
          <w:sz w:val="22"/>
          <w:szCs w:val="22"/>
        </w:rPr>
        <w:t xml:space="preserve"> </w:t>
      </w:r>
      <w:r w:rsidRPr="0055017D">
        <w:rPr>
          <w:rFonts w:ascii="Open Sans" w:eastAsia="Open Sans" w:hAnsi="Open Sans" w:cs="Open Sans"/>
          <w:sz w:val="22"/>
          <w:szCs w:val="22"/>
        </w:rPr>
        <w:t>bajada del -5% para el unitario y Pedralbes no varía.</w:t>
      </w:r>
    </w:p>
    <w:p w14:paraId="470D7402" w14:textId="54768310" w:rsidR="00DD5821" w:rsidRDefault="00DE43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inline distT="0" distB="0" distL="0" distR="0" wp14:anchorId="618ECD95" wp14:editId="5A5FA3B6">
            <wp:extent cx="5785177" cy="22479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88653" cy="224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43E0" w14:textId="49FAA6DD" w:rsidR="00DD5821" w:rsidRDefault="00DD58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FE058DC" w14:textId="4E77A065" w:rsidR="00DD5821" w:rsidRPr="00F6764C" w:rsidRDefault="00F6764C" w:rsidP="00F676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" w:eastAsia="Open Sans Light" w:hAnsi="Open Sans" w:cs="Open Sans"/>
          <w:b/>
          <w:color w:val="303AB2"/>
        </w:rPr>
      </w:pPr>
      <w:r w:rsidRPr="00F6764C">
        <w:rPr>
          <w:rFonts w:ascii="Open Sans" w:eastAsia="Open Sans Light" w:hAnsi="Open Sans" w:cs="Open Sans"/>
          <w:b/>
          <w:color w:val="303AB2"/>
        </w:rPr>
        <w:t>El mercado del alquiler no refleja la misma tendencia</w:t>
      </w:r>
    </w:p>
    <w:p w14:paraId="5776E1E9" w14:textId="0DDAB6A6" w:rsidR="0001334C" w:rsidRDefault="00D77BFB" w:rsidP="00D77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D77BFB">
        <w:rPr>
          <w:rFonts w:ascii="Open Sans" w:eastAsia="Open Sans" w:hAnsi="Open Sans" w:cs="Open Sans"/>
          <w:sz w:val="22"/>
          <w:szCs w:val="22"/>
        </w:rPr>
        <w:t>Es habitual que el mercado de alquiler y el de compraventa muestren comportamientos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D77BFB">
        <w:rPr>
          <w:rFonts w:ascii="Open Sans" w:eastAsia="Open Sans" w:hAnsi="Open Sans" w:cs="Open Sans"/>
          <w:sz w:val="22"/>
          <w:szCs w:val="22"/>
        </w:rPr>
        <w:t>distintos y, en esta ocasión, el mercado de alquiler no refleja la misma tendencia comentada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D77BFB">
        <w:rPr>
          <w:rFonts w:ascii="Open Sans" w:eastAsia="Open Sans" w:hAnsi="Open Sans" w:cs="Open Sans"/>
          <w:sz w:val="22"/>
          <w:szCs w:val="22"/>
        </w:rPr>
        <w:t>anteriormente. La evolución del precio unitario de alquiler muestra fluctuaciones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D77BFB">
        <w:rPr>
          <w:rFonts w:ascii="Open Sans" w:eastAsia="Open Sans" w:hAnsi="Open Sans" w:cs="Open Sans"/>
          <w:sz w:val="22"/>
          <w:szCs w:val="22"/>
        </w:rPr>
        <w:t>muy suaves en todas las zonas y, atendiendo al cierre anual, no se observa una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D77BFB">
        <w:rPr>
          <w:rFonts w:ascii="Open Sans" w:eastAsia="Open Sans" w:hAnsi="Open Sans" w:cs="Open Sans"/>
          <w:sz w:val="22"/>
          <w:szCs w:val="22"/>
        </w:rPr>
        <w:t>mayor estabilidad en el mercado premium.</w:t>
      </w:r>
    </w:p>
    <w:p w14:paraId="0A3000BD" w14:textId="77B10B73" w:rsidR="00882ECE" w:rsidRPr="00882ECE" w:rsidRDefault="00882ECE" w:rsidP="00882E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882ECE">
        <w:rPr>
          <w:rFonts w:ascii="Open Sans" w:eastAsia="Open Sans" w:hAnsi="Open Sans" w:cs="Open Sans"/>
          <w:sz w:val="22"/>
          <w:szCs w:val="22"/>
        </w:rPr>
        <w:t>En el caso de las viviendas de lujo de Madrid, la zona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Norte refleja algunas caídas en 2020, pero nunca superiores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al -3% registrado en los meses de abril, junio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y noviembre. En el Noroeste de la capital, la situación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no es distinta y también observamos una clara estabilidad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en el valor unitario, que se ha movido entre el 3%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alcanzado en septiembre y el -2% registrado en los meses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de abril y agosto. La zona Centro también repite el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patrón de las zonas anteriores, solo destaca una bajada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más acusada del -6% en el mes de junio.</w:t>
      </w:r>
    </w:p>
    <w:p w14:paraId="0C84D2A4" w14:textId="493478CC" w:rsidR="00882ECE" w:rsidRPr="00882ECE" w:rsidRDefault="00882ECE" w:rsidP="00882E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882ECE">
        <w:rPr>
          <w:rFonts w:ascii="Open Sans" w:eastAsia="Open Sans" w:hAnsi="Open Sans" w:cs="Open Sans"/>
          <w:sz w:val="22"/>
          <w:szCs w:val="22"/>
        </w:rPr>
        <w:lastRenderedPageBreak/>
        <w:t>En cuanto al cierre anual, Norte se mantiene estable,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sin apenas variación, y Noroeste y Centro pasan de un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discreto cierre positivo en 2019, con un 2% y 1%, respectivamente,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a un ligeramente más abultado negativo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en 2020, -4% para la zona Noroeste y -3% para la zona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Centro. Estos datos contrastan con las variaciones a final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de año que se han visto en la capital española de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los pisos estándar que han llegado a bajar un -10% de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media.</w:t>
      </w:r>
    </w:p>
    <w:p w14:paraId="33D196F2" w14:textId="5345B5AF" w:rsidR="00882ECE" w:rsidRPr="00882ECE" w:rsidRDefault="00882ECE" w:rsidP="00882E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882ECE">
        <w:rPr>
          <w:rFonts w:ascii="Open Sans" w:eastAsia="Open Sans" w:hAnsi="Open Sans" w:cs="Open Sans"/>
          <w:sz w:val="22"/>
          <w:szCs w:val="22"/>
        </w:rPr>
        <w:t>El comportamiento del valor unitario en el mercado de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alquiler ha tenido una evolución muy suave también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en los pisos de lujo del Eixample, tanto en 2019 como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2020, con variaciones que no registran valores superiores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a 5 puntos porcentuales, al alza o a la baja. En 2020,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el máximo incremento se alcanza en el mes de marzo,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con una subida del 5% que se corrige con una caída del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-5% en el mes de noviembre. Pedralbes muestra valores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aún más estables, diferencias de 1 o 2 puntos porcentuales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a lo largo de ambos años, si bien a finales de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2020 se detecta una ligera tendencia a la baja, con un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mínimo correspondiente al mes de noviembre del -4%.</w:t>
      </w:r>
    </w:p>
    <w:p w14:paraId="6C0430A0" w14:textId="339FF991" w:rsidR="00882ECE" w:rsidRPr="00882ECE" w:rsidRDefault="00882ECE" w:rsidP="00882E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882ECE">
        <w:rPr>
          <w:rFonts w:ascii="Open Sans" w:eastAsia="Open Sans" w:hAnsi="Open Sans" w:cs="Open Sans"/>
          <w:sz w:val="22"/>
          <w:szCs w:val="22"/>
        </w:rPr>
        <w:t>Si observamos la variación anual de las viviendas de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alto standing, podemos concluir un comportamiento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claramente distinto. En esta ocasión es la zona de Pedralbes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la que acarrea una bajada más acusada con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un -11% frente a Eixample que se queda en -6%. Este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dato contrasta con la caída del precio del alquiler en el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Eixample de los alquileres medios, que caen un 11% en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2020 y en Les Corts, zona en la que se encuentra el barrio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 xml:space="preserve">de </w:t>
      </w:r>
      <w:proofErr w:type="spellStart"/>
      <w:r w:rsidRPr="00882ECE">
        <w:rPr>
          <w:rFonts w:ascii="Open Sans" w:eastAsia="Open Sans" w:hAnsi="Open Sans" w:cs="Open Sans"/>
          <w:sz w:val="22"/>
          <w:szCs w:val="22"/>
        </w:rPr>
        <w:t>Pedralbres</w:t>
      </w:r>
      <w:proofErr w:type="spellEnd"/>
      <w:r w:rsidRPr="00882ECE">
        <w:rPr>
          <w:rFonts w:ascii="Open Sans" w:eastAsia="Open Sans" w:hAnsi="Open Sans" w:cs="Open Sans"/>
          <w:sz w:val="22"/>
          <w:szCs w:val="22"/>
        </w:rPr>
        <w:t>, el precio medio de las viviendas en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alquiler cae en 2020 un 13,5%.</w:t>
      </w:r>
    </w:p>
    <w:p w14:paraId="5E3BD0C3" w14:textId="4896604E" w:rsidR="00F6764C" w:rsidRDefault="00882ECE" w:rsidP="00882E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882ECE">
        <w:rPr>
          <w:rFonts w:ascii="Open Sans" w:eastAsia="Open Sans" w:hAnsi="Open Sans" w:cs="Open Sans"/>
          <w:sz w:val="22"/>
          <w:szCs w:val="22"/>
        </w:rPr>
        <w:t>En el caso de la vivienda unifamiliar, la limitada disponibilidad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de inmuebles en alquiler, que no supera las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200 unidades ningún mes en las zonas de mayor oferta,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hace que las variaciones de un stock inestable y escaso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enseguida se vean reflejadas en los precios medios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con grandes correcciones porcentuales. Las variaciones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registradas en el valor unitario dejan entrever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subidas pasajeras que se autocorrigen en el tiempo, ya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que, normalmente, vienen acompañadas de variaciones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882ECE">
        <w:rPr>
          <w:rFonts w:ascii="Open Sans" w:eastAsia="Open Sans" w:hAnsi="Open Sans" w:cs="Open Sans"/>
          <w:sz w:val="22"/>
          <w:szCs w:val="22"/>
        </w:rPr>
        <w:t>notables en el stock.</w:t>
      </w:r>
    </w:p>
    <w:p w14:paraId="102E4187" w14:textId="253D775A" w:rsidR="00F6764C" w:rsidRPr="00A61300" w:rsidRDefault="00A61300" w:rsidP="00A613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" w:eastAsia="Open Sans Light" w:hAnsi="Open Sans" w:cs="Open Sans"/>
          <w:b/>
          <w:color w:val="303AB2"/>
        </w:rPr>
      </w:pPr>
      <w:r w:rsidRPr="00A61300">
        <w:rPr>
          <w:rFonts w:ascii="Open Sans" w:eastAsia="Open Sans Light" w:hAnsi="Open Sans" w:cs="Open Sans"/>
          <w:b/>
          <w:color w:val="303AB2"/>
        </w:rPr>
        <w:t>Incrementos de stock de alquiler por el trasvase del alquiler vacacional al residencial</w:t>
      </w:r>
    </w:p>
    <w:p w14:paraId="36317707" w14:textId="4450E929" w:rsidR="00F6764C" w:rsidRDefault="00000F27" w:rsidP="00000F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000F27">
        <w:rPr>
          <w:rFonts w:ascii="Open Sans" w:eastAsia="Open Sans" w:hAnsi="Open Sans" w:cs="Open Sans"/>
          <w:sz w:val="22"/>
          <w:szCs w:val="22"/>
        </w:rPr>
        <w:t>Analizando la evolución del stock del mercado de alquiler, observamos, en general,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un comportamiento irregular en cuanto a la oferta de pisos con una clara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tendencia alcista en 2020.</w:t>
      </w:r>
    </w:p>
    <w:p w14:paraId="3C72BA3F" w14:textId="7ED472C3" w:rsidR="00000F27" w:rsidRPr="00000F27" w:rsidRDefault="00000F27" w:rsidP="00000F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000F27">
        <w:rPr>
          <w:rFonts w:ascii="Open Sans" w:eastAsia="Open Sans" w:hAnsi="Open Sans" w:cs="Open Sans"/>
          <w:sz w:val="22"/>
          <w:szCs w:val="22"/>
        </w:rPr>
        <w:t>En Madrid, la zona Centro registra, en 2020, un llamativo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crecimiento anual del 120% en cuanto a stock de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pisos. Esta tendencia se replica también en el resto de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las zonas de la capital, aunque con un crecimiento un poco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menos marcado, un 31% en la zona Norte y un 42% en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la región Noroeste.</w:t>
      </w:r>
    </w:p>
    <w:p w14:paraId="67DE11A6" w14:textId="4E5A8E99" w:rsidR="00000F27" w:rsidRPr="00000F27" w:rsidRDefault="00000F27" w:rsidP="00000F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000F27">
        <w:rPr>
          <w:rFonts w:ascii="Open Sans" w:eastAsia="Open Sans" w:hAnsi="Open Sans" w:cs="Open Sans"/>
          <w:sz w:val="22"/>
          <w:szCs w:val="22"/>
        </w:rPr>
        <w:lastRenderedPageBreak/>
        <w:t>En Barcelona, las zonas del Eixample y Pedralbes también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cierran en positivo 2020 en cuanto a stock, aunque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en este caso el crecimiento es mayor en la zona del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Eixample que registra un incremento anual del 119%.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En el caso de Pedralbes también se registra una variación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anual importante, aunque menos marcada, con un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crecimiento del 41%.</w:t>
      </w:r>
    </w:p>
    <w:p w14:paraId="72A4AB9A" w14:textId="5B05CFF9" w:rsidR="00000F27" w:rsidRPr="00000F27" w:rsidRDefault="00000F27" w:rsidP="00000F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000F27">
        <w:rPr>
          <w:rFonts w:ascii="Open Sans" w:eastAsia="Open Sans" w:hAnsi="Open Sans" w:cs="Open Sans"/>
          <w:sz w:val="22"/>
          <w:szCs w:val="22"/>
        </w:rPr>
        <w:t>La causa de este incremento tan marcado podría encontrarse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en el trasvase del alquiler turístico al residencial,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una tendencia que se ha observado tanto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en el segmento de precio medio como en el de lujo. El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estudio “</w:t>
      </w:r>
      <w:hyperlink r:id="rId17" w:history="1">
        <w:r w:rsidRPr="00DA0CA7">
          <w:rPr>
            <w:rStyle w:val="Hipervnculo"/>
            <w:rFonts w:ascii="Open Sans" w:eastAsia="Open Sans" w:hAnsi="Open Sans" w:cs="Open Sans"/>
            <w:b/>
            <w:bCs/>
            <w:i/>
            <w:iCs/>
            <w:sz w:val="22"/>
            <w:szCs w:val="22"/>
          </w:rPr>
          <w:t>Impacto de la pandemia en el alquiler vacacional</w:t>
        </w:r>
      </w:hyperlink>
      <w:r w:rsidRPr="00000F27">
        <w:rPr>
          <w:rFonts w:ascii="Open Sans" w:eastAsia="Open Sans" w:hAnsi="Open Sans" w:cs="Open Sans"/>
          <w:sz w:val="22"/>
          <w:szCs w:val="22"/>
        </w:rPr>
        <w:t>”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de Fotocasa revelaba que el 64% de los propietarios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de pisos turísticos se habían pasado al alquiler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residencial durante la pandemia. La caída del turismo y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las restricciones de movilidad han tenido como consecuencia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que casi dos de cada tres propietarios que tenían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alguna vivienda destinada a alquiler vacacional en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España se hayan pasado al alquiler residencial. Todo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parece indicar que esta tendencia se ha replicado también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en el mercado inmobiliario premium.</w:t>
      </w:r>
    </w:p>
    <w:p w14:paraId="529616BB" w14:textId="7683190E" w:rsidR="00000F27" w:rsidRPr="00000F27" w:rsidRDefault="00000F27" w:rsidP="00000F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000F27">
        <w:rPr>
          <w:rFonts w:ascii="Open Sans" w:eastAsia="Open Sans" w:hAnsi="Open Sans" w:cs="Open Sans"/>
          <w:sz w:val="22"/>
          <w:szCs w:val="22"/>
        </w:rPr>
        <w:t>En cuanto a la oferta disponible de vivienda unifamiliar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en alquiler, sucede lo mismo que con el precio. Al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tratarse de un stock muy reducido, tanto en Barcelona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como en Madrid refleja variaciones mensuales dispares,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ya que el más mínimo incremento o decremento en estas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cifras tan bajas altera el resultado, sin poder considerarlo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un reflejo fiel del mercado.</w:t>
      </w:r>
    </w:p>
    <w:p w14:paraId="2E4DC879" w14:textId="0A37B409" w:rsidR="00000F27" w:rsidRPr="00000F27" w:rsidRDefault="00000F27" w:rsidP="00000F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000F27">
        <w:rPr>
          <w:rFonts w:ascii="Open Sans" w:eastAsia="Open Sans" w:hAnsi="Open Sans" w:cs="Open Sans"/>
          <w:sz w:val="22"/>
          <w:szCs w:val="22"/>
        </w:rPr>
        <w:t>En el mercado de compraventa, la oferta de pisos también</w:t>
      </w:r>
      <w:r w:rsidR="00573F12"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presenta un comportamiento errático con variaciones</w:t>
      </w:r>
      <w:r w:rsidR="00573F12"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destacadas y, en general, se observa una tendencia</w:t>
      </w:r>
      <w:r w:rsidR="00573F12"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a la baja en todas las zonas. Cierran el año en</w:t>
      </w:r>
      <w:r w:rsidR="00573F12"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negativo, en cuanto a stock de vivienda plurifamiliar, todas</w:t>
      </w:r>
      <w:r w:rsidR="00573F12"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las zonas analizadas de Barcelona y Madrid excepto</w:t>
      </w:r>
      <w:r w:rsidR="00573F12"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Pedralbes, que cierra 2020 con una subida del 3%.</w:t>
      </w:r>
    </w:p>
    <w:p w14:paraId="58CFABDA" w14:textId="20F14263" w:rsidR="00F6764C" w:rsidRDefault="00000F27" w:rsidP="00000F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000F27">
        <w:rPr>
          <w:rFonts w:ascii="Open Sans" w:eastAsia="Open Sans" w:hAnsi="Open Sans" w:cs="Open Sans"/>
          <w:sz w:val="22"/>
          <w:szCs w:val="22"/>
        </w:rPr>
        <w:t>En referencia a la oferta de vivienda unifamiliar en compraventa,</w:t>
      </w:r>
      <w:r w:rsidR="00573F12"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el stock presenta oscilaciones muy irregulares</w:t>
      </w:r>
      <w:r w:rsidR="00573F12"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y, en general, también encontramos una tendencia</w:t>
      </w:r>
      <w:r w:rsidR="00573F12"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a la baja en 2020, solo Eixample cierra en positivo en</w:t>
      </w:r>
      <w:r w:rsidR="00573F12">
        <w:rPr>
          <w:rFonts w:ascii="Open Sans" w:eastAsia="Open Sans" w:hAnsi="Open Sans" w:cs="Open Sans"/>
          <w:sz w:val="22"/>
          <w:szCs w:val="22"/>
        </w:rPr>
        <w:t xml:space="preserve"> </w:t>
      </w:r>
      <w:r w:rsidRPr="00000F27">
        <w:rPr>
          <w:rFonts w:ascii="Open Sans" w:eastAsia="Open Sans" w:hAnsi="Open Sans" w:cs="Open Sans"/>
          <w:sz w:val="22"/>
          <w:szCs w:val="22"/>
        </w:rPr>
        <w:t>cuanto a stock en 2020 con un 7%.</w:t>
      </w:r>
    </w:p>
    <w:p w14:paraId="76D7BB08" w14:textId="44DBAF01" w:rsidR="00BA6EF0" w:rsidRDefault="00BA6EF0" w:rsidP="00BA6E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3AD595C0" w14:textId="2EDEBF2B" w:rsidR="00474572" w:rsidRDefault="00474572" w:rsidP="00BA6E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325894FC" w14:textId="0B586283" w:rsidR="00474572" w:rsidRDefault="00474572" w:rsidP="00BA6E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58C802B2" w14:textId="0C1C4EF8" w:rsidR="00474572" w:rsidRDefault="00474572" w:rsidP="00BA6E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350E2D94" w14:textId="7BF7440E" w:rsidR="00474572" w:rsidRDefault="00474572" w:rsidP="00BA6E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57FABD41" w14:textId="493B3D4E" w:rsidR="00474572" w:rsidRDefault="00474572" w:rsidP="00BA6E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00ABB940" w14:textId="56EE6C8B" w:rsidR="00474572" w:rsidRDefault="00474572" w:rsidP="00BA6E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13C6F55B" w14:textId="52BF4F5E" w:rsidR="00474572" w:rsidRDefault="00474572" w:rsidP="00BA6E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1054A28B" w14:textId="77777777" w:rsidR="00474572" w:rsidRDefault="00474572" w:rsidP="00BA6E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5F2B8D39" w14:textId="697634E2" w:rsidR="00F6764C" w:rsidRPr="00BA6EF0" w:rsidRDefault="00BA6EF0" w:rsidP="00BA6EF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  <w:r w:rsidRPr="00BA6EF0">
        <w:rPr>
          <w:rFonts w:ascii="Open Sans Light" w:eastAsia="Open Sans Light" w:hAnsi="Open Sans Light" w:cs="Open Sans Light"/>
          <w:b/>
          <w:color w:val="303AB2"/>
        </w:rPr>
        <w:lastRenderedPageBreak/>
        <w:t>Sobre el informe “Impacto de la pandemia en las zonas prime de Madrid y Barcelona”</w:t>
      </w:r>
    </w:p>
    <w:p w14:paraId="228436C8" w14:textId="67D34835" w:rsidR="00BA6EF0" w:rsidRPr="00BA6EF0" w:rsidRDefault="00BA6EF0" w:rsidP="00BA6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BA6EF0">
        <w:rPr>
          <w:rFonts w:ascii="Open Sans" w:eastAsia="Open Sans" w:hAnsi="Open Sans" w:cs="Open Sans"/>
          <w:sz w:val="22"/>
          <w:szCs w:val="22"/>
        </w:rPr>
        <w:t>El portal inmobiliario Fotocasa ha realizado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el estudio “</w:t>
      </w:r>
      <w:r w:rsidRPr="00FB0926">
        <w:rPr>
          <w:rFonts w:ascii="Open Sans" w:eastAsia="Open Sans" w:hAnsi="Open Sans" w:cs="Open Sans"/>
          <w:b/>
          <w:bCs/>
          <w:i/>
          <w:iCs/>
          <w:sz w:val="22"/>
          <w:szCs w:val="22"/>
        </w:rPr>
        <w:t>Impacto de la pandemia en las zonas prime de Madrid y Barcelona</w:t>
      </w:r>
      <w:r w:rsidRPr="00BA6EF0">
        <w:rPr>
          <w:rFonts w:ascii="Open Sans" w:eastAsia="Open Sans" w:hAnsi="Open Sans" w:cs="Open Sans"/>
          <w:sz w:val="22"/>
          <w:szCs w:val="22"/>
        </w:rPr>
        <w:t>” en base a un exhaustivo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análisis realizado con la empresa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 w:rsidRPr="00BA6EF0">
        <w:rPr>
          <w:rFonts w:ascii="Open Sans" w:eastAsia="Open Sans" w:hAnsi="Open Sans" w:cs="Open Sans"/>
          <w:sz w:val="22"/>
          <w:szCs w:val="22"/>
        </w:rPr>
        <w:t>PixiePixel</w:t>
      </w:r>
      <w:proofErr w:type="spellEnd"/>
      <w:r w:rsidRPr="00BA6EF0">
        <w:rPr>
          <w:rFonts w:ascii="Open Sans" w:eastAsia="Open Sans" w:hAnsi="Open Sans" w:cs="Open Sans"/>
          <w:sz w:val="22"/>
          <w:szCs w:val="22"/>
        </w:rPr>
        <w:t>. Para ello han contado con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 w:rsidRPr="00BA6EF0">
        <w:rPr>
          <w:rFonts w:ascii="Open Sans" w:eastAsia="Open Sans" w:hAnsi="Open Sans" w:cs="Open Sans"/>
          <w:sz w:val="22"/>
          <w:szCs w:val="22"/>
        </w:rPr>
        <w:t>DataVenues</w:t>
      </w:r>
      <w:proofErr w:type="spellEnd"/>
      <w:r w:rsidRPr="00BA6EF0">
        <w:rPr>
          <w:rFonts w:ascii="Open Sans" w:eastAsia="Open Sans" w:hAnsi="Open Sans" w:cs="Open Sans"/>
          <w:sz w:val="22"/>
          <w:szCs w:val="22"/>
        </w:rPr>
        <w:t>, una herramienta de Big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Data inmobiliario que ayuda a los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profesionales a analizar sus carteras, el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mercado en el que operan, la demand</w:t>
      </w:r>
      <w:r>
        <w:rPr>
          <w:rFonts w:ascii="Open Sans" w:eastAsia="Open Sans" w:hAnsi="Open Sans" w:cs="Open Sans"/>
          <w:sz w:val="22"/>
          <w:szCs w:val="22"/>
        </w:rPr>
        <w:t xml:space="preserve">a </w:t>
      </w:r>
      <w:r w:rsidRPr="00BA6EF0">
        <w:rPr>
          <w:rFonts w:ascii="Open Sans" w:eastAsia="Open Sans" w:hAnsi="Open Sans" w:cs="Open Sans"/>
          <w:sz w:val="22"/>
          <w:szCs w:val="22"/>
        </w:rPr>
        <w:t>y su competencia para poder tomar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mejores decisiones de captación,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inversión y venta.</w:t>
      </w:r>
    </w:p>
    <w:p w14:paraId="3957DABB" w14:textId="18E17B92" w:rsidR="00BA6EF0" w:rsidRPr="00BA6EF0" w:rsidRDefault="00BA6EF0" w:rsidP="00BA6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proofErr w:type="spellStart"/>
      <w:r w:rsidRPr="00BA6EF0">
        <w:rPr>
          <w:rFonts w:ascii="Open Sans" w:eastAsia="Open Sans" w:hAnsi="Open Sans" w:cs="Open Sans"/>
          <w:sz w:val="22"/>
          <w:szCs w:val="22"/>
        </w:rPr>
        <w:t>Datavenues</w:t>
      </w:r>
      <w:proofErr w:type="spellEnd"/>
      <w:r w:rsidRPr="00BA6EF0">
        <w:rPr>
          <w:rFonts w:ascii="Open Sans" w:eastAsia="Open Sans" w:hAnsi="Open Sans" w:cs="Open Sans"/>
          <w:sz w:val="22"/>
          <w:szCs w:val="22"/>
        </w:rPr>
        <w:t xml:space="preserve"> trabaja sobre datos de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origen, procedentes de la base de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 xml:space="preserve">datos de Fotocasa y </w:t>
      </w:r>
      <w:proofErr w:type="spellStart"/>
      <w:r w:rsidRPr="00BA6EF0">
        <w:rPr>
          <w:rFonts w:ascii="Open Sans" w:eastAsia="Open Sans" w:hAnsi="Open Sans" w:cs="Open Sans"/>
          <w:sz w:val="22"/>
          <w:szCs w:val="22"/>
        </w:rPr>
        <w:t>Habitaclia</w:t>
      </w:r>
      <w:proofErr w:type="spellEnd"/>
      <w:r w:rsidRPr="00BA6EF0">
        <w:rPr>
          <w:rFonts w:ascii="Open Sans" w:eastAsia="Open Sans" w:hAnsi="Open Sans" w:cs="Open Sans"/>
          <w:sz w:val="22"/>
          <w:szCs w:val="22"/>
        </w:rPr>
        <w:t xml:space="preserve"> e incorpora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el catastro de forma nativa de toda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España, incluido País Vasco y Navarra,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lo que permite acceder a cualquier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finca urbana del país. Además, cuenta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con información de fuentes públicas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como: INE, Agencia Tributaria y Ministerio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de Transporte, Movilidad y Agenda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Urbana en lo referente a los indicadores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inmobiliarios, sociodemográficos y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económicos.</w:t>
      </w:r>
    </w:p>
    <w:p w14:paraId="470DD005" w14:textId="37B4C9D0" w:rsidR="00573F12" w:rsidRDefault="00BA6EF0" w:rsidP="00BA6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BA6EF0">
        <w:rPr>
          <w:rFonts w:ascii="Open Sans" w:eastAsia="Open Sans" w:hAnsi="Open Sans" w:cs="Open Sans"/>
          <w:sz w:val="22"/>
          <w:szCs w:val="22"/>
        </w:rPr>
        <w:t>El estudio compara la evolución de las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zonas prime de las dos ciudades más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relevantes del mercado inmobiliario</w:t>
      </w:r>
      <w:r w:rsidR="00474572"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español: Centro, Norte y Noreste en el</w:t>
      </w:r>
      <w:r w:rsidR="00474572"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caso de Madrid y Eixample y Pedralbes</w:t>
      </w:r>
      <w:r w:rsidR="00474572">
        <w:rPr>
          <w:rFonts w:ascii="Open Sans" w:eastAsia="Open Sans" w:hAnsi="Open Sans" w:cs="Open Sans"/>
          <w:sz w:val="22"/>
          <w:szCs w:val="22"/>
        </w:rPr>
        <w:t xml:space="preserve"> </w:t>
      </w:r>
      <w:r w:rsidRPr="00BA6EF0">
        <w:rPr>
          <w:rFonts w:ascii="Open Sans" w:eastAsia="Open Sans" w:hAnsi="Open Sans" w:cs="Open Sans"/>
          <w:sz w:val="22"/>
          <w:szCs w:val="22"/>
        </w:rPr>
        <w:t>para Barcelona.</w:t>
      </w:r>
    </w:p>
    <w:p w14:paraId="2043430F" w14:textId="4F705B4F" w:rsidR="00573F12" w:rsidRDefault="00573F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B192282" w14:textId="2D4ED8B0" w:rsidR="00177D93" w:rsidRDefault="00474572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</w:t>
      </w:r>
      <w:r w:rsidR="00D9004F">
        <w:rPr>
          <w:rFonts w:ascii="Open Sans Light" w:eastAsia="Open Sans Light" w:hAnsi="Open Sans Light" w:cs="Open Sans Light"/>
          <w:b/>
          <w:color w:val="303AB2"/>
        </w:rPr>
        <w:t>obre Fotocasa</w:t>
      </w:r>
    </w:p>
    <w:p w14:paraId="3E4DBFC6" w14:textId="77777777" w:rsidR="00177D93" w:rsidRDefault="00D900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bookmarkStart w:id="0" w:name="_heading=h.30j0zll" w:colFirst="0" w:colLast="0"/>
    <w:bookmarkEnd w:id="0"/>
    <w:p w14:paraId="47C2F428" w14:textId="77777777" w:rsidR="00177D93" w:rsidRDefault="00D900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 w:rsidR="00207F48">
        <w:fldChar w:fldCharType="begin"/>
      </w:r>
      <w:r w:rsidR="00207F48">
        <w:instrText xml:space="preserve"> HYPERLINK "https://www.adevinta.com/" \h </w:instrText>
      </w:r>
      <w:r w:rsidR="00207F48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207F48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1D1D8B95" w14:textId="77777777" w:rsidR="00177D93" w:rsidRDefault="00207F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9">
        <w:r w:rsidR="00D9004F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D9004F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11809FEF" w14:textId="77777777" w:rsidR="00177D93" w:rsidRDefault="00D900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España, </w:t>
      </w:r>
      <w:proofErr w:type="spellStart"/>
      <w:r w:rsidR="00207F48">
        <w:fldChar w:fldCharType="begin"/>
      </w:r>
      <w:r w:rsidR="00207F48">
        <w:instrText xml:space="preserve"> HYPERLINK "https://www.adevinta.com/" \h </w:instrText>
      </w:r>
      <w:r w:rsidR="00207F48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207F48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 w:rsidR="00207F48">
        <w:fldChar w:fldCharType="begin"/>
      </w:r>
      <w:r w:rsidR="00207F48">
        <w:instrText xml:space="preserve"> HYPERLINK "https://www.habitaclia.com/" \h </w:instrText>
      </w:r>
      <w:r w:rsidR="00207F48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 w:rsidR="00207F48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hyperlink r:id="rId2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) y segunda mano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(</w:t>
      </w:r>
      <w:proofErr w:type="spellStart"/>
      <w:r w:rsidR="00207F48">
        <w:fldChar w:fldCharType="begin"/>
      </w:r>
      <w:r w:rsidR="00207F48">
        <w:instrText xml:space="preserve"> HYPERLINK "https://www.milanuncios.es/" \h </w:instrText>
      </w:r>
      <w:r w:rsidR="00207F48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 w:rsidR="00207F48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 w:rsidR="00207F48">
        <w:fldChar w:fldCharType="begin"/>
      </w:r>
      <w:r w:rsidR="00207F48">
        <w:instrText xml:space="preserve"> HYPERLINK "https://www.vibbo.com/" \h </w:instrText>
      </w:r>
      <w:r w:rsidR="00207F48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 w:rsidR="00207F48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 </w:t>
      </w:r>
    </w:p>
    <w:p w14:paraId="0E844E46" w14:textId="77777777" w:rsidR="00177D93" w:rsidRDefault="00177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04BB7A9F" w14:textId="77777777" w:rsidR="00177D93" w:rsidRDefault="00D900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24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275BD92A" w14:textId="77777777" w:rsidR="00177D93" w:rsidRDefault="00177D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09A6EAF7" w14:textId="77777777" w:rsidR="00177D93" w:rsidRDefault="00177D93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6390BCE0" w14:textId="77777777" w:rsidR="00177D93" w:rsidRDefault="00D9004F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42AAD197" w14:textId="77777777" w:rsidR="00177D93" w:rsidRDefault="00D900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   Anaïs López </w:t>
      </w:r>
    </w:p>
    <w:p w14:paraId="2E375D22" w14:textId="77777777" w:rsidR="00177D93" w:rsidRDefault="00207F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5">
        <w:r w:rsidR="00D9004F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 w:rsidR="00D9004F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D9004F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D9004F"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26">
        <w:r w:rsidR="00D9004F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1CFC9B93" w14:textId="77777777" w:rsidR="00177D93" w:rsidRDefault="00D900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              620 66 29 26</w:t>
      </w:r>
    </w:p>
    <w:p w14:paraId="21E90F0D" w14:textId="77777777" w:rsidR="00177D93" w:rsidRDefault="00D9004F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04F3257E" w14:textId="77777777" w:rsidR="00177D93" w:rsidRDefault="00D9004F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7EF1F5FC" w14:textId="77777777" w:rsidR="00177D93" w:rsidRDefault="00207F48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7">
        <w:r w:rsidR="00D9004F">
          <w:rPr>
            <w:rFonts w:ascii="Open Sans" w:eastAsia="Open Sans" w:hAnsi="Open Sans" w:cs="Open Sans"/>
            <w:color w:val="0000FF"/>
            <w:sz w:val="19"/>
            <w:szCs w:val="19"/>
          </w:rPr>
          <w:t>emerino@llorenteycuenca.com</w:t>
        </w:r>
      </w:hyperlink>
    </w:p>
    <w:p w14:paraId="2376D2FD" w14:textId="31F639B4" w:rsidR="00177D93" w:rsidRDefault="00D9004F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4E107B91" w14:textId="696146F6" w:rsidR="00C33DDE" w:rsidRDefault="00C33DD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262E0A7D" w14:textId="780AEF3A" w:rsidR="00C33DDE" w:rsidRPr="004655BE" w:rsidRDefault="00C33DDE" w:rsidP="00C33DDE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 w:rsidRPr="004655BE">
        <w:rPr>
          <w:rFonts w:ascii="Open Sans" w:eastAsia="Open Sans" w:hAnsi="Open Sans" w:cs="Open Sans"/>
          <w:b/>
          <w:color w:val="000000"/>
          <w:sz w:val="19"/>
          <w:szCs w:val="19"/>
        </w:rPr>
        <w:t>Laura Lázaro</w:t>
      </w:r>
    </w:p>
    <w:p w14:paraId="4F551681" w14:textId="4FC90AF2" w:rsidR="00C33DDE" w:rsidRPr="00C33DDE" w:rsidRDefault="00207F48" w:rsidP="00C33DDE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lang w:val="en-US"/>
        </w:rPr>
      </w:pPr>
      <w:hyperlink r:id="rId28" w:history="1">
        <w:r w:rsidR="00C33DDE" w:rsidRPr="00670DCF">
          <w:rPr>
            <w:rStyle w:val="Hipervnculo"/>
            <w:rFonts w:ascii="Open Sans" w:eastAsia="Open Sans" w:hAnsi="Open Sans" w:cs="Open Sans"/>
            <w:sz w:val="19"/>
            <w:szCs w:val="19"/>
            <w:lang w:val="en-US"/>
          </w:rPr>
          <w:t>llazaro@llorenteycuenca.com</w:t>
        </w:r>
      </w:hyperlink>
    </w:p>
    <w:p w14:paraId="0E4D3C71" w14:textId="6836E865" w:rsidR="00C33DDE" w:rsidRPr="00C33DDE" w:rsidRDefault="00C33DDE" w:rsidP="00C33DD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  <w:lang w:val="en-US"/>
        </w:rPr>
      </w:pPr>
      <w:r w:rsidRPr="00C33DDE">
        <w:rPr>
          <w:rFonts w:ascii="Open Sans" w:eastAsia="Open Sans" w:hAnsi="Open Sans" w:cs="Open Sans"/>
          <w:color w:val="000000"/>
          <w:sz w:val="19"/>
          <w:szCs w:val="19"/>
          <w:lang w:val="en-US"/>
        </w:rPr>
        <w:t>6</w:t>
      </w:r>
      <w:r>
        <w:rPr>
          <w:rFonts w:ascii="Open Sans" w:eastAsia="Open Sans" w:hAnsi="Open Sans" w:cs="Open Sans"/>
          <w:color w:val="000000"/>
          <w:sz w:val="19"/>
          <w:szCs w:val="19"/>
          <w:lang w:val="en-US"/>
        </w:rPr>
        <w:t>85 839 655</w:t>
      </w:r>
    </w:p>
    <w:p w14:paraId="53EC2AAD" w14:textId="77777777" w:rsidR="00C33DDE" w:rsidRPr="00C33DDE" w:rsidRDefault="00C33DD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  <w:lang w:val="en-US"/>
        </w:rPr>
      </w:pPr>
    </w:p>
    <w:sectPr w:rsidR="00C33DDE" w:rsidRPr="00C33DDE">
      <w:footerReference w:type="default" r:id="rId29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010C" w14:textId="77777777" w:rsidR="00207F48" w:rsidRDefault="00207F48">
      <w:r>
        <w:separator/>
      </w:r>
    </w:p>
  </w:endnote>
  <w:endnote w:type="continuationSeparator" w:id="0">
    <w:p w14:paraId="0A76182E" w14:textId="77777777" w:rsidR="00207F48" w:rsidRDefault="0020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438" w14:textId="77777777" w:rsidR="00177D93" w:rsidRDefault="00D90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2B82CA9" wp14:editId="3E960AD1">
          <wp:simplePos x="0" y="0"/>
          <wp:positionH relativeFrom="column">
            <wp:posOffset>-1068066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Square wrapText="bothSides" distT="0" distB="0" distL="0" distR="0"/>
          <wp:docPr id="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8BF7" w14:textId="77777777" w:rsidR="00207F48" w:rsidRDefault="00207F48">
      <w:r>
        <w:separator/>
      </w:r>
    </w:p>
  </w:footnote>
  <w:footnote w:type="continuationSeparator" w:id="0">
    <w:p w14:paraId="6274AEBF" w14:textId="77777777" w:rsidR="00207F48" w:rsidRDefault="0020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643B1"/>
    <w:multiLevelType w:val="multilevel"/>
    <w:tmpl w:val="4CFE2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93"/>
    <w:rsid w:val="00000F27"/>
    <w:rsid w:val="0001334C"/>
    <w:rsid w:val="000764BF"/>
    <w:rsid w:val="000A2378"/>
    <w:rsid w:val="000E3C87"/>
    <w:rsid w:val="00177D93"/>
    <w:rsid w:val="00207F48"/>
    <w:rsid w:val="00286F9E"/>
    <w:rsid w:val="002F2947"/>
    <w:rsid w:val="00340A15"/>
    <w:rsid w:val="00343C3A"/>
    <w:rsid w:val="003537C1"/>
    <w:rsid w:val="004655BE"/>
    <w:rsid w:val="004718A9"/>
    <w:rsid w:val="00474572"/>
    <w:rsid w:val="004D4C2B"/>
    <w:rsid w:val="005472E7"/>
    <w:rsid w:val="0055017D"/>
    <w:rsid w:val="00573F12"/>
    <w:rsid w:val="005C198E"/>
    <w:rsid w:val="00604194"/>
    <w:rsid w:val="006E5C08"/>
    <w:rsid w:val="006F4F33"/>
    <w:rsid w:val="00706A85"/>
    <w:rsid w:val="00727004"/>
    <w:rsid w:val="00732C67"/>
    <w:rsid w:val="00764B04"/>
    <w:rsid w:val="007E6E6B"/>
    <w:rsid w:val="00836FC8"/>
    <w:rsid w:val="008629C9"/>
    <w:rsid w:val="00866E6C"/>
    <w:rsid w:val="00882ECE"/>
    <w:rsid w:val="00A61300"/>
    <w:rsid w:val="00AF16DD"/>
    <w:rsid w:val="00B615FC"/>
    <w:rsid w:val="00B924ED"/>
    <w:rsid w:val="00BA6EF0"/>
    <w:rsid w:val="00C1005E"/>
    <w:rsid w:val="00C33DDE"/>
    <w:rsid w:val="00C65706"/>
    <w:rsid w:val="00C92A35"/>
    <w:rsid w:val="00C945FE"/>
    <w:rsid w:val="00CB3F25"/>
    <w:rsid w:val="00D16198"/>
    <w:rsid w:val="00D30733"/>
    <w:rsid w:val="00D77BFB"/>
    <w:rsid w:val="00D9004F"/>
    <w:rsid w:val="00DA0CA7"/>
    <w:rsid w:val="00DD5821"/>
    <w:rsid w:val="00DE4328"/>
    <w:rsid w:val="00E6689D"/>
    <w:rsid w:val="00EE4162"/>
    <w:rsid w:val="00F41A2D"/>
    <w:rsid w:val="00F6764C"/>
    <w:rsid w:val="00FB0926"/>
    <w:rsid w:val="00FB14CC"/>
    <w:rsid w:val="00FC5606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C1AB"/>
  <w15:docId w15:val="{BE9D4651-6D75-48BF-8A53-B095AB6B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093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5F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FB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470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A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A8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3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venues.com/" TargetMode="External"/><Relationship Id="rId18" Type="http://schemas.openxmlformats.org/officeDocument/2006/relationships/hyperlink" Target="https://www.fotocasa.es/indice/" TargetMode="External"/><Relationship Id="rId26" Type="http://schemas.openxmlformats.org/officeDocument/2006/relationships/hyperlink" Target="mailto:comunicacion@fotocasa.e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infojobs.ne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otocasa.es/" TargetMode="External"/><Relationship Id="rId17" Type="http://schemas.openxmlformats.org/officeDocument/2006/relationships/hyperlink" Target="https://prensa.fotocasa.es/el-64-de-los-propietarios-de-pisos-turisticos-se-ha-pasado-al-alquiler-residencial-durante-la-pandemia/" TargetMode="External"/><Relationship Id="rId25" Type="http://schemas.openxmlformats.org/officeDocument/2006/relationships/hyperlink" Target="mailto:rtorne@llorenteycuenca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fotocasa.e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tocasa.es/es/comprar/casas-de-lujo" TargetMode="External"/><Relationship Id="rId24" Type="http://schemas.openxmlformats.org/officeDocument/2006/relationships/hyperlink" Target="http://prensa.fotocasa.e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motos.coches.net/" TargetMode="External"/><Relationship Id="rId28" Type="http://schemas.openxmlformats.org/officeDocument/2006/relationships/hyperlink" Target="mailto:llazaro@llorenteycuenca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fotocasa.es/es/quienes-somos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ixiepixel.com/" TargetMode="External"/><Relationship Id="rId22" Type="http://schemas.openxmlformats.org/officeDocument/2006/relationships/hyperlink" Target="https://www.coches.net/" TargetMode="External"/><Relationship Id="rId27" Type="http://schemas.openxmlformats.org/officeDocument/2006/relationships/hyperlink" Target="mailto:emerino@llorenteycuenca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8d7wEqUwUGe72MorRVI7g2+OQ==">AMUW2mXidKRh2Aagj1wPb5F93gq+nzIVIlYbIvtgcsVpcAFZcIy+OOEzHUvVYotp9C33+WCvFl5uzZIKF9jNxU4Bd0FPWq7RBHf2F19UayPNS+BwFm1gU930f6o0z9c2dhlAT1oPDdsA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93C26C-3807-4EA1-82D9-A75A2C7B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2154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24</cp:revision>
  <dcterms:created xsi:type="dcterms:W3CDTF">2021-03-18T15:09:00Z</dcterms:created>
  <dcterms:modified xsi:type="dcterms:W3CDTF">2021-03-30T07:11:00Z</dcterms:modified>
</cp:coreProperties>
</file>