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A757" w14:textId="77777777" w:rsidR="001C6ACF" w:rsidRDefault="0068777C">
      <w:r>
        <w:rPr>
          <w:noProof/>
        </w:rPr>
        <w:drawing>
          <wp:anchor distT="0" distB="0" distL="0" distR="0" simplePos="0" relativeHeight="251658240" behindDoc="0" locked="0" layoutInCell="1" hidden="0" allowOverlap="1" wp14:anchorId="4810F943" wp14:editId="4E3752F6">
            <wp:simplePos x="0" y="0"/>
            <wp:positionH relativeFrom="column">
              <wp:posOffset>-1056071</wp:posOffset>
            </wp:positionH>
            <wp:positionV relativeFrom="paragraph">
              <wp:posOffset>-346340</wp:posOffset>
            </wp:positionV>
            <wp:extent cx="7711147" cy="1037167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1147" cy="1037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9080BC" w14:textId="77777777" w:rsidR="001C6ACF" w:rsidRDefault="001C6ACF">
      <w:pPr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436DC64" w14:textId="77777777" w:rsidR="001C6ACF" w:rsidRDefault="001C6ACF">
      <w:pPr>
        <w:jc w:val="both"/>
        <w:rPr>
          <w:rFonts w:ascii="National" w:eastAsia="National" w:hAnsi="National" w:cs="National"/>
          <w:color w:val="303AB2"/>
          <w:sz w:val="26"/>
          <w:szCs w:val="26"/>
        </w:rPr>
      </w:pPr>
    </w:p>
    <w:p w14:paraId="67B1BEB8" w14:textId="77777777" w:rsidR="001C6ACF" w:rsidRPr="0020310B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b/>
          <w:color w:val="303AB2"/>
          <w:sz w:val="36"/>
          <w:szCs w:val="36"/>
        </w:rPr>
      </w:pPr>
      <w:r w:rsidRPr="0020310B">
        <w:rPr>
          <w:rFonts w:ascii="National" w:eastAsia="National" w:hAnsi="National" w:cs="National"/>
          <w:b/>
          <w:color w:val="303AB2"/>
          <w:sz w:val="60"/>
          <w:szCs w:val="60"/>
        </w:rPr>
        <w:t>"</w:t>
      </w:r>
      <w:r w:rsidRPr="0020310B">
        <w:rPr>
          <w:rFonts w:ascii="National" w:eastAsia="National" w:hAnsi="National" w:cs="National"/>
          <w:b/>
          <w:color w:val="303AB2"/>
          <w:sz w:val="60"/>
          <w:szCs w:val="60"/>
        </w:rPr>
        <w:t xml:space="preserve">La compraventa de viviendas nos devuelve a niveles </w:t>
      </w:r>
      <w:proofErr w:type="spellStart"/>
      <w:r w:rsidRPr="0020310B">
        <w:rPr>
          <w:rFonts w:ascii="National" w:eastAsia="National" w:hAnsi="National" w:cs="National"/>
          <w:b/>
          <w:color w:val="303AB2"/>
          <w:sz w:val="60"/>
          <w:szCs w:val="60"/>
        </w:rPr>
        <w:t>prepandemia</w:t>
      </w:r>
      <w:proofErr w:type="spellEnd"/>
      <w:r w:rsidRPr="0020310B">
        <w:rPr>
          <w:rFonts w:ascii="National" w:eastAsia="National" w:hAnsi="National" w:cs="National"/>
          <w:b/>
          <w:color w:val="303AB2"/>
          <w:sz w:val="60"/>
          <w:szCs w:val="60"/>
        </w:rPr>
        <w:t xml:space="preserve">" </w:t>
      </w:r>
    </w:p>
    <w:p w14:paraId="55287228" w14:textId="77777777" w:rsidR="0020310B" w:rsidRDefault="00203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b/>
          <w:color w:val="303AB2"/>
        </w:rPr>
      </w:pPr>
    </w:p>
    <w:p w14:paraId="28EE833E" w14:textId="278284AC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76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b/>
          <w:color w:val="303AB2"/>
        </w:rPr>
        <w:t xml:space="preserve">Madrid, </w:t>
      </w:r>
      <w:r>
        <w:rPr>
          <w:rFonts w:ascii="Open Sans" w:eastAsia="Open Sans" w:hAnsi="Open Sans" w:cs="Open Sans"/>
          <w:b/>
          <w:color w:val="303AB2"/>
        </w:rPr>
        <w:t>21 de abril</w:t>
      </w:r>
      <w:r>
        <w:rPr>
          <w:rFonts w:ascii="Open Sans" w:eastAsia="Open Sans" w:hAnsi="Open Sans" w:cs="Open Sans"/>
          <w:b/>
          <w:color w:val="303AB2"/>
        </w:rPr>
        <w:t xml:space="preserve"> de 2021</w:t>
      </w:r>
    </w:p>
    <w:p w14:paraId="612DB8AA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Los datos de transacciones inmobiliarias correspondientes al pasado mes de </w:t>
      </w:r>
      <w:r>
        <w:rPr>
          <w:rFonts w:ascii="Open Sans" w:eastAsia="Open Sans" w:hAnsi="Open Sans" w:cs="Open Sans"/>
          <w:sz w:val="21"/>
          <w:szCs w:val="21"/>
        </w:rPr>
        <w:t xml:space="preserve">febrero </w:t>
      </w:r>
      <w:r>
        <w:rPr>
          <w:rFonts w:ascii="Open Sans" w:eastAsia="Open Sans" w:hAnsi="Open Sans" w:cs="Open Sans"/>
          <w:color w:val="000000"/>
          <w:sz w:val="21"/>
          <w:szCs w:val="21"/>
        </w:rPr>
        <w:t>de 2021 dados a conocer hoy por el INE, reflejan una caída interanual del -</w:t>
      </w:r>
      <w:r>
        <w:rPr>
          <w:rFonts w:ascii="Open Sans" w:eastAsia="Open Sans" w:hAnsi="Open Sans" w:cs="Open Sans"/>
          <w:sz w:val="21"/>
          <w:szCs w:val="21"/>
        </w:rPr>
        <w:t>4,3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% y un incremento mensual del </w:t>
      </w:r>
      <w:r>
        <w:rPr>
          <w:rFonts w:ascii="Open Sans" w:eastAsia="Open Sans" w:hAnsi="Open Sans" w:cs="Open Sans"/>
          <w:sz w:val="21"/>
          <w:szCs w:val="21"/>
        </w:rPr>
        <w:t>8,6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% respecto </w:t>
      </w:r>
      <w:r>
        <w:rPr>
          <w:rFonts w:ascii="Open Sans" w:eastAsia="Open Sans" w:hAnsi="Open Sans" w:cs="Open Sans"/>
          <w:sz w:val="21"/>
          <w:szCs w:val="21"/>
        </w:rPr>
        <w:t>a los datos de inicio de año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  <w:r>
        <w:rPr>
          <w:rFonts w:ascii="Open Sans" w:eastAsia="Open Sans" w:hAnsi="Open Sans" w:cs="Open Sans"/>
          <w:sz w:val="21"/>
          <w:szCs w:val="21"/>
        </w:rPr>
        <w:t>“Son cifras muy positivas que muestran el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</w:t>
      </w:r>
      <w:r>
        <w:rPr>
          <w:rFonts w:ascii="Open Sans" w:eastAsia="Open Sans" w:hAnsi="Open Sans" w:cs="Open Sans"/>
          <w:sz w:val="21"/>
          <w:szCs w:val="21"/>
        </w:rPr>
        <w:t>dinamismo y la gran capacidad de recuperación que está demostr</w:t>
      </w:r>
      <w:r>
        <w:rPr>
          <w:rFonts w:ascii="Open Sans" w:eastAsia="Open Sans" w:hAnsi="Open Sans" w:cs="Open Sans"/>
          <w:sz w:val="21"/>
          <w:szCs w:val="21"/>
        </w:rPr>
        <w:t>ando el sector inmobiliario. El mercado de la compraventa ha experimentado variaciones durante los meses más duros de la pandemia, pero la tendencia al alza registrada a finales de 2020 indica el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gran interés </w:t>
      </w:r>
      <w:r>
        <w:rPr>
          <w:rFonts w:ascii="Open Sans" w:eastAsia="Open Sans" w:hAnsi="Open Sans" w:cs="Open Sans"/>
          <w:sz w:val="21"/>
          <w:szCs w:val="21"/>
        </w:rPr>
        <w:t>que tienen los españoles por cambiar de casa tr</w:t>
      </w:r>
      <w:r>
        <w:rPr>
          <w:rFonts w:ascii="Open Sans" w:eastAsia="Open Sans" w:hAnsi="Open Sans" w:cs="Open Sans"/>
          <w:sz w:val="21"/>
          <w:szCs w:val="21"/>
        </w:rPr>
        <w:t>as haber sufrido un duro confinamiento”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, explica </w:t>
      </w:r>
      <w:r>
        <w:rPr>
          <w:rFonts w:ascii="Open Sans" w:eastAsia="Open Sans" w:hAnsi="Open Sans" w:cs="Open Sans"/>
          <w:sz w:val="21"/>
          <w:szCs w:val="21"/>
        </w:rPr>
        <w:t>María Matos,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directora de </w:t>
      </w:r>
      <w:r>
        <w:rPr>
          <w:rFonts w:ascii="Open Sans" w:eastAsia="Open Sans" w:hAnsi="Open Sans" w:cs="Open Sans"/>
          <w:sz w:val="21"/>
          <w:szCs w:val="21"/>
        </w:rPr>
        <w:t xml:space="preserve">Estudios y Portavoz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de </w:t>
      </w:r>
      <w:hyperlink r:id="rId8"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>.</w:t>
      </w:r>
    </w:p>
    <w:p w14:paraId="3212351D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En </w:t>
      </w:r>
      <w:r>
        <w:rPr>
          <w:rFonts w:ascii="Open Sans" w:eastAsia="Open Sans" w:hAnsi="Open Sans" w:cs="Open Sans"/>
          <w:sz w:val="21"/>
          <w:szCs w:val="21"/>
        </w:rPr>
        <w:t>febrero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se cerraron </w:t>
      </w:r>
      <w:r>
        <w:rPr>
          <w:rFonts w:ascii="Open Sans" w:eastAsia="Open Sans" w:hAnsi="Open Sans" w:cs="Open Sans"/>
          <w:sz w:val="21"/>
          <w:szCs w:val="21"/>
        </w:rPr>
        <w:t>43.185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operaciones</w:t>
      </w:r>
      <w:r>
        <w:rPr>
          <w:rFonts w:ascii="Open Sans" w:eastAsia="Open Sans" w:hAnsi="Open Sans" w:cs="Open Sans"/>
          <w:sz w:val="21"/>
          <w:szCs w:val="21"/>
        </w:rPr>
        <w:t xml:space="preserve"> y es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la mayor cifra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registrada </w:t>
      </w:r>
      <w:r>
        <w:rPr>
          <w:rFonts w:ascii="Open Sans" w:eastAsia="Open Sans" w:hAnsi="Open Sans" w:cs="Open Sans"/>
          <w:sz w:val="21"/>
          <w:szCs w:val="21"/>
        </w:rPr>
        <w:t>desde hace exactamente un año, e</w:t>
      </w:r>
      <w:r>
        <w:rPr>
          <w:rFonts w:ascii="Open Sans" w:eastAsia="Open Sans" w:hAnsi="Open Sans" w:cs="Open Sans"/>
          <w:sz w:val="21"/>
          <w:szCs w:val="21"/>
        </w:rPr>
        <w:t>n febrero de 2020, coincidente con el mes anterior a que estallase la pandemia.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“</w:t>
      </w:r>
      <w:r>
        <w:rPr>
          <w:rFonts w:ascii="Open Sans" w:eastAsia="Open Sans" w:hAnsi="Open Sans" w:cs="Open Sans"/>
          <w:sz w:val="21"/>
          <w:szCs w:val="21"/>
        </w:rPr>
        <w:t>Tras un año de crisis sanitaria superamos por primera vez la barrera de las 40.000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operaciones cerradas. Estos datos de compraventa muestran prácticamente que el sector se ha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recuperado </w:t>
      </w:r>
      <w:r>
        <w:rPr>
          <w:rFonts w:ascii="Open Sans" w:eastAsia="Open Sans" w:hAnsi="Open Sans" w:cs="Open Sans"/>
          <w:sz w:val="21"/>
          <w:szCs w:val="21"/>
        </w:rPr>
        <w:t>y volvemos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a los niveles </w:t>
      </w:r>
      <w:r>
        <w:rPr>
          <w:rFonts w:ascii="Open Sans" w:eastAsia="Open Sans" w:hAnsi="Open Sans" w:cs="Open Sans"/>
          <w:sz w:val="21"/>
          <w:szCs w:val="21"/>
        </w:rPr>
        <w:t>similares a los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que solíamos ver en 2019. </w:t>
      </w:r>
      <w:r>
        <w:rPr>
          <w:rFonts w:ascii="Open Sans" w:eastAsia="Open Sans" w:hAnsi="Open Sans" w:cs="Open Sans"/>
          <w:sz w:val="21"/>
          <w:szCs w:val="21"/>
        </w:rPr>
        <w:t>Ya podemos decir que e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l inmobiliario se repone y se presenta </w:t>
      </w:r>
      <w:r>
        <w:rPr>
          <w:rFonts w:ascii="Open Sans" w:eastAsia="Open Sans" w:hAnsi="Open Sans" w:cs="Open Sans"/>
          <w:sz w:val="21"/>
          <w:szCs w:val="21"/>
        </w:rPr>
        <w:t>con fuerza y estabilidad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para ser uno de los motores </w:t>
      </w:r>
      <w:r>
        <w:rPr>
          <w:rFonts w:ascii="Open Sans" w:eastAsia="Open Sans" w:hAnsi="Open Sans" w:cs="Open Sans"/>
          <w:sz w:val="21"/>
          <w:szCs w:val="21"/>
        </w:rPr>
        <w:t>de la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recuperación económica del país”, </w:t>
      </w:r>
      <w:r>
        <w:rPr>
          <w:rFonts w:ascii="Open Sans" w:eastAsia="Open Sans" w:hAnsi="Open Sans" w:cs="Open Sans"/>
          <w:sz w:val="21"/>
          <w:szCs w:val="21"/>
        </w:rPr>
        <w:t>comenta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la directora de </w:t>
      </w:r>
      <w:r>
        <w:rPr>
          <w:rFonts w:ascii="Open Sans" w:eastAsia="Open Sans" w:hAnsi="Open Sans" w:cs="Open Sans"/>
          <w:sz w:val="21"/>
          <w:szCs w:val="21"/>
        </w:rPr>
        <w:t>Estudios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7F8C6DD3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>La crisis sanitaria y en especial el confinamiento vivido el pasado año 2020 ha hecho que los españoles le den a la vivienda más importancia que nunca. “Nunca habíamos tenido tantos españoles con intención de cambiar de vivienda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y tan interesados en buscar una </w:t>
      </w:r>
      <w:r>
        <w:rPr>
          <w:rFonts w:ascii="Open Sans" w:eastAsia="Open Sans" w:hAnsi="Open Sans" w:cs="Open Sans"/>
          <w:sz w:val="21"/>
          <w:szCs w:val="21"/>
        </w:rPr>
        <w:t>casa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nueva. De hecho, el informe “</w:t>
      </w:r>
      <w:hyperlink r:id="rId9"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t xml:space="preserve">Medio año de pandemia: impacto en el </w:t>
        </w:r>
        <w:r>
          <w:rPr>
            <w:rFonts w:ascii="Open Sans" w:eastAsia="Open Sans" w:hAnsi="Open Sans" w:cs="Open Sans"/>
            <w:b/>
            <w:color w:val="0563C1"/>
            <w:sz w:val="21"/>
            <w:szCs w:val="21"/>
            <w:u w:val="single"/>
          </w:rPr>
          <w:lastRenderedPageBreak/>
          <w:t>sector inmobiliario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>”</w:t>
      </w:r>
      <w:r>
        <w:rPr>
          <w:rFonts w:ascii="Open Sans" w:eastAsia="Open Sans" w:hAnsi="Open Sans" w:cs="Open Sans"/>
          <w:sz w:val="21"/>
          <w:szCs w:val="21"/>
        </w:rPr>
        <w:t>, publicado por Fotocasa el</w:t>
      </w:r>
      <w:r>
        <w:rPr>
          <w:rFonts w:ascii="Open Sans" w:eastAsia="Open Sans" w:hAnsi="Open Sans" w:cs="Open Sans"/>
          <w:sz w:val="21"/>
          <w:szCs w:val="21"/>
        </w:rPr>
        <w:t xml:space="preserve"> pasado año, ya </w:t>
      </w:r>
      <w:r>
        <w:rPr>
          <w:rFonts w:ascii="Open Sans" w:eastAsia="Open Sans" w:hAnsi="Open Sans" w:cs="Open Sans"/>
          <w:color w:val="000000"/>
          <w:sz w:val="21"/>
          <w:szCs w:val="21"/>
        </w:rPr>
        <w:t>m</w:t>
      </w:r>
      <w:r>
        <w:rPr>
          <w:rFonts w:ascii="Open Sans" w:eastAsia="Open Sans" w:hAnsi="Open Sans" w:cs="Open Sans"/>
          <w:sz w:val="21"/>
          <w:szCs w:val="21"/>
        </w:rPr>
        <w:t>o</w:t>
      </w:r>
      <w:r>
        <w:rPr>
          <w:rFonts w:ascii="Open Sans" w:eastAsia="Open Sans" w:hAnsi="Open Sans" w:cs="Open Sans"/>
          <w:color w:val="000000"/>
          <w:sz w:val="21"/>
          <w:szCs w:val="21"/>
        </w:rPr>
        <w:t>str</w:t>
      </w:r>
      <w:r>
        <w:rPr>
          <w:rFonts w:ascii="Open Sans" w:eastAsia="Open Sans" w:hAnsi="Open Sans" w:cs="Open Sans"/>
          <w:sz w:val="21"/>
          <w:szCs w:val="21"/>
        </w:rPr>
        <w:t>ó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una caída de cuatro puntos porcentuales en la participación de los españoles en el mercado inmobiliario (del 31% antes de la pandemia a un 27% después) pero esta caída </w:t>
      </w:r>
      <w:r>
        <w:rPr>
          <w:rFonts w:ascii="Open Sans" w:eastAsia="Open Sans" w:hAnsi="Open Sans" w:cs="Open Sans"/>
          <w:sz w:val="21"/>
          <w:szCs w:val="21"/>
        </w:rPr>
        <w:t>venía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 de la mano de la demanda de alquiler. “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>La demanda de compra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 xml:space="preserve"> está sufriendo un auge sin precedentes y muchos españoles se han pasado a la compra de vivienda. Si antes de la pandemia el 39% de los que buscaban lo hacían en el mercado de la compraventa, este porcentaje ha pasado al 43% después del estallido de la pan</w:t>
      </w:r>
      <w:r>
        <w:rPr>
          <w:rFonts w:ascii="Open Sans" w:eastAsia="Open Sans" w:hAnsi="Open Sans" w:cs="Open Sans"/>
          <w:b/>
          <w:color w:val="000000"/>
          <w:sz w:val="21"/>
          <w:szCs w:val="21"/>
        </w:rPr>
        <w:t>demia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La intención de compra de vivienda ha experimentado un crecimiento en pocos meses que nunca habíamos visto”, remarca </w:t>
      </w:r>
      <w:r>
        <w:rPr>
          <w:rFonts w:ascii="Open Sans" w:eastAsia="Open Sans" w:hAnsi="Open Sans" w:cs="Open Sans"/>
          <w:sz w:val="21"/>
          <w:szCs w:val="21"/>
        </w:rPr>
        <w:t>María Matos.</w:t>
      </w:r>
    </w:p>
    <w:p w14:paraId="408E6757" w14:textId="03B2AAE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“La evolución tan positiva que está teniendo el mercado inmobiliario en cuanto a cierre de operaciones indica que lo pe</w:t>
      </w:r>
      <w:r>
        <w:rPr>
          <w:rFonts w:ascii="Open Sans" w:eastAsia="Open Sans" w:hAnsi="Open Sans" w:cs="Open Sans"/>
          <w:sz w:val="21"/>
          <w:szCs w:val="21"/>
        </w:rPr>
        <w:t>or de la crisis sanitaria ya ha pasado. Además, gracias al impulso surgido del gran interés por comprar vivienda, ahora el sector tiene un nuevo reto por delante: el de dar respuesta al gran auge de la demanda que se ha despertado tras el confinamiento” añ</w:t>
      </w:r>
      <w:r>
        <w:rPr>
          <w:rFonts w:ascii="Open Sans" w:eastAsia="Open Sans" w:hAnsi="Open Sans" w:cs="Open Sans"/>
          <w:sz w:val="21"/>
          <w:szCs w:val="21"/>
        </w:rPr>
        <w:t>ade la directora de Estudios.</w:t>
      </w:r>
    </w:p>
    <w:p w14:paraId="78531CC2" w14:textId="77777777" w:rsidR="0020310B" w:rsidRDefault="002031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321F4D79" w14:textId="77777777" w:rsidR="001C6ACF" w:rsidRDefault="0068777C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Departamento de Comunicación de Fotocasa</w:t>
      </w:r>
    </w:p>
    <w:p w14:paraId="75EBDEC4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b/>
          <w:color w:val="000000"/>
          <w:sz w:val="21"/>
          <w:szCs w:val="21"/>
        </w:rPr>
      </w:pPr>
      <w:r>
        <w:rPr>
          <w:rFonts w:ascii="Open Sans" w:eastAsia="Open Sans" w:hAnsi="Open Sans" w:cs="Open Sans"/>
          <w:b/>
          <w:color w:val="000000"/>
          <w:sz w:val="21"/>
          <w:szCs w:val="21"/>
        </w:rPr>
        <w:t>Anaïs López</w:t>
      </w:r>
    </w:p>
    <w:p w14:paraId="74CDEDCD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>Móvil: 620 66 29 26</w:t>
      </w:r>
    </w:p>
    <w:p w14:paraId="1B28C131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hyperlink r:id="rId10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comunicacion@fotocasa.es</w:t>
        </w:r>
      </w:hyperlink>
    </w:p>
    <w:p w14:paraId="0588480D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hyperlink r:id="rId11">
        <w:r>
          <w:rPr>
            <w:rFonts w:ascii="Open Sans" w:eastAsia="Open Sans" w:hAnsi="Open Sans" w:cs="Open Sans"/>
            <w:color w:val="0563C1"/>
            <w:sz w:val="21"/>
            <w:szCs w:val="21"/>
            <w:u w:val="single"/>
          </w:rPr>
          <w:t>http://prensa.fotocasa.es</w:t>
        </w:r>
      </w:hyperlink>
    </w:p>
    <w:p w14:paraId="5840C6A1" w14:textId="77777777" w:rsidR="001C6ACF" w:rsidRDefault="00687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eastAsia="Open Sans" w:hAnsi="Open Sans" w:cs="Open Sans"/>
          <w:color w:val="000000"/>
          <w:sz w:val="21"/>
          <w:szCs w:val="21"/>
        </w:rPr>
        <w:t>twitter</w:t>
      </w:r>
      <w:proofErr w:type="spellEnd"/>
      <w:r>
        <w:rPr>
          <w:rFonts w:ascii="Open Sans" w:eastAsia="Open Sans" w:hAnsi="Open Sans" w:cs="Open Sans"/>
          <w:color w:val="000000"/>
          <w:sz w:val="21"/>
          <w:szCs w:val="21"/>
        </w:rPr>
        <w:t>: @fotocasa</w:t>
      </w:r>
    </w:p>
    <w:sectPr w:rsidR="001C6ACF">
      <w:foot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AA06" w14:textId="77777777" w:rsidR="0068777C" w:rsidRDefault="0068777C">
      <w:r>
        <w:separator/>
      </w:r>
    </w:p>
  </w:endnote>
  <w:endnote w:type="continuationSeparator" w:id="0">
    <w:p w14:paraId="7D2946D4" w14:textId="77777777" w:rsidR="0068777C" w:rsidRDefault="006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Open Sans Light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4AE" w14:textId="77777777" w:rsidR="001C6ACF" w:rsidRDefault="00687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E2785F2" wp14:editId="3D4A7353">
          <wp:simplePos x="0" y="0"/>
          <wp:positionH relativeFrom="column">
            <wp:posOffset>-1106169</wp:posOffset>
          </wp:positionH>
          <wp:positionV relativeFrom="paragraph">
            <wp:posOffset>148705</wp:posOffset>
          </wp:positionV>
          <wp:extent cx="7670550" cy="45131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AC6F" w14:textId="77777777" w:rsidR="0068777C" w:rsidRDefault="0068777C">
      <w:r>
        <w:separator/>
      </w:r>
    </w:p>
  </w:footnote>
  <w:footnote w:type="continuationSeparator" w:id="0">
    <w:p w14:paraId="61A95A2C" w14:textId="77777777" w:rsidR="0068777C" w:rsidRDefault="0068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CF"/>
    <w:rsid w:val="001C6ACF"/>
    <w:rsid w:val="0020310B"/>
    <w:rsid w:val="006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3ABE"/>
  <w15:docId w15:val="{3D370131-B563-4FC9-9013-1606A6E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70B"/>
  </w:style>
  <w:style w:type="paragraph" w:styleId="Piedepgina">
    <w:name w:val="footer"/>
    <w:basedOn w:val="Normal"/>
    <w:link w:val="PiedepginaCar"/>
    <w:uiPriority w:val="99"/>
    <w:unhideWhenUsed/>
    <w:rsid w:val="007627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70B"/>
  </w:style>
  <w:style w:type="character" w:styleId="Hipervnculo">
    <w:name w:val="Hyperlink"/>
    <w:basedOn w:val="Fuentedeprrafopredeter"/>
    <w:uiPriority w:val="99"/>
    <w:unhideWhenUsed/>
    <w:rsid w:val="008C4B0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3E9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ensa.fotocasa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municacion@fotocas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fotocasa.es/medio-ano-de-pandemia-impacto-en-el-sector-inmobiliari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E8mwcnS0grsM4ZGBV9U06unEw==">AMUW2mWWUvuexmyezlagVH8C47g6Owxyo7qj+VPNhkir4bkLBUnbApJcOly6EP4rPBOugAH3d7gq19Gd7jgUdc5R3IAHD2UtBdtC9oYTfBRCbNbV15GapKQ=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2018-08-31T08:21:00Z</dcterms:created>
  <dcterms:modified xsi:type="dcterms:W3CDTF">2021-04-21T07:42:00Z</dcterms:modified>
</cp:coreProperties>
</file>