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20AC93B2" w:rsidR="00753088" w:rsidRPr="00753088" w:rsidRDefault="00425C6B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ABRIL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796F7734" w14:textId="3E97A65C" w:rsidR="008474A4" w:rsidRDefault="008474A4" w:rsidP="008474A4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 de la vivi</w:t>
      </w:r>
      <w:r w:rsidRPr="00AB5C6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</w:t>
      </w: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nda de segunda mano </w:t>
      </w:r>
      <w:r w:rsidR="004A195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baja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un </w:t>
      </w:r>
      <w:r w:rsidR="004A195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-</w:t>
      </w:r>
      <w:r w:rsidR="00703B3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0,</w:t>
      </w:r>
      <w:r w:rsidR="00D347D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5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% en </w:t>
      </w:r>
      <w:r w:rsidR="004A195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abril</w:t>
      </w:r>
      <w:r w:rsidR="00444A27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en España</w:t>
      </w:r>
    </w:p>
    <w:p w14:paraId="2D78D71A" w14:textId="3A76281F" w:rsidR="005B1610" w:rsidRDefault="005B1610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61EE05C0" w14:textId="77777777" w:rsidR="008474A4" w:rsidRPr="00FB5607" w:rsidRDefault="008474A4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5591C491" w:rsidR="00753088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4775A7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2C6F59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E81700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BF58E4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F23A6E">
        <w:rPr>
          <w:rFonts w:ascii="Open Sans" w:eastAsia="Times New Roman" w:hAnsi="Open Sans" w:cs="Open Sans"/>
          <w:color w:val="303AB2"/>
          <w:lang w:val="es-ES" w:eastAsia="es-ES_tradnl"/>
        </w:rPr>
        <w:t>euros/m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4C1DA0C8" w14:textId="487CFEA0" w:rsidR="00161FF5" w:rsidRPr="00CF20AE" w:rsidRDefault="00156927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La vivienda en venta 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>cae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de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precio en </w:t>
      </w:r>
      <w:r w:rsidR="00C13690">
        <w:rPr>
          <w:rFonts w:ascii="Open Sans" w:eastAsia="Times New Roman" w:hAnsi="Open Sans" w:cs="Open Sans"/>
          <w:color w:val="303AB2"/>
          <w:lang w:val="es-ES" w:eastAsia="es-ES_tradnl"/>
        </w:rPr>
        <w:t>1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>5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comunidades, en 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>42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provincia</w:t>
      </w:r>
      <w:r w:rsidR="007C1EC1">
        <w:rPr>
          <w:rFonts w:ascii="Open Sans" w:eastAsia="Times New Roman" w:hAnsi="Open Sans" w:cs="Open Sans"/>
          <w:color w:val="303AB2"/>
          <w:lang w:val="es-ES" w:eastAsia="es-ES_tradnl"/>
        </w:rPr>
        <w:t>s</w:t>
      </w:r>
      <w:r w:rsidR="00F3730B">
        <w:rPr>
          <w:rFonts w:ascii="Open Sans" w:eastAsia="Times New Roman" w:hAnsi="Open Sans" w:cs="Open Sans"/>
          <w:color w:val="303AB2"/>
          <w:lang w:val="es-ES" w:eastAsia="es-ES_tradnl"/>
        </w:rPr>
        <w:t xml:space="preserve"> y en 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 xml:space="preserve">seis de cada diez </w:t>
      </w:r>
      <w:r w:rsidR="0031597B">
        <w:rPr>
          <w:rFonts w:ascii="Open Sans" w:eastAsia="Times New Roman" w:hAnsi="Open Sans" w:cs="Open Sans"/>
          <w:color w:val="303AB2"/>
          <w:lang w:val="es-ES" w:eastAsia="es-ES_tradnl"/>
        </w:rPr>
        <w:t>ciudades</w:t>
      </w:r>
      <w:r w:rsidR="00043E63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31597B">
        <w:rPr>
          <w:rFonts w:ascii="Open Sans" w:eastAsia="Times New Roman" w:hAnsi="Open Sans" w:cs="Open Sans"/>
          <w:color w:val="303AB2"/>
          <w:lang w:val="es-ES" w:eastAsia="es-ES_tradnl"/>
        </w:rPr>
        <w:t>españolas</w:t>
      </w:r>
      <w:r w:rsidR="004A1952">
        <w:rPr>
          <w:rFonts w:ascii="Open Sans" w:eastAsia="Times New Roman" w:hAnsi="Open Sans" w:cs="Open Sans"/>
          <w:color w:val="303AB2"/>
          <w:lang w:val="es-ES" w:eastAsia="es-ES_tradnl"/>
        </w:rPr>
        <w:t xml:space="preserve"> analizadas</w:t>
      </w:r>
    </w:p>
    <w:p w14:paraId="3963DF7A" w14:textId="1AC02C5E" w:rsidR="002A35C0" w:rsidRPr="00AB5C6D" w:rsidRDefault="00010ECE" w:rsidP="007A7977">
      <w:pPr>
        <w:pStyle w:val="Prrafodelista"/>
        <w:spacing w:line="276" w:lineRule="auto"/>
        <w:ind w:left="0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425C6B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3</w:t>
      </w:r>
      <w:r w:rsidR="00703B33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425C6B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mayo</w:t>
      </w:r>
      <w:r w:rsidR="002A35C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</w:t>
      </w:r>
      <w:bookmarkEnd w:id="0"/>
      <w:r w:rsidR="007D6B1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</w:t>
      </w:r>
      <w:r w:rsidR="00703B33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1</w:t>
      </w:r>
    </w:p>
    <w:p w14:paraId="1FF68B9F" w14:textId="0498A638" w:rsidR="00776F95" w:rsidRDefault="00136E6D" w:rsidP="00470565">
      <w:pPr>
        <w:pStyle w:val="NormalWeb"/>
        <w:shd w:val="clear" w:color="auto" w:fill="FFFFFF"/>
        <w:tabs>
          <w:tab w:val="left" w:pos="3119"/>
        </w:tabs>
        <w:spacing w:after="225"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4775A7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E81700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un </w:t>
      </w:r>
      <w:r w:rsidR="00E81700">
        <w:rPr>
          <w:rFonts w:ascii="Open Sans" w:hAnsi="Open Sans" w:cs="Open Sans"/>
          <w:color w:val="000000"/>
        </w:rPr>
        <w:t>-</w:t>
      </w:r>
      <w:r w:rsidR="00703B33">
        <w:rPr>
          <w:rFonts w:ascii="Open Sans" w:hAnsi="Open Sans" w:cs="Open Sans"/>
          <w:color w:val="000000"/>
        </w:rPr>
        <w:t>0,</w:t>
      </w:r>
      <w:r w:rsidR="00D347D0">
        <w:rPr>
          <w:rFonts w:ascii="Open Sans" w:hAnsi="Open Sans" w:cs="Open Sans"/>
          <w:color w:val="000000"/>
        </w:rPr>
        <w:t>5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>el precio de la vivienda de segunda mano</w:t>
      </w:r>
      <w:r w:rsidR="00E81700">
        <w:rPr>
          <w:rFonts w:ascii="Open Sans" w:hAnsi="Open Sans" w:cs="Open Sans"/>
          <w:color w:val="000000"/>
        </w:rPr>
        <w:t xml:space="preserve">, pero sube </w:t>
      </w:r>
      <w:r w:rsidR="00AB5C6D">
        <w:rPr>
          <w:rFonts w:ascii="Open Sans" w:hAnsi="Open Sans" w:cs="Open Sans"/>
          <w:color w:val="000000"/>
        </w:rPr>
        <w:t>un</w:t>
      </w:r>
      <w:r>
        <w:rPr>
          <w:rFonts w:ascii="Open Sans" w:hAnsi="Open Sans" w:cs="Open Sans"/>
          <w:color w:val="000000"/>
        </w:rPr>
        <w:t xml:space="preserve"> </w:t>
      </w:r>
      <w:r w:rsidR="00E81700">
        <w:rPr>
          <w:rFonts w:ascii="Open Sans" w:hAnsi="Open Sans" w:cs="Open Sans"/>
          <w:color w:val="000000"/>
        </w:rPr>
        <w:t>1,9%</w:t>
      </w:r>
      <w:r>
        <w:rPr>
          <w:rFonts w:ascii="Open Sans" w:hAnsi="Open Sans" w:cs="Open Sans"/>
          <w:color w:val="000000"/>
        </w:rPr>
        <w:t xml:space="preserve"> </w:t>
      </w:r>
      <w:r w:rsidR="00444A27">
        <w:rPr>
          <w:rFonts w:ascii="Open Sans" w:hAnsi="Open Sans" w:cs="Open Sans"/>
          <w:color w:val="000000"/>
        </w:rPr>
        <w:t xml:space="preserve">en </w:t>
      </w:r>
      <w:r>
        <w:rPr>
          <w:rFonts w:ascii="Open Sans" w:hAnsi="Open Sans" w:cs="Open Sans"/>
          <w:color w:val="000000"/>
        </w:rPr>
        <w:t xml:space="preserve">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2C6F59">
        <w:rPr>
          <w:rFonts w:ascii="Open Sans" w:hAnsi="Open Sans" w:cs="Open Sans"/>
          <w:color w:val="000000"/>
        </w:rPr>
        <w:t>88</w:t>
      </w:r>
      <w:r w:rsidR="00E81700">
        <w:rPr>
          <w:rFonts w:ascii="Open Sans" w:hAnsi="Open Sans" w:cs="Open Sans"/>
          <w:color w:val="000000"/>
        </w:rPr>
        <w:t>8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E81700">
        <w:rPr>
          <w:rFonts w:ascii="Open Sans" w:hAnsi="Open Sans" w:cs="Open Sans"/>
          <w:color w:val="000000"/>
        </w:rPr>
        <w:t>abril</w:t>
      </w:r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776F95">
        <w:rPr>
          <w:rFonts w:ascii="Open Sans" w:hAnsi="Open Sans" w:cs="Open Sans"/>
          <w:color w:val="000000"/>
        </w:rPr>
        <w:t xml:space="preserve">Este </w:t>
      </w:r>
      <w:r w:rsidR="002921A8">
        <w:rPr>
          <w:rFonts w:ascii="Open Sans" w:hAnsi="Open Sans" w:cs="Open Sans"/>
          <w:color w:val="000000"/>
        </w:rPr>
        <w:t xml:space="preserve">último </w:t>
      </w:r>
      <w:r w:rsidR="00776F95">
        <w:rPr>
          <w:rFonts w:ascii="Open Sans" w:hAnsi="Open Sans" w:cs="Open Sans"/>
          <w:color w:val="000000"/>
        </w:rPr>
        <w:t xml:space="preserve">valor </w:t>
      </w:r>
      <w:r w:rsidR="002921A8">
        <w:rPr>
          <w:rFonts w:ascii="Open Sans" w:hAnsi="Open Sans" w:cs="Open Sans"/>
          <w:color w:val="000000"/>
        </w:rPr>
        <w:t xml:space="preserve">es la </w:t>
      </w:r>
      <w:r w:rsidR="00974863">
        <w:rPr>
          <w:rFonts w:ascii="Open Sans" w:hAnsi="Open Sans" w:cs="Open Sans"/>
          <w:color w:val="000000"/>
        </w:rPr>
        <w:t>sexta</w:t>
      </w:r>
      <w:r w:rsidR="002921A8">
        <w:rPr>
          <w:rFonts w:ascii="Open Sans" w:hAnsi="Open Sans" w:cs="Open Sans"/>
          <w:color w:val="000000"/>
        </w:rPr>
        <w:t xml:space="preserve"> </w:t>
      </w:r>
      <w:r w:rsidR="005910BD">
        <w:rPr>
          <w:rFonts w:ascii="Open Sans" w:hAnsi="Open Sans" w:cs="Open Sans"/>
          <w:color w:val="000000"/>
        </w:rPr>
        <w:t>(</w:t>
      </w:r>
      <w:r w:rsidR="00974863">
        <w:rPr>
          <w:rFonts w:ascii="Open Sans" w:hAnsi="Open Sans" w:cs="Open Sans"/>
          <w:color w:val="000000"/>
        </w:rPr>
        <w:t>1,9</w:t>
      </w:r>
      <w:r w:rsidR="005910BD">
        <w:rPr>
          <w:rFonts w:ascii="Open Sans" w:hAnsi="Open Sans" w:cs="Open Sans"/>
          <w:color w:val="000000"/>
        </w:rPr>
        <w:t xml:space="preserve">%) </w:t>
      </w:r>
      <w:r w:rsidR="00703B33">
        <w:rPr>
          <w:rFonts w:ascii="Open Sans" w:hAnsi="Open Sans" w:cs="Open Sans"/>
          <w:color w:val="000000"/>
        </w:rPr>
        <w:t xml:space="preserve">subida </w:t>
      </w:r>
      <w:r w:rsidR="00BA7C39">
        <w:rPr>
          <w:rFonts w:ascii="Open Sans" w:hAnsi="Open Sans" w:cs="Open Sans"/>
          <w:color w:val="000000"/>
        </w:rPr>
        <w:t xml:space="preserve">interanual </w:t>
      </w:r>
      <w:r w:rsidR="002921A8">
        <w:rPr>
          <w:rFonts w:ascii="Open Sans" w:hAnsi="Open Sans" w:cs="Open Sans"/>
          <w:color w:val="000000"/>
        </w:rPr>
        <w:t>del precio de la vivienda</w:t>
      </w:r>
      <w:r w:rsidR="005910BD">
        <w:rPr>
          <w:rFonts w:ascii="Open Sans" w:hAnsi="Open Sans" w:cs="Open Sans"/>
          <w:color w:val="000000"/>
        </w:rPr>
        <w:t xml:space="preserve"> después de 11 meses de caídas interanuales en cadena</w:t>
      </w:r>
      <w:r w:rsidR="007C1EC1">
        <w:rPr>
          <w:rFonts w:ascii="Open Sans" w:hAnsi="Open Sans" w:cs="Open Sans"/>
          <w:color w:val="000000"/>
        </w:rPr>
        <w:t xml:space="preserve"> (</w:t>
      </w:r>
      <w:r w:rsidR="00BA7C39">
        <w:rPr>
          <w:rFonts w:ascii="Open Sans" w:hAnsi="Open Sans" w:cs="Open Sans"/>
          <w:color w:val="000000"/>
        </w:rPr>
        <w:t>de</w:t>
      </w:r>
      <w:r w:rsidR="007C1EC1">
        <w:rPr>
          <w:rFonts w:ascii="Open Sans" w:hAnsi="Open Sans" w:cs="Open Sans"/>
          <w:color w:val="000000"/>
        </w:rPr>
        <w:t xml:space="preserve"> diciembre de 2019</w:t>
      </w:r>
      <w:r w:rsidR="00BA7C39">
        <w:rPr>
          <w:rFonts w:ascii="Open Sans" w:hAnsi="Open Sans" w:cs="Open Sans"/>
          <w:color w:val="000000"/>
        </w:rPr>
        <w:t xml:space="preserve"> a octubre de 2020</w:t>
      </w:r>
      <w:r w:rsidR="007C1EC1">
        <w:rPr>
          <w:rFonts w:ascii="Open Sans" w:hAnsi="Open Sans" w:cs="Open Sans"/>
          <w:color w:val="000000"/>
        </w:rPr>
        <w:t>)</w:t>
      </w:r>
      <w:r w:rsidR="005910BD">
        <w:rPr>
          <w:rFonts w:ascii="Open Sans" w:hAnsi="Open Sans" w:cs="Open Sans"/>
          <w:color w:val="000000"/>
        </w:rPr>
        <w:t xml:space="preserve">. </w:t>
      </w:r>
    </w:p>
    <w:p w14:paraId="78033DE5" w14:textId="6F0B7916" w:rsidR="00AB5C6D" w:rsidRPr="00AB5C6D" w:rsidRDefault="00AB5C6D" w:rsidP="00AB5C6D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b/>
          <w:bCs/>
          <w:color w:val="303AB2"/>
          <w:sz w:val="26"/>
          <w:szCs w:val="26"/>
        </w:rPr>
      </w:pPr>
      <w:r w:rsidRPr="00AB5C6D">
        <w:rPr>
          <w:rFonts w:ascii="Open Sans" w:hAnsi="Open Sans" w:cs="Open Sans"/>
          <w:b/>
          <w:bCs/>
          <w:color w:val="303AB2"/>
          <w:sz w:val="26"/>
          <w:szCs w:val="26"/>
        </w:rPr>
        <w:t>Variación mensual e interanual</w:t>
      </w:r>
      <w:r w:rsidR="00D84D8B">
        <w:rPr>
          <w:rFonts w:ascii="Open Sans" w:hAnsi="Open Sans" w:cs="Open Sans"/>
          <w:b/>
          <w:bCs/>
          <w:color w:val="303AB2"/>
          <w:sz w:val="26"/>
          <w:szCs w:val="26"/>
        </w:rPr>
        <w:t xml:space="preserve"> de España</w:t>
      </w:r>
    </w:p>
    <w:p w14:paraId="534CBE1D" w14:textId="2346F85B" w:rsidR="003E37AB" w:rsidRDefault="00974863" w:rsidP="003E37AB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74B277F9" wp14:editId="711579FC">
            <wp:extent cx="5667470" cy="2833370"/>
            <wp:effectExtent l="0" t="0" r="0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F4F1F5-AC0B-4EF6-ACB3-7A0746E7B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336D35" w14:textId="152FAEBA" w:rsidR="006C08B6" w:rsidRDefault="00376083" w:rsidP="0097486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“El gran interés que hay actualmente por la vivienda de segunda mano para comprar está haciendo que los precios suban casi un 2% respecto al año pasado. Claramente, a nivel general, los propietarios no se están viendo obligados a bajar precios para poder vender. No obstante, la tendencia no es igual en cada zona y, por ejemplo, en ciudades como Madrid o Barcelona los precios sí que están bajando (un 1,4% y un 4,8%, respectivamente) y esto es debido a que en estas grandes ciudades la demanda ha caído respecto a zonas periféricas en que la demanda está siendo mucho más abultada”, explica María Matos, directora de Estudios y Portavoz de </w:t>
      </w:r>
      <w:hyperlink r:id="rId11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. </w:t>
      </w:r>
    </w:p>
    <w:p w14:paraId="288D3BEC" w14:textId="557784ED" w:rsidR="00E456B0" w:rsidRDefault="007D6B10" w:rsidP="0097486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t xml:space="preserve">En España </w:t>
      </w:r>
      <w:r w:rsidR="00B22D16">
        <w:rPr>
          <w:rFonts w:ascii="Open Sans" w:hAnsi="Open Sans" w:cs="Open Sans"/>
          <w:color w:val="000000"/>
        </w:rPr>
        <w:t>1</w:t>
      </w:r>
      <w:r w:rsidR="00974863">
        <w:rPr>
          <w:rFonts w:ascii="Open Sans" w:hAnsi="Open Sans" w:cs="Open Sans"/>
          <w:color w:val="000000"/>
        </w:rPr>
        <w:t>5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974863">
        <w:rPr>
          <w:rFonts w:ascii="Open Sans" w:hAnsi="Open Sans" w:cs="Open Sans"/>
          <w:color w:val="000000"/>
        </w:rPr>
        <w:t>negativos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974863">
        <w:rPr>
          <w:rFonts w:ascii="Open Sans" w:hAnsi="Open Sans" w:cs="Open Sans"/>
          <w:color w:val="000000"/>
        </w:rPr>
        <w:t>abril</w:t>
      </w:r>
      <w:r w:rsidR="001B32B7">
        <w:rPr>
          <w:rFonts w:ascii="Open Sans" w:hAnsi="Open Sans" w:cs="Open Sans"/>
          <w:color w:val="000000"/>
        </w:rPr>
        <w:t xml:space="preserve"> d</w:t>
      </w:r>
      <w:r w:rsidRPr="00F64561">
        <w:rPr>
          <w:rFonts w:ascii="Open Sans" w:hAnsi="Open Sans" w:cs="Open Sans"/>
          <w:color w:val="000000"/>
        </w:rPr>
        <w:t>e 20</w:t>
      </w:r>
      <w:r>
        <w:rPr>
          <w:rFonts w:ascii="Open Sans" w:hAnsi="Open Sans" w:cs="Open Sans"/>
          <w:color w:val="000000"/>
        </w:rPr>
        <w:t>2</w:t>
      </w:r>
      <w:r w:rsidR="00BA7C39">
        <w:rPr>
          <w:rFonts w:ascii="Open Sans" w:hAnsi="Open Sans" w:cs="Open Sans"/>
          <w:color w:val="000000"/>
        </w:rPr>
        <w:t>1</w:t>
      </w:r>
      <w:r w:rsidRPr="00F64561">
        <w:rPr>
          <w:rFonts w:ascii="Open Sans" w:hAnsi="Open Sans" w:cs="Open Sans"/>
          <w:color w:val="000000"/>
        </w:rPr>
        <w:t xml:space="preserve">. </w:t>
      </w:r>
      <w:r w:rsidR="00BA7C39">
        <w:rPr>
          <w:rFonts w:ascii="Open Sans" w:hAnsi="Open Sans" w:cs="Open Sans"/>
          <w:color w:val="000000"/>
        </w:rPr>
        <w:t xml:space="preserve">Los </w:t>
      </w:r>
      <w:r w:rsidR="00974863">
        <w:rPr>
          <w:rFonts w:ascii="Open Sans" w:hAnsi="Open Sans" w:cs="Open Sans"/>
          <w:color w:val="000000"/>
        </w:rPr>
        <w:t>descensos</w:t>
      </w:r>
      <w:r w:rsidR="00BA7C39">
        <w:rPr>
          <w:rFonts w:ascii="Open Sans" w:hAnsi="Open Sans" w:cs="Open Sans"/>
          <w:color w:val="000000"/>
        </w:rPr>
        <w:t xml:space="preserve"> corresponden a: </w:t>
      </w:r>
      <w:r w:rsidR="00974863" w:rsidRPr="00974863">
        <w:rPr>
          <w:rFonts w:ascii="Open Sans" w:hAnsi="Open Sans" w:cs="Open Sans"/>
          <w:color w:val="000000"/>
        </w:rPr>
        <w:t xml:space="preserve">Región de Murcia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-2,5%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Canarias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-2,3%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Castilla-La Mancha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-2,2%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Aragón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-1,5%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Extremadura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-1,4%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La Rioja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-1,3%</w:t>
      </w:r>
      <w:r w:rsidR="00974863">
        <w:rPr>
          <w:rFonts w:ascii="Open Sans" w:hAnsi="Open Sans" w:cs="Open Sans"/>
          <w:color w:val="000000"/>
        </w:rPr>
        <w:t xml:space="preserve">), </w:t>
      </w:r>
      <w:proofErr w:type="spellStart"/>
      <w:r w:rsidR="00974863" w:rsidRPr="00974863">
        <w:rPr>
          <w:rFonts w:ascii="Open Sans" w:hAnsi="Open Sans" w:cs="Open Sans"/>
          <w:color w:val="000000"/>
        </w:rPr>
        <w:t>Comunitat</w:t>
      </w:r>
      <w:proofErr w:type="spellEnd"/>
      <w:r w:rsidR="00974863" w:rsidRPr="00974863">
        <w:rPr>
          <w:rFonts w:ascii="Open Sans" w:hAnsi="Open Sans" w:cs="Open Sans"/>
          <w:color w:val="000000"/>
        </w:rPr>
        <w:t xml:space="preserve"> Valenciana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-1,1%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Cantabria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-0,9%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Baleares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-0,8%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Andalucía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-0,8%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Castilla y León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-0,6%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Galicia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-0,5%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País Vasco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-0,5%</w:t>
      </w:r>
      <w:r w:rsidR="00974863">
        <w:rPr>
          <w:rFonts w:ascii="Open Sans" w:hAnsi="Open Sans" w:cs="Open Sans"/>
          <w:color w:val="000000"/>
        </w:rPr>
        <w:t xml:space="preserve">), </w:t>
      </w:r>
      <w:r w:rsidR="00974863" w:rsidRPr="00974863">
        <w:rPr>
          <w:rFonts w:ascii="Open Sans" w:hAnsi="Open Sans" w:cs="Open Sans"/>
          <w:color w:val="000000"/>
        </w:rPr>
        <w:t xml:space="preserve">Asturias </w:t>
      </w:r>
      <w:r w:rsidR="00974863">
        <w:rPr>
          <w:rFonts w:ascii="Open Sans" w:hAnsi="Open Sans" w:cs="Open Sans"/>
          <w:color w:val="000000"/>
        </w:rPr>
        <w:t>(</w:t>
      </w:r>
      <w:r w:rsidR="00974863" w:rsidRPr="00974863">
        <w:rPr>
          <w:rFonts w:ascii="Open Sans" w:hAnsi="Open Sans" w:cs="Open Sans"/>
          <w:color w:val="000000"/>
        </w:rPr>
        <w:t>-0,2%</w:t>
      </w:r>
      <w:r w:rsidR="00974863">
        <w:rPr>
          <w:rFonts w:ascii="Open Sans" w:hAnsi="Open Sans" w:cs="Open Sans"/>
          <w:color w:val="000000"/>
        </w:rPr>
        <w:t xml:space="preserve">) y </w:t>
      </w:r>
      <w:r w:rsidR="00974863" w:rsidRPr="00974863">
        <w:rPr>
          <w:rFonts w:ascii="Open Sans" w:hAnsi="Open Sans" w:cs="Open Sans"/>
          <w:color w:val="000000"/>
        </w:rPr>
        <w:t xml:space="preserve">Madrid </w:t>
      </w:r>
      <w:r w:rsidR="00974863">
        <w:rPr>
          <w:rFonts w:ascii="Open Sans" w:hAnsi="Open Sans" w:cs="Open Sans"/>
          <w:color w:val="000000"/>
        </w:rPr>
        <w:t>(-</w:t>
      </w:r>
      <w:r w:rsidR="00974863" w:rsidRPr="00974863">
        <w:rPr>
          <w:rFonts w:ascii="Open Sans" w:hAnsi="Open Sans" w:cs="Open Sans"/>
          <w:color w:val="000000"/>
        </w:rPr>
        <w:t>0,0</w:t>
      </w:r>
      <w:r w:rsidR="00974863">
        <w:rPr>
          <w:rFonts w:ascii="Open Sans" w:hAnsi="Open Sans" w:cs="Open Sans"/>
          <w:color w:val="000000"/>
        </w:rPr>
        <w:t>5</w:t>
      </w:r>
      <w:r w:rsidR="00974863" w:rsidRPr="00974863">
        <w:rPr>
          <w:rFonts w:ascii="Open Sans" w:hAnsi="Open Sans" w:cs="Open Sans"/>
          <w:color w:val="000000"/>
        </w:rPr>
        <w:t>%</w:t>
      </w:r>
      <w:r w:rsidR="00974863">
        <w:rPr>
          <w:rFonts w:ascii="Open Sans" w:hAnsi="Open Sans" w:cs="Open Sans"/>
          <w:color w:val="000000"/>
        </w:rPr>
        <w:t xml:space="preserve">). </w:t>
      </w:r>
      <w:r w:rsidR="0049563F">
        <w:rPr>
          <w:rFonts w:ascii="Open Sans" w:hAnsi="Open Sans" w:cs="Open Sans"/>
          <w:color w:val="000000"/>
        </w:rPr>
        <w:t xml:space="preserve">Por otro lado, las comunidades con incrementos son: </w:t>
      </w:r>
      <w:r w:rsidR="00974863" w:rsidRPr="00974863">
        <w:rPr>
          <w:rFonts w:ascii="Open Sans" w:hAnsi="Open Sans" w:cs="Open Sans"/>
          <w:color w:val="000000"/>
        </w:rPr>
        <w:t xml:space="preserve">Cataluña </w:t>
      </w:r>
      <w:r w:rsidR="00974863">
        <w:rPr>
          <w:rFonts w:ascii="Open Sans" w:hAnsi="Open Sans" w:cs="Open Sans"/>
          <w:color w:val="000000"/>
        </w:rPr>
        <w:t>(0,3</w:t>
      </w:r>
      <w:r w:rsidR="00974863" w:rsidRPr="0049563F">
        <w:rPr>
          <w:rFonts w:ascii="Open Sans" w:hAnsi="Open Sans" w:cs="Open Sans"/>
          <w:color w:val="000000"/>
        </w:rPr>
        <w:t>%</w:t>
      </w:r>
      <w:r w:rsidR="00974863">
        <w:rPr>
          <w:rFonts w:ascii="Open Sans" w:hAnsi="Open Sans" w:cs="Open Sans"/>
          <w:color w:val="000000"/>
        </w:rPr>
        <w:t>)</w:t>
      </w:r>
      <w:r w:rsidR="003F1B04">
        <w:rPr>
          <w:rFonts w:ascii="Open Sans" w:hAnsi="Open Sans" w:cs="Open Sans"/>
          <w:color w:val="000000"/>
        </w:rPr>
        <w:t xml:space="preserve"> </w:t>
      </w:r>
      <w:r w:rsidR="00974863">
        <w:rPr>
          <w:rFonts w:ascii="Open Sans" w:hAnsi="Open Sans" w:cs="Open Sans"/>
          <w:color w:val="000000"/>
        </w:rPr>
        <w:t xml:space="preserve">y </w:t>
      </w:r>
      <w:r w:rsidR="0049563F" w:rsidRPr="0049563F">
        <w:rPr>
          <w:rFonts w:ascii="Open Sans" w:hAnsi="Open Sans" w:cs="Open Sans"/>
          <w:color w:val="000000"/>
        </w:rPr>
        <w:t xml:space="preserve">Castilla y León </w:t>
      </w:r>
      <w:r w:rsidR="0049563F">
        <w:rPr>
          <w:rFonts w:ascii="Open Sans" w:hAnsi="Open Sans" w:cs="Open Sans"/>
          <w:color w:val="000000"/>
        </w:rPr>
        <w:t>(</w:t>
      </w:r>
      <w:r w:rsidR="0049563F" w:rsidRPr="0049563F">
        <w:rPr>
          <w:rFonts w:ascii="Open Sans" w:hAnsi="Open Sans" w:cs="Open Sans"/>
          <w:color w:val="000000"/>
        </w:rPr>
        <w:t>0,</w:t>
      </w:r>
      <w:r w:rsidR="003F1B04">
        <w:rPr>
          <w:rFonts w:ascii="Open Sans" w:hAnsi="Open Sans" w:cs="Open Sans"/>
          <w:color w:val="000000"/>
        </w:rPr>
        <w:t>3</w:t>
      </w:r>
      <w:r w:rsidR="0049563F" w:rsidRPr="0049563F">
        <w:rPr>
          <w:rFonts w:ascii="Open Sans" w:hAnsi="Open Sans" w:cs="Open Sans"/>
          <w:color w:val="000000"/>
        </w:rPr>
        <w:t>%</w:t>
      </w:r>
      <w:r w:rsidR="0049563F">
        <w:rPr>
          <w:rFonts w:ascii="Open Sans" w:hAnsi="Open Sans" w:cs="Open Sans"/>
          <w:color w:val="000000"/>
        </w:rPr>
        <w:t>).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D10083" w:rsidRPr="0005182B" w14:paraId="482CAEF2" w14:textId="77777777" w:rsidTr="00974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437ABE63" w14:textId="77777777" w:rsidR="00D10083" w:rsidRPr="005F4CCA" w:rsidRDefault="00D10083" w:rsidP="0097486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5F4CC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6E6BCC5" w14:textId="77777777" w:rsidR="00D10083" w:rsidRPr="00CF48C7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CE4C57A" w14:textId="77777777" w:rsidR="00D10083" w:rsidRPr="00CF48C7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1F78D973" w14:textId="77777777" w:rsidR="00D10083" w:rsidRPr="00CF48C7" w:rsidRDefault="00D10083" w:rsidP="009748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7A3ADBA1" w14:textId="6F4EBA86" w:rsidR="00D10083" w:rsidRPr="00CF48C7" w:rsidRDefault="00005075" w:rsidP="00B22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Abril</w:t>
            </w:r>
            <w:r w:rsidR="00D10083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. 2021</w:t>
            </w:r>
          </w:p>
          <w:p w14:paraId="3F089AF0" w14:textId="77777777" w:rsidR="00D10083" w:rsidRPr="00CF48C7" w:rsidRDefault="00D10083" w:rsidP="00B22D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</w:tr>
      <w:tr w:rsidR="00005075" w:rsidRPr="0005182B" w14:paraId="07000574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54057DF" w14:textId="687C5943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4077FDAC" w14:textId="1E58D153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013" w:type="dxa"/>
            <w:vAlign w:val="bottom"/>
          </w:tcPr>
          <w:p w14:paraId="564B8C78" w14:textId="042B5A89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998" w:type="dxa"/>
            <w:vAlign w:val="bottom"/>
          </w:tcPr>
          <w:p w14:paraId="2B58C165" w14:textId="63E64886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1.133 €</w:t>
            </w:r>
          </w:p>
        </w:tc>
      </w:tr>
      <w:tr w:rsidR="00005075" w:rsidRPr="0005182B" w14:paraId="02956CFD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6DDEABD" w14:textId="19E924FA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2A8325F6" w14:textId="5063D2B5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2013" w:type="dxa"/>
            <w:vAlign w:val="bottom"/>
          </w:tcPr>
          <w:p w14:paraId="045404EB" w14:textId="67480189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98" w:type="dxa"/>
            <w:vAlign w:val="bottom"/>
          </w:tcPr>
          <w:p w14:paraId="264D67D7" w14:textId="095844D4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1.771 €</w:t>
            </w:r>
          </w:p>
        </w:tc>
      </w:tr>
      <w:tr w:rsidR="00005075" w:rsidRPr="0005182B" w14:paraId="695F6A2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982DD22" w14:textId="42AA55B8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6C6A362C" w14:textId="6A4F1413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2013" w:type="dxa"/>
            <w:vAlign w:val="bottom"/>
          </w:tcPr>
          <w:p w14:paraId="41AD1824" w14:textId="0CB02B57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998" w:type="dxa"/>
            <w:vAlign w:val="bottom"/>
          </w:tcPr>
          <w:p w14:paraId="2883F51F" w14:textId="53840DD2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1.110 €</w:t>
            </w:r>
          </w:p>
        </w:tc>
      </w:tr>
      <w:tr w:rsidR="00005075" w:rsidRPr="0005182B" w14:paraId="5B7CF15B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C77FD03" w14:textId="7E7B4BCD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72322152" w14:textId="64037B35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013" w:type="dxa"/>
            <w:vAlign w:val="bottom"/>
          </w:tcPr>
          <w:p w14:paraId="083540B3" w14:textId="693E8EDE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998" w:type="dxa"/>
            <w:vAlign w:val="bottom"/>
          </w:tcPr>
          <w:p w14:paraId="7DFFDAE1" w14:textId="51F4FEC8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1.571 €</w:t>
            </w:r>
          </w:p>
        </w:tc>
      </w:tr>
      <w:tr w:rsidR="00005075" w:rsidRPr="0005182B" w14:paraId="0B691399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3442791" w14:textId="3FB6AE7E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48AEDB03" w14:textId="17506530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013" w:type="dxa"/>
            <w:vAlign w:val="bottom"/>
          </w:tcPr>
          <w:p w14:paraId="7714ED29" w14:textId="698D3CB2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998" w:type="dxa"/>
            <w:vAlign w:val="bottom"/>
          </w:tcPr>
          <w:p w14:paraId="78DB2D62" w14:textId="0E62A155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1.164 €</w:t>
            </w:r>
          </w:p>
        </w:tc>
      </w:tr>
      <w:tr w:rsidR="00005075" w:rsidRPr="0005182B" w14:paraId="1A3DBD7C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92185F5" w14:textId="60499D1D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761CFCBD" w14:textId="40A3FB20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013" w:type="dxa"/>
            <w:vAlign w:val="bottom"/>
          </w:tcPr>
          <w:p w14:paraId="5118DEB6" w14:textId="21DBB005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998" w:type="dxa"/>
            <w:vAlign w:val="bottom"/>
          </w:tcPr>
          <w:p w14:paraId="4224D64A" w14:textId="749355BF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1.425 €</w:t>
            </w:r>
          </w:p>
        </w:tc>
      </w:tr>
      <w:tr w:rsidR="00005075" w:rsidRPr="0005182B" w14:paraId="66360ED7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D9B0767" w14:textId="15F6E6F8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2348" w:type="dxa"/>
            <w:vAlign w:val="bottom"/>
          </w:tcPr>
          <w:p w14:paraId="4F77CD96" w14:textId="09314F9B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013" w:type="dxa"/>
            <w:vAlign w:val="bottom"/>
          </w:tcPr>
          <w:p w14:paraId="4216E529" w14:textId="5BB2593A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98" w:type="dxa"/>
            <w:vAlign w:val="bottom"/>
          </w:tcPr>
          <w:p w14:paraId="03621E6E" w14:textId="5D4589E1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1.427 €</w:t>
            </w:r>
          </w:p>
        </w:tc>
      </w:tr>
      <w:tr w:rsidR="00005075" w:rsidRPr="0005182B" w14:paraId="54250DED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2E446BD" w14:textId="0523B84B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4A7AAB6F" w14:textId="36AEBA25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013" w:type="dxa"/>
            <w:vAlign w:val="bottom"/>
          </w:tcPr>
          <w:p w14:paraId="5F0F94F1" w14:textId="5E802B43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98" w:type="dxa"/>
            <w:vAlign w:val="bottom"/>
          </w:tcPr>
          <w:p w14:paraId="73D1D6A9" w14:textId="3039BBF1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1.725 €</w:t>
            </w:r>
          </w:p>
        </w:tc>
      </w:tr>
      <w:tr w:rsidR="00005075" w:rsidRPr="0005182B" w14:paraId="7D467BF8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C9412BE" w14:textId="30FF2BA3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479FCE1A" w14:textId="3F63CFF8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013" w:type="dxa"/>
            <w:vAlign w:val="bottom"/>
          </w:tcPr>
          <w:p w14:paraId="58B2956F" w14:textId="4FCD372F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998" w:type="dxa"/>
            <w:vAlign w:val="bottom"/>
          </w:tcPr>
          <w:p w14:paraId="561BA2EF" w14:textId="42E6B102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2.856 €</w:t>
            </w:r>
          </w:p>
        </w:tc>
      </w:tr>
      <w:tr w:rsidR="00005075" w:rsidRPr="0005182B" w14:paraId="2EDFEDA6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40ECE6F" w14:textId="70133A91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17123D30" w14:textId="1978549C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013" w:type="dxa"/>
            <w:vAlign w:val="bottom"/>
          </w:tcPr>
          <w:p w14:paraId="31C20B24" w14:textId="5849C5EF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998" w:type="dxa"/>
            <w:vAlign w:val="bottom"/>
          </w:tcPr>
          <w:p w14:paraId="7C324076" w14:textId="48897CCA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1.657 €</w:t>
            </w:r>
          </w:p>
        </w:tc>
      </w:tr>
      <w:tr w:rsidR="00005075" w:rsidRPr="0005182B" w14:paraId="66E297D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FACB9AB" w14:textId="1267471D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005BB017" w14:textId="7B639849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013" w:type="dxa"/>
            <w:vAlign w:val="bottom"/>
          </w:tcPr>
          <w:p w14:paraId="587F0319" w14:textId="4EC2EB86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98" w:type="dxa"/>
            <w:vAlign w:val="bottom"/>
          </w:tcPr>
          <w:p w14:paraId="1BA6BE63" w14:textId="57DDE6A1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1.430 €</w:t>
            </w:r>
          </w:p>
        </w:tc>
      </w:tr>
      <w:tr w:rsidR="00005075" w:rsidRPr="0005182B" w14:paraId="5AFD022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DE7A53E" w14:textId="241AF92B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5ABAED59" w14:textId="704A7293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13" w:type="dxa"/>
            <w:vAlign w:val="bottom"/>
          </w:tcPr>
          <w:p w14:paraId="50306784" w14:textId="5900B391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998" w:type="dxa"/>
            <w:vAlign w:val="bottom"/>
          </w:tcPr>
          <w:p w14:paraId="6C001A47" w14:textId="60975A12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1.609 €</w:t>
            </w:r>
          </w:p>
        </w:tc>
      </w:tr>
      <w:tr w:rsidR="00005075" w:rsidRPr="0005182B" w14:paraId="4389029C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747EBBB" w14:textId="5573C100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5D2B37CE" w14:textId="0F94B800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13" w:type="dxa"/>
            <w:vAlign w:val="bottom"/>
          </w:tcPr>
          <w:p w14:paraId="5E08AFA1" w14:textId="245A316C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98" w:type="dxa"/>
            <w:vAlign w:val="bottom"/>
          </w:tcPr>
          <w:p w14:paraId="0E468C82" w14:textId="7C62F7C8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2.863 €</w:t>
            </w:r>
          </w:p>
        </w:tc>
      </w:tr>
      <w:tr w:rsidR="00005075" w:rsidRPr="0005182B" w14:paraId="64913DA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A35FB07" w14:textId="63258B02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03EC2C04" w14:textId="6EDC2307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013" w:type="dxa"/>
            <w:vAlign w:val="bottom"/>
          </w:tcPr>
          <w:p w14:paraId="16613B4B" w14:textId="3019A666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998" w:type="dxa"/>
            <w:vAlign w:val="bottom"/>
          </w:tcPr>
          <w:p w14:paraId="2B2C7BAC" w14:textId="5CABDC0C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1.583 €</w:t>
            </w:r>
          </w:p>
        </w:tc>
      </w:tr>
      <w:tr w:rsidR="00005075" w:rsidRPr="0005182B" w14:paraId="6D47AAEC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2F69359" w14:textId="2B8630BB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387F7DD9" w14:textId="2B2860C7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-0,05%</w:t>
            </w:r>
          </w:p>
        </w:tc>
        <w:tc>
          <w:tcPr>
            <w:tcW w:w="2013" w:type="dxa"/>
            <w:vAlign w:val="bottom"/>
          </w:tcPr>
          <w:p w14:paraId="0E0BB05F" w14:textId="1BA32018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98" w:type="dxa"/>
            <w:vAlign w:val="bottom"/>
          </w:tcPr>
          <w:p w14:paraId="7179EB60" w14:textId="67FE56D0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3.103 €</w:t>
            </w:r>
          </w:p>
        </w:tc>
      </w:tr>
      <w:tr w:rsidR="00005075" w:rsidRPr="0005182B" w14:paraId="544EF843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175130C" w14:textId="177ED564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3368A22E" w14:textId="5E40DD38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50228B10" w14:textId="64F84F7D" w:rsidR="00005075" w:rsidRPr="005F4CCA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998" w:type="dxa"/>
            <w:vAlign w:val="bottom"/>
          </w:tcPr>
          <w:p w14:paraId="583DC22C" w14:textId="1C8E2F7C" w:rsidR="00005075" w:rsidRPr="005F4CCA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1.675 €</w:t>
            </w:r>
          </w:p>
        </w:tc>
      </w:tr>
      <w:tr w:rsidR="00005075" w:rsidRPr="0005182B" w14:paraId="1C9B07B5" w14:textId="77777777" w:rsidTr="0097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496F9DA" w14:textId="10D3E2F8" w:rsidR="00005075" w:rsidRPr="00005075" w:rsidRDefault="00005075" w:rsidP="0000507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00507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5EFC2664" w14:textId="3177BF98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013" w:type="dxa"/>
            <w:vAlign w:val="bottom"/>
          </w:tcPr>
          <w:p w14:paraId="0A59B076" w14:textId="7E98A004" w:rsidR="00005075" w:rsidRPr="005F4CCA" w:rsidRDefault="00005075" w:rsidP="00005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998" w:type="dxa"/>
            <w:vAlign w:val="bottom"/>
          </w:tcPr>
          <w:p w14:paraId="2DD34216" w14:textId="10FF6449" w:rsidR="00005075" w:rsidRPr="005F4CCA" w:rsidRDefault="00005075" w:rsidP="00B22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2.528 €</w:t>
            </w:r>
          </w:p>
        </w:tc>
      </w:tr>
      <w:tr w:rsidR="00005075" w:rsidRPr="0005182B" w14:paraId="6EF0CDA4" w14:textId="77777777" w:rsidTr="0097486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369B3" w14:textId="77777777" w:rsidR="00005075" w:rsidRPr="008438F6" w:rsidRDefault="00005075" w:rsidP="00005075">
            <w:pPr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8438F6">
              <w:rPr>
                <w:rFonts w:ascii="Open Sans" w:hAnsi="Open Sans" w:cs="Open Sans"/>
                <w:bCs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067A9B53" w14:textId="69AADDCA" w:rsidR="00005075" w:rsidRPr="008438F6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013" w:type="dxa"/>
            <w:vAlign w:val="bottom"/>
          </w:tcPr>
          <w:p w14:paraId="28A56179" w14:textId="64E2C83E" w:rsidR="00005075" w:rsidRPr="008438F6" w:rsidRDefault="00005075" w:rsidP="0000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998" w:type="dxa"/>
            <w:vAlign w:val="bottom"/>
          </w:tcPr>
          <w:p w14:paraId="6B9930C4" w14:textId="753B0FFB" w:rsidR="00005075" w:rsidRPr="008438F6" w:rsidRDefault="00005075" w:rsidP="00B2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1.133 €</w:t>
            </w:r>
          </w:p>
        </w:tc>
      </w:tr>
    </w:tbl>
    <w:p w14:paraId="12B191E5" w14:textId="77777777" w:rsidR="00E263D4" w:rsidRDefault="00E263D4" w:rsidP="00E263D4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lastRenderedPageBreak/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3.103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>2.863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2.856</w:t>
      </w:r>
      <w:r w:rsidRPr="00776F9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</w:t>
      </w:r>
      <w:r>
        <w:rPr>
          <w:rFonts w:ascii="Open Sans" w:hAnsi="Open Sans" w:cs="Open Sans"/>
          <w:color w:val="000000"/>
        </w:rPr>
        <w:t>528</w:t>
      </w:r>
      <w:r w:rsidRPr="00776F9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>
        <w:rPr>
          <w:rFonts w:ascii="Open Sans" w:hAnsi="Open Sans" w:cs="Open Sans"/>
          <w:color w:val="000000"/>
        </w:rPr>
        <w:t>71</w:t>
      </w:r>
      <w:r w:rsidRPr="00776F9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Cantabria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725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>Navarra</w:t>
      </w:r>
      <w:r>
        <w:rPr>
          <w:rFonts w:ascii="Open Sans" w:hAnsi="Open Sans" w:cs="Open Sans"/>
          <w:color w:val="000000"/>
        </w:rPr>
        <w:t xml:space="preserve"> 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675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Andalucía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657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2B6931"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Galicia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609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>
        <w:rPr>
          <w:rFonts w:ascii="Open Sans" w:hAnsi="Open Sans" w:cs="Open Sans"/>
          <w:color w:val="000000"/>
        </w:rPr>
        <w:t>83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Aragón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>
        <w:rPr>
          <w:rFonts w:ascii="Open Sans" w:hAnsi="Open Sans" w:cs="Open Sans"/>
          <w:color w:val="000000"/>
        </w:rPr>
        <w:t>71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>
        <w:rPr>
          <w:rFonts w:ascii="Open Sans" w:hAnsi="Open Sans" w:cs="Open Sans"/>
          <w:color w:val="000000"/>
        </w:rPr>
        <w:t>30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proofErr w:type="spellStart"/>
      <w:r w:rsidRPr="00776F95">
        <w:rPr>
          <w:rFonts w:ascii="Open Sans" w:hAnsi="Open Sans" w:cs="Open Sans"/>
          <w:color w:val="000000"/>
        </w:rPr>
        <w:t>Comunitat</w:t>
      </w:r>
      <w:proofErr w:type="spellEnd"/>
      <w:r w:rsidRPr="00776F95">
        <w:rPr>
          <w:rFonts w:ascii="Open Sans" w:hAnsi="Open Sans" w:cs="Open Sans"/>
          <w:color w:val="000000"/>
        </w:rPr>
        <w:t xml:space="preserve">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>
        <w:rPr>
          <w:rFonts w:ascii="Open Sans" w:hAnsi="Open Sans" w:cs="Open Sans"/>
          <w:color w:val="000000"/>
        </w:rPr>
        <w:t>27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La Rioja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425</w:t>
      </w:r>
      <w:r w:rsidRPr="00776F9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Extremadura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164</w:t>
      </w:r>
      <w:r w:rsidRPr="00776F95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C312AB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 </w:t>
      </w:r>
      <w:r w:rsidRPr="00776F95">
        <w:rPr>
          <w:rFonts w:ascii="Open Sans" w:hAnsi="Open Sans" w:cs="Open Sans"/>
          <w:color w:val="000000"/>
        </w:rPr>
        <w:t xml:space="preserve">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</w:t>
      </w:r>
      <w:r>
        <w:rPr>
          <w:rFonts w:ascii="Open Sans" w:hAnsi="Open Sans" w:cs="Open Sans"/>
          <w:color w:val="000000"/>
        </w:rPr>
        <w:t>33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</w:t>
      </w:r>
      <w:r w:rsidRPr="00776F95">
        <w:rPr>
          <w:rFonts w:ascii="Open Sans" w:hAnsi="Open Sans" w:cs="Open Sans"/>
          <w:color w:val="000000"/>
        </w:rPr>
        <w:t>Castilla-</w:t>
      </w:r>
      <w:r w:rsidRPr="001A160B">
        <w:rPr>
          <w:rFonts w:ascii="Open Sans" w:hAnsi="Open Sans" w:cs="Open Sans"/>
          <w:color w:val="000000"/>
        </w:rPr>
        <w:t xml:space="preserve"> </w:t>
      </w:r>
      <w:r w:rsidRPr="00776F95">
        <w:rPr>
          <w:rFonts w:ascii="Open Sans" w:hAnsi="Open Sans" w:cs="Open Sans"/>
          <w:color w:val="000000"/>
        </w:rPr>
        <w:t xml:space="preserve">La Mancha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>
        <w:rPr>
          <w:rFonts w:ascii="Open Sans" w:hAnsi="Open Sans" w:cs="Open Sans"/>
          <w:color w:val="000000"/>
        </w:rPr>
        <w:t>110 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6C7B4D94" w14:textId="22B12D7A" w:rsidR="001A160B" w:rsidRDefault="00075EA4" w:rsidP="001A160B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Provincias </w:t>
      </w:r>
    </w:p>
    <w:p w14:paraId="1224D89F" w14:textId="1AE19CD8" w:rsidR="00E5178C" w:rsidRDefault="00FB5607" w:rsidP="00E5178C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803EE5">
        <w:rPr>
          <w:rFonts w:ascii="Open Sans" w:hAnsi="Open Sans" w:cs="Open Sans"/>
          <w:color w:val="000000"/>
        </w:rPr>
        <w:t xml:space="preserve">el </w:t>
      </w:r>
      <w:r w:rsidR="00E5178C">
        <w:rPr>
          <w:rFonts w:ascii="Open Sans" w:hAnsi="Open Sans" w:cs="Open Sans"/>
          <w:color w:val="000000"/>
        </w:rPr>
        <w:t>84</w:t>
      </w:r>
      <w:r w:rsidR="00803EE5">
        <w:rPr>
          <w:rFonts w:ascii="Open Sans" w:hAnsi="Open Sans" w:cs="Open Sans"/>
          <w:color w:val="000000"/>
        </w:rPr>
        <w:t xml:space="preserve">% </w:t>
      </w:r>
      <w:r w:rsidR="00197D6A">
        <w:rPr>
          <w:rFonts w:ascii="Open Sans" w:hAnsi="Open Sans" w:cs="Open Sans"/>
          <w:color w:val="000000"/>
        </w:rPr>
        <w:t>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</w:t>
      </w:r>
      <w:r w:rsidR="006F3449">
        <w:rPr>
          <w:rFonts w:ascii="Open Sans" w:hAnsi="Open Sans" w:cs="Open Sans"/>
          <w:color w:val="000000"/>
        </w:rPr>
        <w:t>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803EE5">
        <w:rPr>
          <w:rFonts w:ascii="Open Sans" w:hAnsi="Open Sans" w:cs="Open Sans"/>
          <w:color w:val="000000"/>
        </w:rPr>
        <w:t xml:space="preserve">analizadas </w:t>
      </w:r>
      <w:r w:rsidR="00E5178C">
        <w:rPr>
          <w:rFonts w:ascii="Open Sans" w:hAnsi="Open Sans" w:cs="Open Sans"/>
          <w:color w:val="000000"/>
        </w:rPr>
        <w:t>cae</w:t>
      </w:r>
      <w:r w:rsidR="00803EE5">
        <w:rPr>
          <w:rFonts w:ascii="Open Sans" w:hAnsi="Open Sans" w:cs="Open Sans"/>
          <w:color w:val="000000"/>
        </w:rPr>
        <w:t xml:space="preserve"> el </w:t>
      </w:r>
      <w:r w:rsidR="00DE1605" w:rsidRPr="00DB7E4F">
        <w:rPr>
          <w:rFonts w:ascii="Open Sans" w:hAnsi="Open Sans" w:cs="Open Sans"/>
          <w:color w:val="000000"/>
        </w:rPr>
        <w:t xml:space="preserve">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E5178C">
        <w:rPr>
          <w:rFonts w:ascii="Open Sans" w:hAnsi="Open Sans" w:cs="Open Sans"/>
          <w:color w:val="000000"/>
        </w:rPr>
        <w:t>abril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5D142F">
        <w:rPr>
          <w:rFonts w:ascii="Open Sans" w:hAnsi="Open Sans" w:cs="Open Sans"/>
          <w:color w:val="000000"/>
        </w:rPr>
        <w:t xml:space="preserve">los diez primeros </w:t>
      </w:r>
      <w:r w:rsidR="00E5178C">
        <w:rPr>
          <w:rFonts w:ascii="Open Sans" w:hAnsi="Open Sans" w:cs="Open Sans"/>
          <w:color w:val="000000"/>
        </w:rPr>
        <w:t>descensos</w:t>
      </w:r>
      <w:r w:rsidR="00D15EC8">
        <w:rPr>
          <w:rFonts w:ascii="Open Sans" w:hAnsi="Open Sans" w:cs="Open Sans"/>
          <w:color w:val="000000"/>
        </w:rPr>
        <w:t xml:space="preserve"> </w:t>
      </w:r>
      <w:r w:rsidR="005D142F">
        <w:rPr>
          <w:rFonts w:ascii="Open Sans" w:hAnsi="Open Sans" w:cs="Open Sans"/>
          <w:color w:val="000000"/>
        </w:rPr>
        <w:t xml:space="preserve">del ranking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197D6A">
        <w:rPr>
          <w:rFonts w:ascii="Open Sans" w:hAnsi="Open Sans" w:cs="Open Sans"/>
          <w:color w:val="000000"/>
        </w:rPr>
        <w:t xml:space="preserve"> </w:t>
      </w:r>
      <w:r w:rsidR="00E5178C" w:rsidRPr="00E5178C">
        <w:rPr>
          <w:rFonts w:ascii="Open Sans" w:hAnsi="Open Sans" w:cs="Open Sans"/>
          <w:color w:val="000000"/>
        </w:rPr>
        <w:t>Las Palmas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-4,0%</w:t>
      </w:r>
      <w:r w:rsidR="00E5178C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Murcia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-2,5%</w:t>
      </w:r>
      <w:r w:rsidR="00E5178C">
        <w:rPr>
          <w:rFonts w:ascii="Open Sans" w:hAnsi="Open Sans" w:cs="Open Sans"/>
          <w:color w:val="000000"/>
        </w:rPr>
        <w:t>),</w:t>
      </w:r>
      <w:r w:rsidR="00551E0C">
        <w:rPr>
          <w:rFonts w:ascii="Open Sans" w:hAnsi="Open Sans" w:cs="Open Sans"/>
          <w:color w:val="000000"/>
        </w:rPr>
        <w:t xml:space="preserve"> </w:t>
      </w:r>
      <w:r w:rsidR="00E5178C" w:rsidRPr="00E5178C">
        <w:rPr>
          <w:rFonts w:ascii="Open Sans" w:hAnsi="Open Sans" w:cs="Open Sans"/>
          <w:color w:val="000000"/>
        </w:rPr>
        <w:t>Ciudad Real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-2,4%</w:t>
      </w:r>
      <w:r w:rsidR="00E5178C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Cádiz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-2,4%</w:t>
      </w:r>
      <w:r w:rsidR="00E5178C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Guadalajara</w:t>
      </w:r>
      <w:r w:rsidR="00B22D16">
        <w:rPr>
          <w:rFonts w:ascii="Open Sans" w:hAnsi="Open Sans" w:cs="Open Sans"/>
          <w:color w:val="000000"/>
        </w:rPr>
        <w:t xml:space="preserve"> </w:t>
      </w:r>
      <w:r w:rsidR="00E5178C">
        <w:rPr>
          <w:rFonts w:ascii="Open Sans" w:hAnsi="Open Sans" w:cs="Open Sans"/>
          <w:color w:val="000000"/>
        </w:rPr>
        <w:t>(</w:t>
      </w:r>
      <w:r w:rsidR="00E5178C" w:rsidRPr="00E5178C">
        <w:rPr>
          <w:rFonts w:ascii="Open Sans" w:hAnsi="Open Sans" w:cs="Open Sans"/>
          <w:color w:val="000000"/>
        </w:rPr>
        <w:t>-2,3%</w:t>
      </w:r>
      <w:r w:rsidR="00E5178C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Cuenca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-2,2%</w:t>
      </w:r>
      <w:r w:rsidR="00E5178C">
        <w:rPr>
          <w:rFonts w:ascii="Open Sans" w:hAnsi="Open Sans" w:cs="Open Sans"/>
          <w:color w:val="000000"/>
        </w:rPr>
        <w:t>),</w:t>
      </w:r>
      <w:r w:rsidR="00E263D4">
        <w:rPr>
          <w:rFonts w:ascii="Open Sans" w:hAnsi="Open Sans" w:cs="Open Sans"/>
          <w:color w:val="000000"/>
        </w:rPr>
        <w:t xml:space="preserve"> </w:t>
      </w:r>
      <w:r w:rsidR="00E5178C" w:rsidRPr="00E5178C">
        <w:rPr>
          <w:rFonts w:ascii="Open Sans" w:hAnsi="Open Sans" w:cs="Open Sans"/>
          <w:color w:val="000000"/>
        </w:rPr>
        <w:t>Zamora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-2,0%</w:t>
      </w:r>
      <w:r w:rsidR="00E5178C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Huesca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-1,9%</w:t>
      </w:r>
      <w:r w:rsidR="00E5178C">
        <w:rPr>
          <w:rFonts w:ascii="Open Sans" w:hAnsi="Open Sans" w:cs="Open Sans"/>
          <w:color w:val="000000"/>
        </w:rPr>
        <w:t>),</w:t>
      </w:r>
      <w:r w:rsidR="00E263D4">
        <w:rPr>
          <w:rFonts w:ascii="Open Sans" w:hAnsi="Open Sans" w:cs="Open Sans"/>
          <w:color w:val="000000"/>
        </w:rPr>
        <w:t xml:space="preserve"> </w:t>
      </w:r>
      <w:r w:rsidR="00E5178C" w:rsidRPr="00E5178C">
        <w:rPr>
          <w:rFonts w:ascii="Open Sans" w:hAnsi="Open Sans" w:cs="Open Sans"/>
          <w:color w:val="000000"/>
        </w:rPr>
        <w:t>Toledo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-1,8%</w:t>
      </w:r>
      <w:r w:rsidR="00E5178C">
        <w:rPr>
          <w:rFonts w:ascii="Open Sans" w:hAnsi="Open Sans" w:cs="Open Sans"/>
          <w:color w:val="000000"/>
        </w:rPr>
        <w:t xml:space="preserve">) y </w:t>
      </w:r>
      <w:r w:rsidR="00E5178C" w:rsidRPr="00E5178C">
        <w:rPr>
          <w:rFonts w:ascii="Open Sans" w:hAnsi="Open Sans" w:cs="Open Sans"/>
          <w:color w:val="000000"/>
        </w:rPr>
        <w:t>Badajoz</w:t>
      </w:r>
      <w:r w:rsidR="00E5178C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-1,7%</w:t>
      </w:r>
      <w:r w:rsidR="00E5178C">
        <w:rPr>
          <w:rFonts w:ascii="Open Sans" w:hAnsi="Open Sans" w:cs="Open Sans"/>
          <w:color w:val="000000"/>
        </w:rPr>
        <w:t>).</w:t>
      </w:r>
      <w:r w:rsidR="00975FFF">
        <w:rPr>
          <w:rFonts w:ascii="Open Sans" w:hAnsi="Open Sans" w:cs="Open Sans"/>
          <w:color w:val="000000"/>
        </w:rPr>
        <w:t xml:space="preserve"> </w:t>
      </w:r>
      <w:r w:rsidR="00075EA4">
        <w:rPr>
          <w:rFonts w:ascii="Open Sans" w:hAnsi="Open Sans" w:cs="Open Sans"/>
          <w:color w:val="000000"/>
        </w:rPr>
        <w:t>P</w:t>
      </w:r>
      <w:r w:rsidR="00B23DF1">
        <w:rPr>
          <w:rFonts w:ascii="Open Sans" w:hAnsi="Open Sans" w:cs="Open Sans"/>
          <w:color w:val="000000"/>
        </w:rPr>
        <w:t xml:space="preserve">or otro lado, </w:t>
      </w:r>
      <w:r w:rsidR="00075EA4">
        <w:rPr>
          <w:rFonts w:ascii="Open Sans" w:hAnsi="Open Sans" w:cs="Open Sans"/>
          <w:color w:val="000000"/>
        </w:rPr>
        <w:t xml:space="preserve">los diez primeros </w:t>
      </w:r>
      <w:r w:rsidR="00803EE5">
        <w:rPr>
          <w:rFonts w:ascii="Open Sans" w:hAnsi="Open Sans" w:cs="Open Sans"/>
          <w:color w:val="000000"/>
        </w:rPr>
        <w:t>descensos</w:t>
      </w:r>
      <w:r w:rsidR="00075EA4">
        <w:rPr>
          <w:rFonts w:ascii="Open Sans" w:hAnsi="Open Sans" w:cs="Open Sans"/>
          <w:color w:val="000000"/>
        </w:rPr>
        <w:t xml:space="preserve"> </w:t>
      </w:r>
      <w:r w:rsidR="00C175F6">
        <w:rPr>
          <w:rFonts w:ascii="Open Sans" w:hAnsi="Open Sans" w:cs="Open Sans"/>
          <w:color w:val="000000"/>
        </w:rPr>
        <w:t xml:space="preserve">mensuales </w:t>
      </w:r>
      <w:r w:rsidR="00075EA4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: </w:t>
      </w:r>
      <w:r w:rsidR="00E5178C" w:rsidRPr="00E5178C">
        <w:rPr>
          <w:rFonts w:ascii="Open Sans" w:hAnsi="Open Sans" w:cs="Open Sans"/>
          <w:color w:val="000000"/>
        </w:rPr>
        <w:t>Soria</w:t>
      </w:r>
      <w:r w:rsidR="00975FFF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1,4%</w:t>
      </w:r>
      <w:r w:rsidR="00975FFF">
        <w:rPr>
          <w:rFonts w:ascii="Open Sans" w:hAnsi="Open Sans" w:cs="Open Sans"/>
          <w:color w:val="000000"/>
        </w:rPr>
        <w:t>),</w:t>
      </w:r>
      <w:r w:rsidR="00B22D16">
        <w:rPr>
          <w:rFonts w:ascii="Open Sans" w:hAnsi="Open Sans" w:cs="Open Sans"/>
          <w:color w:val="000000"/>
        </w:rPr>
        <w:t xml:space="preserve"> </w:t>
      </w:r>
      <w:r w:rsidR="00E5178C" w:rsidRPr="00E5178C">
        <w:rPr>
          <w:rFonts w:ascii="Open Sans" w:hAnsi="Open Sans" w:cs="Open Sans"/>
          <w:color w:val="000000"/>
        </w:rPr>
        <w:t>Teruel</w:t>
      </w:r>
      <w:r w:rsidR="00975FFF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1,2%</w:t>
      </w:r>
      <w:r w:rsidR="00975FFF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Ourense</w:t>
      </w:r>
      <w:r w:rsidR="00975FFF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0,7%</w:t>
      </w:r>
      <w:r w:rsidR="00975FFF">
        <w:rPr>
          <w:rFonts w:ascii="Open Sans" w:hAnsi="Open Sans" w:cs="Open Sans"/>
          <w:color w:val="000000"/>
        </w:rPr>
        <w:t>), B</w:t>
      </w:r>
      <w:r w:rsidR="00E5178C" w:rsidRPr="00E5178C">
        <w:rPr>
          <w:rFonts w:ascii="Open Sans" w:hAnsi="Open Sans" w:cs="Open Sans"/>
          <w:color w:val="000000"/>
        </w:rPr>
        <w:t>arcelona</w:t>
      </w:r>
      <w:r w:rsidR="009B3F39">
        <w:rPr>
          <w:rFonts w:ascii="Open Sans" w:hAnsi="Open Sans" w:cs="Open Sans"/>
          <w:color w:val="000000"/>
        </w:rPr>
        <w:t xml:space="preserve"> </w:t>
      </w:r>
      <w:r w:rsidR="00975FFF">
        <w:rPr>
          <w:rFonts w:ascii="Open Sans" w:hAnsi="Open Sans" w:cs="Open Sans"/>
          <w:color w:val="000000"/>
        </w:rPr>
        <w:t>(</w:t>
      </w:r>
      <w:r w:rsidR="00E5178C" w:rsidRPr="00E5178C">
        <w:rPr>
          <w:rFonts w:ascii="Open Sans" w:hAnsi="Open Sans" w:cs="Open Sans"/>
          <w:color w:val="000000"/>
        </w:rPr>
        <w:t>0,6%</w:t>
      </w:r>
      <w:r w:rsidR="00975FFF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Lugo</w:t>
      </w:r>
      <w:r w:rsidR="009B3F39">
        <w:rPr>
          <w:rFonts w:ascii="Open Sans" w:hAnsi="Open Sans" w:cs="Open Sans"/>
          <w:color w:val="000000"/>
        </w:rPr>
        <w:t xml:space="preserve"> </w:t>
      </w:r>
      <w:r w:rsidR="00975FFF">
        <w:rPr>
          <w:rFonts w:ascii="Open Sans" w:hAnsi="Open Sans" w:cs="Open Sans"/>
          <w:color w:val="000000"/>
        </w:rPr>
        <w:t>(</w:t>
      </w:r>
      <w:r w:rsidR="00E5178C" w:rsidRPr="00E5178C">
        <w:rPr>
          <w:rFonts w:ascii="Open Sans" w:hAnsi="Open Sans" w:cs="Open Sans"/>
          <w:color w:val="000000"/>
        </w:rPr>
        <w:t>0,4%</w:t>
      </w:r>
      <w:r w:rsidR="00975FFF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León</w:t>
      </w:r>
      <w:r w:rsidR="00975FFF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0,4%</w:t>
      </w:r>
      <w:r w:rsidR="00975FFF">
        <w:rPr>
          <w:rFonts w:ascii="Open Sans" w:hAnsi="Open Sans" w:cs="Open Sans"/>
          <w:color w:val="000000"/>
        </w:rPr>
        <w:t xml:space="preserve">), </w:t>
      </w:r>
      <w:r w:rsidR="00E5178C" w:rsidRPr="00E5178C">
        <w:rPr>
          <w:rFonts w:ascii="Open Sans" w:hAnsi="Open Sans" w:cs="Open Sans"/>
          <w:color w:val="000000"/>
        </w:rPr>
        <w:t>Navarra</w:t>
      </w:r>
      <w:r w:rsidR="00975FFF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0,3%</w:t>
      </w:r>
      <w:r w:rsidR="00975FFF">
        <w:rPr>
          <w:rFonts w:ascii="Open Sans" w:hAnsi="Open Sans" w:cs="Open Sans"/>
          <w:color w:val="000000"/>
        </w:rPr>
        <w:t xml:space="preserve">) y </w:t>
      </w:r>
      <w:r w:rsidR="00E5178C" w:rsidRPr="00E5178C">
        <w:rPr>
          <w:rFonts w:ascii="Open Sans" w:hAnsi="Open Sans" w:cs="Open Sans"/>
          <w:color w:val="000000"/>
        </w:rPr>
        <w:t>Córdoba</w:t>
      </w:r>
      <w:r w:rsidR="00975FFF">
        <w:rPr>
          <w:rFonts w:ascii="Open Sans" w:hAnsi="Open Sans" w:cs="Open Sans"/>
          <w:color w:val="000000"/>
        </w:rPr>
        <w:t xml:space="preserve"> (</w:t>
      </w:r>
      <w:r w:rsidR="00E5178C" w:rsidRPr="00E5178C">
        <w:rPr>
          <w:rFonts w:ascii="Open Sans" w:hAnsi="Open Sans" w:cs="Open Sans"/>
          <w:color w:val="000000"/>
        </w:rPr>
        <w:t>0,05%</w:t>
      </w:r>
      <w:r w:rsidR="00975FFF">
        <w:rPr>
          <w:rFonts w:ascii="Open Sans" w:hAnsi="Open Sans" w:cs="Open Sans"/>
          <w:color w:val="000000"/>
        </w:rPr>
        <w:t>).</w:t>
      </w:r>
    </w:p>
    <w:p w14:paraId="7D210BF6" w14:textId="77777777" w:rsidR="00E5178C" w:rsidRDefault="00E5178C" w:rsidP="00004E72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5B063DC1" w14:textId="7ECF54FF" w:rsidR="001B0D22" w:rsidRPr="00086538" w:rsidRDefault="00DE1605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</w:rPr>
      </w:pPr>
      <w:r w:rsidRPr="00086538">
        <w:rPr>
          <w:rFonts w:ascii="Open Sans" w:hAnsi="Open Sans" w:cs="Open Sans"/>
          <w:color w:val="000000"/>
        </w:rPr>
        <w:t xml:space="preserve">En cuanto a los precios, </w:t>
      </w:r>
      <w:r w:rsidR="00C175F6" w:rsidRPr="00086538">
        <w:rPr>
          <w:rFonts w:ascii="Open Sans" w:hAnsi="Open Sans" w:cs="Open Sans"/>
          <w:color w:val="000000"/>
        </w:rPr>
        <w:t xml:space="preserve">Gipuzkoa </w:t>
      </w:r>
      <w:r w:rsidRPr="00086538">
        <w:rPr>
          <w:rFonts w:ascii="Open Sans" w:hAnsi="Open Sans" w:cs="Open Sans"/>
          <w:color w:val="000000"/>
        </w:rPr>
        <w:t xml:space="preserve">es la provincia más cara </w:t>
      </w:r>
      <w:r w:rsidR="00B23DF1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3.</w:t>
      </w:r>
      <w:r w:rsidR="0089707B">
        <w:rPr>
          <w:rFonts w:ascii="Open Sans" w:hAnsi="Open Sans" w:cs="Open Sans"/>
          <w:color w:val="000000"/>
        </w:rPr>
        <w:t>154</w:t>
      </w:r>
      <w:r w:rsidR="007C1EC1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 xml:space="preserve">, seguida de </w:t>
      </w:r>
      <w:r w:rsidR="00C175F6" w:rsidRPr="00086538">
        <w:rPr>
          <w:rFonts w:ascii="Open Sans" w:hAnsi="Open Sans" w:cs="Open Sans"/>
          <w:color w:val="000000"/>
        </w:rPr>
        <w:t xml:space="preserve">Madrid </w:t>
      </w:r>
      <w:r w:rsidRPr="00086538">
        <w:rPr>
          <w:rFonts w:ascii="Open Sans" w:hAnsi="Open Sans" w:cs="Open Sans"/>
          <w:color w:val="000000"/>
        </w:rPr>
        <w:t>(</w:t>
      </w:r>
      <w:r w:rsidR="00086538">
        <w:rPr>
          <w:rFonts w:ascii="Open Sans" w:hAnsi="Open Sans" w:cs="Open Sans"/>
          <w:color w:val="000000"/>
        </w:rPr>
        <w:t>3.</w:t>
      </w:r>
      <w:r w:rsidR="0089707B">
        <w:rPr>
          <w:rFonts w:ascii="Open Sans" w:hAnsi="Open Sans" w:cs="Open Sans"/>
          <w:color w:val="000000"/>
        </w:rPr>
        <w:t>10</w:t>
      </w:r>
      <w:r w:rsidR="00551E0C">
        <w:rPr>
          <w:rFonts w:ascii="Open Sans" w:hAnsi="Open Sans" w:cs="Open Sans"/>
          <w:color w:val="000000"/>
        </w:rPr>
        <w:t>3</w:t>
      </w:r>
      <w:r w:rsidR="00651A15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>)</w:t>
      </w:r>
      <w:r w:rsidR="003C2D34" w:rsidRPr="00086538">
        <w:rPr>
          <w:rFonts w:ascii="Open Sans" w:hAnsi="Open Sans" w:cs="Open Sans"/>
          <w:color w:val="000000"/>
        </w:rPr>
        <w:t xml:space="preserve"> y</w:t>
      </w:r>
      <w:r w:rsidRPr="00086538">
        <w:rPr>
          <w:rFonts w:ascii="Open Sans" w:hAnsi="Open Sans" w:cs="Open Sans"/>
          <w:color w:val="000000"/>
        </w:rPr>
        <w:t xml:space="preserve"> </w:t>
      </w:r>
      <w:r w:rsidR="002F6709" w:rsidRPr="00086538">
        <w:rPr>
          <w:rFonts w:ascii="Open Sans" w:hAnsi="Open Sans" w:cs="Open Sans"/>
          <w:color w:val="000000"/>
        </w:rPr>
        <w:t xml:space="preserve">Barcelona </w:t>
      </w:r>
      <w:r w:rsidRPr="00086538">
        <w:rPr>
          <w:rFonts w:ascii="Open Sans" w:hAnsi="Open Sans" w:cs="Open Sans"/>
          <w:color w:val="000000"/>
        </w:rPr>
        <w:t>(</w:t>
      </w:r>
      <w:r w:rsidR="00C175F6">
        <w:rPr>
          <w:rFonts w:ascii="Open Sans" w:hAnsi="Open Sans" w:cs="Open Sans"/>
          <w:color w:val="000000"/>
        </w:rPr>
        <w:t>2.9</w:t>
      </w:r>
      <w:r w:rsidR="0089707B">
        <w:rPr>
          <w:rFonts w:ascii="Open Sans" w:hAnsi="Open Sans" w:cs="Open Sans"/>
          <w:color w:val="000000"/>
        </w:rPr>
        <w:t>90</w:t>
      </w:r>
      <w:r w:rsidR="00004E72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 w:rsidRPr="00086538">
        <w:rPr>
          <w:rFonts w:ascii="Open Sans" w:hAnsi="Open Sans" w:cs="Open Sans"/>
          <w:color w:val="000000"/>
        </w:rPr>
        <w:t xml:space="preserve">), </w:t>
      </w:r>
      <w:r w:rsidR="003C2D34" w:rsidRPr="00086538">
        <w:rPr>
          <w:rFonts w:ascii="Open Sans" w:hAnsi="Open Sans" w:cs="Open Sans"/>
          <w:color w:val="000000"/>
        </w:rPr>
        <w:t>entre otras. Por otro lado, l</w:t>
      </w:r>
      <w:r w:rsidRPr="00086538">
        <w:rPr>
          <w:rFonts w:ascii="Open Sans" w:hAnsi="Open Sans" w:cs="Open Sans"/>
          <w:color w:val="000000"/>
        </w:rPr>
        <w:t>a</w:t>
      </w:r>
      <w:r w:rsidR="00375A22">
        <w:rPr>
          <w:rFonts w:ascii="Open Sans" w:hAnsi="Open Sans" w:cs="Open Sans"/>
          <w:color w:val="000000"/>
        </w:rPr>
        <w:t>s</w:t>
      </w:r>
      <w:r w:rsidRPr="00086538">
        <w:rPr>
          <w:rFonts w:ascii="Open Sans" w:hAnsi="Open Sans" w:cs="Open Sans"/>
          <w:color w:val="000000"/>
        </w:rPr>
        <w:t xml:space="preserve"> provincia</w:t>
      </w:r>
      <w:r w:rsidR="00375A22">
        <w:rPr>
          <w:rFonts w:ascii="Open Sans" w:hAnsi="Open Sans" w:cs="Open Sans"/>
          <w:color w:val="000000"/>
        </w:rPr>
        <w:t>s</w:t>
      </w:r>
      <w:r w:rsidR="00B23DF1">
        <w:rPr>
          <w:rFonts w:ascii="Open Sans" w:hAnsi="Open Sans" w:cs="Open Sans"/>
          <w:color w:val="000000"/>
        </w:rPr>
        <w:t xml:space="preserve"> con el precio por metro cuadrado por debajo de los 1.000</w:t>
      </w:r>
      <w:r w:rsidRPr="00086538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 xml:space="preserve">euros </w:t>
      </w:r>
      <w:r w:rsidR="00375A22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 </w:t>
      </w:r>
      <w:r w:rsidR="0036747E">
        <w:rPr>
          <w:rFonts w:ascii="Open Sans" w:hAnsi="Open Sans" w:cs="Open Sans"/>
          <w:color w:val="000000"/>
        </w:rPr>
        <w:t xml:space="preserve">Ciudad Real </w:t>
      </w:r>
      <w:r w:rsidR="00B23DF1">
        <w:rPr>
          <w:rFonts w:ascii="Open Sans" w:hAnsi="Open Sans" w:cs="Open Sans"/>
          <w:color w:val="000000"/>
        </w:rPr>
        <w:t>con 9</w:t>
      </w:r>
      <w:r w:rsidR="0089707B">
        <w:rPr>
          <w:rFonts w:ascii="Open Sans" w:hAnsi="Open Sans" w:cs="Open Sans"/>
          <w:color w:val="000000"/>
        </w:rPr>
        <w:t>53</w:t>
      </w:r>
      <w:r w:rsidR="00C175F6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375A22">
        <w:rPr>
          <w:rFonts w:ascii="Open Sans" w:hAnsi="Open Sans" w:cs="Open Sans"/>
          <w:color w:val="000000"/>
          <w:vertAlign w:val="superscript"/>
        </w:rPr>
        <w:t xml:space="preserve"> </w:t>
      </w:r>
      <w:r w:rsidR="00375A22">
        <w:rPr>
          <w:rFonts w:ascii="Open Sans" w:hAnsi="Open Sans" w:cs="Open Sans"/>
          <w:color w:val="000000"/>
        </w:rPr>
        <w:t xml:space="preserve">y </w:t>
      </w:r>
      <w:r w:rsidR="0036747E">
        <w:rPr>
          <w:rFonts w:ascii="Open Sans" w:hAnsi="Open Sans" w:cs="Open Sans"/>
          <w:color w:val="000000"/>
        </w:rPr>
        <w:t>Toledo</w:t>
      </w:r>
      <w:r w:rsidR="00375A22">
        <w:rPr>
          <w:rFonts w:ascii="Open Sans" w:hAnsi="Open Sans" w:cs="Open Sans"/>
          <w:color w:val="000000"/>
        </w:rPr>
        <w:t xml:space="preserve"> con 9</w:t>
      </w:r>
      <w:r w:rsidR="0089707B">
        <w:rPr>
          <w:rFonts w:ascii="Open Sans" w:hAnsi="Open Sans" w:cs="Open Sans"/>
          <w:color w:val="000000"/>
        </w:rPr>
        <w:t>79</w:t>
      </w:r>
      <w:r w:rsidR="00375A22">
        <w:rPr>
          <w:rFonts w:ascii="Open Sans" w:hAnsi="Open Sans" w:cs="Open Sans"/>
          <w:color w:val="000000"/>
        </w:rPr>
        <w:t xml:space="preserve"> </w:t>
      </w:r>
      <w:r w:rsidR="00375A22" w:rsidRPr="00086538">
        <w:rPr>
          <w:rFonts w:ascii="Open Sans" w:hAnsi="Open Sans" w:cs="Open Sans"/>
          <w:color w:val="000000"/>
        </w:rPr>
        <w:t>euros/m</w:t>
      </w:r>
      <w:r w:rsidR="00375A22" w:rsidRPr="00375A22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1856"/>
      </w:tblGrid>
      <w:tr w:rsidR="004D3A34" w:rsidRPr="00E40AF9" w14:paraId="23E1213E" w14:textId="77777777" w:rsidTr="00637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671FD07E" w14:textId="0AE523CA" w:rsidR="004D3A34" w:rsidRPr="00004E72" w:rsidRDefault="00197D6A" w:rsidP="002C7B33">
            <w:pPr>
              <w:rPr>
                <w:rFonts w:ascii="Open Sans" w:hAnsi="Open Sans" w:cs="Open Sans"/>
                <w:b w:val="0"/>
                <w:sz w:val="22"/>
                <w:szCs w:val="22"/>
                <w:lang w:val="es-ES"/>
              </w:rPr>
            </w:pPr>
            <w:r w:rsidRPr="00004E7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410" w:type="dxa"/>
            <w:vAlign w:val="center"/>
          </w:tcPr>
          <w:p w14:paraId="4A8E5308" w14:textId="77777777" w:rsidR="004D3A34" w:rsidRPr="00CF48C7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CF48C7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DBEC753" w14:textId="77777777" w:rsidR="004D3A34" w:rsidRPr="00CF48C7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115FCCA3" w14:textId="5DD11137" w:rsidR="000F48F6" w:rsidRPr="00CF48C7" w:rsidRDefault="00DD10D8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Abril</w:t>
            </w:r>
            <w:r w:rsidR="00BF3E84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5D142F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</w:t>
            </w:r>
            <w:r w:rsidR="00CF48C7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1</w:t>
            </w:r>
          </w:p>
          <w:p w14:paraId="493F7E67" w14:textId="5F184157" w:rsidR="004D3A34" w:rsidRPr="00CF48C7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CF48C7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89707B" w:rsidRPr="00E40AF9" w14:paraId="2C697AE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80A18B6" w14:textId="02E2CA28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2662BA36" w14:textId="39F90DE2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2268" w:type="dxa"/>
            <w:vAlign w:val="bottom"/>
          </w:tcPr>
          <w:p w14:paraId="348E7705" w14:textId="006EFF9D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856" w:type="dxa"/>
            <w:vAlign w:val="bottom"/>
          </w:tcPr>
          <w:p w14:paraId="5878C6A5" w14:textId="2F6053F5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1.769 €</w:t>
            </w:r>
          </w:p>
        </w:tc>
      </w:tr>
      <w:tr w:rsidR="0089707B" w:rsidRPr="00E40AF9" w14:paraId="6F87EFC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59C3339" w14:textId="1D8B0407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410" w:type="dxa"/>
            <w:vAlign w:val="bottom"/>
          </w:tcPr>
          <w:p w14:paraId="34660CF7" w14:textId="6417C7B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2268" w:type="dxa"/>
            <w:vAlign w:val="bottom"/>
          </w:tcPr>
          <w:p w14:paraId="4A0C31DA" w14:textId="7AE6839C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856" w:type="dxa"/>
            <w:vAlign w:val="bottom"/>
          </w:tcPr>
          <w:p w14:paraId="50E15508" w14:textId="106BD9B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D0D0D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1.133 €</w:t>
            </w:r>
          </w:p>
        </w:tc>
      </w:tr>
      <w:tr w:rsidR="0089707B" w:rsidRPr="00E40AF9" w14:paraId="2CDFC97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312746" w14:textId="4CA03337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73BC8C28" w14:textId="460EB881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268" w:type="dxa"/>
            <w:vAlign w:val="bottom"/>
          </w:tcPr>
          <w:p w14:paraId="2359D1AB" w14:textId="6491735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-2,6%</w:t>
            </w:r>
          </w:p>
        </w:tc>
        <w:tc>
          <w:tcPr>
            <w:tcW w:w="1856" w:type="dxa"/>
            <w:vAlign w:val="bottom"/>
          </w:tcPr>
          <w:p w14:paraId="47CD5FC4" w14:textId="450DC9D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953 €</w:t>
            </w:r>
          </w:p>
        </w:tc>
      </w:tr>
      <w:tr w:rsidR="0089707B" w:rsidRPr="00E40AF9" w14:paraId="708FE770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404C85" w14:textId="12B10D4E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5DC45AF0" w14:textId="1FD0C60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268" w:type="dxa"/>
            <w:vAlign w:val="bottom"/>
          </w:tcPr>
          <w:p w14:paraId="50E1941C" w14:textId="654ED98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856" w:type="dxa"/>
            <w:vAlign w:val="bottom"/>
          </w:tcPr>
          <w:p w14:paraId="78FBD7BA" w14:textId="6E77B1A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1.568 €</w:t>
            </w:r>
          </w:p>
        </w:tc>
      </w:tr>
      <w:tr w:rsidR="0089707B" w:rsidRPr="00E40AF9" w14:paraId="1A42400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AEB10B" w14:textId="297B5C0B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57CAC87D" w14:textId="0930FECB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2268" w:type="dxa"/>
            <w:vAlign w:val="bottom"/>
          </w:tcPr>
          <w:p w14:paraId="197A46EB" w14:textId="43C49F7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56" w:type="dxa"/>
            <w:vAlign w:val="bottom"/>
          </w:tcPr>
          <w:p w14:paraId="02FF613E" w14:textId="4344BDE2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1.269 €</w:t>
            </w:r>
          </w:p>
        </w:tc>
      </w:tr>
      <w:tr w:rsidR="0089707B" w:rsidRPr="00E40AF9" w14:paraId="3F8EAEE0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9ED802" w14:textId="5F404058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  <w:vAlign w:val="bottom"/>
          </w:tcPr>
          <w:p w14:paraId="3AD1AD8D" w14:textId="1FD9E154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2268" w:type="dxa"/>
            <w:vAlign w:val="bottom"/>
          </w:tcPr>
          <w:p w14:paraId="18FBD88F" w14:textId="732FEFDF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856" w:type="dxa"/>
            <w:vAlign w:val="bottom"/>
          </w:tcPr>
          <w:p w14:paraId="10AFB3BA" w14:textId="7D144359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1.113 €</w:t>
            </w:r>
          </w:p>
        </w:tc>
      </w:tr>
      <w:tr w:rsidR="0089707B" w:rsidRPr="00E40AF9" w14:paraId="4CBBC9D8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D7AC14" w14:textId="4B3BC9C4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6FF159E6" w14:textId="002980ED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268" w:type="dxa"/>
            <w:vAlign w:val="bottom"/>
          </w:tcPr>
          <w:p w14:paraId="1912B635" w14:textId="682E30D7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56" w:type="dxa"/>
            <w:vAlign w:val="bottom"/>
          </w:tcPr>
          <w:p w14:paraId="7DE4C739" w14:textId="03B3B412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1.215 €</w:t>
            </w:r>
          </w:p>
        </w:tc>
      </w:tr>
      <w:tr w:rsidR="0089707B" w:rsidRPr="00E40AF9" w14:paraId="6AA7B483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3B5249" w14:textId="69E64107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0DD0AD2A" w14:textId="64AF65B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268" w:type="dxa"/>
            <w:vAlign w:val="bottom"/>
          </w:tcPr>
          <w:p w14:paraId="198FD44A" w14:textId="51FF8BB0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-7,4%</w:t>
            </w:r>
          </w:p>
        </w:tc>
        <w:tc>
          <w:tcPr>
            <w:tcW w:w="1856" w:type="dxa"/>
            <w:vAlign w:val="bottom"/>
          </w:tcPr>
          <w:p w14:paraId="3DCFDEEB" w14:textId="1B694EBC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1.350 €</w:t>
            </w:r>
          </w:p>
        </w:tc>
      </w:tr>
      <w:tr w:rsidR="0089707B" w:rsidRPr="00E40AF9" w14:paraId="537ED15D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C4E8F2" w14:textId="268FE48C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23296036" w14:textId="09DEAA95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2268" w:type="dxa"/>
            <w:vAlign w:val="bottom"/>
          </w:tcPr>
          <w:p w14:paraId="055CB85C" w14:textId="23F7E894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856" w:type="dxa"/>
            <w:vAlign w:val="bottom"/>
          </w:tcPr>
          <w:p w14:paraId="51195280" w14:textId="04A8ED55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979 €</w:t>
            </w:r>
          </w:p>
        </w:tc>
      </w:tr>
      <w:tr w:rsidR="0089707B" w:rsidRPr="00E40AF9" w14:paraId="2D2D2DC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332C6F5" w14:textId="1494ADA0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0E078D9B" w14:textId="001DA0D0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268" w:type="dxa"/>
            <w:vAlign w:val="bottom"/>
          </w:tcPr>
          <w:p w14:paraId="52D03CAA" w14:textId="51924A4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856" w:type="dxa"/>
            <w:vAlign w:val="bottom"/>
          </w:tcPr>
          <w:p w14:paraId="19B418EE" w14:textId="6CEC55B8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1.170 €</w:t>
            </w:r>
          </w:p>
        </w:tc>
      </w:tr>
      <w:tr w:rsidR="0089707B" w:rsidRPr="00E40AF9" w14:paraId="2BB0B35C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6C710D" w14:textId="681B194E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1B39E853" w14:textId="46904F7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268" w:type="dxa"/>
            <w:vAlign w:val="bottom"/>
          </w:tcPr>
          <w:p w14:paraId="17928183" w14:textId="000AF01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1856" w:type="dxa"/>
            <w:vAlign w:val="bottom"/>
          </w:tcPr>
          <w:p w14:paraId="6A7F2B65" w14:textId="67F6B8A9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1.646 €</w:t>
            </w:r>
          </w:p>
        </w:tc>
      </w:tr>
      <w:tr w:rsidR="0089707B" w:rsidRPr="00E40AF9" w14:paraId="2F8AEE2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4DD98F4" w14:textId="015163B1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34419BE3" w14:textId="1E580F9E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268" w:type="dxa"/>
            <w:vAlign w:val="bottom"/>
          </w:tcPr>
          <w:p w14:paraId="540625BC" w14:textId="6806A59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856" w:type="dxa"/>
            <w:vAlign w:val="bottom"/>
          </w:tcPr>
          <w:p w14:paraId="0AE28813" w14:textId="35B70C5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1.185 €</w:t>
            </w:r>
          </w:p>
        </w:tc>
      </w:tr>
      <w:tr w:rsidR="0089707B" w:rsidRPr="00E40AF9" w14:paraId="0ACA915B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DF69A4" w14:textId="44FB29B1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Huelva</w:t>
            </w:r>
          </w:p>
        </w:tc>
        <w:tc>
          <w:tcPr>
            <w:tcW w:w="2410" w:type="dxa"/>
            <w:vAlign w:val="bottom"/>
          </w:tcPr>
          <w:p w14:paraId="38E4B51C" w14:textId="582FB827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268" w:type="dxa"/>
            <w:vAlign w:val="bottom"/>
          </w:tcPr>
          <w:p w14:paraId="3904C8D1" w14:textId="7BDD4EFE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856" w:type="dxa"/>
            <w:vAlign w:val="bottom"/>
          </w:tcPr>
          <w:p w14:paraId="0798C502" w14:textId="1F50575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1.285 €</w:t>
            </w:r>
          </w:p>
        </w:tc>
      </w:tr>
      <w:tr w:rsidR="0089707B" w:rsidRPr="00E40AF9" w14:paraId="13AB180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37094E" w14:textId="0005419D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126CC67D" w14:textId="661F2B2B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268" w:type="dxa"/>
            <w:vAlign w:val="bottom"/>
          </w:tcPr>
          <w:p w14:paraId="72075205" w14:textId="18CA50E1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856" w:type="dxa"/>
            <w:vAlign w:val="bottom"/>
          </w:tcPr>
          <w:p w14:paraId="1DE274E4" w14:textId="3493810D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1.602 €</w:t>
            </w:r>
          </w:p>
        </w:tc>
      </w:tr>
      <w:tr w:rsidR="0089707B" w:rsidRPr="00E40AF9" w14:paraId="0B3A2A1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5C5D681" w14:textId="3A08A506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31C2E669" w14:textId="66FB4DC4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268" w:type="dxa"/>
            <w:vAlign w:val="bottom"/>
          </w:tcPr>
          <w:p w14:paraId="1D0E11EE" w14:textId="1637085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1856" w:type="dxa"/>
            <w:vAlign w:val="bottom"/>
          </w:tcPr>
          <w:p w14:paraId="3FD28B63" w14:textId="0D849A40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1.152 €</w:t>
            </w:r>
          </w:p>
        </w:tc>
      </w:tr>
      <w:tr w:rsidR="0089707B" w:rsidRPr="00E40AF9" w14:paraId="49721A9C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16D4EA8" w14:textId="089F6D8D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696F5381" w14:textId="3834358F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268" w:type="dxa"/>
            <w:vAlign w:val="bottom"/>
          </w:tcPr>
          <w:p w14:paraId="6EE358D9" w14:textId="423696D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856" w:type="dxa"/>
            <w:vAlign w:val="bottom"/>
          </w:tcPr>
          <w:p w14:paraId="22D466A2" w14:textId="281E137D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1.425 €</w:t>
            </w:r>
          </w:p>
        </w:tc>
      </w:tr>
      <w:tr w:rsidR="0089707B" w:rsidRPr="00E40AF9" w14:paraId="189B1FF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973B0A2" w14:textId="47168321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264C0827" w14:textId="6E85123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268" w:type="dxa"/>
            <w:vAlign w:val="bottom"/>
          </w:tcPr>
          <w:p w14:paraId="4DE176B7" w14:textId="25C5D94E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856" w:type="dxa"/>
            <w:vAlign w:val="bottom"/>
          </w:tcPr>
          <w:p w14:paraId="5D942D4F" w14:textId="033DD85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1.525 €</w:t>
            </w:r>
          </w:p>
        </w:tc>
      </w:tr>
      <w:tr w:rsidR="0089707B" w:rsidRPr="00E40AF9" w14:paraId="152146CB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2253E24" w14:textId="44090F95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39CD9989" w14:textId="3476F30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268" w:type="dxa"/>
            <w:vAlign w:val="bottom"/>
          </w:tcPr>
          <w:p w14:paraId="1F87E7ED" w14:textId="4278EBA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856" w:type="dxa"/>
            <w:vAlign w:val="bottom"/>
          </w:tcPr>
          <w:p w14:paraId="3BD929B1" w14:textId="40A9D14B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1.492 €</w:t>
            </w:r>
          </w:p>
        </w:tc>
      </w:tr>
      <w:tr w:rsidR="0089707B" w:rsidRPr="00E40AF9" w14:paraId="0CF53C3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641BDD2" w14:textId="78E5FDA5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431BE9BF" w14:textId="4A068A9B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268" w:type="dxa"/>
            <w:vAlign w:val="bottom"/>
          </w:tcPr>
          <w:p w14:paraId="20E310AA" w14:textId="3A162DE4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-3,2%</w:t>
            </w:r>
          </w:p>
        </w:tc>
        <w:tc>
          <w:tcPr>
            <w:tcW w:w="1856" w:type="dxa"/>
            <w:vAlign w:val="bottom"/>
          </w:tcPr>
          <w:p w14:paraId="42032026" w14:textId="1C15B80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1.427 €</w:t>
            </w:r>
          </w:p>
        </w:tc>
      </w:tr>
      <w:tr w:rsidR="0089707B" w:rsidRPr="00E40AF9" w14:paraId="77D32AF3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136E08" w14:textId="0D830B66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7F710C42" w14:textId="0535A69F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2268" w:type="dxa"/>
            <w:vAlign w:val="bottom"/>
          </w:tcPr>
          <w:p w14:paraId="2EF03AA3" w14:textId="716B474F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856" w:type="dxa"/>
            <w:vAlign w:val="bottom"/>
          </w:tcPr>
          <w:p w14:paraId="51064007" w14:textId="0991882E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2.025 €</w:t>
            </w:r>
          </w:p>
        </w:tc>
      </w:tr>
      <w:tr w:rsidR="0089707B" w:rsidRPr="00E40AF9" w14:paraId="0693211F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23A762" w14:textId="2AF00B01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21D9453A" w14:textId="5D3465F0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268" w:type="dxa"/>
            <w:vAlign w:val="bottom"/>
          </w:tcPr>
          <w:p w14:paraId="274187D5" w14:textId="75DF918B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856" w:type="dxa"/>
            <w:vAlign w:val="bottom"/>
          </w:tcPr>
          <w:p w14:paraId="1804ADFA" w14:textId="490EA4D9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1.538 €</w:t>
            </w:r>
          </w:p>
        </w:tc>
      </w:tr>
      <w:tr w:rsidR="0089707B" w:rsidRPr="00E40AF9" w14:paraId="028B96DF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56A58CF" w14:textId="7CF5A722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6BDDE007" w14:textId="44BEEA5D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268" w:type="dxa"/>
            <w:vAlign w:val="bottom"/>
          </w:tcPr>
          <w:p w14:paraId="39E85CC9" w14:textId="716E9E82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856" w:type="dxa"/>
            <w:vAlign w:val="bottom"/>
          </w:tcPr>
          <w:p w14:paraId="223C68C2" w14:textId="3D4E0BFC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1.030 €</w:t>
            </w:r>
          </w:p>
        </w:tc>
      </w:tr>
      <w:tr w:rsidR="0089707B" w:rsidRPr="00E40AF9" w14:paraId="0A9FA63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27ABEC" w14:textId="31A0F9A5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4CFB5E71" w14:textId="636FD8E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268" w:type="dxa"/>
            <w:vAlign w:val="bottom"/>
          </w:tcPr>
          <w:p w14:paraId="6263007F" w14:textId="02448657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856" w:type="dxa"/>
            <w:vAlign w:val="bottom"/>
          </w:tcPr>
          <w:p w14:paraId="0B16F41D" w14:textId="7612898C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1.609 €</w:t>
            </w:r>
          </w:p>
        </w:tc>
      </w:tr>
      <w:tr w:rsidR="0089707B" w:rsidRPr="00E40AF9" w14:paraId="5129DF0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9B7A5B4" w14:textId="2151B88A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055CC68E" w14:textId="1CB48782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268" w:type="dxa"/>
            <w:vAlign w:val="bottom"/>
          </w:tcPr>
          <w:p w14:paraId="5339F918" w14:textId="465D885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856" w:type="dxa"/>
            <w:vAlign w:val="bottom"/>
          </w:tcPr>
          <w:p w14:paraId="721600CE" w14:textId="1A1D116D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1.725 €</w:t>
            </w:r>
          </w:p>
        </w:tc>
      </w:tr>
      <w:tr w:rsidR="0089707B" w:rsidRPr="00E40AF9" w14:paraId="6A57A0A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5E5461" w14:textId="31809DC6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13D7ED99" w14:textId="0F45EF24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268" w:type="dxa"/>
            <w:vAlign w:val="bottom"/>
          </w:tcPr>
          <w:p w14:paraId="5DC2D0AF" w14:textId="138BD6A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856" w:type="dxa"/>
            <w:vAlign w:val="bottom"/>
          </w:tcPr>
          <w:p w14:paraId="15CCBC11" w14:textId="6D143D3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1.445 €</w:t>
            </w:r>
          </w:p>
        </w:tc>
      </w:tr>
      <w:tr w:rsidR="0089707B" w:rsidRPr="00E40AF9" w14:paraId="1D52106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EBA3321" w14:textId="3E786AA7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08484F62" w14:textId="3A833A18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591A26A3" w14:textId="7889432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856" w:type="dxa"/>
            <w:vAlign w:val="bottom"/>
          </w:tcPr>
          <w:p w14:paraId="5B49125B" w14:textId="5FED15E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2.856 €</w:t>
            </w:r>
          </w:p>
        </w:tc>
      </w:tr>
      <w:tr w:rsidR="0089707B" w:rsidRPr="00E40AF9" w14:paraId="24E420C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4D3B2FA" w14:textId="1F043181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0885EBD4" w14:textId="1C8EF22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14B4D0AD" w14:textId="2230BE8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856" w:type="dxa"/>
            <w:vAlign w:val="bottom"/>
          </w:tcPr>
          <w:p w14:paraId="77B63A36" w14:textId="05498642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1.775 €</w:t>
            </w:r>
          </w:p>
        </w:tc>
      </w:tr>
      <w:tr w:rsidR="0089707B" w:rsidRPr="00E40AF9" w14:paraId="26F7D36D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C95EC2" w14:textId="3CF90783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6E451FBA" w14:textId="5AE2F6BB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6CDF07F2" w14:textId="037DDD9C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856" w:type="dxa"/>
            <w:vAlign w:val="bottom"/>
          </w:tcPr>
          <w:p w14:paraId="4340C5FA" w14:textId="32C1C33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1.150 €</w:t>
            </w:r>
          </w:p>
        </w:tc>
      </w:tr>
      <w:tr w:rsidR="0089707B" w:rsidRPr="00E40AF9" w14:paraId="0888523E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76BAA4" w14:textId="3BCEF0C5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41E2E857" w14:textId="5EC270BE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268" w:type="dxa"/>
            <w:vAlign w:val="bottom"/>
          </w:tcPr>
          <w:p w14:paraId="38F82560" w14:textId="21C766A7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856" w:type="dxa"/>
            <w:vAlign w:val="bottom"/>
          </w:tcPr>
          <w:p w14:paraId="22BEB090" w14:textId="67727716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1.439 €</w:t>
            </w:r>
          </w:p>
        </w:tc>
      </w:tr>
      <w:tr w:rsidR="0089707B" w:rsidRPr="00E40AF9" w14:paraId="334B08EB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0C7C466" w14:textId="10119CC9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  <w:vAlign w:val="bottom"/>
          </w:tcPr>
          <w:p w14:paraId="3AC67FE1" w14:textId="6B0E794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6C24BA45" w14:textId="6BBB2101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856" w:type="dxa"/>
            <w:vAlign w:val="bottom"/>
          </w:tcPr>
          <w:p w14:paraId="580AD99C" w14:textId="59D2569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2.443 €</w:t>
            </w:r>
          </w:p>
        </w:tc>
      </w:tr>
      <w:tr w:rsidR="0089707B" w:rsidRPr="00E40AF9" w14:paraId="64208583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0A1F1A4" w14:textId="5666A4FB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3FC00B5A" w14:textId="3C78BEA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45804F51" w14:textId="5F3A1AA6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856" w:type="dxa"/>
            <w:vAlign w:val="bottom"/>
          </w:tcPr>
          <w:p w14:paraId="666FA52C" w14:textId="2CD731E6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3.154 €</w:t>
            </w:r>
          </w:p>
        </w:tc>
      </w:tr>
      <w:tr w:rsidR="0089707B" w:rsidRPr="00E40AF9" w14:paraId="07476808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AEEE72" w14:textId="755B63F8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27FE6EEC" w14:textId="213918DB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268" w:type="dxa"/>
            <w:vAlign w:val="bottom"/>
          </w:tcPr>
          <w:p w14:paraId="66F20F9A" w14:textId="6553A0B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856" w:type="dxa"/>
            <w:vAlign w:val="bottom"/>
          </w:tcPr>
          <w:p w14:paraId="6F4D65CD" w14:textId="24B9D74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1.310 €</w:t>
            </w:r>
          </w:p>
        </w:tc>
      </w:tr>
      <w:tr w:rsidR="0089707B" w:rsidRPr="00E40AF9" w14:paraId="1A80ED98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6EA670" w14:textId="6465E065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04F404FC" w14:textId="32BB851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268" w:type="dxa"/>
            <w:vAlign w:val="bottom"/>
          </w:tcPr>
          <w:p w14:paraId="206FF969" w14:textId="4193914A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856" w:type="dxa"/>
            <w:vAlign w:val="bottom"/>
          </w:tcPr>
          <w:p w14:paraId="02BFFE06" w14:textId="477D4070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2.295 €</w:t>
            </w:r>
          </w:p>
        </w:tc>
      </w:tr>
      <w:tr w:rsidR="0089707B" w:rsidRPr="00E40AF9" w14:paraId="45EB2E6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F27A9A6" w14:textId="486F23CA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0FA43673" w14:textId="1BA173B2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2268" w:type="dxa"/>
            <w:vAlign w:val="bottom"/>
          </w:tcPr>
          <w:p w14:paraId="29C997E5" w14:textId="03ABC656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-4,3%</w:t>
            </w:r>
          </w:p>
        </w:tc>
        <w:tc>
          <w:tcPr>
            <w:tcW w:w="1856" w:type="dxa"/>
            <w:vAlign w:val="bottom"/>
          </w:tcPr>
          <w:p w14:paraId="35D4F5EC" w14:textId="37008A44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1.053 €</w:t>
            </w:r>
          </w:p>
        </w:tc>
      </w:tr>
      <w:tr w:rsidR="0089707B" w:rsidRPr="00E40AF9" w14:paraId="77CE75A5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D36AC7" w14:textId="6B4D650A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6CB44F3F" w14:textId="2E008A4B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5C5126EF" w14:textId="7BC6097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856" w:type="dxa"/>
            <w:vAlign w:val="bottom"/>
          </w:tcPr>
          <w:p w14:paraId="304F9330" w14:textId="65960CD8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1.583 €</w:t>
            </w:r>
          </w:p>
        </w:tc>
      </w:tr>
      <w:tr w:rsidR="0089707B" w:rsidRPr="00E40AF9" w14:paraId="53EFF7BA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68439A5" w14:textId="5064A452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59A44EC6" w14:textId="4E62B322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0F6EE7FC" w14:textId="0FA96FCE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56" w:type="dxa"/>
            <w:vAlign w:val="bottom"/>
          </w:tcPr>
          <w:p w14:paraId="2CC67129" w14:textId="31054F6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1.682 €</w:t>
            </w:r>
          </w:p>
        </w:tc>
      </w:tr>
      <w:tr w:rsidR="0089707B" w:rsidRPr="00E40AF9" w14:paraId="0E551A09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7FF7F80" w14:textId="75B4171E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5FCB1EAD" w14:textId="27C76663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268" w:type="dxa"/>
            <w:vAlign w:val="bottom"/>
          </w:tcPr>
          <w:p w14:paraId="0E64B023" w14:textId="1BB55DA6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1856" w:type="dxa"/>
            <w:vAlign w:val="bottom"/>
          </w:tcPr>
          <w:p w14:paraId="47C5E7A9" w14:textId="00440691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2.834 €</w:t>
            </w:r>
          </w:p>
        </w:tc>
      </w:tr>
      <w:tr w:rsidR="0089707B" w:rsidRPr="00E40AF9" w14:paraId="0C942FB4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1D4845D" w14:textId="0D657A23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00E6CD5D" w14:textId="1824DA2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316119B7" w14:textId="6DAD97B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856" w:type="dxa"/>
            <w:vAlign w:val="bottom"/>
          </w:tcPr>
          <w:p w14:paraId="75244C68" w14:textId="7B26D12F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1.545 €</w:t>
            </w:r>
          </w:p>
        </w:tc>
      </w:tr>
      <w:tr w:rsidR="0089707B" w:rsidRPr="00E40AF9" w14:paraId="364D95B6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BF6B647" w14:textId="0E8C1143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32BB89E0" w14:textId="59F7B3D7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268" w:type="dxa"/>
            <w:vAlign w:val="bottom"/>
          </w:tcPr>
          <w:p w14:paraId="5FA5262C" w14:textId="3AC72CF1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856" w:type="dxa"/>
            <w:vAlign w:val="bottom"/>
          </w:tcPr>
          <w:p w14:paraId="5DB650FB" w14:textId="30E2EEE8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1.315 €</w:t>
            </w:r>
          </w:p>
        </w:tc>
      </w:tr>
      <w:tr w:rsidR="0089707B" w:rsidRPr="00E40AF9" w14:paraId="4CA9973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9752981" w14:textId="5872E988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7EC61127" w14:textId="4345595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0F8CF676" w14:textId="375F1394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856" w:type="dxa"/>
            <w:vAlign w:val="bottom"/>
          </w:tcPr>
          <w:p w14:paraId="2DD7D8EC" w14:textId="0A0B2291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3.103 €</w:t>
            </w:r>
          </w:p>
        </w:tc>
      </w:tr>
      <w:tr w:rsidR="0089707B" w:rsidRPr="00E40AF9" w14:paraId="327A8381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B361B" w14:textId="080E15B0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2BF77FD4" w14:textId="7E4A47D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50EFAF92" w14:textId="537A3137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856" w:type="dxa"/>
            <w:vAlign w:val="bottom"/>
          </w:tcPr>
          <w:p w14:paraId="162F5FCA" w14:textId="0DA05C3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1.095 €</w:t>
            </w:r>
          </w:p>
        </w:tc>
      </w:tr>
      <w:tr w:rsidR="0089707B" w:rsidRPr="00E40AF9" w14:paraId="6FFCD82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113AB68" w14:textId="27098B31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0AA36976" w14:textId="666831E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2268" w:type="dxa"/>
            <w:vAlign w:val="bottom"/>
          </w:tcPr>
          <w:p w14:paraId="3A117B94" w14:textId="7EFBA71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856" w:type="dxa"/>
            <w:vAlign w:val="bottom"/>
          </w:tcPr>
          <w:p w14:paraId="4BBEC0F2" w14:textId="7699EE39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1.816 €</w:t>
            </w:r>
          </w:p>
        </w:tc>
      </w:tr>
      <w:tr w:rsidR="0089707B" w:rsidRPr="00E40AF9" w14:paraId="5CA646A7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EC5099D" w14:textId="569983DD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380E8774" w14:textId="6AFF1D6B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2268" w:type="dxa"/>
            <w:vAlign w:val="bottom"/>
          </w:tcPr>
          <w:p w14:paraId="206F488E" w14:textId="3FF6A81A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856" w:type="dxa"/>
            <w:vAlign w:val="bottom"/>
          </w:tcPr>
          <w:p w14:paraId="683F3A23" w14:textId="760E8AA2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1.369 €</w:t>
            </w:r>
          </w:p>
        </w:tc>
      </w:tr>
      <w:tr w:rsidR="0089707B" w:rsidRPr="00E40AF9" w14:paraId="32C1A462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1F14AC2" w14:textId="5F8E67E4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50CDE95D" w14:textId="186C9F5B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268" w:type="dxa"/>
            <w:vAlign w:val="bottom"/>
          </w:tcPr>
          <w:p w14:paraId="067E7C6A" w14:textId="5EFC8D9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856" w:type="dxa"/>
            <w:vAlign w:val="bottom"/>
          </w:tcPr>
          <w:p w14:paraId="3D77AA00" w14:textId="61B843B1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1.675 €</w:t>
            </w:r>
          </w:p>
        </w:tc>
      </w:tr>
      <w:tr w:rsidR="0089707B" w:rsidRPr="00E40AF9" w14:paraId="49B6EA6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9CC0A09" w14:textId="77B56467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33A9CB38" w14:textId="7A9556C6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13E5F5EB" w14:textId="7AAA9725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1856" w:type="dxa"/>
            <w:vAlign w:val="bottom"/>
          </w:tcPr>
          <w:p w14:paraId="7817F24A" w14:textId="154A1DA2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1.248 €</w:t>
            </w:r>
          </w:p>
        </w:tc>
      </w:tr>
      <w:tr w:rsidR="0089707B" w:rsidRPr="00E40AF9" w14:paraId="227EEDB9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94A81DA" w14:textId="2F49D27F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0A645048" w14:textId="1A998901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268" w:type="dxa"/>
            <w:vAlign w:val="bottom"/>
          </w:tcPr>
          <w:p w14:paraId="45688397" w14:textId="4F31BC90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856" w:type="dxa"/>
            <w:vAlign w:val="bottom"/>
          </w:tcPr>
          <w:p w14:paraId="558D22DA" w14:textId="0A4310E4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1.132 €</w:t>
            </w:r>
          </w:p>
        </w:tc>
      </w:tr>
      <w:tr w:rsidR="0089707B" w:rsidRPr="00E40AF9" w14:paraId="364AAFE4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A729497" w14:textId="7CE86D1F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18BB6283" w14:textId="3F565E18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268" w:type="dxa"/>
            <w:vAlign w:val="bottom"/>
          </w:tcPr>
          <w:p w14:paraId="67BF0697" w14:textId="02DB6501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-2,8%</w:t>
            </w:r>
          </w:p>
        </w:tc>
        <w:tc>
          <w:tcPr>
            <w:tcW w:w="1856" w:type="dxa"/>
            <w:vAlign w:val="bottom"/>
          </w:tcPr>
          <w:p w14:paraId="266CC83E" w14:textId="749894D4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2.990 €</w:t>
            </w:r>
          </w:p>
        </w:tc>
      </w:tr>
      <w:tr w:rsidR="0089707B" w:rsidRPr="00E40AF9" w14:paraId="1B1A22A8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A4A8E99" w14:textId="0E693CA2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494D7C71" w14:textId="6723CB55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2268" w:type="dxa"/>
            <w:vAlign w:val="bottom"/>
          </w:tcPr>
          <w:p w14:paraId="3CABD45E" w14:textId="2148F0A0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856" w:type="dxa"/>
            <w:vAlign w:val="bottom"/>
          </w:tcPr>
          <w:p w14:paraId="26FEE168" w14:textId="3B53CA5A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1.440 €</w:t>
            </w:r>
          </w:p>
        </w:tc>
      </w:tr>
      <w:tr w:rsidR="0089707B" w:rsidRPr="00E40AF9" w14:paraId="1E94BBA2" w14:textId="77777777" w:rsidTr="00637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8AFC1B8" w14:textId="38E6E954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410" w:type="dxa"/>
            <w:vAlign w:val="bottom"/>
          </w:tcPr>
          <w:p w14:paraId="39A7AFF9" w14:textId="74E6CB1F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268" w:type="dxa"/>
            <w:vAlign w:val="bottom"/>
          </w:tcPr>
          <w:p w14:paraId="7116AE28" w14:textId="319B5515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-6,0%</w:t>
            </w:r>
          </w:p>
        </w:tc>
        <w:tc>
          <w:tcPr>
            <w:tcW w:w="1856" w:type="dxa"/>
            <w:vAlign w:val="bottom"/>
          </w:tcPr>
          <w:p w14:paraId="0E243869" w14:textId="027F1BAA" w:rsidR="0089707B" w:rsidRPr="00004E72" w:rsidRDefault="0089707B" w:rsidP="00897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1.105 €</w:t>
            </w:r>
          </w:p>
        </w:tc>
      </w:tr>
      <w:tr w:rsidR="0089707B" w:rsidRPr="00E40AF9" w14:paraId="3CD9B62D" w14:textId="77777777" w:rsidTr="006379B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AEF0520" w14:textId="37A91CF9" w:rsidR="0089707B" w:rsidRPr="0089707B" w:rsidRDefault="0089707B" w:rsidP="0089707B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9707B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  <w:vAlign w:val="bottom"/>
          </w:tcPr>
          <w:p w14:paraId="4EA47D35" w14:textId="5C62430C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268" w:type="dxa"/>
            <w:vAlign w:val="bottom"/>
          </w:tcPr>
          <w:p w14:paraId="17643944" w14:textId="308B1DF7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  <w:tc>
          <w:tcPr>
            <w:tcW w:w="1856" w:type="dxa"/>
            <w:vAlign w:val="bottom"/>
          </w:tcPr>
          <w:p w14:paraId="7AF5A577" w14:textId="11581E43" w:rsidR="0089707B" w:rsidRPr="00004E72" w:rsidRDefault="0089707B" w:rsidP="00897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1.214 €</w:t>
            </w:r>
          </w:p>
        </w:tc>
      </w:tr>
    </w:tbl>
    <w:p w14:paraId="1B9C19DD" w14:textId="51057194" w:rsidR="004D3A34" w:rsidRDefault="00E11682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Capitales de provincia</w:t>
      </w:r>
      <w:r w:rsidR="008F0AF1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s</w:t>
      </w:r>
    </w:p>
    <w:p w14:paraId="36A14A27" w14:textId="5C4ACEF4" w:rsidR="00FC1C1B" w:rsidRDefault="004B72A4" w:rsidP="00FC1C1B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FC1C1B">
        <w:rPr>
          <w:rFonts w:ascii="Open Sans" w:hAnsi="Open Sans" w:cs="Open Sans"/>
          <w:color w:val="000000"/>
        </w:rPr>
        <w:t>27</w:t>
      </w:r>
      <w:r w:rsidR="004D758E">
        <w:rPr>
          <w:rFonts w:ascii="Open Sans" w:hAnsi="Open Sans" w:cs="Open Sans"/>
          <w:color w:val="000000"/>
        </w:rPr>
        <w:t xml:space="preserve"> </w:t>
      </w:r>
      <w:r w:rsidR="001454FC">
        <w:rPr>
          <w:rFonts w:ascii="Open Sans" w:hAnsi="Open Sans" w:cs="Open Sans"/>
          <w:color w:val="000000"/>
        </w:rPr>
        <w:t xml:space="preserve">de las </w:t>
      </w:r>
      <w:r w:rsidR="008F2703">
        <w:rPr>
          <w:rFonts w:ascii="Open Sans" w:hAnsi="Open Sans" w:cs="Open Sans"/>
          <w:color w:val="000000"/>
        </w:rPr>
        <w:t>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FC1C1B">
        <w:rPr>
          <w:rFonts w:ascii="Open Sans" w:hAnsi="Open Sans" w:cs="Open Sans"/>
          <w:color w:val="000000"/>
        </w:rPr>
        <w:t>5</w:t>
      </w:r>
      <w:r w:rsidR="00905B11">
        <w:rPr>
          <w:rFonts w:ascii="Open Sans" w:hAnsi="Open Sans" w:cs="Open Sans"/>
          <w:color w:val="000000"/>
        </w:rPr>
        <w:t>4</w:t>
      </w:r>
      <w:r w:rsidR="001454FC">
        <w:rPr>
          <w:rFonts w:ascii="Open Sans" w:hAnsi="Open Sans" w:cs="Open Sans"/>
          <w:color w:val="000000"/>
        </w:rPr>
        <w:t xml:space="preserve">%) </w:t>
      </w:r>
      <w:r w:rsidR="00540CD7">
        <w:rPr>
          <w:rFonts w:ascii="Open Sans" w:hAnsi="Open Sans" w:cs="Open Sans"/>
          <w:color w:val="000000"/>
        </w:rPr>
        <w:t>con variación mensual</w:t>
      </w:r>
      <w:r w:rsidR="007C7EA5">
        <w:rPr>
          <w:rFonts w:ascii="Open Sans" w:hAnsi="Open Sans" w:cs="Open Sans"/>
          <w:color w:val="000000"/>
        </w:rPr>
        <w:t xml:space="preserve"> </w:t>
      </w:r>
      <w:r w:rsidR="00FC1C1B">
        <w:rPr>
          <w:rFonts w:ascii="Open Sans" w:hAnsi="Open Sans" w:cs="Open Sans"/>
          <w:color w:val="000000"/>
        </w:rPr>
        <w:t>cae</w:t>
      </w:r>
      <w:r w:rsidR="00E40AF9">
        <w:rPr>
          <w:rFonts w:ascii="Open Sans" w:hAnsi="Open Sans" w:cs="Open Sans"/>
          <w:color w:val="000000"/>
        </w:rPr>
        <w:t xml:space="preserve"> el precio </w:t>
      </w:r>
      <w:r>
        <w:rPr>
          <w:rFonts w:ascii="Open Sans" w:hAnsi="Open Sans" w:cs="Open Sans"/>
          <w:color w:val="000000"/>
        </w:rPr>
        <w:t xml:space="preserve">en </w:t>
      </w:r>
      <w:r w:rsidR="00FC1C1B">
        <w:rPr>
          <w:rFonts w:ascii="Open Sans" w:hAnsi="Open Sans" w:cs="Open Sans"/>
          <w:color w:val="000000"/>
        </w:rPr>
        <w:t>abril</w:t>
      </w:r>
      <w:r w:rsidR="00BF3E84" w:rsidRPr="00BF3E84"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</w:t>
      </w:r>
      <w:r w:rsidR="00540CD7">
        <w:rPr>
          <w:rFonts w:ascii="Open Sans" w:hAnsi="Open Sans" w:cs="Open Sans"/>
          <w:color w:val="000000"/>
        </w:rPr>
        <w:t xml:space="preserve">diez mayores </w:t>
      </w:r>
      <w:r w:rsidR="00FC1C1B">
        <w:rPr>
          <w:rFonts w:ascii="Open Sans" w:hAnsi="Open Sans" w:cs="Open Sans"/>
          <w:color w:val="000000"/>
        </w:rPr>
        <w:t>descensos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="00FC1C1B">
        <w:rPr>
          <w:rFonts w:ascii="Open Sans" w:hAnsi="Open Sans" w:cs="Open Sans"/>
          <w:color w:val="000000"/>
        </w:rPr>
        <w:t xml:space="preserve"> </w:t>
      </w:r>
      <w:r w:rsidR="00FC1C1B" w:rsidRPr="00FC1C1B">
        <w:rPr>
          <w:rFonts w:ascii="Open Sans" w:hAnsi="Open Sans" w:cs="Open Sans"/>
          <w:color w:val="000000"/>
        </w:rPr>
        <w:t>Las Palmas de Gran Canaria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-3,4%</w:t>
      </w:r>
      <w:r w:rsidR="00B7643B">
        <w:rPr>
          <w:rFonts w:ascii="Open Sans" w:hAnsi="Open Sans" w:cs="Open Sans"/>
          <w:color w:val="000000"/>
        </w:rPr>
        <w:t xml:space="preserve">) </w:t>
      </w:r>
      <w:r w:rsidR="00551E0C">
        <w:rPr>
          <w:rFonts w:ascii="Open Sans" w:hAnsi="Open Sans" w:cs="Open Sans"/>
          <w:color w:val="000000"/>
        </w:rPr>
        <w:lastRenderedPageBreak/>
        <w:t>T</w:t>
      </w:r>
      <w:r w:rsidR="00FC1C1B" w:rsidRPr="00FC1C1B">
        <w:rPr>
          <w:rFonts w:ascii="Open Sans" w:hAnsi="Open Sans" w:cs="Open Sans"/>
          <w:color w:val="000000"/>
        </w:rPr>
        <w:t>arragona</w:t>
      </w:r>
      <w:r w:rsidR="00B7643B">
        <w:rPr>
          <w:rFonts w:ascii="Open Sans" w:hAnsi="Open Sans" w:cs="Open Sans"/>
          <w:color w:val="000000"/>
        </w:rPr>
        <w:t xml:space="preserve"> </w:t>
      </w:r>
      <w:r w:rsidR="00FC1C1B" w:rsidRPr="00FC1C1B">
        <w:rPr>
          <w:rFonts w:ascii="Open Sans" w:hAnsi="Open Sans" w:cs="Open Sans"/>
          <w:color w:val="000000"/>
        </w:rPr>
        <w:t>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-3,2%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Santa Cruz de Tenerife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-2,7%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Almería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-1,7%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Ávila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-1,7%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Zamora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-1,6%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Murcia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-1,5%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Huelva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-1,3%</w:t>
      </w:r>
      <w:r w:rsidR="00B7643B">
        <w:rPr>
          <w:rFonts w:ascii="Open Sans" w:hAnsi="Open Sans" w:cs="Open Sans"/>
          <w:color w:val="000000"/>
        </w:rPr>
        <w:t xml:space="preserve">), </w:t>
      </w:r>
      <w:r w:rsidR="00FC1C1B" w:rsidRPr="00FC1C1B">
        <w:rPr>
          <w:rFonts w:ascii="Open Sans" w:hAnsi="Open Sans" w:cs="Open Sans"/>
          <w:color w:val="000000"/>
        </w:rPr>
        <w:t>Girona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-1,3%</w:t>
      </w:r>
      <w:r w:rsidR="00B7643B">
        <w:rPr>
          <w:rFonts w:ascii="Open Sans" w:hAnsi="Open Sans" w:cs="Open Sans"/>
          <w:color w:val="000000"/>
        </w:rPr>
        <w:t xml:space="preserve">) y </w:t>
      </w:r>
      <w:r w:rsidR="00FC1C1B" w:rsidRPr="00FC1C1B">
        <w:rPr>
          <w:rFonts w:ascii="Open Sans" w:hAnsi="Open Sans" w:cs="Open Sans"/>
          <w:color w:val="000000"/>
        </w:rPr>
        <w:t xml:space="preserve">Vitoria </w:t>
      </w:r>
      <w:r w:rsidR="00B7643B">
        <w:rPr>
          <w:rFonts w:ascii="Open Sans" w:hAnsi="Open Sans" w:cs="Open Sans"/>
          <w:color w:val="000000"/>
        </w:rPr>
        <w:t>–</w:t>
      </w:r>
      <w:r w:rsidR="00FC1C1B" w:rsidRPr="00FC1C1B">
        <w:rPr>
          <w:rFonts w:ascii="Open Sans" w:hAnsi="Open Sans" w:cs="Open Sans"/>
          <w:color w:val="000000"/>
        </w:rPr>
        <w:t xml:space="preserve"> Gasteiz</w:t>
      </w:r>
      <w:r w:rsidR="00B7643B">
        <w:rPr>
          <w:rFonts w:ascii="Open Sans" w:hAnsi="Open Sans" w:cs="Open Sans"/>
          <w:color w:val="000000"/>
        </w:rPr>
        <w:t xml:space="preserve"> (</w:t>
      </w:r>
      <w:r w:rsidR="00FC1C1B" w:rsidRPr="00FC1C1B">
        <w:rPr>
          <w:rFonts w:ascii="Open Sans" w:hAnsi="Open Sans" w:cs="Open Sans"/>
          <w:color w:val="000000"/>
        </w:rPr>
        <w:t>-1,2%</w:t>
      </w:r>
      <w:r w:rsidR="00B7643B">
        <w:rPr>
          <w:rFonts w:ascii="Open Sans" w:hAnsi="Open Sans" w:cs="Open Sans"/>
          <w:color w:val="000000"/>
        </w:rPr>
        <w:t>).</w:t>
      </w:r>
    </w:p>
    <w:p w14:paraId="51602348" w14:textId="139497F1" w:rsidR="00B7643B" w:rsidRDefault="00B17F64" w:rsidP="00B7643B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las </w:t>
      </w:r>
      <w:r w:rsidR="006829D1">
        <w:rPr>
          <w:rFonts w:ascii="Open Sans" w:hAnsi="Open Sans" w:cs="Open Sans"/>
          <w:color w:val="000000"/>
        </w:rPr>
        <w:t>diez</w:t>
      </w:r>
      <w:r>
        <w:rPr>
          <w:rFonts w:ascii="Open Sans" w:hAnsi="Open Sans" w:cs="Open Sans"/>
          <w:color w:val="000000"/>
        </w:rPr>
        <w:t xml:space="preserve"> capitales con mayores </w:t>
      </w:r>
      <w:r w:rsidR="006829D1">
        <w:rPr>
          <w:rFonts w:ascii="Open Sans" w:hAnsi="Open Sans" w:cs="Open Sans"/>
          <w:color w:val="000000"/>
        </w:rPr>
        <w:t>incrementos</w:t>
      </w:r>
      <w:r>
        <w:rPr>
          <w:rFonts w:ascii="Open Sans" w:hAnsi="Open Sans" w:cs="Open Sans"/>
          <w:color w:val="000000"/>
        </w:rPr>
        <w:t xml:space="preserve"> son: </w:t>
      </w:r>
      <w:r w:rsidR="00B7643B" w:rsidRPr="00B7643B">
        <w:rPr>
          <w:rFonts w:ascii="Open Sans" w:hAnsi="Open Sans" w:cs="Open Sans"/>
          <w:color w:val="000000"/>
        </w:rPr>
        <w:t>Lugo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6,1%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Huesca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5,5%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Castellón de la Plana / Castelló de la Plana</w:t>
      </w:r>
      <w:r w:rsidR="00E263D4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2,1%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Teruel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1,6%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Pamplona / Iruña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1,5%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Segovia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1,3%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Ourense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1,0%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Córdoba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0,5%</w:t>
      </w:r>
      <w:r w:rsidR="00B7643B">
        <w:rPr>
          <w:rFonts w:ascii="Open Sans" w:hAnsi="Open Sans" w:cs="Open Sans"/>
          <w:color w:val="000000"/>
        </w:rPr>
        <w:t xml:space="preserve">), </w:t>
      </w:r>
      <w:r w:rsidR="00B7643B" w:rsidRPr="00B7643B">
        <w:rPr>
          <w:rFonts w:ascii="Open Sans" w:hAnsi="Open Sans" w:cs="Open Sans"/>
          <w:color w:val="000000"/>
        </w:rPr>
        <w:t>Jaén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0,4%</w:t>
      </w:r>
      <w:r w:rsidR="00B7643B">
        <w:rPr>
          <w:rFonts w:ascii="Open Sans" w:hAnsi="Open Sans" w:cs="Open Sans"/>
          <w:color w:val="000000"/>
        </w:rPr>
        <w:t xml:space="preserve">) y </w:t>
      </w:r>
      <w:r w:rsidR="00B7643B" w:rsidRPr="00B7643B">
        <w:rPr>
          <w:rFonts w:ascii="Open Sans" w:hAnsi="Open Sans" w:cs="Open Sans"/>
          <w:color w:val="000000"/>
        </w:rPr>
        <w:t>Madrid capital</w:t>
      </w:r>
      <w:r w:rsidR="00B7643B">
        <w:rPr>
          <w:rFonts w:ascii="Open Sans" w:hAnsi="Open Sans" w:cs="Open Sans"/>
          <w:color w:val="000000"/>
        </w:rPr>
        <w:t xml:space="preserve"> (</w:t>
      </w:r>
      <w:r w:rsidR="00B7643B" w:rsidRPr="00B7643B">
        <w:rPr>
          <w:rFonts w:ascii="Open Sans" w:hAnsi="Open Sans" w:cs="Open Sans"/>
          <w:color w:val="000000"/>
        </w:rPr>
        <w:t>0,4%</w:t>
      </w:r>
      <w:r w:rsidR="00B7643B">
        <w:rPr>
          <w:rFonts w:ascii="Open Sans" w:hAnsi="Open Sans" w:cs="Open Sans"/>
          <w:color w:val="000000"/>
        </w:rPr>
        <w:t>).</w:t>
      </w:r>
    </w:p>
    <w:p w14:paraId="7DF6A02A" w14:textId="35110EAC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DE703A">
        <w:rPr>
          <w:rFonts w:ascii="Open Sans" w:hAnsi="Open Sans" w:cs="Open Sans"/>
          <w:color w:val="000000"/>
        </w:rPr>
        <w:t>5.</w:t>
      </w:r>
      <w:r w:rsidR="00800E82">
        <w:rPr>
          <w:rFonts w:ascii="Open Sans" w:hAnsi="Open Sans" w:cs="Open Sans"/>
          <w:color w:val="000000"/>
        </w:rPr>
        <w:t>5</w:t>
      </w:r>
      <w:r w:rsidR="005365D9">
        <w:rPr>
          <w:rFonts w:ascii="Open Sans" w:hAnsi="Open Sans" w:cs="Open Sans"/>
          <w:color w:val="000000"/>
        </w:rPr>
        <w:t>01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</w:t>
      </w:r>
      <w:r w:rsidR="00D70955">
        <w:rPr>
          <w:rFonts w:ascii="Open Sans" w:hAnsi="Open Sans" w:cs="Open Sans"/>
          <w:color w:val="000000"/>
        </w:rPr>
        <w:t>4</w:t>
      </w:r>
      <w:r w:rsidR="00DD10D8">
        <w:rPr>
          <w:rFonts w:ascii="Open Sans" w:hAnsi="Open Sans" w:cs="Open Sans"/>
          <w:color w:val="000000"/>
        </w:rPr>
        <w:t>13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</w:t>
      </w:r>
      <w:r w:rsidR="00244226">
        <w:rPr>
          <w:rFonts w:ascii="Open Sans" w:hAnsi="Open Sans" w:cs="Open Sans"/>
          <w:color w:val="000000"/>
        </w:rPr>
        <w:t>c</w:t>
      </w:r>
      <w:r w:rsidR="001454FC" w:rsidRPr="001454FC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</w:t>
      </w:r>
      <w:r w:rsidR="00DD10D8">
        <w:rPr>
          <w:rFonts w:ascii="Open Sans" w:hAnsi="Open Sans" w:cs="Open Sans"/>
          <w:color w:val="000000"/>
        </w:rPr>
        <w:t>902</w:t>
      </w:r>
      <w:r w:rsidR="003B0212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</w:t>
      </w:r>
      <w:r w:rsidR="00E9484B">
        <w:rPr>
          <w:rFonts w:ascii="Open Sans" w:hAnsi="Open Sans" w:cs="Open Sans"/>
          <w:color w:val="000000"/>
        </w:rPr>
        <w:t>3</w:t>
      </w:r>
      <w:r w:rsidR="00DD10D8">
        <w:rPr>
          <w:rFonts w:ascii="Open Sans" w:hAnsi="Open Sans" w:cs="Open Sans"/>
          <w:color w:val="000000"/>
        </w:rPr>
        <w:t>62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CF051C">
        <w:rPr>
          <w:rFonts w:ascii="Open Sans" w:hAnsi="Open Sans" w:cs="Open Sans"/>
          <w:color w:val="000000"/>
        </w:rPr>
        <w:t>3.0</w:t>
      </w:r>
      <w:r w:rsidR="00DD10D8">
        <w:rPr>
          <w:rFonts w:ascii="Open Sans" w:hAnsi="Open Sans" w:cs="Open Sans"/>
          <w:color w:val="000000"/>
        </w:rPr>
        <w:t>77</w:t>
      </w:r>
      <w:r w:rsidR="002F6709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Vitoria - Gasteiz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905B11">
        <w:rPr>
          <w:rFonts w:ascii="Open Sans" w:hAnsi="Open Sans" w:cs="Open Sans"/>
          <w:color w:val="000000"/>
        </w:rPr>
        <w:t>6</w:t>
      </w:r>
      <w:r w:rsidR="00DD10D8">
        <w:rPr>
          <w:rFonts w:ascii="Open Sans" w:hAnsi="Open Sans" w:cs="Open Sans"/>
          <w:color w:val="000000"/>
        </w:rPr>
        <w:t>04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D10D8" w:rsidRPr="00DD10D8">
        <w:rPr>
          <w:rFonts w:ascii="Open Sans" w:hAnsi="Open Sans" w:cs="Open Sans"/>
          <w:color w:val="000000"/>
        </w:rPr>
        <w:t xml:space="preserve">Pamplona / Iruña </w:t>
      </w:r>
      <w:r w:rsidR="00DD10D8" w:rsidRPr="00C108A1">
        <w:rPr>
          <w:rFonts w:ascii="Open Sans" w:hAnsi="Open Sans" w:cs="Open Sans"/>
          <w:color w:val="000000"/>
        </w:rPr>
        <w:t>(</w:t>
      </w:r>
      <w:r w:rsidR="00DD10D8">
        <w:rPr>
          <w:rFonts w:ascii="Open Sans" w:hAnsi="Open Sans" w:cs="Open Sans"/>
          <w:color w:val="000000"/>
        </w:rPr>
        <w:t>2.572 euros/m</w:t>
      </w:r>
      <w:r w:rsidR="00DD10D8" w:rsidRPr="00C108A1">
        <w:rPr>
          <w:rFonts w:ascii="Open Sans" w:hAnsi="Open Sans" w:cs="Open Sans"/>
          <w:color w:val="000000"/>
          <w:vertAlign w:val="superscript"/>
        </w:rPr>
        <w:t>2</w:t>
      </w:r>
      <w:r w:rsidR="00DD10D8" w:rsidRPr="00C108A1">
        <w:rPr>
          <w:rFonts w:ascii="Open Sans" w:hAnsi="Open Sans" w:cs="Open Sans"/>
          <w:color w:val="000000"/>
        </w:rPr>
        <w:t>)</w:t>
      </w:r>
      <w:r w:rsidR="00DD10D8">
        <w:rPr>
          <w:rFonts w:ascii="Open Sans" w:hAnsi="Open Sans" w:cs="Open Sans"/>
          <w:color w:val="000000"/>
        </w:rPr>
        <w:t xml:space="preserve"> y </w:t>
      </w:r>
      <w:r w:rsidR="00DE703A" w:rsidRPr="007B5EFA">
        <w:rPr>
          <w:rFonts w:ascii="Open Sans" w:hAnsi="Open Sans" w:cs="Open Sans"/>
          <w:color w:val="000000"/>
        </w:rPr>
        <w:t xml:space="preserve">Cádiz </w:t>
      </w:r>
      <w:r w:rsidR="00244226">
        <w:rPr>
          <w:rFonts w:ascii="Open Sans" w:hAnsi="Open Sans" w:cs="Open Sans"/>
          <w:color w:val="000000"/>
        </w:rPr>
        <w:t>c</w:t>
      </w:r>
      <w:r w:rsidR="00DE703A" w:rsidRPr="007B5EFA">
        <w:rPr>
          <w:rFonts w:ascii="Open Sans" w:hAnsi="Open Sans" w:cs="Open Sans"/>
          <w:color w:val="000000"/>
        </w:rPr>
        <w:t xml:space="preserve">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DD10D8">
        <w:rPr>
          <w:rFonts w:ascii="Open Sans" w:hAnsi="Open Sans" w:cs="Open Sans"/>
          <w:color w:val="000000"/>
        </w:rPr>
        <w:t>501</w:t>
      </w:r>
      <w:r w:rsidR="008C3A0B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 w:rsidR="00DD10D8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1701"/>
        <w:gridCol w:w="1842"/>
        <w:gridCol w:w="1692"/>
      </w:tblGrid>
      <w:tr w:rsidR="00E40AF9" w:rsidRPr="00244226" w14:paraId="50BC08B8" w14:textId="77777777" w:rsidTr="00244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6C777EB" w14:textId="2B526D17" w:rsidR="00E40AF9" w:rsidRPr="001D2591" w:rsidRDefault="00E40AF9" w:rsidP="007B1AD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294F8A68" w14:textId="0A30FB18" w:rsidR="00E40AF9" w:rsidRPr="001D2591" w:rsidRDefault="00E40AF9" w:rsidP="007B1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48DE2C6A" w14:textId="77777777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42" w:type="dxa"/>
          </w:tcPr>
          <w:p w14:paraId="603EAAC6" w14:textId="77777777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1D2591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692" w:type="dxa"/>
          </w:tcPr>
          <w:p w14:paraId="6AF1C994" w14:textId="5492F027" w:rsidR="00E40AF9" w:rsidRPr="001D2591" w:rsidRDefault="00DD10D8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Abril</w:t>
            </w:r>
            <w:r w:rsidR="00CF051C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2021</w:t>
            </w:r>
          </w:p>
          <w:p w14:paraId="6B7D8AA6" w14:textId="2E822938" w:rsidR="00E40AF9" w:rsidRPr="001D2591" w:rsidRDefault="00E40AF9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DD10D8" w:rsidRPr="00244226" w14:paraId="3D5BDFF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A913C" w14:textId="25DBE3EF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33428CCE" w14:textId="20D0D981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1B2084CB" w14:textId="1F2D8605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2.190 €</w:t>
            </w:r>
          </w:p>
        </w:tc>
        <w:tc>
          <w:tcPr>
            <w:tcW w:w="1842" w:type="dxa"/>
            <w:vAlign w:val="bottom"/>
          </w:tcPr>
          <w:p w14:paraId="49931DF0" w14:textId="2A13D5EB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-3,4%</w:t>
            </w:r>
          </w:p>
        </w:tc>
        <w:tc>
          <w:tcPr>
            <w:tcW w:w="1692" w:type="dxa"/>
            <w:vAlign w:val="bottom"/>
          </w:tcPr>
          <w:p w14:paraId="2BF050E3" w14:textId="32A2E44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4,8%</w:t>
            </w:r>
          </w:p>
        </w:tc>
      </w:tr>
      <w:tr w:rsidR="00DD10D8" w:rsidRPr="00244226" w14:paraId="6BC09A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8ACF0B6" w14:textId="131918E6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6D9B3CFF" w14:textId="6C121824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777FFC64" w14:textId="0014DC46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1.655 €</w:t>
            </w:r>
          </w:p>
        </w:tc>
        <w:tc>
          <w:tcPr>
            <w:tcW w:w="1842" w:type="dxa"/>
            <w:vAlign w:val="bottom"/>
          </w:tcPr>
          <w:p w14:paraId="04028EFA" w14:textId="35FAE9CF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-3,2%</w:t>
            </w:r>
          </w:p>
        </w:tc>
        <w:tc>
          <w:tcPr>
            <w:tcW w:w="1692" w:type="dxa"/>
            <w:vAlign w:val="bottom"/>
          </w:tcPr>
          <w:p w14:paraId="7133D007" w14:textId="70CE4B74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</w:tr>
      <w:tr w:rsidR="00DD10D8" w:rsidRPr="00244226" w14:paraId="070318DD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6E58195" w14:textId="4721C264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3DA927BE" w14:textId="17BE09AB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1D666C1B" w14:textId="7E7A629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1.604 €</w:t>
            </w:r>
          </w:p>
        </w:tc>
        <w:tc>
          <w:tcPr>
            <w:tcW w:w="1842" w:type="dxa"/>
            <w:vAlign w:val="bottom"/>
          </w:tcPr>
          <w:p w14:paraId="7D4E179B" w14:textId="4A3013ED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692" w:type="dxa"/>
            <w:vAlign w:val="bottom"/>
          </w:tcPr>
          <w:p w14:paraId="37EC804F" w14:textId="131D2AF5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1,4%</w:t>
            </w:r>
          </w:p>
        </w:tc>
      </w:tr>
      <w:tr w:rsidR="00DD10D8" w:rsidRPr="00244226" w14:paraId="34A7B4E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CDD98AD" w14:textId="5389113B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7C36D5C6" w14:textId="23BFDA34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5EB3FE38" w14:textId="1227A3B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1.322 €</w:t>
            </w:r>
          </w:p>
        </w:tc>
        <w:tc>
          <w:tcPr>
            <w:tcW w:w="1842" w:type="dxa"/>
            <w:vAlign w:val="bottom"/>
          </w:tcPr>
          <w:p w14:paraId="3A2C9CC3" w14:textId="35B8EE30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692" w:type="dxa"/>
            <w:vAlign w:val="bottom"/>
          </w:tcPr>
          <w:p w14:paraId="5C86A653" w14:textId="30D68A64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</w:tr>
      <w:tr w:rsidR="00DD10D8" w:rsidRPr="00244226" w14:paraId="6FF1DB8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0D44B07" w14:textId="5B896D24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0B4F131A" w14:textId="507D8059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739C91D3" w14:textId="2B06A1F1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1.171 €</w:t>
            </w:r>
          </w:p>
        </w:tc>
        <w:tc>
          <w:tcPr>
            <w:tcW w:w="1842" w:type="dxa"/>
            <w:vAlign w:val="bottom"/>
          </w:tcPr>
          <w:p w14:paraId="5893537F" w14:textId="477C447A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692" w:type="dxa"/>
            <w:vAlign w:val="bottom"/>
          </w:tcPr>
          <w:p w14:paraId="26F7151E" w14:textId="2CFD6E0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-2,0%</w:t>
            </w:r>
          </w:p>
        </w:tc>
      </w:tr>
      <w:tr w:rsidR="00DD10D8" w:rsidRPr="00244226" w14:paraId="558554D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C802D74" w14:textId="32B48328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4C5C7968" w14:textId="0A6A8FBF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701" w:type="dxa"/>
            <w:vAlign w:val="bottom"/>
          </w:tcPr>
          <w:p w14:paraId="12AA6273" w14:textId="08540389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1.306 €</w:t>
            </w:r>
          </w:p>
        </w:tc>
        <w:tc>
          <w:tcPr>
            <w:tcW w:w="1842" w:type="dxa"/>
            <w:vAlign w:val="bottom"/>
          </w:tcPr>
          <w:p w14:paraId="2D8F9D2F" w14:textId="1659BA75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692" w:type="dxa"/>
            <w:vAlign w:val="bottom"/>
          </w:tcPr>
          <w:p w14:paraId="798DF1E2" w14:textId="06D3D866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</w:tr>
      <w:tr w:rsidR="00DD10D8" w:rsidRPr="00244226" w14:paraId="673D97D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1407E1" w14:textId="23A5D776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567F2BC9" w14:textId="5188BDA2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67BFB155" w14:textId="32D8A3E5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1.339 €</w:t>
            </w:r>
          </w:p>
        </w:tc>
        <w:tc>
          <w:tcPr>
            <w:tcW w:w="1842" w:type="dxa"/>
            <w:vAlign w:val="bottom"/>
          </w:tcPr>
          <w:p w14:paraId="4002F8A0" w14:textId="03FF53E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1692" w:type="dxa"/>
            <w:vAlign w:val="bottom"/>
          </w:tcPr>
          <w:p w14:paraId="4D08D76F" w14:textId="2E7CE50A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-2,3%</w:t>
            </w:r>
          </w:p>
        </w:tc>
      </w:tr>
      <w:tr w:rsidR="00DD10D8" w:rsidRPr="00244226" w14:paraId="2035AC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F6D6C4" w14:textId="78C474E1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5899F7DD" w14:textId="506A92FD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25C6D13F" w14:textId="73CE0C6A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1.254 €</w:t>
            </w:r>
          </w:p>
        </w:tc>
        <w:tc>
          <w:tcPr>
            <w:tcW w:w="1842" w:type="dxa"/>
            <w:vAlign w:val="bottom"/>
          </w:tcPr>
          <w:p w14:paraId="5756304F" w14:textId="21474EA6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2088190C" w14:textId="044962EB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1,9%</w:t>
            </w:r>
          </w:p>
        </w:tc>
      </w:tr>
      <w:tr w:rsidR="00DD10D8" w:rsidRPr="00244226" w14:paraId="1405E26B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309E29" w14:textId="471118C1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52305A05" w14:textId="01A59576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23FA4477" w14:textId="3ADBE03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2.287 €</w:t>
            </w:r>
          </w:p>
        </w:tc>
        <w:tc>
          <w:tcPr>
            <w:tcW w:w="1842" w:type="dxa"/>
            <w:vAlign w:val="bottom"/>
          </w:tcPr>
          <w:p w14:paraId="53214A1E" w14:textId="3F6C1FF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692" w:type="dxa"/>
            <w:vAlign w:val="bottom"/>
          </w:tcPr>
          <w:p w14:paraId="3F254647" w14:textId="2D4C5A2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-3,5%</w:t>
            </w:r>
          </w:p>
        </w:tc>
      </w:tr>
      <w:tr w:rsidR="00DD10D8" w:rsidRPr="00244226" w14:paraId="500C5811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0CBE76E" w14:textId="2BC12382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697A4884" w14:textId="4CF10780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133CDCD4" w14:textId="37777334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2.604 €</w:t>
            </w:r>
          </w:p>
        </w:tc>
        <w:tc>
          <w:tcPr>
            <w:tcW w:w="1842" w:type="dxa"/>
            <w:vAlign w:val="bottom"/>
          </w:tcPr>
          <w:p w14:paraId="20F06192" w14:textId="7428EB6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692" w:type="dxa"/>
            <w:vAlign w:val="bottom"/>
          </w:tcPr>
          <w:p w14:paraId="40DBEC7D" w14:textId="0E83E90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</w:tr>
      <w:tr w:rsidR="00DD10D8" w:rsidRPr="00244226" w14:paraId="75AB458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49B6A28" w14:textId="4ACF285B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59443C2C" w14:textId="679B5AC4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29C5544E" w14:textId="0B911808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1.517 €</w:t>
            </w:r>
          </w:p>
        </w:tc>
        <w:tc>
          <w:tcPr>
            <w:tcW w:w="1842" w:type="dxa"/>
            <w:vAlign w:val="bottom"/>
          </w:tcPr>
          <w:p w14:paraId="123FF288" w14:textId="3AE6DD9B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3A47F5BE" w14:textId="656A0E4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</w:tr>
      <w:tr w:rsidR="00DD10D8" w:rsidRPr="00244226" w14:paraId="3DA84E29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980FA8" w14:textId="73B8F7F1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529D8D5A" w14:textId="79405D4E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01449010" w14:textId="1BECDBE5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1.823 €</w:t>
            </w:r>
          </w:p>
        </w:tc>
        <w:tc>
          <w:tcPr>
            <w:tcW w:w="1842" w:type="dxa"/>
            <w:vAlign w:val="bottom"/>
          </w:tcPr>
          <w:p w14:paraId="3E576B89" w14:textId="5C2A5A81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3AC549AD" w14:textId="03E67080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-2,4%</w:t>
            </w:r>
          </w:p>
        </w:tc>
      </w:tr>
      <w:tr w:rsidR="00DD10D8" w:rsidRPr="00244226" w14:paraId="6576D1E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CCB4C57" w14:textId="356637BE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1E3C9075" w14:textId="09A5F889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147E8CE2" w14:textId="288D755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3.077 €</w:t>
            </w:r>
          </w:p>
        </w:tc>
        <w:tc>
          <w:tcPr>
            <w:tcW w:w="1842" w:type="dxa"/>
            <w:vAlign w:val="bottom"/>
          </w:tcPr>
          <w:p w14:paraId="55EF6C4D" w14:textId="6EEB169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92" w:type="dxa"/>
            <w:vAlign w:val="bottom"/>
          </w:tcPr>
          <w:p w14:paraId="5D1ABAA2" w14:textId="594731A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2,4%</w:t>
            </w:r>
          </w:p>
        </w:tc>
      </w:tr>
      <w:tr w:rsidR="00DD10D8" w:rsidRPr="00244226" w14:paraId="645C5A5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60AC0C" w14:textId="0A4F32AC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09B50342" w14:textId="0C1487B9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004AA59D" w14:textId="76D88D7F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1.223 €</w:t>
            </w:r>
          </w:p>
        </w:tc>
        <w:tc>
          <w:tcPr>
            <w:tcW w:w="1842" w:type="dxa"/>
            <w:vAlign w:val="bottom"/>
          </w:tcPr>
          <w:p w14:paraId="4AC03913" w14:textId="4A44334B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692" w:type="dxa"/>
            <w:vAlign w:val="bottom"/>
          </w:tcPr>
          <w:p w14:paraId="4B5A5ADB" w14:textId="3AAA37F8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-3,9%</w:t>
            </w:r>
          </w:p>
        </w:tc>
      </w:tr>
      <w:tr w:rsidR="00DD10D8" w:rsidRPr="00244226" w14:paraId="1C6640E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6020907" w14:textId="57DD8CC5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57213A71" w14:textId="43EA01F7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30CBE648" w14:textId="170FDAC1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1.390 €</w:t>
            </w:r>
          </w:p>
        </w:tc>
        <w:tc>
          <w:tcPr>
            <w:tcW w:w="1842" w:type="dxa"/>
            <w:vAlign w:val="bottom"/>
          </w:tcPr>
          <w:p w14:paraId="194E1AD8" w14:textId="2B365232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692" w:type="dxa"/>
            <w:vAlign w:val="bottom"/>
          </w:tcPr>
          <w:p w14:paraId="64689D45" w14:textId="2CF36F10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4,9%</w:t>
            </w:r>
          </w:p>
        </w:tc>
      </w:tr>
      <w:tr w:rsidR="00DD10D8" w:rsidRPr="00244226" w14:paraId="2CECF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9D39EEE" w14:textId="34EDC296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6684C3DC" w14:textId="092C119E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0E5ABFFE" w14:textId="208A6E21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1.606 €</w:t>
            </w:r>
          </w:p>
        </w:tc>
        <w:tc>
          <w:tcPr>
            <w:tcW w:w="1842" w:type="dxa"/>
            <w:vAlign w:val="bottom"/>
          </w:tcPr>
          <w:p w14:paraId="4A842A6C" w14:textId="0558E24A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92" w:type="dxa"/>
            <w:vAlign w:val="bottom"/>
          </w:tcPr>
          <w:p w14:paraId="4B5C3F16" w14:textId="679E2EC7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</w:tr>
      <w:tr w:rsidR="00DD10D8" w:rsidRPr="00244226" w14:paraId="2E611F4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E3574A" w14:textId="47DD06C8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1E986A88" w14:textId="6847E004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583BA32B" w14:textId="60A6F901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1.172 €</w:t>
            </w:r>
          </w:p>
        </w:tc>
        <w:tc>
          <w:tcPr>
            <w:tcW w:w="1842" w:type="dxa"/>
            <w:vAlign w:val="bottom"/>
          </w:tcPr>
          <w:p w14:paraId="02EF9891" w14:textId="4605CFB8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1692" w:type="dxa"/>
            <w:vAlign w:val="bottom"/>
          </w:tcPr>
          <w:p w14:paraId="3CBCB463" w14:textId="2EF5E61A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-6,0%</w:t>
            </w:r>
          </w:p>
        </w:tc>
      </w:tr>
      <w:tr w:rsidR="00DD10D8" w:rsidRPr="00244226" w14:paraId="67746B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EF97AB9" w14:textId="7FB06C58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23E5F130" w14:textId="6C312324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47627A15" w14:textId="500377C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1.826 €</w:t>
            </w:r>
          </w:p>
        </w:tc>
        <w:tc>
          <w:tcPr>
            <w:tcW w:w="1842" w:type="dxa"/>
            <w:vAlign w:val="bottom"/>
          </w:tcPr>
          <w:p w14:paraId="27F24196" w14:textId="6BEBCECA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692" w:type="dxa"/>
            <w:vAlign w:val="bottom"/>
          </w:tcPr>
          <w:p w14:paraId="13CAD5B0" w14:textId="6A76C545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4,8%</w:t>
            </w:r>
          </w:p>
        </w:tc>
      </w:tr>
      <w:tr w:rsidR="00DD10D8" w:rsidRPr="00244226" w14:paraId="3343440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4427F4" w14:textId="024F668F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69BDBF70" w14:textId="11084F06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2F661902" w14:textId="19FEAC4A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1.685 €</w:t>
            </w:r>
          </w:p>
        </w:tc>
        <w:tc>
          <w:tcPr>
            <w:tcW w:w="1842" w:type="dxa"/>
            <w:vAlign w:val="bottom"/>
          </w:tcPr>
          <w:p w14:paraId="7ADA3C16" w14:textId="2902A9B3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1692" w:type="dxa"/>
            <w:vAlign w:val="bottom"/>
          </w:tcPr>
          <w:p w14:paraId="21401A72" w14:textId="1B6035D1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</w:tr>
      <w:tr w:rsidR="00DD10D8" w:rsidRPr="00244226" w14:paraId="3D949B5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695BEB9" w14:textId="680A0AAA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29C2948D" w14:textId="3B7CD406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28C9BACB" w14:textId="403B4019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1.721 €</w:t>
            </w:r>
          </w:p>
        </w:tc>
        <w:tc>
          <w:tcPr>
            <w:tcW w:w="1842" w:type="dxa"/>
            <w:vAlign w:val="bottom"/>
          </w:tcPr>
          <w:p w14:paraId="5E0FC1DB" w14:textId="158537F2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692" w:type="dxa"/>
            <w:vAlign w:val="bottom"/>
          </w:tcPr>
          <w:p w14:paraId="1D8CCCAC" w14:textId="076127E9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</w:tr>
      <w:tr w:rsidR="00DD10D8" w:rsidRPr="00244226" w14:paraId="77D198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918C6BB" w14:textId="0482B4F0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168CB127" w14:textId="0BF211A8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701" w:type="dxa"/>
            <w:vAlign w:val="bottom"/>
          </w:tcPr>
          <w:p w14:paraId="2E74E801" w14:textId="532DCBA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1.340 €</w:t>
            </w:r>
          </w:p>
        </w:tc>
        <w:tc>
          <w:tcPr>
            <w:tcW w:w="1842" w:type="dxa"/>
            <w:vAlign w:val="bottom"/>
          </w:tcPr>
          <w:p w14:paraId="55F5491A" w14:textId="2C0C8E9D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-0,3%</w:t>
            </w:r>
          </w:p>
        </w:tc>
        <w:tc>
          <w:tcPr>
            <w:tcW w:w="1692" w:type="dxa"/>
            <w:vAlign w:val="bottom"/>
          </w:tcPr>
          <w:p w14:paraId="3E024303" w14:textId="29E6A618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-2,9%</w:t>
            </w:r>
          </w:p>
        </w:tc>
      </w:tr>
      <w:tr w:rsidR="00DD10D8" w:rsidRPr="00244226" w14:paraId="7CA7D2B3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ED0070D" w14:textId="5D128DA8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4DAB4594" w14:textId="180A42FA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3E992006" w14:textId="49C58185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1.305 €</w:t>
            </w:r>
          </w:p>
        </w:tc>
        <w:tc>
          <w:tcPr>
            <w:tcW w:w="1842" w:type="dxa"/>
            <w:vAlign w:val="bottom"/>
          </w:tcPr>
          <w:p w14:paraId="136E572E" w14:textId="64F6B5F0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1692" w:type="dxa"/>
            <w:vAlign w:val="bottom"/>
          </w:tcPr>
          <w:p w14:paraId="0B1340C1" w14:textId="2FC0213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2,0%</w:t>
            </w:r>
          </w:p>
        </w:tc>
      </w:tr>
      <w:tr w:rsidR="00DD10D8" w:rsidRPr="00244226" w14:paraId="16A6222A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D4B0BC5" w14:textId="20243FF9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530F7063" w14:textId="6A3BDFAE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12576E6B" w14:textId="4D097793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1.433 €</w:t>
            </w:r>
          </w:p>
        </w:tc>
        <w:tc>
          <w:tcPr>
            <w:tcW w:w="1842" w:type="dxa"/>
            <w:vAlign w:val="bottom"/>
          </w:tcPr>
          <w:p w14:paraId="3F33BA4A" w14:textId="208978B0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692" w:type="dxa"/>
            <w:vAlign w:val="bottom"/>
          </w:tcPr>
          <w:p w14:paraId="3E7E844C" w14:textId="5A90262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-4,3%</w:t>
            </w:r>
          </w:p>
        </w:tc>
      </w:tr>
      <w:tr w:rsidR="00DD10D8" w:rsidRPr="00244226" w14:paraId="2DBD7D2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E7974D4" w14:textId="42E830A1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León</w:t>
            </w:r>
          </w:p>
        </w:tc>
        <w:tc>
          <w:tcPr>
            <w:tcW w:w="2268" w:type="dxa"/>
            <w:vAlign w:val="bottom"/>
          </w:tcPr>
          <w:p w14:paraId="1483E579" w14:textId="36A73E1B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2307218F" w14:textId="69BB824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1.503 €</w:t>
            </w:r>
          </w:p>
        </w:tc>
        <w:tc>
          <w:tcPr>
            <w:tcW w:w="1842" w:type="dxa"/>
            <w:vAlign w:val="bottom"/>
          </w:tcPr>
          <w:p w14:paraId="639F332E" w14:textId="38B96B3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692" w:type="dxa"/>
            <w:vAlign w:val="bottom"/>
          </w:tcPr>
          <w:p w14:paraId="6D7B4972" w14:textId="70C67193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</w:tr>
      <w:tr w:rsidR="00DD10D8" w:rsidRPr="00244226" w14:paraId="0AFF1928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977C40B" w14:textId="13AAB005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62A8C9A3" w14:textId="31ADD52E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004C64C9" w14:textId="05E3E41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2.370 €</w:t>
            </w:r>
          </w:p>
        </w:tc>
        <w:tc>
          <w:tcPr>
            <w:tcW w:w="1842" w:type="dxa"/>
            <w:vAlign w:val="bottom"/>
          </w:tcPr>
          <w:p w14:paraId="0DC31C15" w14:textId="0726046B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692" w:type="dxa"/>
            <w:vAlign w:val="bottom"/>
          </w:tcPr>
          <w:p w14:paraId="111919CA" w14:textId="652256C4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-1,1%</w:t>
            </w:r>
          </w:p>
        </w:tc>
      </w:tr>
      <w:tr w:rsidR="00DD10D8" w:rsidRPr="00244226" w14:paraId="1BE1AE45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74D718" w14:textId="2050CC24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586CB5A0" w14:textId="5D02DE38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5D809B8E" w14:textId="5A278631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1.903 €</w:t>
            </w:r>
          </w:p>
        </w:tc>
        <w:tc>
          <w:tcPr>
            <w:tcW w:w="1842" w:type="dxa"/>
            <w:vAlign w:val="bottom"/>
          </w:tcPr>
          <w:p w14:paraId="29DC8E06" w14:textId="2B7F3973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0D414430" w14:textId="07681E3B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</w:tr>
      <w:tr w:rsidR="00DD10D8" w:rsidRPr="00244226" w14:paraId="20C5031F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E755D3" w14:textId="61566309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34D44171" w14:textId="1F2B9E04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4DDF51F5" w14:textId="6401CDD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1.889 €</w:t>
            </w:r>
          </w:p>
        </w:tc>
        <w:tc>
          <w:tcPr>
            <w:tcW w:w="1842" w:type="dxa"/>
            <w:vAlign w:val="bottom"/>
          </w:tcPr>
          <w:p w14:paraId="0B580FE7" w14:textId="333C852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0,0%</w:t>
            </w:r>
          </w:p>
        </w:tc>
        <w:tc>
          <w:tcPr>
            <w:tcW w:w="1692" w:type="dxa"/>
            <w:vAlign w:val="bottom"/>
          </w:tcPr>
          <w:p w14:paraId="4C66D9F9" w14:textId="53005138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-1,7%</w:t>
            </w:r>
          </w:p>
        </w:tc>
      </w:tr>
      <w:tr w:rsidR="00DD10D8" w:rsidRPr="00244226" w14:paraId="1462687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1571B0" w14:textId="76A26C99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6EB733F8" w14:textId="6BFA002F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0551926E" w14:textId="2084A32B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1.455 €</w:t>
            </w:r>
          </w:p>
        </w:tc>
        <w:tc>
          <w:tcPr>
            <w:tcW w:w="1842" w:type="dxa"/>
            <w:vAlign w:val="bottom"/>
          </w:tcPr>
          <w:p w14:paraId="256B37A4" w14:textId="70876AA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1D425277" w14:textId="221BA65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3,5%</w:t>
            </w:r>
          </w:p>
        </w:tc>
      </w:tr>
      <w:tr w:rsidR="00DD10D8" w:rsidRPr="00244226" w14:paraId="2E2DB8A9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E4D55EC" w14:textId="40DEBC0F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17E61248" w14:textId="51A411CB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70581BEF" w14:textId="5F33C0BF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2.074 €</w:t>
            </w:r>
          </w:p>
        </w:tc>
        <w:tc>
          <w:tcPr>
            <w:tcW w:w="1842" w:type="dxa"/>
            <w:vAlign w:val="bottom"/>
          </w:tcPr>
          <w:p w14:paraId="7F34A079" w14:textId="717BDD0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20FD3D84" w14:textId="1A9FBAA2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</w:tr>
      <w:tr w:rsidR="00DD10D8" w:rsidRPr="00244226" w14:paraId="0576F47A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B11FEB7" w14:textId="5296D236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6C658BB8" w14:textId="6DACC0E5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0EADF880" w14:textId="5652EE2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1.442 €</w:t>
            </w:r>
          </w:p>
        </w:tc>
        <w:tc>
          <w:tcPr>
            <w:tcW w:w="1842" w:type="dxa"/>
            <w:vAlign w:val="bottom"/>
          </w:tcPr>
          <w:p w14:paraId="4322F448" w14:textId="0FA9D551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2F024753" w14:textId="403B806E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-1,5%</w:t>
            </w:r>
          </w:p>
        </w:tc>
      </w:tr>
      <w:tr w:rsidR="00DD10D8" w:rsidRPr="00244226" w14:paraId="1C4AB205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F8D9E13" w14:textId="686199AD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36F609C2" w14:textId="6761B0A1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17E11C90" w14:textId="670ED8B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3.362 €</w:t>
            </w:r>
          </w:p>
        </w:tc>
        <w:tc>
          <w:tcPr>
            <w:tcW w:w="1842" w:type="dxa"/>
            <w:vAlign w:val="bottom"/>
          </w:tcPr>
          <w:p w14:paraId="321185EC" w14:textId="2B7AF8A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654B7EC1" w14:textId="3122D6A2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</w:tr>
      <w:tr w:rsidR="00DD10D8" w:rsidRPr="00244226" w14:paraId="670E91BD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89C1F9D" w14:textId="100DD845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1875B3E9" w14:textId="5B4709AA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7683BE71" w14:textId="1CD0DEC7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1.694 €</w:t>
            </w:r>
          </w:p>
        </w:tc>
        <w:tc>
          <w:tcPr>
            <w:tcW w:w="1842" w:type="dxa"/>
            <w:vAlign w:val="bottom"/>
          </w:tcPr>
          <w:p w14:paraId="372DFC39" w14:textId="6E68F8BE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692" w:type="dxa"/>
            <w:vAlign w:val="bottom"/>
          </w:tcPr>
          <w:p w14:paraId="7A31E441" w14:textId="542A033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</w:tr>
      <w:tr w:rsidR="00DD10D8" w:rsidRPr="00244226" w14:paraId="473BEA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64711DF" w14:textId="7D81E398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6F855E84" w14:textId="11445D7D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6A87EB3B" w14:textId="43D3C17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5.501 €</w:t>
            </w:r>
          </w:p>
        </w:tc>
        <w:tc>
          <w:tcPr>
            <w:tcW w:w="1842" w:type="dxa"/>
            <w:vAlign w:val="bottom"/>
          </w:tcPr>
          <w:p w14:paraId="7B582B3E" w14:textId="062ED505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007FF08C" w14:textId="47A2CC74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</w:tr>
      <w:tr w:rsidR="00DD10D8" w:rsidRPr="00244226" w14:paraId="1F6B6F6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60A4C5B4" w14:textId="097A9A31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2C417DEE" w14:textId="48E1BCD7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6788F0BF" w14:textId="2559D12E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2.127 €</w:t>
            </w:r>
          </w:p>
        </w:tc>
        <w:tc>
          <w:tcPr>
            <w:tcW w:w="1842" w:type="dxa"/>
            <w:vAlign w:val="bottom"/>
          </w:tcPr>
          <w:p w14:paraId="0B88AEB3" w14:textId="132AA335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15A2BE4E" w14:textId="2610A3C3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-1,9%</w:t>
            </w:r>
          </w:p>
        </w:tc>
      </w:tr>
      <w:tr w:rsidR="00DD10D8" w:rsidRPr="00244226" w14:paraId="4B6DA924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9EB888" w14:textId="50751AB5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1F1A36FD" w14:textId="6C698768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4BBC4BDF" w14:textId="6C9CC835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4.413 €</w:t>
            </w:r>
          </w:p>
        </w:tc>
        <w:tc>
          <w:tcPr>
            <w:tcW w:w="1842" w:type="dxa"/>
            <w:vAlign w:val="bottom"/>
          </w:tcPr>
          <w:p w14:paraId="11B77A30" w14:textId="7E5A82B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46D7448D" w14:textId="75EF7524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-4,8%</w:t>
            </w:r>
          </w:p>
        </w:tc>
      </w:tr>
      <w:tr w:rsidR="00DD10D8" w:rsidRPr="00244226" w14:paraId="4DF53E7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FEB4B3" w14:textId="72867D4F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6E672312" w14:textId="1AE03DD8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05B966E6" w14:textId="4CDC3F32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2.501 €</w:t>
            </w:r>
          </w:p>
        </w:tc>
        <w:tc>
          <w:tcPr>
            <w:tcW w:w="1842" w:type="dxa"/>
            <w:vAlign w:val="bottom"/>
          </w:tcPr>
          <w:p w14:paraId="34AD34B0" w14:textId="55F20EE4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692" w:type="dxa"/>
            <w:vAlign w:val="bottom"/>
          </w:tcPr>
          <w:p w14:paraId="73CB0113" w14:textId="169AAAC8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</w:tr>
      <w:tr w:rsidR="00DD10D8" w:rsidRPr="00244226" w14:paraId="463C9516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46B6D12" w14:textId="571AB178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38442AB3" w14:textId="34200500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2A26E2BB" w14:textId="6AA98A44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2.151 €</w:t>
            </w:r>
          </w:p>
        </w:tc>
        <w:tc>
          <w:tcPr>
            <w:tcW w:w="1842" w:type="dxa"/>
            <w:vAlign w:val="bottom"/>
          </w:tcPr>
          <w:p w14:paraId="30D4E146" w14:textId="12D56DF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71D2FCE3" w14:textId="36FC1C5E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</w:tr>
      <w:tr w:rsidR="00DD10D8" w:rsidRPr="00244226" w14:paraId="18B3E7E0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D305A51" w14:textId="2283F00C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6305896D" w14:textId="2B23331C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701" w:type="dxa"/>
            <w:vAlign w:val="bottom"/>
          </w:tcPr>
          <w:p w14:paraId="6675F6AF" w14:textId="41DB558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1.343 €</w:t>
            </w:r>
          </w:p>
        </w:tc>
        <w:tc>
          <w:tcPr>
            <w:tcW w:w="1842" w:type="dxa"/>
            <w:vAlign w:val="bottom"/>
          </w:tcPr>
          <w:p w14:paraId="56857A7A" w14:textId="2178A896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0,3%</w:t>
            </w:r>
          </w:p>
        </w:tc>
        <w:tc>
          <w:tcPr>
            <w:tcW w:w="1692" w:type="dxa"/>
            <w:vAlign w:val="bottom"/>
          </w:tcPr>
          <w:p w14:paraId="59B89188" w14:textId="68A6CC00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6,3%</w:t>
            </w:r>
          </w:p>
        </w:tc>
      </w:tr>
      <w:tr w:rsidR="00DD10D8" w:rsidRPr="00244226" w14:paraId="376B25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8D32B34" w14:textId="5E5F6222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682D57E2" w14:textId="400D4B0B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2E916BD1" w14:textId="0F35C84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2.368 €</w:t>
            </w:r>
          </w:p>
        </w:tc>
        <w:tc>
          <w:tcPr>
            <w:tcW w:w="1842" w:type="dxa"/>
            <w:vAlign w:val="bottom"/>
          </w:tcPr>
          <w:p w14:paraId="1BE20E4A" w14:textId="5C6A8630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4A4AECCC" w14:textId="19422E17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3,0%</w:t>
            </w:r>
          </w:p>
        </w:tc>
      </w:tr>
      <w:tr w:rsidR="00DD10D8" w:rsidRPr="00244226" w14:paraId="237B1A44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48F4AF6" w14:textId="27DA553E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268" w:type="dxa"/>
            <w:vAlign w:val="bottom"/>
          </w:tcPr>
          <w:p w14:paraId="283B7F0F" w14:textId="1D3F056A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0D862510" w14:textId="41677069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1.682 €</w:t>
            </w:r>
          </w:p>
        </w:tc>
        <w:tc>
          <w:tcPr>
            <w:tcW w:w="1842" w:type="dxa"/>
            <w:vAlign w:val="bottom"/>
          </w:tcPr>
          <w:p w14:paraId="6E489CA5" w14:textId="58744C0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72AE4ADE" w14:textId="2524EEC3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-3,7%</w:t>
            </w:r>
          </w:p>
        </w:tc>
      </w:tr>
      <w:tr w:rsidR="00DD10D8" w:rsidRPr="00244226" w14:paraId="0ABB8663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4AB60AB" w14:textId="6CAA8E86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7DA86246" w14:textId="0CC53F0B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3FCF15AF" w14:textId="7AC4C447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3.902 €</w:t>
            </w:r>
          </w:p>
        </w:tc>
        <w:tc>
          <w:tcPr>
            <w:tcW w:w="1842" w:type="dxa"/>
            <w:vAlign w:val="bottom"/>
          </w:tcPr>
          <w:p w14:paraId="067FB6F7" w14:textId="35B3F0B3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6C9AD3C8" w14:textId="6C176F21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-1,4%</w:t>
            </w:r>
          </w:p>
        </w:tc>
      </w:tr>
      <w:tr w:rsidR="00DD10D8" w:rsidRPr="00244226" w14:paraId="582B731F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71F38A3" w14:textId="38A79739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63CCB9A7" w14:textId="7DD84F24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3FFB1FD9" w14:textId="56982C90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1.297 €</w:t>
            </w:r>
          </w:p>
        </w:tc>
        <w:tc>
          <w:tcPr>
            <w:tcW w:w="1842" w:type="dxa"/>
            <w:vAlign w:val="bottom"/>
          </w:tcPr>
          <w:p w14:paraId="20019C0E" w14:textId="16C17BD8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692" w:type="dxa"/>
            <w:vAlign w:val="bottom"/>
          </w:tcPr>
          <w:p w14:paraId="78CC7EDA" w14:textId="2736256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-4,5%</w:t>
            </w:r>
          </w:p>
        </w:tc>
      </w:tr>
      <w:tr w:rsidR="00DD10D8" w:rsidRPr="00244226" w14:paraId="65DBC492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5EC44E8" w14:textId="1C01C9F2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241C2730" w14:textId="086C4235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67182B09" w14:textId="3E57BAE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1.470 €</w:t>
            </w:r>
          </w:p>
        </w:tc>
        <w:tc>
          <w:tcPr>
            <w:tcW w:w="1842" w:type="dxa"/>
            <w:vAlign w:val="bottom"/>
          </w:tcPr>
          <w:p w14:paraId="2537E6DE" w14:textId="1F3F39AD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692" w:type="dxa"/>
            <w:vAlign w:val="bottom"/>
          </w:tcPr>
          <w:p w14:paraId="6CA08A05" w14:textId="7182F859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-1,6%</w:t>
            </w:r>
          </w:p>
        </w:tc>
      </w:tr>
      <w:tr w:rsidR="00DD10D8" w:rsidRPr="00244226" w14:paraId="4C7AB3D8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B10FE77" w14:textId="4B01EEDD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15FEE483" w14:textId="2F53245F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6E9141CA" w14:textId="7E09D0E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1.547 €</w:t>
            </w:r>
          </w:p>
        </w:tc>
        <w:tc>
          <w:tcPr>
            <w:tcW w:w="1842" w:type="dxa"/>
            <w:vAlign w:val="bottom"/>
          </w:tcPr>
          <w:p w14:paraId="5595D82B" w14:textId="314A1EC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1,0%</w:t>
            </w:r>
          </w:p>
        </w:tc>
        <w:tc>
          <w:tcPr>
            <w:tcW w:w="1692" w:type="dxa"/>
            <w:vAlign w:val="bottom"/>
          </w:tcPr>
          <w:p w14:paraId="7092D823" w14:textId="36A9E60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0,6%</w:t>
            </w:r>
          </w:p>
        </w:tc>
      </w:tr>
      <w:tr w:rsidR="00DD10D8" w:rsidRPr="00244226" w14:paraId="7EFE94AC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A524C7F" w14:textId="5A480775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624D749C" w14:textId="44B7E8FB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507F61A8" w14:textId="0B931C02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1.705 €</w:t>
            </w:r>
          </w:p>
        </w:tc>
        <w:tc>
          <w:tcPr>
            <w:tcW w:w="1842" w:type="dxa"/>
            <w:vAlign w:val="bottom"/>
          </w:tcPr>
          <w:p w14:paraId="41D253D5" w14:textId="11272FBA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92" w:type="dxa"/>
            <w:vAlign w:val="bottom"/>
          </w:tcPr>
          <w:p w14:paraId="3CE6D823" w14:textId="76BB7904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2,6%</w:t>
            </w:r>
          </w:p>
        </w:tc>
      </w:tr>
      <w:tr w:rsidR="00DD10D8" w:rsidRPr="00244226" w14:paraId="21FEA5FB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79A8226" w14:textId="4B38EC2E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4D7FA26D" w14:textId="0BA2AB8D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34871966" w14:textId="72A73C4F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2.572 €</w:t>
            </w:r>
          </w:p>
        </w:tc>
        <w:tc>
          <w:tcPr>
            <w:tcW w:w="1842" w:type="dxa"/>
            <w:vAlign w:val="bottom"/>
          </w:tcPr>
          <w:p w14:paraId="3DE623D0" w14:textId="5D75E7A4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1,5%</w:t>
            </w:r>
          </w:p>
        </w:tc>
        <w:tc>
          <w:tcPr>
            <w:tcW w:w="1692" w:type="dxa"/>
            <w:vAlign w:val="bottom"/>
          </w:tcPr>
          <w:p w14:paraId="40F8C086" w14:textId="4CCCE95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6,3%</w:t>
            </w:r>
          </w:p>
        </w:tc>
      </w:tr>
      <w:tr w:rsidR="00DD10D8" w:rsidRPr="00244226" w14:paraId="435991A0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3244BB" w14:textId="4B7F3019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40839CC4" w14:textId="62032F33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701" w:type="dxa"/>
            <w:vAlign w:val="bottom"/>
          </w:tcPr>
          <w:p w14:paraId="1421D516" w14:textId="642BA2BC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1.315 €</w:t>
            </w:r>
          </w:p>
        </w:tc>
        <w:tc>
          <w:tcPr>
            <w:tcW w:w="1842" w:type="dxa"/>
            <w:vAlign w:val="bottom"/>
          </w:tcPr>
          <w:p w14:paraId="70F86436" w14:textId="55F1CC1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1,6%</w:t>
            </w:r>
          </w:p>
        </w:tc>
        <w:tc>
          <w:tcPr>
            <w:tcW w:w="1692" w:type="dxa"/>
            <w:vAlign w:val="bottom"/>
          </w:tcPr>
          <w:p w14:paraId="042966CE" w14:textId="08A9D24B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-6,9%</w:t>
            </w:r>
          </w:p>
        </w:tc>
      </w:tr>
      <w:tr w:rsidR="00DD10D8" w:rsidRPr="00244226" w14:paraId="333AF3B6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99AC3C2" w14:textId="5FC922E6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0154B575" w14:textId="155A70B5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29C20406" w14:textId="4C6B7CDC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1.255 €</w:t>
            </w:r>
          </w:p>
        </w:tc>
        <w:tc>
          <w:tcPr>
            <w:tcW w:w="1842" w:type="dxa"/>
            <w:vAlign w:val="bottom"/>
          </w:tcPr>
          <w:p w14:paraId="13212EB4" w14:textId="5EF9B8E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692" w:type="dxa"/>
            <w:vAlign w:val="bottom"/>
          </w:tcPr>
          <w:p w14:paraId="7B096A2B" w14:textId="61320195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2,3%</w:t>
            </w:r>
          </w:p>
        </w:tc>
      </w:tr>
      <w:tr w:rsidR="00DD10D8" w:rsidRPr="00244226" w14:paraId="43C2535E" w14:textId="77777777" w:rsidTr="00244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7A4678D" w14:textId="7BB672E9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792595A3" w14:textId="7AE8D882" w:rsidR="00DD10D8" w:rsidRPr="00DD10D8" w:rsidRDefault="00DD10D8" w:rsidP="00DD1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31EA9383" w14:textId="257222C6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1.543 €</w:t>
            </w:r>
          </w:p>
        </w:tc>
        <w:tc>
          <w:tcPr>
            <w:tcW w:w="1842" w:type="dxa"/>
            <w:vAlign w:val="bottom"/>
          </w:tcPr>
          <w:p w14:paraId="0F29E7D4" w14:textId="2A4DD644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692" w:type="dxa"/>
            <w:vAlign w:val="bottom"/>
          </w:tcPr>
          <w:p w14:paraId="55AF5E52" w14:textId="34B2DE35" w:rsidR="00DD10D8" w:rsidRPr="007B1AD0" w:rsidRDefault="00DD10D8" w:rsidP="00DD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2,7%</w:t>
            </w:r>
          </w:p>
        </w:tc>
      </w:tr>
      <w:tr w:rsidR="00DD10D8" w:rsidRPr="00244226" w14:paraId="32CD9D0C" w14:textId="77777777" w:rsidTr="00244226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105265A" w14:textId="554DD91F" w:rsidR="00DD10D8" w:rsidRPr="00DD10D8" w:rsidRDefault="00DD10D8" w:rsidP="00DD10D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0D9CFF13" w14:textId="66B0B78D" w:rsidR="00DD10D8" w:rsidRPr="00DD10D8" w:rsidRDefault="00DD10D8" w:rsidP="00DD1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D10D8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5AF22E1A" w14:textId="4F22F07B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1.446 €</w:t>
            </w:r>
          </w:p>
        </w:tc>
        <w:tc>
          <w:tcPr>
            <w:tcW w:w="1842" w:type="dxa"/>
            <w:vAlign w:val="bottom"/>
          </w:tcPr>
          <w:p w14:paraId="17DF901D" w14:textId="141CE52D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  <w:tc>
          <w:tcPr>
            <w:tcW w:w="1692" w:type="dxa"/>
            <w:vAlign w:val="bottom"/>
          </w:tcPr>
          <w:p w14:paraId="76A854E4" w14:textId="4EDA494A" w:rsidR="00DD10D8" w:rsidRPr="007B1AD0" w:rsidRDefault="00DD10D8" w:rsidP="00DD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10,3%</w:t>
            </w:r>
          </w:p>
        </w:tc>
      </w:tr>
    </w:tbl>
    <w:p w14:paraId="0DD75479" w14:textId="4B13C8A6" w:rsidR="003B7640" w:rsidRDefault="008F0AF1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</w:t>
      </w:r>
    </w:p>
    <w:p w14:paraId="5561D8ED" w14:textId="6C3113C1" w:rsidR="00D120A8" w:rsidRDefault="00753088" w:rsidP="00D120A8">
      <w:pPr>
        <w:spacing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DD10D8">
        <w:rPr>
          <w:rFonts w:ascii="Open Sans" w:hAnsi="Open Sans" w:cs="Open Sans"/>
          <w:color w:val="000000"/>
        </w:rPr>
        <w:t>cae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DB34DF">
        <w:rPr>
          <w:rFonts w:ascii="Open Sans" w:hAnsi="Open Sans" w:cs="Open Sans"/>
          <w:color w:val="000000"/>
        </w:rPr>
        <w:t xml:space="preserve">el </w:t>
      </w:r>
      <w:r w:rsidR="00DD10D8">
        <w:rPr>
          <w:rFonts w:ascii="Open Sans" w:hAnsi="Open Sans" w:cs="Open Sans"/>
          <w:color w:val="000000"/>
        </w:rPr>
        <w:t>62</w:t>
      </w:r>
      <w:r w:rsidR="00144783">
        <w:rPr>
          <w:rFonts w:ascii="Open Sans" w:hAnsi="Open Sans" w:cs="Open Sans"/>
          <w:color w:val="000000"/>
        </w:rPr>
        <w:t>%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DD10D8">
        <w:rPr>
          <w:rFonts w:ascii="Open Sans" w:hAnsi="Open Sans" w:cs="Open Sans"/>
          <w:color w:val="000000"/>
        </w:rPr>
        <w:t>698</w:t>
      </w:r>
      <w:r w:rsidR="00D120A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municipios</w:t>
      </w:r>
      <w:r w:rsidR="0055534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con variación </w:t>
      </w:r>
      <w:r w:rsidR="00FE40AF">
        <w:rPr>
          <w:rFonts w:ascii="Open Sans" w:hAnsi="Open Sans" w:cs="Open Sans"/>
          <w:color w:val="000000"/>
        </w:rPr>
        <w:t>mensual</w:t>
      </w:r>
      <w:r w:rsidR="004D6C3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analizados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2" w:history="1">
        <w:r w:rsidR="00E263D4" w:rsidRPr="006443B7">
          <w:rPr>
            <w:rStyle w:val="Hipervnculo"/>
            <w:rFonts w:ascii="Open Sans" w:hAnsi="Open Sans" w:cs="Open Sans"/>
          </w:rPr>
          <w:t>Fotocasa</w:t>
        </w:r>
      </w:hyperlink>
      <w:r w:rsidRPr="005C20C7">
        <w:rPr>
          <w:rFonts w:ascii="Open Sans" w:hAnsi="Open Sans" w:cs="Open Sans"/>
          <w:color w:val="4472C4" w:themeColor="accent1"/>
          <w:u w:val="single"/>
        </w:rPr>
        <w:t>.</w:t>
      </w:r>
      <w:r w:rsidRPr="005C20C7">
        <w:rPr>
          <w:rFonts w:ascii="Open Sans" w:hAnsi="Open Sans" w:cs="Open Sans"/>
          <w:color w:val="4472C4" w:themeColor="accent1"/>
        </w:rPr>
        <w:t xml:space="preserve"> </w:t>
      </w:r>
      <w:r w:rsidR="00D120A8">
        <w:rPr>
          <w:rFonts w:ascii="Open Sans" w:hAnsi="Open Sans" w:cs="Open Sans"/>
          <w:color w:val="000000"/>
        </w:rPr>
        <w:t xml:space="preserve">Apenas </w:t>
      </w:r>
      <w:r w:rsidR="00DD10D8">
        <w:rPr>
          <w:rFonts w:ascii="Open Sans" w:hAnsi="Open Sans" w:cs="Open Sans"/>
          <w:color w:val="000000"/>
        </w:rPr>
        <w:t>uno</w:t>
      </w:r>
      <w:r w:rsidR="00D120A8">
        <w:rPr>
          <w:rFonts w:ascii="Open Sans" w:hAnsi="Open Sans" w:cs="Open Sans"/>
          <w:color w:val="000000"/>
        </w:rPr>
        <w:t xml:space="preserve"> de los municipios </w:t>
      </w:r>
      <w:r w:rsidR="00DD10D8">
        <w:rPr>
          <w:rFonts w:ascii="Open Sans" w:hAnsi="Open Sans" w:cs="Open Sans"/>
          <w:color w:val="000000"/>
        </w:rPr>
        <w:t>cae</w:t>
      </w:r>
      <w:r w:rsidR="00D120A8">
        <w:rPr>
          <w:rFonts w:ascii="Open Sans" w:hAnsi="Open Sans" w:cs="Open Sans"/>
          <w:color w:val="000000"/>
        </w:rPr>
        <w:t xml:space="preserve"> el valor mensual de la vivienda por </w:t>
      </w:r>
      <w:r w:rsidR="00DD10D8">
        <w:rPr>
          <w:rFonts w:ascii="Open Sans" w:hAnsi="Open Sans" w:cs="Open Sans"/>
          <w:color w:val="000000"/>
        </w:rPr>
        <w:t>debajo</w:t>
      </w:r>
      <w:r w:rsidR="00D120A8">
        <w:rPr>
          <w:rFonts w:ascii="Open Sans" w:hAnsi="Open Sans" w:cs="Open Sans"/>
          <w:color w:val="000000"/>
        </w:rPr>
        <w:t xml:space="preserve"> del </w:t>
      </w:r>
      <w:r w:rsidR="00DD10D8">
        <w:rPr>
          <w:rFonts w:ascii="Open Sans" w:hAnsi="Open Sans" w:cs="Open Sans"/>
          <w:color w:val="000000"/>
        </w:rPr>
        <w:t>-</w:t>
      </w:r>
      <w:r w:rsidR="00D120A8">
        <w:rPr>
          <w:rFonts w:ascii="Open Sans" w:hAnsi="Open Sans" w:cs="Open Sans"/>
          <w:color w:val="000000"/>
        </w:rPr>
        <w:t>10% y</w:t>
      </w:r>
      <w:r w:rsidR="00DD10D8">
        <w:rPr>
          <w:rFonts w:ascii="Open Sans" w:hAnsi="Open Sans" w:cs="Open Sans"/>
          <w:color w:val="000000"/>
        </w:rPr>
        <w:t xml:space="preserve"> es la ciudad de </w:t>
      </w:r>
      <w:proofErr w:type="spellStart"/>
      <w:r w:rsidR="00DD10D8">
        <w:rPr>
          <w:rFonts w:ascii="Open Sans" w:hAnsi="Open Sans" w:cs="Open Sans"/>
          <w:color w:val="000000"/>
        </w:rPr>
        <w:t>Pulpí</w:t>
      </w:r>
      <w:proofErr w:type="spellEnd"/>
      <w:r w:rsidR="00DD10D8">
        <w:rPr>
          <w:rFonts w:ascii="Open Sans" w:hAnsi="Open Sans" w:cs="Open Sans"/>
          <w:color w:val="000000"/>
        </w:rPr>
        <w:t xml:space="preserve"> en Almería.</w:t>
      </w:r>
      <w:r w:rsidR="00D120A8">
        <w:rPr>
          <w:rFonts w:ascii="Open Sans" w:hAnsi="Open Sans" w:cs="Open Sans"/>
          <w:color w:val="000000"/>
        </w:rPr>
        <w:t xml:space="preserve"> </w:t>
      </w:r>
    </w:p>
    <w:p w14:paraId="409C30F2" w14:textId="77777777" w:rsidR="0076708E" w:rsidRDefault="0076708E" w:rsidP="0076708E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695E69DD" w14:textId="77777777" w:rsidR="00A43278" w:rsidRDefault="0076708E" w:rsidP="00932026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</w:t>
      </w:r>
      <w:r w:rsidR="00A43278">
        <w:rPr>
          <w:rFonts w:ascii="Open Sans" w:hAnsi="Open Sans" w:cs="Open Sans"/>
          <w:color w:val="000000"/>
        </w:rPr>
        <w:t>un municipio</w:t>
      </w:r>
      <w:r w:rsidR="00D120A8">
        <w:rPr>
          <w:rFonts w:ascii="Open Sans" w:hAnsi="Open Sans" w:cs="Open Sans"/>
          <w:color w:val="000000"/>
        </w:rPr>
        <w:t xml:space="preserve"> de la provincia de </w:t>
      </w:r>
      <w:r w:rsidR="00A43278">
        <w:rPr>
          <w:rFonts w:ascii="Open Sans" w:hAnsi="Open Sans" w:cs="Open Sans"/>
          <w:color w:val="000000"/>
        </w:rPr>
        <w:t>Tarragona</w:t>
      </w:r>
      <w:r w:rsidR="00D120A8">
        <w:rPr>
          <w:rFonts w:ascii="Open Sans" w:hAnsi="Open Sans" w:cs="Open Sans"/>
          <w:color w:val="000000"/>
        </w:rPr>
        <w:t xml:space="preserve"> y </w:t>
      </w:r>
      <w:r w:rsidR="00A43278">
        <w:rPr>
          <w:rFonts w:ascii="Open Sans" w:hAnsi="Open Sans" w:cs="Open Sans"/>
          <w:color w:val="000000"/>
        </w:rPr>
        <w:t xml:space="preserve">otro de Barcelona, </w:t>
      </w:r>
      <w:r w:rsidR="00D120A8">
        <w:rPr>
          <w:rFonts w:ascii="Open Sans" w:hAnsi="Open Sans" w:cs="Open Sans"/>
          <w:color w:val="000000"/>
        </w:rPr>
        <w:t xml:space="preserve">acaparan los mayores </w:t>
      </w:r>
      <w:r w:rsidR="00A43278">
        <w:rPr>
          <w:rFonts w:ascii="Open Sans" w:hAnsi="Open Sans" w:cs="Open Sans"/>
          <w:color w:val="000000"/>
        </w:rPr>
        <w:t>incrementos</w:t>
      </w:r>
      <w:r w:rsidR="00D120A8">
        <w:rPr>
          <w:rFonts w:ascii="Open Sans" w:hAnsi="Open Sans" w:cs="Open Sans"/>
          <w:color w:val="000000"/>
        </w:rPr>
        <w:t xml:space="preserve"> detectados en </w:t>
      </w:r>
      <w:r w:rsidR="00A43278">
        <w:rPr>
          <w:rFonts w:ascii="Open Sans" w:hAnsi="Open Sans" w:cs="Open Sans"/>
          <w:color w:val="000000"/>
        </w:rPr>
        <w:t>abril</w:t>
      </w:r>
      <w:r w:rsidR="00D120A8">
        <w:rPr>
          <w:rFonts w:ascii="Open Sans" w:hAnsi="Open Sans" w:cs="Open Sans"/>
          <w:color w:val="000000"/>
        </w:rPr>
        <w:t xml:space="preserve">. </w:t>
      </w:r>
      <w:r w:rsidR="007E0857">
        <w:rPr>
          <w:rFonts w:ascii="Open Sans" w:hAnsi="Open Sans" w:cs="Open Sans"/>
          <w:color w:val="000000"/>
        </w:rPr>
        <w:t>En l</w:t>
      </w:r>
      <w:r w:rsidR="00D120A8">
        <w:rPr>
          <w:rFonts w:ascii="Open Sans" w:hAnsi="Open Sans" w:cs="Open Sans"/>
          <w:color w:val="000000"/>
        </w:rPr>
        <w:t xml:space="preserve">a ciudad valenciana de </w:t>
      </w:r>
      <w:r w:rsidR="00A43278" w:rsidRPr="00A43278">
        <w:rPr>
          <w:rFonts w:ascii="Open Sans" w:hAnsi="Open Sans" w:cs="Open Sans"/>
          <w:color w:val="000000"/>
        </w:rPr>
        <w:t>Ulldecona</w:t>
      </w:r>
      <w:r w:rsidR="00A43278">
        <w:rPr>
          <w:rFonts w:ascii="Open Sans" w:hAnsi="Open Sans" w:cs="Open Sans"/>
          <w:color w:val="000000"/>
        </w:rPr>
        <w:t xml:space="preserve"> </w:t>
      </w:r>
      <w:r w:rsidR="007E0857">
        <w:rPr>
          <w:rFonts w:ascii="Open Sans" w:hAnsi="Open Sans" w:cs="Open Sans"/>
          <w:color w:val="000000"/>
        </w:rPr>
        <w:t>se dete</w:t>
      </w:r>
      <w:r w:rsidR="00A43278">
        <w:rPr>
          <w:rFonts w:ascii="Open Sans" w:hAnsi="Open Sans" w:cs="Open Sans"/>
          <w:color w:val="000000"/>
        </w:rPr>
        <w:t>c</w:t>
      </w:r>
      <w:r w:rsidR="007E0857">
        <w:rPr>
          <w:rFonts w:ascii="Open Sans" w:hAnsi="Open Sans" w:cs="Open Sans"/>
          <w:color w:val="000000"/>
        </w:rPr>
        <w:t xml:space="preserve">ta el mayor </w:t>
      </w:r>
      <w:r w:rsidR="00A43278">
        <w:rPr>
          <w:rFonts w:ascii="Open Sans" w:hAnsi="Open Sans" w:cs="Open Sans"/>
          <w:color w:val="000000"/>
        </w:rPr>
        <w:t>incremento</w:t>
      </w:r>
      <w:r w:rsidR="007E0857">
        <w:rPr>
          <w:rFonts w:ascii="Open Sans" w:hAnsi="Open Sans" w:cs="Open Sans"/>
          <w:color w:val="000000"/>
        </w:rPr>
        <w:t xml:space="preserve">, un </w:t>
      </w:r>
      <w:r w:rsidR="00A43278">
        <w:rPr>
          <w:rFonts w:ascii="Open Sans" w:hAnsi="Open Sans" w:cs="Open Sans"/>
          <w:color w:val="000000"/>
        </w:rPr>
        <w:t>24,1</w:t>
      </w:r>
      <w:r w:rsidR="007E0857">
        <w:rPr>
          <w:rFonts w:ascii="Open Sans" w:hAnsi="Open Sans" w:cs="Open Sans"/>
          <w:color w:val="000000"/>
        </w:rPr>
        <w:t>%, seguida de</w:t>
      </w:r>
      <w:r w:rsidR="00A43278">
        <w:rPr>
          <w:rFonts w:ascii="Open Sans" w:hAnsi="Open Sans" w:cs="Open Sans"/>
          <w:color w:val="000000"/>
        </w:rPr>
        <w:t xml:space="preserve"> la ciudad barcelonesa de Mataró con un 10,9%.</w:t>
      </w:r>
    </w:p>
    <w:p w14:paraId="75F4BC6B" w14:textId="673DC1B9" w:rsidR="008006B9" w:rsidRDefault="003D5C3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En cuanto al precio por metro cuadrado en </w:t>
      </w:r>
      <w:r w:rsidR="009A1778">
        <w:rPr>
          <w:rFonts w:ascii="Open Sans" w:hAnsi="Open Sans" w:cs="Open Sans"/>
          <w:color w:val="000000"/>
        </w:rPr>
        <w:t>abril</w:t>
      </w:r>
      <w:r>
        <w:rPr>
          <w:rFonts w:ascii="Open Sans" w:hAnsi="Open Sans" w:cs="Open Sans"/>
          <w:color w:val="000000"/>
        </w:rPr>
        <w:t>, vemos</w:t>
      </w:r>
      <w:r w:rsidR="00B8772D">
        <w:rPr>
          <w:rFonts w:ascii="Open Sans" w:hAnsi="Open Sans" w:cs="Open Sans"/>
          <w:color w:val="000000"/>
        </w:rPr>
        <w:t xml:space="preserve"> que </w:t>
      </w:r>
      <w:r w:rsidR="00935AA7">
        <w:rPr>
          <w:rFonts w:ascii="Open Sans" w:hAnsi="Open Sans" w:cs="Open Sans"/>
          <w:color w:val="000000"/>
        </w:rPr>
        <w:t>el orden de las ciudades más caras es</w:t>
      </w:r>
      <w:r w:rsidR="008006B9">
        <w:rPr>
          <w:rFonts w:ascii="Open Sans" w:hAnsi="Open Sans" w:cs="Open Sans"/>
          <w:color w:val="000000"/>
        </w:rPr>
        <w:t>:</w:t>
      </w:r>
      <w:r w:rsidR="008006B9" w:rsidRPr="008006B9">
        <w:t xml:space="preserve"> </w:t>
      </w:r>
      <w:r w:rsidR="008006B9" w:rsidRPr="008006B9">
        <w:rPr>
          <w:rFonts w:ascii="Open Sans" w:hAnsi="Open Sans" w:cs="Open Sans"/>
          <w:color w:val="000000"/>
        </w:rPr>
        <w:t>Donostia - San Sebastián</w:t>
      </w:r>
      <w:r w:rsidR="00D07162">
        <w:rPr>
          <w:rFonts w:ascii="Open Sans" w:hAnsi="Open Sans" w:cs="Open Sans"/>
          <w:color w:val="000000"/>
        </w:rPr>
        <w:t xml:space="preserve"> con 5.</w:t>
      </w:r>
      <w:r w:rsidR="0076708E">
        <w:rPr>
          <w:rFonts w:ascii="Open Sans" w:hAnsi="Open Sans" w:cs="Open Sans"/>
          <w:color w:val="000000"/>
        </w:rPr>
        <w:t>5</w:t>
      </w:r>
      <w:r w:rsidR="009A1778">
        <w:rPr>
          <w:rFonts w:ascii="Open Sans" w:hAnsi="Open Sans" w:cs="Open Sans"/>
          <w:color w:val="000000"/>
        </w:rPr>
        <w:t>01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9A1778">
        <w:rPr>
          <w:rFonts w:ascii="Open Sans" w:hAnsi="Open Sans" w:cs="Open Sans"/>
          <w:color w:val="000000"/>
        </w:rPr>
        <w:t xml:space="preserve"> y</w:t>
      </w:r>
      <w:r w:rsidR="0076708E" w:rsidRPr="0076708E">
        <w:rPr>
          <w:rFonts w:ascii="Open Sans" w:hAnsi="Open Sans" w:cs="Open Sans"/>
          <w:color w:val="000000"/>
        </w:rPr>
        <w:t xml:space="preserve"> </w:t>
      </w:r>
      <w:r w:rsidR="00CC2E07" w:rsidRPr="00CC2E07">
        <w:rPr>
          <w:rFonts w:ascii="Open Sans" w:hAnsi="Open Sans" w:cs="Open Sans"/>
          <w:color w:val="000000"/>
        </w:rPr>
        <w:t>Eivissa</w:t>
      </w:r>
      <w:r w:rsidR="00CC2E07">
        <w:rPr>
          <w:rFonts w:ascii="Open Sans" w:hAnsi="Open Sans" w:cs="Open Sans"/>
          <w:color w:val="000000"/>
        </w:rPr>
        <w:t xml:space="preserve"> </w:t>
      </w:r>
      <w:r w:rsidR="0076708E" w:rsidRPr="0076708E">
        <w:rPr>
          <w:rFonts w:ascii="Open Sans" w:hAnsi="Open Sans" w:cs="Open Sans"/>
          <w:color w:val="000000"/>
        </w:rPr>
        <w:t xml:space="preserve">con </w:t>
      </w:r>
      <w:r w:rsidR="00CC2E07">
        <w:rPr>
          <w:rFonts w:ascii="Open Sans" w:hAnsi="Open Sans" w:cs="Open Sans"/>
          <w:color w:val="000000"/>
        </w:rPr>
        <w:t>5.0</w:t>
      </w:r>
      <w:r w:rsidR="009A1778">
        <w:rPr>
          <w:rFonts w:ascii="Open Sans" w:hAnsi="Open Sans" w:cs="Open Sans"/>
          <w:color w:val="000000"/>
        </w:rPr>
        <w:t>00</w:t>
      </w:r>
      <w:r w:rsidR="0076708E">
        <w:rPr>
          <w:rFonts w:ascii="Open Sans" w:hAnsi="Open Sans" w:cs="Open Sans"/>
          <w:color w:val="000000"/>
        </w:rPr>
        <w:t xml:space="preserve"> euros/m</w:t>
      </w:r>
      <w:r w:rsidR="0076708E" w:rsidRPr="00C108A1">
        <w:rPr>
          <w:rFonts w:ascii="Open Sans" w:hAnsi="Open Sans" w:cs="Open Sans"/>
          <w:color w:val="000000"/>
          <w:vertAlign w:val="superscript"/>
        </w:rPr>
        <w:t>2</w:t>
      </w:r>
      <w:r w:rsidR="009A1778">
        <w:rPr>
          <w:rFonts w:ascii="Open Sans" w:hAnsi="Open Sans" w:cs="Open Sans"/>
          <w:color w:val="000000"/>
        </w:rPr>
        <w:t>.</w:t>
      </w: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893"/>
        <w:gridCol w:w="1783"/>
      </w:tblGrid>
      <w:tr w:rsidR="00073C61" w:rsidRPr="00361CE2" w14:paraId="3ABC61CC" w14:textId="77777777" w:rsidTr="00AB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771F53A" w14:textId="77777777" w:rsidR="00073C61" w:rsidRPr="001D2591" w:rsidRDefault="00073C61" w:rsidP="007D6B1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59D98218" w14:textId="77777777" w:rsidR="00073C61" w:rsidRPr="001D2591" w:rsidRDefault="00073C61" w:rsidP="007D6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0860AC43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19B8F497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1D2591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6858CCCF" w14:textId="66E526D3" w:rsidR="00DD3BBE" w:rsidRPr="001D2591" w:rsidRDefault="00DA3813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Abril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2021</w:t>
            </w:r>
          </w:p>
          <w:p w14:paraId="027417A9" w14:textId="31B607C7" w:rsidR="00073C61" w:rsidRPr="001D2591" w:rsidRDefault="00DD3BBE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</w:tr>
      <w:tr w:rsidR="00DA3813" w:rsidRPr="00361CE2" w14:paraId="58F320EE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80099D0" w14:textId="7F4D858A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7A19B513" w14:textId="5D38DA71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Ulldecona</w:t>
            </w:r>
          </w:p>
        </w:tc>
        <w:tc>
          <w:tcPr>
            <w:tcW w:w="1701" w:type="dxa"/>
            <w:vAlign w:val="bottom"/>
          </w:tcPr>
          <w:p w14:paraId="4744850D" w14:textId="33CEF47E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24,1%</w:t>
            </w:r>
          </w:p>
        </w:tc>
        <w:tc>
          <w:tcPr>
            <w:tcW w:w="1893" w:type="dxa"/>
            <w:vAlign w:val="bottom"/>
          </w:tcPr>
          <w:p w14:paraId="2AB113F9" w14:textId="36BF8666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  <w:r w:rsidR="00551E0C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83" w:type="dxa"/>
            <w:vAlign w:val="bottom"/>
          </w:tcPr>
          <w:p w14:paraId="6657FF89" w14:textId="3EAA1E53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1.167 € </w:t>
            </w:r>
          </w:p>
        </w:tc>
      </w:tr>
      <w:tr w:rsidR="00DA3813" w:rsidRPr="00361CE2" w14:paraId="7F6DF24B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2433576" w14:textId="351FC224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6766B207" w14:textId="0CFFB79B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Mataró</w:t>
            </w:r>
          </w:p>
        </w:tc>
        <w:tc>
          <w:tcPr>
            <w:tcW w:w="1701" w:type="dxa"/>
            <w:vAlign w:val="bottom"/>
          </w:tcPr>
          <w:p w14:paraId="69C89F4B" w14:textId="5978C4D6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10,9%</w:t>
            </w:r>
          </w:p>
        </w:tc>
        <w:tc>
          <w:tcPr>
            <w:tcW w:w="1893" w:type="dxa"/>
            <w:vAlign w:val="bottom"/>
          </w:tcPr>
          <w:p w14:paraId="5093EE8A" w14:textId="4AD95D6B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11,7%</w:t>
            </w:r>
          </w:p>
        </w:tc>
        <w:tc>
          <w:tcPr>
            <w:tcW w:w="1783" w:type="dxa"/>
            <w:vAlign w:val="bottom"/>
          </w:tcPr>
          <w:p w14:paraId="56330C5B" w14:textId="608E64DA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2.598 € </w:t>
            </w:r>
          </w:p>
        </w:tc>
      </w:tr>
      <w:tr w:rsidR="00DA3813" w:rsidRPr="00361CE2" w14:paraId="5861626F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7F53563" w14:textId="551F4EFE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550DE078" w14:textId="2F11CEBC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Arévalo</w:t>
            </w:r>
          </w:p>
        </w:tc>
        <w:tc>
          <w:tcPr>
            <w:tcW w:w="1701" w:type="dxa"/>
            <w:vAlign w:val="bottom"/>
          </w:tcPr>
          <w:p w14:paraId="10693CB4" w14:textId="6298D35A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8,7%</w:t>
            </w:r>
          </w:p>
        </w:tc>
        <w:tc>
          <w:tcPr>
            <w:tcW w:w="1893" w:type="dxa"/>
            <w:vAlign w:val="bottom"/>
          </w:tcPr>
          <w:p w14:paraId="304A8874" w14:textId="0A6B9DB7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2,1%</w:t>
            </w:r>
          </w:p>
        </w:tc>
        <w:tc>
          <w:tcPr>
            <w:tcW w:w="1783" w:type="dxa"/>
            <w:vAlign w:val="bottom"/>
          </w:tcPr>
          <w:p w14:paraId="3661936C" w14:textId="491E129F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858 € </w:t>
            </w:r>
          </w:p>
        </w:tc>
      </w:tr>
      <w:tr w:rsidR="00DA3813" w:rsidRPr="00361CE2" w14:paraId="5584CDFD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B0A321D" w14:textId="5A7B2D12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41314AB1" w14:textId="4B957620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Montornès del Vallès</w:t>
            </w:r>
          </w:p>
        </w:tc>
        <w:tc>
          <w:tcPr>
            <w:tcW w:w="1701" w:type="dxa"/>
            <w:vAlign w:val="bottom"/>
          </w:tcPr>
          <w:p w14:paraId="1B0B3F12" w14:textId="348930DD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8,6%</w:t>
            </w:r>
          </w:p>
        </w:tc>
        <w:tc>
          <w:tcPr>
            <w:tcW w:w="1893" w:type="dxa"/>
            <w:vAlign w:val="bottom"/>
          </w:tcPr>
          <w:p w14:paraId="197F560E" w14:textId="23378245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13,7%</w:t>
            </w:r>
          </w:p>
        </w:tc>
        <w:tc>
          <w:tcPr>
            <w:tcW w:w="1783" w:type="dxa"/>
            <w:vAlign w:val="bottom"/>
          </w:tcPr>
          <w:p w14:paraId="4515199F" w14:textId="729AC5A8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1.855 € </w:t>
            </w:r>
          </w:p>
        </w:tc>
      </w:tr>
      <w:tr w:rsidR="00DA3813" w:rsidRPr="00361CE2" w14:paraId="4A3B40C3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DF4BF5" w14:textId="4C37BE7A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2B71E92C" w14:textId="54CEE632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La Manga del Mar Menor</w:t>
            </w:r>
          </w:p>
        </w:tc>
        <w:tc>
          <w:tcPr>
            <w:tcW w:w="1701" w:type="dxa"/>
            <w:vAlign w:val="bottom"/>
          </w:tcPr>
          <w:p w14:paraId="4C0AF76E" w14:textId="7DD616CD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893" w:type="dxa"/>
            <w:vAlign w:val="bottom"/>
          </w:tcPr>
          <w:p w14:paraId="5BC30483" w14:textId="3DCD4FAA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7,0%</w:t>
            </w:r>
          </w:p>
        </w:tc>
        <w:tc>
          <w:tcPr>
            <w:tcW w:w="1783" w:type="dxa"/>
            <w:vAlign w:val="bottom"/>
          </w:tcPr>
          <w:p w14:paraId="6390EF5A" w14:textId="5D9D69D9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1.662 € </w:t>
            </w:r>
          </w:p>
        </w:tc>
      </w:tr>
      <w:tr w:rsidR="00DA3813" w:rsidRPr="00361CE2" w14:paraId="2533EA4A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E305659" w14:textId="68A1906F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7F6D888B" w14:textId="3962D37B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Cirueña</w:t>
            </w:r>
            <w:proofErr w:type="spellEnd"/>
          </w:p>
        </w:tc>
        <w:tc>
          <w:tcPr>
            <w:tcW w:w="1701" w:type="dxa"/>
            <w:vAlign w:val="bottom"/>
          </w:tcPr>
          <w:p w14:paraId="281C3223" w14:textId="2F9DB326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6,9%</w:t>
            </w:r>
          </w:p>
        </w:tc>
        <w:tc>
          <w:tcPr>
            <w:tcW w:w="1893" w:type="dxa"/>
            <w:vAlign w:val="bottom"/>
          </w:tcPr>
          <w:p w14:paraId="5CBC2315" w14:textId="0B66192E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783" w:type="dxa"/>
            <w:vAlign w:val="bottom"/>
          </w:tcPr>
          <w:p w14:paraId="389AC993" w14:textId="48022901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918 € </w:t>
            </w:r>
          </w:p>
        </w:tc>
      </w:tr>
      <w:tr w:rsidR="00DA3813" w:rsidRPr="00361CE2" w14:paraId="699AF817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8D557E8" w14:textId="0D4A454F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1B9A3680" w14:textId="58AC28A5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L'Olleria</w:t>
            </w:r>
            <w:proofErr w:type="spellEnd"/>
          </w:p>
        </w:tc>
        <w:tc>
          <w:tcPr>
            <w:tcW w:w="1701" w:type="dxa"/>
            <w:vAlign w:val="bottom"/>
          </w:tcPr>
          <w:p w14:paraId="06299077" w14:textId="576BD910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6,2%</w:t>
            </w:r>
          </w:p>
        </w:tc>
        <w:tc>
          <w:tcPr>
            <w:tcW w:w="1893" w:type="dxa"/>
            <w:vAlign w:val="bottom"/>
          </w:tcPr>
          <w:p w14:paraId="0397CF0B" w14:textId="5C37047C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  <w:tc>
          <w:tcPr>
            <w:tcW w:w="1783" w:type="dxa"/>
            <w:vAlign w:val="bottom"/>
          </w:tcPr>
          <w:p w14:paraId="71EE9A1B" w14:textId="177F79A6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668 € </w:t>
            </w:r>
          </w:p>
        </w:tc>
      </w:tr>
      <w:tr w:rsidR="00DA3813" w:rsidRPr="00361CE2" w14:paraId="511E5A7C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92C74FA" w14:textId="1EAC7E6E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399086DE" w14:textId="3DDB30AF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7892C9C9" w14:textId="256C5E17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6,1%</w:t>
            </w:r>
          </w:p>
        </w:tc>
        <w:tc>
          <w:tcPr>
            <w:tcW w:w="1893" w:type="dxa"/>
            <w:vAlign w:val="bottom"/>
          </w:tcPr>
          <w:p w14:paraId="32542DBD" w14:textId="5D684081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10,3%</w:t>
            </w:r>
          </w:p>
        </w:tc>
        <w:tc>
          <w:tcPr>
            <w:tcW w:w="1783" w:type="dxa"/>
            <w:vAlign w:val="bottom"/>
          </w:tcPr>
          <w:p w14:paraId="626B801A" w14:textId="649D94D7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1.446 € </w:t>
            </w:r>
          </w:p>
        </w:tc>
      </w:tr>
      <w:tr w:rsidR="00DA3813" w:rsidRPr="00361CE2" w14:paraId="75904C95" w14:textId="77777777" w:rsidTr="00AB5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3AFE336" w14:textId="7602E9B3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1DAC6FA7" w14:textId="0361ACE6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Guadarrama</w:t>
            </w:r>
          </w:p>
        </w:tc>
        <w:tc>
          <w:tcPr>
            <w:tcW w:w="1701" w:type="dxa"/>
            <w:vAlign w:val="bottom"/>
          </w:tcPr>
          <w:p w14:paraId="7B4415C2" w14:textId="4B64D9F3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5,6%</w:t>
            </w:r>
          </w:p>
        </w:tc>
        <w:tc>
          <w:tcPr>
            <w:tcW w:w="1893" w:type="dxa"/>
            <w:vAlign w:val="bottom"/>
          </w:tcPr>
          <w:p w14:paraId="7E03A73D" w14:textId="59E84044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5,3%</w:t>
            </w:r>
          </w:p>
        </w:tc>
        <w:tc>
          <w:tcPr>
            <w:tcW w:w="1783" w:type="dxa"/>
            <w:vAlign w:val="bottom"/>
          </w:tcPr>
          <w:p w14:paraId="6D33C16C" w14:textId="6FED95BC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1.866 € </w:t>
            </w:r>
          </w:p>
        </w:tc>
      </w:tr>
      <w:tr w:rsidR="00DA3813" w:rsidRPr="00361CE2" w14:paraId="206619EB" w14:textId="77777777" w:rsidTr="00AB5BEF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BD6F62D" w14:textId="103F321D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40AEF48A" w14:textId="2DA9189F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12E823F5" w14:textId="2FF4E15F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893" w:type="dxa"/>
            <w:vAlign w:val="bottom"/>
          </w:tcPr>
          <w:p w14:paraId="6EB82EF7" w14:textId="48384525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2,7%</w:t>
            </w:r>
          </w:p>
        </w:tc>
        <w:tc>
          <w:tcPr>
            <w:tcW w:w="1783" w:type="dxa"/>
            <w:vAlign w:val="bottom"/>
          </w:tcPr>
          <w:p w14:paraId="2AEEA614" w14:textId="07730CE8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1.543 € </w:t>
            </w:r>
          </w:p>
        </w:tc>
      </w:tr>
    </w:tbl>
    <w:p w14:paraId="220F8CB5" w14:textId="0739F520" w:rsidR="00BF6735" w:rsidRDefault="00BF6735" w:rsidP="00BF6735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descenso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050"/>
        <w:gridCol w:w="1701"/>
        <w:gridCol w:w="1893"/>
        <w:gridCol w:w="1783"/>
      </w:tblGrid>
      <w:tr w:rsidR="00BF6735" w:rsidRPr="00361CE2" w14:paraId="5CA4503B" w14:textId="77777777" w:rsidTr="00F9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4995C063" w14:textId="77777777" w:rsidR="00BF6735" w:rsidRPr="001D2591" w:rsidRDefault="00BF6735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050" w:type="dxa"/>
            <w:vAlign w:val="center"/>
          </w:tcPr>
          <w:p w14:paraId="11027E7E" w14:textId="77777777" w:rsidR="00BF6735" w:rsidRPr="001D2591" w:rsidRDefault="00BF6735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27BB6A29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BE47E2F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67C9C25D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2325C33" w14:textId="77777777" w:rsidR="00BF6735" w:rsidRPr="001D2591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423AE976" w14:textId="0B5C5EF1" w:rsidR="00DD3BBE" w:rsidRPr="001D2591" w:rsidRDefault="00DA3813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Abril</w:t>
            </w:r>
            <w:r w:rsidR="007D511D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2021</w:t>
            </w:r>
          </w:p>
          <w:p w14:paraId="49D071A3" w14:textId="691B2311" w:rsidR="00BF6735" w:rsidRPr="001D2591" w:rsidRDefault="00DD3BBE" w:rsidP="00DD3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</w:tr>
      <w:tr w:rsidR="00DA3813" w:rsidRPr="00361CE2" w14:paraId="0A4E55BD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6A6D55B" w14:textId="75F37BEB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050" w:type="dxa"/>
            <w:vAlign w:val="bottom"/>
          </w:tcPr>
          <w:p w14:paraId="6953C971" w14:textId="45B4AAB2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Pulpí</w:t>
            </w:r>
            <w:proofErr w:type="spellEnd"/>
          </w:p>
        </w:tc>
        <w:tc>
          <w:tcPr>
            <w:tcW w:w="1701" w:type="dxa"/>
            <w:vAlign w:val="bottom"/>
          </w:tcPr>
          <w:p w14:paraId="4E63D588" w14:textId="4EE1FCD2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-11,2%</w:t>
            </w:r>
          </w:p>
        </w:tc>
        <w:tc>
          <w:tcPr>
            <w:tcW w:w="1893" w:type="dxa"/>
            <w:vAlign w:val="bottom"/>
          </w:tcPr>
          <w:p w14:paraId="6703A84F" w14:textId="574B7B3F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9,2%</w:t>
            </w:r>
          </w:p>
        </w:tc>
        <w:tc>
          <w:tcPr>
            <w:tcW w:w="1783" w:type="dxa"/>
            <w:vAlign w:val="bottom"/>
          </w:tcPr>
          <w:p w14:paraId="125CB9BD" w14:textId="75CDC704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1.499 € </w:t>
            </w:r>
          </w:p>
        </w:tc>
      </w:tr>
      <w:tr w:rsidR="00DA3813" w:rsidRPr="00361CE2" w14:paraId="0878B593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A3BF179" w14:textId="4AC39720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68ABA98A" w14:textId="553422D2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Monforte del Cid</w:t>
            </w:r>
          </w:p>
        </w:tc>
        <w:tc>
          <w:tcPr>
            <w:tcW w:w="1701" w:type="dxa"/>
            <w:vAlign w:val="bottom"/>
          </w:tcPr>
          <w:p w14:paraId="1C93F345" w14:textId="4DBFBEAB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-9,8%</w:t>
            </w:r>
          </w:p>
        </w:tc>
        <w:tc>
          <w:tcPr>
            <w:tcW w:w="1893" w:type="dxa"/>
            <w:vAlign w:val="bottom"/>
          </w:tcPr>
          <w:p w14:paraId="72E85343" w14:textId="0BA04A48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  <w:tc>
          <w:tcPr>
            <w:tcW w:w="1783" w:type="dxa"/>
            <w:vAlign w:val="bottom"/>
          </w:tcPr>
          <w:p w14:paraId="55CF3031" w14:textId="53CADAEC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841 € </w:t>
            </w:r>
          </w:p>
        </w:tc>
      </w:tr>
      <w:tr w:rsidR="00DA3813" w:rsidRPr="00361CE2" w14:paraId="6D408E20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A7FDA" w14:textId="4F7A1E7F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050" w:type="dxa"/>
            <w:vAlign w:val="bottom"/>
          </w:tcPr>
          <w:p w14:paraId="6E67918E" w14:textId="22543212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Arucas</w:t>
            </w:r>
          </w:p>
        </w:tc>
        <w:tc>
          <w:tcPr>
            <w:tcW w:w="1701" w:type="dxa"/>
            <w:vAlign w:val="bottom"/>
          </w:tcPr>
          <w:p w14:paraId="1647D9BE" w14:textId="1FD6B793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-9,5%</w:t>
            </w:r>
          </w:p>
        </w:tc>
        <w:tc>
          <w:tcPr>
            <w:tcW w:w="1893" w:type="dxa"/>
            <w:vAlign w:val="bottom"/>
          </w:tcPr>
          <w:p w14:paraId="5D7909E4" w14:textId="2CD0C222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-14,2%</w:t>
            </w:r>
          </w:p>
        </w:tc>
        <w:tc>
          <w:tcPr>
            <w:tcW w:w="1783" w:type="dxa"/>
            <w:vAlign w:val="bottom"/>
          </w:tcPr>
          <w:p w14:paraId="077D4EB1" w14:textId="595263B1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1.274 € </w:t>
            </w:r>
          </w:p>
        </w:tc>
      </w:tr>
      <w:tr w:rsidR="00DA3813" w:rsidRPr="00361CE2" w14:paraId="5B1CF2EF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9959CF" w14:textId="2871E5B7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76174186" w14:textId="23718F6C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San Miguel de Salinas</w:t>
            </w:r>
          </w:p>
        </w:tc>
        <w:tc>
          <w:tcPr>
            <w:tcW w:w="1701" w:type="dxa"/>
            <w:vAlign w:val="bottom"/>
          </w:tcPr>
          <w:p w14:paraId="75399E06" w14:textId="284E1DF9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-8,9%</w:t>
            </w:r>
          </w:p>
        </w:tc>
        <w:tc>
          <w:tcPr>
            <w:tcW w:w="1893" w:type="dxa"/>
            <w:vAlign w:val="bottom"/>
          </w:tcPr>
          <w:p w14:paraId="3E703F32" w14:textId="3CC4212F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7335341B" w14:textId="22D40CD6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1.142 € </w:t>
            </w:r>
          </w:p>
        </w:tc>
      </w:tr>
      <w:tr w:rsidR="00DA3813" w:rsidRPr="00361CE2" w14:paraId="1A6632B5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A08FDF" w14:textId="1E132912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050" w:type="dxa"/>
            <w:vAlign w:val="bottom"/>
          </w:tcPr>
          <w:p w14:paraId="2ABC17B5" w14:textId="141C32FB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Peligros</w:t>
            </w:r>
          </w:p>
        </w:tc>
        <w:tc>
          <w:tcPr>
            <w:tcW w:w="1701" w:type="dxa"/>
            <w:vAlign w:val="bottom"/>
          </w:tcPr>
          <w:p w14:paraId="0CE64F5A" w14:textId="585142F1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-8,8%</w:t>
            </w:r>
          </w:p>
        </w:tc>
        <w:tc>
          <w:tcPr>
            <w:tcW w:w="1893" w:type="dxa"/>
            <w:vAlign w:val="bottom"/>
          </w:tcPr>
          <w:p w14:paraId="7A7EF171" w14:textId="23E82F93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73017804" w14:textId="7E25F701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921 € </w:t>
            </w:r>
          </w:p>
        </w:tc>
      </w:tr>
      <w:tr w:rsidR="00DA3813" w:rsidRPr="00361CE2" w14:paraId="77F726CB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DB409F7" w14:textId="5BF8E6F9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050" w:type="dxa"/>
            <w:vAlign w:val="bottom"/>
          </w:tcPr>
          <w:p w14:paraId="5EEF3C1E" w14:textId="01F01FF7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Yeles</w:t>
            </w:r>
            <w:proofErr w:type="spellEnd"/>
          </w:p>
        </w:tc>
        <w:tc>
          <w:tcPr>
            <w:tcW w:w="1701" w:type="dxa"/>
            <w:vAlign w:val="bottom"/>
          </w:tcPr>
          <w:p w14:paraId="1AE2409D" w14:textId="5D1B942D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-8,7%</w:t>
            </w:r>
          </w:p>
        </w:tc>
        <w:tc>
          <w:tcPr>
            <w:tcW w:w="1893" w:type="dxa"/>
            <w:vAlign w:val="bottom"/>
          </w:tcPr>
          <w:p w14:paraId="74D58838" w14:textId="3C17F5D6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-5,7%</w:t>
            </w:r>
          </w:p>
        </w:tc>
        <w:tc>
          <w:tcPr>
            <w:tcW w:w="1783" w:type="dxa"/>
            <w:vAlign w:val="bottom"/>
          </w:tcPr>
          <w:p w14:paraId="3ED7CD98" w14:textId="3F8BFFDA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1.025 € </w:t>
            </w:r>
          </w:p>
        </w:tc>
      </w:tr>
      <w:tr w:rsidR="00DA3813" w:rsidRPr="00361CE2" w14:paraId="3E4031C0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F982D22" w14:textId="4A4C59D8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050" w:type="dxa"/>
            <w:vAlign w:val="bottom"/>
          </w:tcPr>
          <w:p w14:paraId="6C086710" w14:textId="4999F719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Salvaterra</w:t>
            </w:r>
            <w:proofErr w:type="spellEnd"/>
            <w:r w:rsidRPr="00DA3813">
              <w:rPr>
                <w:rFonts w:ascii="Open Sans" w:hAnsi="Open Sans" w:cs="Open Sans"/>
                <w:sz w:val="22"/>
                <w:szCs w:val="22"/>
              </w:rPr>
              <w:t xml:space="preserve"> de Miño</w:t>
            </w:r>
          </w:p>
        </w:tc>
        <w:tc>
          <w:tcPr>
            <w:tcW w:w="1701" w:type="dxa"/>
            <w:vAlign w:val="bottom"/>
          </w:tcPr>
          <w:p w14:paraId="1966B85E" w14:textId="4C943DFE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-8,2%</w:t>
            </w:r>
          </w:p>
        </w:tc>
        <w:tc>
          <w:tcPr>
            <w:tcW w:w="1893" w:type="dxa"/>
            <w:vAlign w:val="bottom"/>
          </w:tcPr>
          <w:p w14:paraId="14BBA2D3" w14:textId="220EF64F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9,0%</w:t>
            </w:r>
          </w:p>
        </w:tc>
        <w:tc>
          <w:tcPr>
            <w:tcW w:w="1783" w:type="dxa"/>
            <w:vAlign w:val="bottom"/>
          </w:tcPr>
          <w:p w14:paraId="7D6246B9" w14:textId="3EC88454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945 € </w:t>
            </w:r>
          </w:p>
        </w:tc>
      </w:tr>
      <w:tr w:rsidR="00DA3813" w:rsidRPr="00361CE2" w14:paraId="1585739D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C1670B" w14:textId="253ED3D2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050" w:type="dxa"/>
            <w:vAlign w:val="bottom"/>
          </w:tcPr>
          <w:p w14:paraId="799AF818" w14:textId="1A868344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Nerja</w:t>
            </w:r>
          </w:p>
        </w:tc>
        <w:tc>
          <w:tcPr>
            <w:tcW w:w="1701" w:type="dxa"/>
            <w:vAlign w:val="bottom"/>
          </w:tcPr>
          <w:p w14:paraId="492CAE86" w14:textId="6E912D15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-7,9%</w:t>
            </w:r>
          </w:p>
        </w:tc>
        <w:tc>
          <w:tcPr>
            <w:tcW w:w="1893" w:type="dxa"/>
            <w:vAlign w:val="bottom"/>
          </w:tcPr>
          <w:p w14:paraId="5230239E" w14:textId="4B39EA28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-</w:t>
            </w:r>
          </w:p>
        </w:tc>
        <w:tc>
          <w:tcPr>
            <w:tcW w:w="1783" w:type="dxa"/>
            <w:vAlign w:val="bottom"/>
          </w:tcPr>
          <w:p w14:paraId="1BD3558B" w14:textId="0A015290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2.582 € </w:t>
            </w:r>
          </w:p>
        </w:tc>
      </w:tr>
      <w:tr w:rsidR="00DA3813" w:rsidRPr="00361CE2" w14:paraId="660439FE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B117C4" w14:textId="3C25309E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13E989DB" w14:textId="61F3663A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Xeraco</w:t>
            </w:r>
            <w:proofErr w:type="spellEnd"/>
          </w:p>
        </w:tc>
        <w:tc>
          <w:tcPr>
            <w:tcW w:w="1701" w:type="dxa"/>
            <w:vAlign w:val="bottom"/>
          </w:tcPr>
          <w:p w14:paraId="015A4D43" w14:textId="6C5E217E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-7,5%</w:t>
            </w:r>
          </w:p>
        </w:tc>
        <w:tc>
          <w:tcPr>
            <w:tcW w:w="1893" w:type="dxa"/>
            <w:vAlign w:val="bottom"/>
          </w:tcPr>
          <w:p w14:paraId="0052A762" w14:textId="61053616" w:rsidR="00DA3813" w:rsidRPr="00361CE2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83" w:type="dxa"/>
            <w:vAlign w:val="bottom"/>
          </w:tcPr>
          <w:p w14:paraId="7DEC1C3D" w14:textId="109C79F8" w:rsidR="00DA3813" w:rsidRPr="00361CE2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1.224 € </w:t>
            </w:r>
          </w:p>
        </w:tc>
      </w:tr>
      <w:tr w:rsidR="00DA3813" w:rsidRPr="00361CE2" w14:paraId="0CE836D9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B31B3F1" w14:textId="59F0686B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4CD10941" w14:textId="715712CE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Benitachell</w:t>
            </w:r>
            <w:proofErr w:type="spellEnd"/>
            <w:r w:rsidRPr="00DA3813">
              <w:rPr>
                <w:rFonts w:ascii="Open Sans" w:hAnsi="Open Sans" w:cs="Open Sans"/>
                <w:sz w:val="22"/>
                <w:szCs w:val="22"/>
              </w:rPr>
              <w:t xml:space="preserve"> / El Poble Nou de </w:t>
            </w: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Benitatxell</w:t>
            </w:r>
            <w:proofErr w:type="spellEnd"/>
          </w:p>
        </w:tc>
        <w:tc>
          <w:tcPr>
            <w:tcW w:w="1701" w:type="dxa"/>
            <w:vAlign w:val="bottom"/>
          </w:tcPr>
          <w:p w14:paraId="0A5CE140" w14:textId="262A0C4B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-7,3%</w:t>
            </w:r>
          </w:p>
        </w:tc>
        <w:tc>
          <w:tcPr>
            <w:tcW w:w="1893" w:type="dxa"/>
            <w:vAlign w:val="bottom"/>
          </w:tcPr>
          <w:p w14:paraId="283A178A" w14:textId="07D8D175" w:rsidR="00DA3813" w:rsidRPr="00361CE2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 </w:t>
            </w:r>
          </w:p>
        </w:tc>
        <w:tc>
          <w:tcPr>
            <w:tcW w:w="1783" w:type="dxa"/>
            <w:vAlign w:val="bottom"/>
          </w:tcPr>
          <w:p w14:paraId="57A5C0F4" w14:textId="3DBED45D" w:rsidR="00DA3813" w:rsidRPr="00361CE2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1.649 € </w:t>
            </w:r>
          </w:p>
        </w:tc>
      </w:tr>
      <w:tr w:rsidR="00DA3813" w:rsidRPr="00361CE2" w14:paraId="2169A9C8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EDD1EDA" w14:textId="347949DE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050" w:type="dxa"/>
            <w:vAlign w:val="bottom"/>
          </w:tcPr>
          <w:p w14:paraId="13F5717B" w14:textId="2C13AC2E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Palafrugell</w:t>
            </w:r>
          </w:p>
        </w:tc>
        <w:tc>
          <w:tcPr>
            <w:tcW w:w="1701" w:type="dxa"/>
            <w:vAlign w:val="bottom"/>
          </w:tcPr>
          <w:p w14:paraId="4A0F3ED2" w14:textId="3C095CBC" w:rsidR="00DA3813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-7,2%</w:t>
            </w:r>
          </w:p>
        </w:tc>
        <w:tc>
          <w:tcPr>
            <w:tcW w:w="1893" w:type="dxa"/>
            <w:vAlign w:val="bottom"/>
          </w:tcPr>
          <w:p w14:paraId="45E9CE8A" w14:textId="4E375BA8" w:rsidR="00DA3813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6,3%</w:t>
            </w:r>
          </w:p>
        </w:tc>
        <w:tc>
          <w:tcPr>
            <w:tcW w:w="1783" w:type="dxa"/>
            <w:vAlign w:val="bottom"/>
          </w:tcPr>
          <w:p w14:paraId="35A54C37" w14:textId="5CE5B964" w:rsid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1.760 € </w:t>
            </w:r>
          </w:p>
        </w:tc>
      </w:tr>
    </w:tbl>
    <w:p w14:paraId="107D4B0A" w14:textId="77777777" w:rsidR="00E263D4" w:rsidRDefault="00E263D4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1F9BBFF9" w14:textId="0E6D41AD" w:rsidR="00073C61" w:rsidRDefault="00073C61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>Municipios con mayor precio en</w:t>
      </w:r>
      <w:r w:rsidR="00DA562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C21E3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a</w:t>
      </w:r>
      <w:r w:rsidR="00C21E38" w:rsidRPr="00C21E3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bril </w:t>
      </w:r>
      <w:r w:rsidR="0036506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de 202</w:t>
      </w:r>
      <w:r w:rsidR="002220B2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1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1701"/>
        <w:gridCol w:w="1710"/>
      </w:tblGrid>
      <w:tr w:rsidR="00C17526" w:rsidRPr="00361CE2" w14:paraId="1382DDB4" w14:textId="77777777" w:rsidTr="007D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BDDD096" w14:textId="77777777" w:rsidR="00C17526" w:rsidRPr="001D2591" w:rsidRDefault="00C17526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551" w:type="dxa"/>
            <w:vAlign w:val="center"/>
          </w:tcPr>
          <w:p w14:paraId="2797C995" w14:textId="77777777" w:rsidR="00C17526" w:rsidRPr="001D2591" w:rsidRDefault="00C17526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25BEC172" w14:textId="3B79FABC" w:rsidR="00361CE2" w:rsidRPr="001D2591" w:rsidRDefault="00DA3813" w:rsidP="0055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Abril</w:t>
            </w:r>
            <w:r w:rsidR="007D511D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361CE2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</w:t>
            </w:r>
            <w:r w:rsidR="00DD3BBE"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1</w:t>
            </w:r>
          </w:p>
          <w:p w14:paraId="4BE2E9A5" w14:textId="6C93DA7B" w:rsidR="00C17526" w:rsidRPr="001D2591" w:rsidRDefault="00C17526" w:rsidP="00551E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  <w:tc>
          <w:tcPr>
            <w:tcW w:w="1701" w:type="dxa"/>
          </w:tcPr>
          <w:p w14:paraId="5B2A40DF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07945B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10" w:type="dxa"/>
          </w:tcPr>
          <w:p w14:paraId="60D37618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B666D7B" w14:textId="77777777" w:rsidR="00C17526" w:rsidRPr="001D2591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</w:rPr>
            </w:pPr>
            <w:r w:rsidRPr="001D259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</w:tr>
      <w:tr w:rsidR="00DA3813" w:rsidRPr="00361CE2" w14:paraId="5853A674" w14:textId="77777777" w:rsidTr="007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E8009F3" w14:textId="152A9192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551" w:type="dxa"/>
            <w:vAlign w:val="bottom"/>
          </w:tcPr>
          <w:p w14:paraId="310A74AA" w14:textId="54632824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792A58E0" w14:textId="2E2C93D5" w:rsidR="00DA3813" w:rsidRPr="007D511D" w:rsidRDefault="00DA3813" w:rsidP="0055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5.501 €</w:t>
            </w:r>
          </w:p>
        </w:tc>
        <w:tc>
          <w:tcPr>
            <w:tcW w:w="1701" w:type="dxa"/>
            <w:vAlign w:val="bottom"/>
          </w:tcPr>
          <w:p w14:paraId="68A06F46" w14:textId="105D8DCA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10" w:type="dxa"/>
            <w:vAlign w:val="bottom"/>
          </w:tcPr>
          <w:p w14:paraId="6DD9D1D4" w14:textId="767D29BB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1,8%</w:t>
            </w:r>
          </w:p>
        </w:tc>
      </w:tr>
      <w:tr w:rsidR="00DA3813" w:rsidRPr="00361CE2" w14:paraId="18F79D48" w14:textId="77777777" w:rsidTr="007D51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C259479" w14:textId="7427B9E3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68BDA1BF" w14:textId="7FDDD1CD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701" w:type="dxa"/>
            <w:vAlign w:val="bottom"/>
          </w:tcPr>
          <w:p w14:paraId="4DF31AA4" w14:textId="72295F89" w:rsidR="00DA3813" w:rsidRPr="007D511D" w:rsidRDefault="00DA3813" w:rsidP="0055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5.000 €</w:t>
            </w:r>
          </w:p>
        </w:tc>
        <w:tc>
          <w:tcPr>
            <w:tcW w:w="1701" w:type="dxa"/>
            <w:vAlign w:val="bottom"/>
          </w:tcPr>
          <w:p w14:paraId="0251E1E5" w14:textId="0AE109D3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710" w:type="dxa"/>
            <w:vAlign w:val="bottom"/>
          </w:tcPr>
          <w:p w14:paraId="1A53B947" w14:textId="72706CE2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-4,1%</w:t>
            </w:r>
          </w:p>
        </w:tc>
      </w:tr>
      <w:tr w:rsidR="00DA3813" w:rsidRPr="00361CE2" w14:paraId="016C246C" w14:textId="77777777" w:rsidTr="007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E599E62" w14:textId="0DDA5AAA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1" w:type="dxa"/>
            <w:vAlign w:val="bottom"/>
          </w:tcPr>
          <w:p w14:paraId="7F1DFD86" w14:textId="604DB265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La Moraleja</w:t>
            </w:r>
          </w:p>
        </w:tc>
        <w:tc>
          <w:tcPr>
            <w:tcW w:w="1701" w:type="dxa"/>
            <w:vAlign w:val="bottom"/>
          </w:tcPr>
          <w:p w14:paraId="3C93FB7C" w14:textId="7DE95122" w:rsidR="00DA3813" w:rsidRPr="007D511D" w:rsidRDefault="00DA3813" w:rsidP="0055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4.932 €</w:t>
            </w:r>
          </w:p>
        </w:tc>
        <w:tc>
          <w:tcPr>
            <w:tcW w:w="1701" w:type="dxa"/>
            <w:vAlign w:val="bottom"/>
          </w:tcPr>
          <w:p w14:paraId="14239CFD" w14:textId="2BC1C4BD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0,1%</w:t>
            </w:r>
          </w:p>
        </w:tc>
        <w:tc>
          <w:tcPr>
            <w:tcW w:w="1710" w:type="dxa"/>
            <w:vAlign w:val="bottom"/>
          </w:tcPr>
          <w:p w14:paraId="354A60B1" w14:textId="396E4BF1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4,5%</w:t>
            </w:r>
          </w:p>
        </w:tc>
      </w:tr>
      <w:tr w:rsidR="00DA3813" w:rsidRPr="00361CE2" w14:paraId="1C7C59AD" w14:textId="77777777" w:rsidTr="007D51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CBDE69A" w14:textId="651E2A0E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0C447199" w14:textId="2C37805A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701" w:type="dxa"/>
            <w:vAlign w:val="bottom"/>
          </w:tcPr>
          <w:p w14:paraId="38C6BCC8" w14:textId="2BC1103B" w:rsidR="00DA3813" w:rsidRPr="007D511D" w:rsidRDefault="00DA3813" w:rsidP="0055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4.890 €</w:t>
            </w:r>
          </w:p>
        </w:tc>
        <w:tc>
          <w:tcPr>
            <w:tcW w:w="1701" w:type="dxa"/>
            <w:vAlign w:val="bottom"/>
          </w:tcPr>
          <w:p w14:paraId="3B451DB6" w14:textId="4AFA8305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10" w:type="dxa"/>
            <w:vAlign w:val="bottom"/>
          </w:tcPr>
          <w:p w14:paraId="65919134" w14:textId="00B61FE8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59,5%</w:t>
            </w:r>
          </w:p>
        </w:tc>
      </w:tr>
      <w:tr w:rsidR="00DA3813" w:rsidRPr="00361CE2" w14:paraId="671D9AE1" w14:textId="77777777" w:rsidTr="007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988F6E5" w14:textId="09798643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4674A01C" w14:textId="741D0ADF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032F21C0" w14:textId="78F861E6" w:rsidR="00DA3813" w:rsidRPr="007D511D" w:rsidRDefault="00DA3813" w:rsidP="0055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4.413 €</w:t>
            </w:r>
          </w:p>
        </w:tc>
        <w:tc>
          <w:tcPr>
            <w:tcW w:w="1701" w:type="dxa"/>
            <w:vAlign w:val="bottom"/>
          </w:tcPr>
          <w:p w14:paraId="422E727B" w14:textId="4E786A31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0,2%</w:t>
            </w:r>
          </w:p>
        </w:tc>
        <w:tc>
          <w:tcPr>
            <w:tcW w:w="1710" w:type="dxa"/>
            <w:vAlign w:val="bottom"/>
          </w:tcPr>
          <w:p w14:paraId="0AEAA737" w14:textId="0B09DB2F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-4,8%</w:t>
            </w:r>
          </w:p>
        </w:tc>
      </w:tr>
      <w:tr w:rsidR="00DA3813" w:rsidRPr="00361CE2" w14:paraId="38EB9C81" w14:textId="77777777" w:rsidTr="007D51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5CBA8E3" w14:textId="6F3991C7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211B1609" w14:textId="5650F15F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 w:rsidRPr="00DA3813">
              <w:rPr>
                <w:rFonts w:ascii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01" w:type="dxa"/>
            <w:vAlign w:val="bottom"/>
          </w:tcPr>
          <w:p w14:paraId="27291DA1" w14:textId="3ED61DB1" w:rsidR="00DA3813" w:rsidRPr="007D511D" w:rsidRDefault="00DA3813" w:rsidP="0055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4.409 €</w:t>
            </w:r>
          </w:p>
        </w:tc>
        <w:tc>
          <w:tcPr>
            <w:tcW w:w="1701" w:type="dxa"/>
            <w:vAlign w:val="bottom"/>
          </w:tcPr>
          <w:p w14:paraId="6F627277" w14:textId="122FD3E4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0,01%</w:t>
            </w:r>
          </w:p>
        </w:tc>
        <w:tc>
          <w:tcPr>
            <w:tcW w:w="1710" w:type="dxa"/>
            <w:vAlign w:val="bottom"/>
          </w:tcPr>
          <w:p w14:paraId="2ECE3C4A" w14:textId="3991B21D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  <w:r w:rsidR="002C5A65">
              <w:rPr>
                <w:rFonts w:ascii="Open Sans" w:hAnsi="Open Sans" w:cs="Open Sans"/>
                <w:sz w:val="22"/>
                <w:szCs w:val="22"/>
              </w:rPr>
              <w:t>-</w:t>
            </w:r>
          </w:p>
        </w:tc>
      </w:tr>
      <w:tr w:rsidR="00DA3813" w:rsidRPr="00361CE2" w14:paraId="7F7103E4" w14:textId="77777777" w:rsidTr="007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1DFCE7D" w14:textId="501420D7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551" w:type="dxa"/>
            <w:vAlign w:val="bottom"/>
          </w:tcPr>
          <w:p w14:paraId="42017225" w14:textId="47D69353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Andratx</w:t>
            </w:r>
          </w:p>
        </w:tc>
        <w:tc>
          <w:tcPr>
            <w:tcW w:w="1701" w:type="dxa"/>
            <w:vAlign w:val="bottom"/>
          </w:tcPr>
          <w:p w14:paraId="4C84BC06" w14:textId="5D2B9B7D" w:rsidR="00DA3813" w:rsidRPr="007D511D" w:rsidRDefault="00DA3813" w:rsidP="0055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4.362 €</w:t>
            </w:r>
          </w:p>
        </w:tc>
        <w:tc>
          <w:tcPr>
            <w:tcW w:w="1701" w:type="dxa"/>
            <w:vAlign w:val="bottom"/>
          </w:tcPr>
          <w:p w14:paraId="1B2E1011" w14:textId="047AB23E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-4,3%</w:t>
            </w:r>
          </w:p>
        </w:tc>
        <w:tc>
          <w:tcPr>
            <w:tcW w:w="1710" w:type="dxa"/>
            <w:vAlign w:val="bottom"/>
          </w:tcPr>
          <w:p w14:paraId="512B2681" w14:textId="256ADD6D" w:rsidR="00DA3813" w:rsidRPr="007D511D" w:rsidRDefault="002C5A65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-</w:t>
            </w:r>
            <w:r w:rsidR="00DA3813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DA3813" w:rsidRPr="00361CE2" w14:paraId="59BBB363" w14:textId="77777777" w:rsidTr="007D51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DAF4AA6" w14:textId="3504BD41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38CF8FDB" w14:textId="6ED94100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0DCE9E53" w14:textId="27CB89B6" w:rsidR="00DA3813" w:rsidRPr="007D511D" w:rsidRDefault="00DA3813" w:rsidP="0055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4.351 €</w:t>
            </w:r>
          </w:p>
        </w:tc>
        <w:tc>
          <w:tcPr>
            <w:tcW w:w="1701" w:type="dxa"/>
            <w:vAlign w:val="bottom"/>
          </w:tcPr>
          <w:p w14:paraId="4A9CA0DB" w14:textId="546BCBDF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710" w:type="dxa"/>
            <w:vAlign w:val="bottom"/>
          </w:tcPr>
          <w:p w14:paraId="75D3CF11" w14:textId="2C3C4C5E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-0,8%</w:t>
            </w:r>
          </w:p>
        </w:tc>
      </w:tr>
      <w:tr w:rsidR="00DA3813" w:rsidRPr="00361CE2" w14:paraId="0F7AB2EB" w14:textId="77777777" w:rsidTr="007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0DDD2AE" w14:textId="490E2942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551" w:type="dxa"/>
            <w:vAlign w:val="bottom"/>
          </w:tcPr>
          <w:p w14:paraId="28E81E66" w14:textId="3AE591D4" w:rsidR="00DA3813" w:rsidRPr="00DA3813" w:rsidRDefault="00DA3813" w:rsidP="00DA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Hondarribia</w:t>
            </w:r>
          </w:p>
        </w:tc>
        <w:tc>
          <w:tcPr>
            <w:tcW w:w="1701" w:type="dxa"/>
            <w:vAlign w:val="bottom"/>
          </w:tcPr>
          <w:p w14:paraId="6BE309F1" w14:textId="242D80E4" w:rsidR="00DA3813" w:rsidRPr="007D511D" w:rsidRDefault="00DA3813" w:rsidP="00551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4.266 €</w:t>
            </w:r>
          </w:p>
        </w:tc>
        <w:tc>
          <w:tcPr>
            <w:tcW w:w="1701" w:type="dxa"/>
            <w:vAlign w:val="bottom"/>
          </w:tcPr>
          <w:p w14:paraId="0001490F" w14:textId="598FC666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-4,8%</w:t>
            </w:r>
          </w:p>
        </w:tc>
        <w:tc>
          <w:tcPr>
            <w:tcW w:w="1710" w:type="dxa"/>
            <w:vAlign w:val="bottom"/>
          </w:tcPr>
          <w:p w14:paraId="4C5C6425" w14:textId="529AF1D4" w:rsidR="00DA3813" w:rsidRPr="007D511D" w:rsidRDefault="00DA3813" w:rsidP="00DA38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-3,2%</w:t>
            </w:r>
          </w:p>
        </w:tc>
      </w:tr>
      <w:tr w:rsidR="00DA3813" w:rsidRPr="00361CE2" w14:paraId="7F107D0A" w14:textId="77777777" w:rsidTr="007D511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12E89AE" w14:textId="045C3423" w:rsidR="00DA3813" w:rsidRPr="00DA3813" w:rsidRDefault="00DA3813" w:rsidP="00DA381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551" w:type="dxa"/>
            <w:vAlign w:val="bottom"/>
          </w:tcPr>
          <w:p w14:paraId="2164CDC7" w14:textId="66E8F4FA" w:rsidR="00DA3813" w:rsidRPr="00DA3813" w:rsidRDefault="00DA3813" w:rsidP="00DA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3813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701" w:type="dxa"/>
            <w:vAlign w:val="bottom"/>
          </w:tcPr>
          <w:p w14:paraId="3336FE9F" w14:textId="6FAE639C" w:rsidR="00DA3813" w:rsidRPr="007D511D" w:rsidRDefault="00DA3813" w:rsidP="00551E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4.209 €</w:t>
            </w:r>
          </w:p>
        </w:tc>
        <w:tc>
          <w:tcPr>
            <w:tcW w:w="1701" w:type="dxa"/>
            <w:vAlign w:val="bottom"/>
          </w:tcPr>
          <w:p w14:paraId="5FD2DD7F" w14:textId="34637CAB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1710" w:type="dxa"/>
            <w:vAlign w:val="bottom"/>
          </w:tcPr>
          <w:p w14:paraId="378832C5" w14:textId="434933E4" w:rsidR="00DA3813" w:rsidRPr="007D511D" w:rsidRDefault="00DA3813" w:rsidP="00DA38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0,4%</w:t>
            </w:r>
          </w:p>
        </w:tc>
      </w:tr>
    </w:tbl>
    <w:p w14:paraId="037A6377" w14:textId="77777777" w:rsidR="00325EA8" w:rsidRDefault="00325EA8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53BE2E86" w14:textId="77777777" w:rsidR="00E263D4" w:rsidRDefault="00E263D4" w:rsidP="00E263D4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420BA232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1" w:name="_heading=h.30j0zll" w:colFirst="0" w:colLast="0"/>
    <w:bookmarkEnd w:id="1"/>
    <w:p w14:paraId="535A37FF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fldChar w:fldCharType="begin"/>
      </w:r>
      <w:r>
        <w:instrText xml:space="preserve"> HYPERLINK "http://www.fotocasa.es/" \h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472317B0" w14:textId="77777777" w:rsidR="00E263D4" w:rsidRDefault="005C74A9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4">
        <w:r w:rsidR="00E263D4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E263D4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2850A3EA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38AD0DD7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61F8D608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9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2237E473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5543C6B3" w14:textId="77777777" w:rsidR="00E263D4" w:rsidRDefault="00E263D4" w:rsidP="00E263D4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42AA057" w14:textId="77777777" w:rsidR="00E263D4" w:rsidRDefault="00E263D4" w:rsidP="00E263D4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1255DEE2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  <w:t xml:space="preserve">                                  Anaïs López </w:t>
      </w:r>
    </w:p>
    <w:p w14:paraId="03543D33" w14:textId="77777777" w:rsidR="00E263D4" w:rsidRDefault="005C74A9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0">
        <w:r w:rsidR="00E263D4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E263D4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E263D4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E263D4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 </w:t>
      </w:r>
      <w:hyperlink r:id="rId21">
        <w:r w:rsidR="00E263D4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51BC90BD" w14:textId="77777777" w:rsidR="00E263D4" w:rsidRDefault="00E263D4" w:rsidP="00E263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620 66 29 26</w:t>
      </w:r>
    </w:p>
    <w:p w14:paraId="4A0979E1" w14:textId="77777777" w:rsidR="00E263D4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689587B3" w14:textId="77777777" w:rsidR="00E263D4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4B83CB7F" w14:textId="77777777" w:rsidR="00E263D4" w:rsidRDefault="005C74A9" w:rsidP="00E263D4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2">
        <w:r w:rsidR="00E263D4">
          <w:rPr>
            <w:rFonts w:ascii="Open Sans" w:eastAsia="Open Sans" w:hAnsi="Open Sans" w:cs="Open Sans"/>
            <w:color w:val="0000FF"/>
            <w:sz w:val="19"/>
            <w:szCs w:val="19"/>
          </w:rPr>
          <w:t>emerino@llorenteycuenca.com</w:t>
        </w:r>
      </w:hyperlink>
    </w:p>
    <w:p w14:paraId="1A22AF71" w14:textId="77777777" w:rsidR="00E263D4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3FB12F88" w14:textId="77777777" w:rsidR="00E263D4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0B795810" w14:textId="77777777" w:rsidR="00E263D4" w:rsidRPr="004655BE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 w:rsidRPr="004655BE"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4934279E" w14:textId="77777777" w:rsidR="00E263D4" w:rsidRPr="00C33DDE" w:rsidRDefault="005C74A9" w:rsidP="00E263D4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lang w:val="en-US"/>
        </w:rPr>
      </w:pPr>
      <w:hyperlink r:id="rId23" w:history="1">
        <w:r w:rsidR="00E263D4" w:rsidRPr="00670DCF">
          <w:rPr>
            <w:rStyle w:val="Hipervnculo"/>
            <w:rFonts w:ascii="Open Sans" w:eastAsia="Open Sans" w:hAnsi="Open Sans" w:cs="Open Sans"/>
            <w:sz w:val="19"/>
            <w:szCs w:val="19"/>
            <w:lang w:val="en-US"/>
          </w:rPr>
          <w:t>llazaro@llorenteycuenca.com</w:t>
        </w:r>
      </w:hyperlink>
    </w:p>
    <w:p w14:paraId="70E0AF03" w14:textId="77777777" w:rsidR="00E263D4" w:rsidRPr="00C33DDE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  <w:lang w:val="en-US"/>
        </w:rPr>
      </w:pPr>
      <w:r w:rsidRPr="00C33DDE">
        <w:rPr>
          <w:rFonts w:ascii="Open Sans" w:eastAsia="Open Sans" w:hAnsi="Open Sans" w:cs="Open Sans"/>
          <w:color w:val="000000"/>
          <w:sz w:val="19"/>
          <w:szCs w:val="19"/>
          <w:lang w:val="en-US"/>
        </w:rPr>
        <w:t>6</w:t>
      </w:r>
      <w:r>
        <w:rPr>
          <w:rFonts w:ascii="Open Sans" w:eastAsia="Open Sans" w:hAnsi="Open Sans" w:cs="Open Sans"/>
          <w:color w:val="000000"/>
          <w:sz w:val="19"/>
          <w:szCs w:val="19"/>
          <w:lang w:val="en-US"/>
        </w:rPr>
        <w:t>85 839 655</w:t>
      </w:r>
    </w:p>
    <w:p w14:paraId="76A70564" w14:textId="77777777" w:rsidR="00E263D4" w:rsidRPr="00C33DDE" w:rsidRDefault="00E263D4" w:rsidP="00E263D4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  <w:lang w:val="en-US"/>
        </w:rPr>
      </w:pPr>
    </w:p>
    <w:p w14:paraId="0086BE8D" w14:textId="77777777" w:rsidR="00E263D4" w:rsidRDefault="00E263D4" w:rsidP="00E263D4">
      <w:pPr>
        <w:spacing w:line="276" w:lineRule="auto"/>
        <w:ind w:right="-574"/>
        <w:jc w:val="right"/>
        <w:rPr>
          <w:rFonts w:ascii="Times New Roman" w:eastAsia="Times New Roman" w:hAnsi="Times New Roman" w:cs="Times New Roman"/>
          <w:color w:val="000000"/>
        </w:rPr>
      </w:pPr>
    </w:p>
    <w:p w14:paraId="24058EDB" w14:textId="68466DDC" w:rsidR="00B41A97" w:rsidRPr="00010ECE" w:rsidRDefault="00B41A97" w:rsidP="00E263D4">
      <w:pPr>
        <w:spacing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2C7B33">
      <w:footerReference w:type="default" r:id="rId24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410A" w14:textId="77777777" w:rsidR="005C74A9" w:rsidRDefault="005C74A9" w:rsidP="00DD4CA4">
      <w:r>
        <w:separator/>
      </w:r>
    </w:p>
  </w:endnote>
  <w:endnote w:type="continuationSeparator" w:id="0">
    <w:p w14:paraId="7BB77F43" w14:textId="77777777" w:rsidR="005C74A9" w:rsidRDefault="005C74A9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297D" w14:textId="77777777" w:rsidR="007A7977" w:rsidRDefault="007A797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6D15" w14:textId="77777777" w:rsidR="005C74A9" w:rsidRDefault="005C74A9" w:rsidP="00DD4CA4">
      <w:r>
        <w:separator/>
      </w:r>
    </w:p>
  </w:footnote>
  <w:footnote w:type="continuationSeparator" w:id="0">
    <w:p w14:paraId="47A5FE06" w14:textId="77777777" w:rsidR="005C74A9" w:rsidRDefault="005C74A9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E72"/>
    <w:rsid w:val="00005075"/>
    <w:rsid w:val="00010ECE"/>
    <w:rsid w:val="00021197"/>
    <w:rsid w:val="00022E57"/>
    <w:rsid w:val="000378B8"/>
    <w:rsid w:val="00043E63"/>
    <w:rsid w:val="0005182B"/>
    <w:rsid w:val="00056D6F"/>
    <w:rsid w:val="00061ED5"/>
    <w:rsid w:val="00066953"/>
    <w:rsid w:val="00073C61"/>
    <w:rsid w:val="00074344"/>
    <w:rsid w:val="000745D4"/>
    <w:rsid w:val="00075EA4"/>
    <w:rsid w:val="00076CD0"/>
    <w:rsid w:val="00082A08"/>
    <w:rsid w:val="00086538"/>
    <w:rsid w:val="000A4003"/>
    <w:rsid w:val="000B1A78"/>
    <w:rsid w:val="000B63D3"/>
    <w:rsid w:val="000C0C90"/>
    <w:rsid w:val="000D128D"/>
    <w:rsid w:val="000D3756"/>
    <w:rsid w:val="000E203B"/>
    <w:rsid w:val="000E3988"/>
    <w:rsid w:val="000E6D86"/>
    <w:rsid w:val="000F397F"/>
    <w:rsid w:val="000F48F6"/>
    <w:rsid w:val="000F6589"/>
    <w:rsid w:val="00113DA0"/>
    <w:rsid w:val="00122596"/>
    <w:rsid w:val="00125645"/>
    <w:rsid w:val="00127E3F"/>
    <w:rsid w:val="0013023D"/>
    <w:rsid w:val="00131611"/>
    <w:rsid w:val="00132773"/>
    <w:rsid w:val="00136E6D"/>
    <w:rsid w:val="00144783"/>
    <w:rsid w:val="001454FC"/>
    <w:rsid w:val="00152E73"/>
    <w:rsid w:val="00152FC9"/>
    <w:rsid w:val="0015579D"/>
    <w:rsid w:val="00156927"/>
    <w:rsid w:val="00161FF5"/>
    <w:rsid w:val="00170E94"/>
    <w:rsid w:val="0017362B"/>
    <w:rsid w:val="00177F34"/>
    <w:rsid w:val="00185B69"/>
    <w:rsid w:val="0018778E"/>
    <w:rsid w:val="00193D3E"/>
    <w:rsid w:val="00197D6A"/>
    <w:rsid w:val="001A03EC"/>
    <w:rsid w:val="001A160B"/>
    <w:rsid w:val="001B0D22"/>
    <w:rsid w:val="001B32B7"/>
    <w:rsid w:val="001D2591"/>
    <w:rsid w:val="001D41BD"/>
    <w:rsid w:val="001D5CA4"/>
    <w:rsid w:val="001E66E5"/>
    <w:rsid w:val="001F1881"/>
    <w:rsid w:val="00204DBA"/>
    <w:rsid w:val="00206D80"/>
    <w:rsid w:val="0021761E"/>
    <w:rsid w:val="002220B2"/>
    <w:rsid w:val="00230094"/>
    <w:rsid w:val="00233A7F"/>
    <w:rsid w:val="00244226"/>
    <w:rsid w:val="0024510A"/>
    <w:rsid w:val="00247090"/>
    <w:rsid w:val="0025153F"/>
    <w:rsid w:val="00254715"/>
    <w:rsid w:val="00254E1C"/>
    <w:rsid w:val="0025675A"/>
    <w:rsid w:val="00263488"/>
    <w:rsid w:val="002646E8"/>
    <w:rsid w:val="00267C55"/>
    <w:rsid w:val="00276F57"/>
    <w:rsid w:val="00277F15"/>
    <w:rsid w:val="0028521F"/>
    <w:rsid w:val="0029117E"/>
    <w:rsid w:val="002921A8"/>
    <w:rsid w:val="002944AD"/>
    <w:rsid w:val="00294EA8"/>
    <w:rsid w:val="00295B61"/>
    <w:rsid w:val="002A1E8E"/>
    <w:rsid w:val="002A35C0"/>
    <w:rsid w:val="002A63B8"/>
    <w:rsid w:val="002A7B30"/>
    <w:rsid w:val="002B03DF"/>
    <w:rsid w:val="002B1D60"/>
    <w:rsid w:val="002B6931"/>
    <w:rsid w:val="002C5A65"/>
    <w:rsid w:val="002C6F59"/>
    <w:rsid w:val="002C7B33"/>
    <w:rsid w:val="002D0F7F"/>
    <w:rsid w:val="002D59A3"/>
    <w:rsid w:val="002D6A52"/>
    <w:rsid w:val="002E7ADE"/>
    <w:rsid w:val="002F0DBD"/>
    <w:rsid w:val="002F6709"/>
    <w:rsid w:val="002F7BBC"/>
    <w:rsid w:val="00307BC0"/>
    <w:rsid w:val="0031003E"/>
    <w:rsid w:val="00312BE6"/>
    <w:rsid w:val="0031597B"/>
    <w:rsid w:val="00323525"/>
    <w:rsid w:val="003236DA"/>
    <w:rsid w:val="00325EA8"/>
    <w:rsid w:val="0032673D"/>
    <w:rsid w:val="0033290C"/>
    <w:rsid w:val="003424A0"/>
    <w:rsid w:val="00346B50"/>
    <w:rsid w:val="0034704A"/>
    <w:rsid w:val="00351878"/>
    <w:rsid w:val="0035740F"/>
    <w:rsid w:val="00361CE2"/>
    <w:rsid w:val="00364DE8"/>
    <w:rsid w:val="0036506F"/>
    <w:rsid w:val="0036747E"/>
    <w:rsid w:val="003674C3"/>
    <w:rsid w:val="00374AF8"/>
    <w:rsid w:val="00375A22"/>
    <w:rsid w:val="00376083"/>
    <w:rsid w:val="003826FE"/>
    <w:rsid w:val="0038694E"/>
    <w:rsid w:val="0039068F"/>
    <w:rsid w:val="0039111F"/>
    <w:rsid w:val="003B0212"/>
    <w:rsid w:val="003B2267"/>
    <w:rsid w:val="003B3FA0"/>
    <w:rsid w:val="003B7640"/>
    <w:rsid w:val="003C0439"/>
    <w:rsid w:val="003C2D34"/>
    <w:rsid w:val="003D2ED9"/>
    <w:rsid w:val="003D5C3A"/>
    <w:rsid w:val="003E37AB"/>
    <w:rsid w:val="003E7265"/>
    <w:rsid w:val="003F1B04"/>
    <w:rsid w:val="003F2944"/>
    <w:rsid w:val="003F3FE5"/>
    <w:rsid w:val="003F4BF8"/>
    <w:rsid w:val="00416774"/>
    <w:rsid w:val="00425C6B"/>
    <w:rsid w:val="00432B73"/>
    <w:rsid w:val="004335E1"/>
    <w:rsid w:val="00444A27"/>
    <w:rsid w:val="00444F8F"/>
    <w:rsid w:val="004516E7"/>
    <w:rsid w:val="00451D8D"/>
    <w:rsid w:val="004577E7"/>
    <w:rsid w:val="00464F4A"/>
    <w:rsid w:val="00467BFA"/>
    <w:rsid w:val="00470565"/>
    <w:rsid w:val="0047103A"/>
    <w:rsid w:val="00472BD0"/>
    <w:rsid w:val="004775A7"/>
    <w:rsid w:val="00477BF4"/>
    <w:rsid w:val="00487E10"/>
    <w:rsid w:val="004909C1"/>
    <w:rsid w:val="0049563F"/>
    <w:rsid w:val="004A18E0"/>
    <w:rsid w:val="004A1952"/>
    <w:rsid w:val="004A7FAC"/>
    <w:rsid w:val="004B0DEC"/>
    <w:rsid w:val="004B5A24"/>
    <w:rsid w:val="004B72A4"/>
    <w:rsid w:val="004C305C"/>
    <w:rsid w:val="004C6E70"/>
    <w:rsid w:val="004D2A3E"/>
    <w:rsid w:val="004D3337"/>
    <w:rsid w:val="004D3A34"/>
    <w:rsid w:val="004D4B25"/>
    <w:rsid w:val="004D6C33"/>
    <w:rsid w:val="004D758E"/>
    <w:rsid w:val="004E1425"/>
    <w:rsid w:val="004E2C01"/>
    <w:rsid w:val="004F310E"/>
    <w:rsid w:val="00500B17"/>
    <w:rsid w:val="00501772"/>
    <w:rsid w:val="00501D6B"/>
    <w:rsid w:val="005029E9"/>
    <w:rsid w:val="00503F5B"/>
    <w:rsid w:val="00505367"/>
    <w:rsid w:val="00517B6A"/>
    <w:rsid w:val="0052213C"/>
    <w:rsid w:val="00522CA0"/>
    <w:rsid w:val="00533E9C"/>
    <w:rsid w:val="005365D9"/>
    <w:rsid w:val="00536CAA"/>
    <w:rsid w:val="00540CD7"/>
    <w:rsid w:val="005449FF"/>
    <w:rsid w:val="00551E0C"/>
    <w:rsid w:val="00554182"/>
    <w:rsid w:val="00555343"/>
    <w:rsid w:val="00556C26"/>
    <w:rsid w:val="00556CCB"/>
    <w:rsid w:val="005664F6"/>
    <w:rsid w:val="005739B8"/>
    <w:rsid w:val="00584027"/>
    <w:rsid w:val="0059074E"/>
    <w:rsid w:val="005910BD"/>
    <w:rsid w:val="005A4CB5"/>
    <w:rsid w:val="005A6BDE"/>
    <w:rsid w:val="005B1610"/>
    <w:rsid w:val="005B4E2C"/>
    <w:rsid w:val="005B5F41"/>
    <w:rsid w:val="005C20C7"/>
    <w:rsid w:val="005C74A9"/>
    <w:rsid w:val="005D142F"/>
    <w:rsid w:val="005D62B0"/>
    <w:rsid w:val="005E723D"/>
    <w:rsid w:val="005F4CCA"/>
    <w:rsid w:val="005F5713"/>
    <w:rsid w:val="005F7BFC"/>
    <w:rsid w:val="0060222B"/>
    <w:rsid w:val="00602ADF"/>
    <w:rsid w:val="00604F63"/>
    <w:rsid w:val="006067A7"/>
    <w:rsid w:val="00610AC0"/>
    <w:rsid w:val="006353E7"/>
    <w:rsid w:val="0063578D"/>
    <w:rsid w:val="006379B9"/>
    <w:rsid w:val="006443B7"/>
    <w:rsid w:val="00651A15"/>
    <w:rsid w:val="0065523A"/>
    <w:rsid w:val="006569A2"/>
    <w:rsid w:val="00662A39"/>
    <w:rsid w:val="00664526"/>
    <w:rsid w:val="00670C1B"/>
    <w:rsid w:val="006722A1"/>
    <w:rsid w:val="006829D1"/>
    <w:rsid w:val="00684AD7"/>
    <w:rsid w:val="00686035"/>
    <w:rsid w:val="00693BA0"/>
    <w:rsid w:val="00694341"/>
    <w:rsid w:val="006A173E"/>
    <w:rsid w:val="006B1CC0"/>
    <w:rsid w:val="006B5C7A"/>
    <w:rsid w:val="006B5D54"/>
    <w:rsid w:val="006C08B6"/>
    <w:rsid w:val="006C66FE"/>
    <w:rsid w:val="006D4516"/>
    <w:rsid w:val="006E2DF5"/>
    <w:rsid w:val="006E71F0"/>
    <w:rsid w:val="006F3449"/>
    <w:rsid w:val="00700CDC"/>
    <w:rsid w:val="007027AA"/>
    <w:rsid w:val="00703B33"/>
    <w:rsid w:val="0071448E"/>
    <w:rsid w:val="00716166"/>
    <w:rsid w:val="00734DF2"/>
    <w:rsid w:val="00746945"/>
    <w:rsid w:val="00753088"/>
    <w:rsid w:val="007540B5"/>
    <w:rsid w:val="00755FA8"/>
    <w:rsid w:val="0076708E"/>
    <w:rsid w:val="00772EA0"/>
    <w:rsid w:val="00776F95"/>
    <w:rsid w:val="00780E2D"/>
    <w:rsid w:val="00786C19"/>
    <w:rsid w:val="00793775"/>
    <w:rsid w:val="0079401C"/>
    <w:rsid w:val="007941AF"/>
    <w:rsid w:val="0079460A"/>
    <w:rsid w:val="00795038"/>
    <w:rsid w:val="007A361B"/>
    <w:rsid w:val="007A55E0"/>
    <w:rsid w:val="007A7977"/>
    <w:rsid w:val="007B1AD0"/>
    <w:rsid w:val="007B337C"/>
    <w:rsid w:val="007B5EFA"/>
    <w:rsid w:val="007C1EC1"/>
    <w:rsid w:val="007C2087"/>
    <w:rsid w:val="007C4E1A"/>
    <w:rsid w:val="007C7B05"/>
    <w:rsid w:val="007C7EA5"/>
    <w:rsid w:val="007D4055"/>
    <w:rsid w:val="007D511D"/>
    <w:rsid w:val="007D68B0"/>
    <w:rsid w:val="007D6B10"/>
    <w:rsid w:val="007E0857"/>
    <w:rsid w:val="007F464E"/>
    <w:rsid w:val="007F7CD5"/>
    <w:rsid w:val="008006B9"/>
    <w:rsid w:val="00800E82"/>
    <w:rsid w:val="00803A0C"/>
    <w:rsid w:val="00803EE5"/>
    <w:rsid w:val="008146AF"/>
    <w:rsid w:val="00815219"/>
    <w:rsid w:val="00820A62"/>
    <w:rsid w:val="0083144D"/>
    <w:rsid w:val="00831B93"/>
    <w:rsid w:val="00833FBC"/>
    <w:rsid w:val="00834656"/>
    <w:rsid w:val="008416BD"/>
    <w:rsid w:val="008431EF"/>
    <w:rsid w:val="00843E56"/>
    <w:rsid w:val="008474A4"/>
    <w:rsid w:val="00847524"/>
    <w:rsid w:val="00850789"/>
    <w:rsid w:val="00852B13"/>
    <w:rsid w:val="00860277"/>
    <w:rsid w:val="00860FEA"/>
    <w:rsid w:val="00863B39"/>
    <w:rsid w:val="008665A4"/>
    <w:rsid w:val="008732A0"/>
    <w:rsid w:val="008736A1"/>
    <w:rsid w:val="00882152"/>
    <w:rsid w:val="00882F87"/>
    <w:rsid w:val="00884AE2"/>
    <w:rsid w:val="00885132"/>
    <w:rsid w:val="008901C1"/>
    <w:rsid w:val="00890808"/>
    <w:rsid w:val="0089707B"/>
    <w:rsid w:val="008A0A2B"/>
    <w:rsid w:val="008B49D6"/>
    <w:rsid w:val="008B5B83"/>
    <w:rsid w:val="008C19C8"/>
    <w:rsid w:val="008C3A0B"/>
    <w:rsid w:val="008C5991"/>
    <w:rsid w:val="008D193E"/>
    <w:rsid w:val="008D2BF4"/>
    <w:rsid w:val="008E3D8E"/>
    <w:rsid w:val="008F0AF1"/>
    <w:rsid w:val="008F0C43"/>
    <w:rsid w:val="008F2703"/>
    <w:rsid w:val="008F29C4"/>
    <w:rsid w:val="009002FC"/>
    <w:rsid w:val="00905B11"/>
    <w:rsid w:val="009131FF"/>
    <w:rsid w:val="00913218"/>
    <w:rsid w:val="00932026"/>
    <w:rsid w:val="00935AA7"/>
    <w:rsid w:val="0093735E"/>
    <w:rsid w:val="00940A3F"/>
    <w:rsid w:val="009414D3"/>
    <w:rsid w:val="009454FF"/>
    <w:rsid w:val="00952FF6"/>
    <w:rsid w:val="009566F1"/>
    <w:rsid w:val="00962C95"/>
    <w:rsid w:val="009665CD"/>
    <w:rsid w:val="00967736"/>
    <w:rsid w:val="00972380"/>
    <w:rsid w:val="00974863"/>
    <w:rsid w:val="00975FFF"/>
    <w:rsid w:val="00981D31"/>
    <w:rsid w:val="00982455"/>
    <w:rsid w:val="00984A64"/>
    <w:rsid w:val="009A1778"/>
    <w:rsid w:val="009A35E0"/>
    <w:rsid w:val="009A510E"/>
    <w:rsid w:val="009B1529"/>
    <w:rsid w:val="009B3F39"/>
    <w:rsid w:val="009B6594"/>
    <w:rsid w:val="009C0719"/>
    <w:rsid w:val="009C081B"/>
    <w:rsid w:val="009C68DE"/>
    <w:rsid w:val="009C7D0D"/>
    <w:rsid w:val="009E098F"/>
    <w:rsid w:val="009E215D"/>
    <w:rsid w:val="009F6A15"/>
    <w:rsid w:val="00A03A74"/>
    <w:rsid w:val="00A045ED"/>
    <w:rsid w:val="00A07E2C"/>
    <w:rsid w:val="00A10658"/>
    <w:rsid w:val="00A15E65"/>
    <w:rsid w:val="00A27861"/>
    <w:rsid w:val="00A322DC"/>
    <w:rsid w:val="00A32FA8"/>
    <w:rsid w:val="00A35AD6"/>
    <w:rsid w:val="00A3620D"/>
    <w:rsid w:val="00A37F93"/>
    <w:rsid w:val="00A43278"/>
    <w:rsid w:val="00A5519C"/>
    <w:rsid w:val="00A8169A"/>
    <w:rsid w:val="00A81883"/>
    <w:rsid w:val="00A84CA7"/>
    <w:rsid w:val="00A86050"/>
    <w:rsid w:val="00A97AEA"/>
    <w:rsid w:val="00AB5BEF"/>
    <w:rsid w:val="00AB5C6D"/>
    <w:rsid w:val="00AB682E"/>
    <w:rsid w:val="00AD0C78"/>
    <w:rsid w:val="00AD1466"/>
    <w:rsid w:val="00AD62DD"/>
    <w:rsid w:val="00AE2D49"/>
    <w:rsid w:val="00AE46A1"/>
    <w:rsid w:val="00AE49B4"/>
    <w:rsid w:val="00AE518D"/>
    <w:rsid w:val="00AF03F6"/>
    <w:rsid w:val="00AF3D52"/>
    <w:rsid w:val="00AF3DCC"/>
    <w:rsid w:val="00B10769"/>
    <w:rsid w:val="00B11324"/>
    <w:rsid w:val="00B17F64"/>
    <w:rsid w:val="00B22D16"/>
    <w:rsid w:val="00B239B9"/>
    <w:rsid w:val="00B23DF1"/>
    <w:rsid w:val="00B27581"/>
    <w:rsid w:val="00B36BFE"/>
    <w:rsid w:val="00B410B5"/>
    <w:rsid w:val="00B41A97"/>
    <w:rsid w:val="00B431BF"/>
    <w:rsid w:val="00B437B6"/>
    <w:rsid w:val="00B45108"/>
    <w:rsid w:val="00B63832"/>
    <w:rsid w:val="00B7643B"/>
    <w:rsid w:val="00B773C7"/>
    <w:rsid w:val="00B863DA"/>
    <w:rsid w:val="00B8672B"/>
    <w:rsid w:val="00B8731D"/>
    <w:rsid w:val="00B8772D"/>
    <w:rsid w:val="00BA4514"/>
    <w:rsid w:val="00BA525C"/>
    <w:rsid w:val="00BA59C0"/>
    <w:rsid w:val="00BA7C39"/>
    <w:rsid w:val="00BC1D19"/>
    <w:rsid w:val="00BC3A74"/>
    <w:rsid w:val="00BD05D7"/>
    <w:rsid w:val="00BD0B97"/>
    <w:rsid w:val="00BE6F71"/>
    <w:rsid w:val="00BF2D38"/>
    <w:rsid w:val="00BF3E84"/>
    <w:rsid w:val="00BF498E"/>
    <w:rsid w:val="00BF58E4"/>
    <w:rsid w:val="00BF6735"/>
    <w:rsid w:val="00BF6CC0"/>
    <w:rsid w:val="00BF71AB"/>
    <w:rsid w:val="00C01F16"/>
    <w:rsid w:val="00C13690"/>
    <w:rsid w:val="00C16D29"/>
    <w:rsid w:val="00C17526"/>
    <w:rsid w:val="00C175F6"/>
    <w:rsid w:val="00C21E38"/>
    <w:rsid w:val="00C312AB"/>
    <w:rsid w:val="00C32523"/>
    <w:rsid w:val="00C4502E"/>
    <w:rsid w:val="00C54981"/>
    <w:rsid w:val="00C6302C"/>
    <w:rsid w:val="00C6705A"/>
    <w:rsid w:val="00C73CB5"/>
    <w:rsid w:val="00C774D9"/>
    <w:rsid w:val="00C818B8"/>
    <w:rsid w:val="00CA192E"/>
    <w:rsid w:val="00CB0C3C"/>
    <w:rsid w:val="00CB345F"/>
    <w:rsid w:val="00CB52C2"/>
    <w:rsid w:val="00CB5400"/>
    <w:rsid w:val="00CB5F8A"/>
    <w:rsid w:val="00CC1695"/>
    <w:rsid w:val="00CC17ED"/>
    <w:rsid w:val="00CC2E07"/>
    <w:rsid w:val="00CC302B"/>
    <w:rsid w:val="00CC440E"/>
    <w:rsid w:val="00CD72CB"/>
    <w:rsid w:val="00CE64B5"/>
    <w:rsid w:val="00CE67CC"/>
    <w:rsid w:val="00CF051C"/>
    <w:rsid w:val="00CF0A9F"/>
    <w:rsid w:val="00CF20AE"/>
    <w:rsid w:val="00CF48C7"/>
    <w:rsid w:val="00D03EDB"/>
    <w:rsid w:val="00D04388"/>
    <w:rsid w:val="00D05064"/>
    <w:rsid w:val="00D07162"/>
    <w:rsid w:val="00D10083"/>
    <w:rsid w:val="00D120A8"/>
    <w:rsid w:val="00D147F2"/>
    <w:rsid w:val="00D15EC8"/>
    <w:rsid w:val="00D177B7"/>
    <w:rsid w:val="00D249B7"/>
    <w:rsid w:val="00D31A57"/>
    <w:rsid w:val="00D347D0"/>
    <w:rsid w:val="00D3495E"/>
    <w:rsid w:val="00D375EB"/>
    <w:rsid w:val="00D41240"/>
    <w:rsid w:val="00D42B93"/>
    <w:rsid w:val="00D43BCD"/>
    <w:rsid w:val="00D445B5"/>
    <w:rsid w:val="00D4590A"/>
    <w:rsid w:val="00D463F3"/>
    <w:rsid w:val="00D57583"/>
    <w:rsid w:val="00D63321"/>
    <w:rsid w:val="00D70955"/>
    <w:rsid w:val="00D847AA"/>
    <w:rsid w:val="00D84D8B"/>
    <w:rsid w:val="00D91C64"/>
    <w:rsid w:val="00DA1DFB"/>
    <w:rsid w:val="00DA3813"/>
    <w:rsid w:val="00DA5620"/>
    <w:rsid w:val="00DB34DF"/>
    <w:rsid w:val="00DC024B"/>
    <w:rsid w:val="00DC559C"/>
    <w:rsid w:val="00DC7AC3"/>
    <w:rsid w:val="00DD10D8"/>
    <w:rsid w:val="00DD133A"/>
    <w:rsid w:val="00DD3BBE"/>
    <w:rsid w:val="00DD4CA4"/>
    <w:rsid w:val="00DE0DCE"/>
    <w:rsid w:val="00DE1605"/>
    <w:rsid w:val="00DE663C"/>
    <w:rsid w:val="00DE703A"/>
    <w:rsid w:val="00DF1C50"/>
    <w:rsid w:val="00DF48B8"/>
    <w:rsid w:val="00DF7476"/>
    <w:rsid w:val="00E030C6"/>
    <w:rsid w:val="00E05149"/>
    <w:rsid w:val="00E064C2"/>
    <w:rsid w:val="00E11682"/>
    <w:rsid w:val="00E13EE3"/>
    <w:rsid w:val="00E148A2"/>
    <w:rsid w:val="00E157B6"/>
    <w:rsid w:val="00E16C2C"/>
    <w:rsid w:val="00E22D4A"/>
    <w:rsid w:val="00E263D4"/>
    <w:rsid w:val="00E27391"/>
    <w:rsid w:val="00E36BA5"/>
    <w:rsid w:val="00E40AF9"/>
    <w:rsid w:val="00E456B0"/>
    <w:rsid w:val="00E45828"/>
    <w:rsid w:val="00E4654D"/>
    <w:rsid w:val="00E50BA6"/>
    <w:rsid w:val="00E5178C"/>
    <w:rsid w:val="00E62DE7"/>
    <w:rsid w:val="00E80205"/>
    <w:rsid w:val="00E81700"/>
    <w:rsid w:val="00E84E66"/>
    <w:rsid w:val="00E90069"/>
    <w:rsid w:val="00E9484B"/>
    <w:rsid w:val="00E9520C"/>
    <w:rsid w:val="00EA0F49"/>
    <w:rsid w:val="00EA6A99"/>
    <w:rsid w:val="00EA7682"/>
    <w:rsid w:val="00ED52E7"/>
    <w:rsid w:val="00ED6CFA"/>
    <w:rsid w:val="00EE4B59"/>
    <w:rsid w:val="00EE57DC"/>
    <w:rsid w:val="00EE57F0"/>
    <w:rsid w:val="00EF46C8"/>
    <w:rsid w:val="00EF6946"/>
    <w:rsid w:val="00F03EB1"/>
    <w:rsid w:val="00F05F05"/>
    <w:rsid w:val="00F23A6E"/>
    <w:rsid w:val="00F322E6"/>
    <w:rsid w:val="00F35E24"/>
    <w:rsid w:val="00F370DE"/>
    <w:rsid w:val="00F3730B"/>
    <w:rsid w:val="00F469EB"/>
    <w:rsid w:val="00F62446"/>
    <w:rsid w:val="00F63BCC"/>
    <w:rsid w:val="00F6692D"/>
    <w:rsid w:val="00F708B0"/>
    <w:rsid w:val="00F71755"/>
    <w:rsid w:val="00F76B5D"/>
    <w:rsid w:val="00F872D7"/>
    <w:rsid w:val="00F92401"/>
    <w:rsid w:val="00F9355C"/>
    <w:rsid w:val="00F936D0"/>
    <w:rsid w:val="00F93FE7"/>
    <w:rsid w:val="00F970B0"/>
    <w:rsid w:val="00FA654A"/>
    <w:rsid w:val="00FB063B"/>
    <w:rsid w:val="00FB5607"/>
    <w:rsid w:val="00FC19A0"/>
    <w:rsid w:val="00FC1C1B"/>
    <w:rsid w:val="00FC4B6D"/>
    <w:rsid w:val="00FC4BCC"/>
    <w:rsid w:val="00FD5086"/>
    <w:rsid w:val="00FE2586"/>
    <w:rsid w:val="00FE2D1C"/>
    <w:rsid w:val="00FE40AF"/>
    <w:rsid w:val="00FE562F"/>
    <w:rsid w:val="00FE671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motos.coche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mailto:llazaro@llorenteycuenca.com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/es/quienes-somos/" TargetMode="External"/><Relationship Id="rId22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1\04-ABRIL\PRENSA%20VENTA%20AB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2787669806626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5.15729757607009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83-46D9-94A5-BDAE20DDD36C}"/>
                </c:ext>
              </c:extLst>
            </c:dLbl>
            <c:dLbl>
              <c:idx val="7"/>
              <c:layout>
                <c:manualLayout>
                  <c:x val="-9.4549363318972608E-17"/>
                  <c:y val="-1.0689470871191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83-46D9-94A5-BDAE20DDD3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ABR</c:v>
                  </c:pt>
                  <c:pt idx="1">
                    <c:v>MAY</c:v>
                  </c:pt>
                  <c:pt idx="2">
                    <c:v>JUN</c:v>
                  </c:pt>
                  <c:pt idx="3">
                    <c:v>JUL</c:v>
                  </c:pt>
                  <c:pt idx="4">
                    <c:v>AGO</c:v>
                  </c:pt>
                  <c:pt idx="5">
                    <c:v>SEP</c:v>
                  </c:pt>
                  <c:pt idx="6">
                    <c:v>OCT</c:v>
                  </c:pt>
                  <c:pt idx="7">
                    <c:v>NOV</c:v>
                  </c:pt>
                  <c:pt idx="8">
                    <c:v>DIC</c:v>
                  </c:pt>
                  <c:pt idx="9">
                    <c:v>ENE</c:v>
                  </c:pt>
                  <c:pt idx="10">
                    <c:v>FEB</c:v>
                  </c:pt>
                  <c:pt idx="11">
                    <c:v>MAR</c:v>
                  </c:pt>
                  <c:pt idx="12">
                    <c:v>ABR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Hoja5!$C$31:$C$43</c:f>
              <c:numCache>
                <c:formatCode>#,##0.0"%"</c:formatCode>
                <c:ptCount val="13"/>
                <c:pt idx="0">
                  <c:v>0.50820211091262557</c:v>
                </c:pt>
                <c:pt idx="1">
                  <c:v>1.3158036706552689</c:v>
                </c:pt>
                <c:pt idx="2">
                  <c:v>-0.23109568106666201</c:v>
                </c:pt>
                <c:pt idx="3">
                  <c:v>0.74933152582898899</c:v>
                </c:pt>
                <c:pt idx="4">
                  <c:v>-0.56099718706793533</c:v>
                </c:pt>
                <c:pt idx="5">
                  <c:v>-1.6860935901806928</c:v>
                </c:pt>
                <c:pt idx="6">
                  <c:v>0.75590499981035286</c:v>
                </c:pt>
                <c:pt idx="7">
                  <c:v>0.96159017327983598</c:v>
                </c:pt>
                <c:pt idx="8">
                  <c:v>-7.4042507857019491E-2</c:v>
                </c:pt>
                <c:pt idx="9">
                  <c:v>-0.12097835254770706</c:v>
                </c:pt>
                <c:pt idx="10">
                  <c:v>0.48458841206828751</c:v>
                </c:pt>
                <c:pt idx="11">
                  <c:v>0.76431970765700186</c:v>
                </c:pt>
                <c:pt idx="12">
                  <c:v>-0.46597192571858903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83-46D9-94A5-BDAE20DDD36C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5.15729757607018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83-46D9-94A5-BDAE20DDD36C}"/>
                </c:ext>
              </c:extLst>
            </c:dLbl>
            <c:dLbl>
              <c:idx val="4"/>
              <c:layout>
                <c:manualLayout>
                  <c:x val="2.5786487880350697E-3"/>
                  <c:y val="-4.2757462639457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83-46D9-94A5-BDAE20DDD36C}"/>
                </c:ext>
              </c:extLst>
            </c:dLbl>
            <c:dLbl>
              <c:idx val="7"/>
              <c:layout>
                <c:manualLayout>
                  <c:x val="1.5471892728210418E-2"/>
                  <c:y val="1.603420630678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83-46D9-94A5-BDAE20DDD3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Hoja5!$A$31:$B$43</c:f>
              <c:multiLvlStrCache>
                <c:ptCount val="13"/>
                <c:lvl>
                  <c:pt idx="0">
                    <c:v>ABR</c:v>
                  </c:pt>
                  <c:pt idx="1">
                    <c:v>MAY</c:v>
                  </c:pt>
                  <c:pt idx="2">
                    <c:v>JUN</c:v>
                  </c:pt>
                  <c:pt idx="3">
                    <c:v>JUL</c:v>
                  </c:pt>
                  <c:pt idx="4">
                    <c:v>AGO</c:v>
                  </c:pt>
                  <c:pt idx="5">
                    <c:v>SEP</c:v>
                  </c:pt>
                  <c:pt idx="6">
                    <c:v>OCT</c:v>
                  </c:pt>
                  <c:pt idx="7">
                    <c:v>NOV</c:v>
                  </c:pt>
                  <c:pt idx="8">
                    <c:v>DIC</c:v>
                  </c:pt>
                  <c:pt idx="9">
                    <c:v>ENE</c:v>
                  </c:pt>
                  <c:pt idx="10">
                    <c:v>FEB</c:v>
                  </c:pt>
                  <c:pt idx="11">
                    <c:v>MAR</c:v>
                  </c:pt>
                  <c:pt idx="12">
                    <c:v>ABR</c:v>
                  </c:pt>
                </c:lvl>
                <c:lvl>
                  <c:pt idx="0">
                    <c:v>2020</c:v>
                  </c:pt>
                  <c:pt idx="9">
                    <c:v>2021</c:v>
                  </c:pt>
                </c:lvl>
              </c:multiLvlStrCache>
            </c:multiLvlStrRef>
          </c:cat>
          <c:val>
            <c:numRef>
              <c:f>Hoja5!$D$31:$D$43</c:f>
              <c:numCache>
                <c:formatCode>#,##0.0"%"</c:formatCode>
                <c:ptCount val="13"/>
                <c:pt idx="0">
                  <c:v>-1.9880154463444377</c:v>
                </c:pt>
                <c:pt idx="1">
                  <c:v>-1.0605431441696123</c:v>
                </c:pt>
                <c:pt idx="2">
                  <c:v>-1.8914307125737828</c:v>
                </c:pt>
                <c:pt idx="3">
                  <c:v>-0.70173314193738845</c:v>
                </c:pt>
                <c:pt idx="4">
                  <c:v>-0.75121819166216186</c:v>
                </c:pt>
                <c:pt idx="5">
                  <c:v>-2.3876150058407042</c:v>
                </c:pt>
                <c:pt idx="6">
                  <c:v>-1.7295082279115137</c:v>
                </c:pt>
                <c:pt idx="7">
                  <c:v>0.71838232532686064</c:v>
                </c:pt>
                <c:pt idx="8">
                  <c:v>1.6389800938417798</c:v>
                </c:pt>
                <c:pt idx="9">
                  <c:v>1.7768494720995509</c:v>
                </c:pt>
                <c:pt idx="10">
                  <c:v>2.1596162611507763</c:v>
                </c:pt>
                <c:pt idx="11">
                  <c:v>2.866345478918797</c:v>
                </c:pt>
                <c:pt idx="12">
                  <c:v>1.8693151778681694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83-46D9-94A5-BDAE20DDD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9.6542783235128105E-2"/>
          <c:y val="0.89214870989870254"/>
          <c:w val="0.84440494727317739"/>
          <c:h val="9.18170281031738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0.02917</cdr:x>
      <cdr:y>0.42059</cdr:y>
    </cdr:from>
    <cdr:to>
      <cdr:x>0.94699</cdr:x>
      <cdr:y>0.42084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 flipV="1">
          <a:off x="165300" y="1191677"/>
          <a:ext cx="5201631" cy="708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13C-F952-4FF7-A34D-D93E828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8457</TotalTime>
  <Pages>9</Pages>
  <Words>2286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141</cp:revision>
  <dcterms:created xsi:type="dcterms:W3CDTF">2020-08-26T10:47:00Z</dcterms:created>
  <dcterms:modified xsi:type="dcterms:W3CDTF">2021-05-02T09:24:00Z</dcterms:modified>
</cp:coreProperties>
</file>