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036C2" w:rsidRDefault="008768CE"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-1056068</wp:posOffset>
            </wp:positionH>
            <wp:positionV relativeFrom="paragraph">
              <wp:posOffset>-346337</wp:posOffset>
            </wp:positionV>
            <wp:extent cx="7711147" cy="1037167"/>
            <wp:effectExtent l="0" t="0" r="0" b="0"/>
            <wp:wrapSquare wrapText="bothSides" distT="0" distB="0" distL="0" distR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1147" cy="1037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4" w14:textId="77777777" w:rsidR="00F036C2" w:rsidRDefault="00F036C2">
      <w:pPr>
        <w:jc w:val="center"/>
        <w:rPr>
          <w:rFonts w:ascii="National" w:eastAsia="National" w:hAnsi="National" w:cs="National"/>
          <w:color w:val="303AB2"/>
          <w:sz w:val="36"/>
          <w:szCs w:val="36"/>
        </w:rPr>
      </w:pPr>
    </w:p>
    <w:p w14:paraId="00000005" w14:textId="77777777" w:rsidR="00F036C2" w:rsidRDefault="008768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76" w:lineRule="auto"/>
        <w:ind w:left="708" w:hanging="708"/>
        <w:jc w:val="center"/>
        <w:rPr>
          <w:rFonts w:ascii="National" w:eastAsia="National" w:hAnsi="National" w:cs="National"/>
          <w:b/>
          <w:color w:val="303AB2"/>
          <w:sz w:val="46"/>
          <w:szCs w:val="46"/>
        </w:rPr>
      </w:pPr>
      <w:r>
        <w:rPr>
          <w:rFonts w:ascii="National" w:eastAsia="National" w:hAnsi="National" w:cs="National"/>
          <w:b/>
          <w:color w:val="303AB2"/>
          <w:sz w:val="46"/>
          <w:szCs w:val="46"/>
        </w:rPr>
        <w:t>"Las hipotecas continúan marcando la senda de recuperación del sector"</w:t>
      </w:r>
    </w:p>
    <w:p w14:paraId="00000006" w14:textId="77777777" w:rsidR="00F036C2" w:rsidRDefault="008768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76" w:lineRule="auto"/>
        <w:jc w:val="both"/>
        <w:rPr>
          <w:rFonts w:ascii="Open Sans" w:eastAsia="Open Sans" w:hAnsi="Open Sans" w:cs="Open Sans"/>
          <w:b/>
          <w:color w:val="303AB2"/>
        </w:rPr>
      </w:pPr>
      <w:r>
        <w:rPr>
          <w:rFonts w:ascii="Open Sans" w:eastAsia="Open Sans" w:hAnsi="Open Sans" w:cs="Open Sans"/>
          <w:b/>
          <w:color w:val="303AB2"/>
        </w:rPr>
        <w:t xml:space="preserve">  </w:t>
      </w:r>
    </w:p>
    <w:p w14:paraId="00000007" w14:textId="77777777" w:rsidR="00F036C2" w:rsidRDefault="008768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76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303AB2"/>
        </w:rPr>
        <w:t>Madrid, 28 de junio de 2021</w:t>
      </w:r>
    </w:p>
    <w:p w14:paraId="00000008" w14:textId="29B693BB" w:rsidR="00F036C2" w:rsidRDefault="008768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Los datos de Hipotecas correspondientes al pasado mes de </w:t>
      </w:r>
      <w:r>
        <w:rPr>
          <w:rFonts w:ascii="Open Sans" w:eastAsia="Open Sans" w:hAnsi="Open Sans" w:cs="Open Sans"/>
          <w:sz w:val="21"/>
          <w:szCs w:val="21"/>
        </w:rPr>
        <w:t>marzo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dados a conocer hoy por el INE, reflejan una </w:t>
      </w:r>
      <w:r>
        <w:rPr>
          <w:rFonts w:ascii="Open Sans" w:eastAsia="Open Sans" w:hAnsi="Open Sans" w:cs="Open Sans"/>
          <w:sz w:val="21"/>
          <w:szCs w:val="21"/>
        </w:rPr>
        <w:t>subida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</w:t>
      </w:r>
      <w:r>
        <w:rPr>
          <w:rFonts w:ascii="Open Sans" w:eastAsia="Open Sans" w:hAnsi="Open Sans" w:cs="Open Sans"/>
          <w:sz w:val="21"/>
          <w:szCs w:val="21"/>
        </w:rPr>
        <w:t>interanual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del</w:t>
      </w:r>
      <w:r>
        <w:rPr>
          <w:rFonts w:ascii="Open Sans" w:eastAsia="Open Sans" w:hAnsi="Open Sans" w:cs="Open Sans"/>
          <w:sz w:val="21"/>
          <w:szCs w:val="21"/>
        </w:rPr>
        <w:t xml:space="preserve"> </w:t>
      </w:r>
      <w:r>
        <w:rPr>
          <w:rFonts w:ascii="Open Sans" w:eastAsia="Open Sans" w:hAnsi="Open Sans" w:cs="Open Sans"/>
          <w:b/>
          <w:sz w:val="21"/>
          <w:szCs w:val="21"/>
        </w:rPr>
        <w:t>32,1</w:t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>%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respecto al mismo mes de 20</w:t>
      </w:r>
      <w:r>
        <w:rPr>
          <w:rFonts w:ascii="Open Sans" w:eastAsia="Open Sans" w:hAnsi="Open Sans" w:cs="Open Sans"/>
          <w:sz w:val="21"/>
          <w:szCs w:val="21"/>
        </w:rPr>
        <w:t>20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y un</w:t>
      </w:r>
      <w:r>
        <w:rPr>
          <w:rFonts w:ascii="Open Sans" w:eastAsia="Open Sans" w:hAnsi="Open Sans" w:cs="Open Sans"/>
          <w:sz w:val="21"/>
          <w:szCs w:val="21"/>
        </w:rPr>
        <w:t xml:space="preserve"> descenso del </w:t>
      </w:r>
      <w:r>
        <w:rPr>
          <w:rFonts w:ascii="Open Sans" w:eastAsia="Open Sans" w:hAnsi="Open Sans" w:cs="Open Sans"/>
          <w:b/>
          <w:sz w:val="21"/>
          <w:szCs w:val="21"/>
        </w:rPr>
        <w:t>-13,5%</w:t>
      </w:r>
      <w:r>
        <w:rPr>
          <w:rFonts w:ascii="Open Sans" w:eastAsia="Open Sans" w:hAnsi="Open Sans" w:cs="Open Sans"/>
          <w:sz w:val="21"/>
          <w:szCs w:val="21"/>
        </w:rPr>
        <w:t xml:space="preserve"> a nivel mensual. Así, abril cierra con 31.909 </w:t>
      </w:r>
      <w:r>
        <w:rPr>
          <w:rFonts w:ascii="Open Sans" w:eastAsia="Open Sans" w:hAnsi="Open Sans" w:cs="Open Sans"/>
          <w:color w:val="000000"/>
          <w:sz w:val="21"/>
          <w:szCs w:val="21"/>
        </w:rPr>
        <w:t>hipotecas concedidas,</w:t>
      </w:r>
      <w:r>
        <w:rPr>
          <w:rFonts w:ascii="Open Sans" w:eastAsia="Open Sans" w:hAnsi="Open Sans" w:cs="Open Sans"/>
          <w:sz w:val="21"/>
          <w:szCs w:val="21"/>
        </w:rPr>
        <w:t xml:space="preserve"> una cifra que sitúa la contratación de hipotecas en niveles </w:t>
      </w:r>
      <w:r w:rsidR="004136DE">
        <w:rPr>
          <w:rFonts w:ascii="Open Sans" w:eastAsia="Open Sans" w:hAnsi="Open Sans" w:cs="Open Sans"/>
          <w:sz w:val="21"/>
          <w:szCs w:val="21"/>
        </w:rPr>
        <w:t xml:space="preserve">similares a los registrados en </w:t>
      </w:r>
      <w:r>
        <w:rPr>
          <w:rFonts w:ascii="Open Sans" w:eastAsia="Open Sans" w:hAnsi="Open Sans" w:cs="Open Sans"/>
          <w:sz w:val="21"/>
          <w:szCs w:val="21"/>
        </w:rPr>
        <w:t>2019. “Son los mejores datos desde 2011,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aunque hay que poner en contexto que la subida interanual tan elevada se debe a que la comparativa se realiza con </w:t>
      </w:r>
      <w:r>
        <w:rPr>
          <w:rFonts w:ascii="Open Sans" w:eastAsia="Open Sans" w:hAnsi="Open Sans" w:cs="Open Sans"/>
          <w:sz w:val="21"/>
          <w:szCs w:val="21"/>
        </w:rPr>
        <w:t>abril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de 2020, cuando con el 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confinamiento domiciliario, la paralización económica y social, provocó que los notarios y registradores solo atendiesen casos de urgencia, por lo tanto, es normal que la evolución sea tan abultada”, explica </w:t>
      </w:r>
      <w:r>
        <w:rPr>
          <w:rFonts w:ascii="Open Sans" w:eastAsia="Open Sans" w:hAnsi="Open Sans" w:cs="Open Sans"/>
          <w:sz w:val="21"/>
          <w:szCs w:val="21"/>
        </w:rPr>
        <w:t>María Matos, directora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de </w:t>
      </w:r>
      <w:r>
        <w:rPr>
          <w:rFonts w:ascii="Open Sans" w:eastAsia="Open Sans" w:hAnsi="Open Sans" w:cs="Open Sans"/>
          <w:sz w:val="21"/>
          <w:szCs w:val="21"/>
        </w:rPr>
        <w:t>Estudios y Portavoz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de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</w:t>
      </w:r>
      <w:hyperlink r:id="rId8">
        <w:r>
          <w:rPr>
            <w:rFonts w:ascii="Open Sans" w:eastAsia="Open Sans" w:hAnsi="Open Sans" w:cs="Open Sans"/>
            <w:b/>
            <w:color w:val="0563C1"/>
            <w:sz w:val="21"/>
            <w:szCs w:val="21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  <w:sz w:val="21"/>
          <w:szCs w:val="21"/>
        </w:rPr>
        <w:t>.</w:t>
      </w:r>
    </w:p>
    <w:p w14:paraId="00000009" w14:textId="77777777" w:rsidR="00F036C2" w:rsidRDefault="008768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“El cierre de operaciones del mes de abril supera la barrera de las 30.000 hipotecas cerradas. Es el segundo mejor dato desde el estallido de la pandemia y son cifras muy cercanas a las registradas en e</w:t>
      </w:r>
      <w:r>
        <w:rPr>
          <w:rFonts w:ascii="Open Sans" w:eastAsia="Open Sans" w:hAnsi="Open Sans" w:cs="Open Sans"/>
          <w:sz w:val="21"/>
          <w:szCs w:val="21"/>
        </w:rPr>
        <w:t xml:space="preserve">l mismo mes de 2019 (29.032) y de 2018 (29.050), por lo que son datos continuistas que nos muestran que estamos en la senda de la recuperación. Mes a mes vamos viendo como el dato mejora y eso muestra que la percepción de incertidumbre va decreciendo. Los </w:t>
      </w:r>
      <w:r>
        <w:rPr>
          <w:rFonts w:ascii="Open Sans" w:eastAsia="Open Sans" w:hAnsi="Open Sans" w:cs="Open Sans"/>
          <w:sz w:val="21"/>
          <w:szCs w:val="21"/>
        </w:rPr>
        <w:t xml:space="preserve">españoles vuelven a tener un comportamiento muy activo, algo que evidencia que el sector se está restableciendo, </w:t>
      </w:r>
      <w:proofErr w:type="gramStart"/>
      <w:r>
        <w:rPr>
          <w:rFonts w:ascii="Open Sans" w:eastAsia="Open Sans" w:hAnsi="Open Sans" w:cs="Open Sans"/>
          <w:sz w:val="21"/>
          <w:szCs w:val="21"/>
        </w:rPr>
        <w:t>y</w:t>
      </w:r>
      <w:proofErr w:type="gramEnd"/>
      <w:r>
        <w:rPr>
          <w:rFonts w:ascii="Open Sans" w:eastAsia="Open Sans" w:hAnsi="Open Sans" w:cs="Open Sans"/>
          <w:sz w:val="21"/>
          <w:szCs w:val="21"/>
        </w:rPr>
        <w:t xml:space="preserve"> además, a muy buen ritmo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”, explica la directora de </w:t>
      </w:r>
      <w:r>
        <w:rPr>
          <w:rFonts w:ascii="Open Sans" w:eastAsia="Open Sans" w:hAnsi="Open Sans" w:cs="Open Sans"/>
          <w:sz w:val="21"/>
          <w:szCs w:val="21"/>
        </w:rPr>
        <w:t>Estudios</w:t>
      </w:r>
      <w:r>
        <w:rPr>
          <w:rFonts w:ascii="Open Sans" w:eastAsia="Open Sans" w:hAnsi="Open Sans" w:cs="Open Sans"/>
          <w:color w:val="000000"/>
          <w:sz w:val="21"/>
          <w:szCs w:val="21"/>
        </w:rPr>
        <w:t>.</w:t>
      </w:r>
    </w:p>
    <w:p w14:paraId="0000000A" w14:textId="77777777" w:rsidR="00F036C2" w:rsidRDefault="008768CE">
      <w:pP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“Esperamos seguir viendo esta mejora en los datos hipotecarios, ya que el sector</w:t>
      </w:r>
      <w:r>
        <w:rPr>
          <w:rFonts w:ascii="Open Sans" w:eastAsia="Open Sans" w:hAnsi="Open Sans" w:cs="Open Sans"/>
          <w:sz w:val="21"/>
          <w:szCs w:val="21"/>
        </w:rPr>
        <w:t xml:space="preserve"> bancario ha estado trabajando para favorecer este impulso, abaratando los precios para estimular las ventas. De hecho, estos últimos meses, hemos visto a varias entidades con las mayores bajadas de precios que se recuerdan. Las buenas condiciones de rebaj</w:t>
      </w:r>
      <w:r>
        <w:rPr>
          <w:rFonts w:ascii="Open Sans" w:eastAsia="Open Sans" w:hAnsi="Open Sans" w:cs="Open Sans"/>
          <w:sz w:val="21"/>
          <w:szCs w:val="21"/>
        </w:rPr>
        <w:t xml:space="preserve">a de intereses actuales están haciendo que muchos pequeños ahorradores se lancen a </w:t>
      </w:r>
      <w:r>
        <w:rPr>
          <w:rFonts w:ascii="Open Sans" w:eastAsia="Open Sans" w:hAnsi="Open Sans" w:cs="Open Sans"/>
          <w:sz w:val="21"/>
          <w:szCs w:val="21"/>
        </w:rPr>
        <w:lastRenderedPageBreak/>
        <w:t>comprar vivienda” comenta María Matos y añade que “la salud de la banca es crucial para que la financiación siga llegando al bolsillo de las familias españolas. Es una prueb</w:t>
      </w:r>
      <w:r>
        <w:rPr>
          <w:rFonts w:ascii="Open Sans" w:eastAsia="Open Sans" w:hAnsi="Open Sans" w:cs="Open Sans"/>
          <w:sz w:val="21"/>
          <w:szCs w:val="21"/>
        </w:rPr>
        <w:t xml:space="preserve">a de que los bancos encaran esta nueva crisis con las cuentas saneadas y con unos cimientos sólidos”. </w:t>
      </w:r>
    </w:p>
    <w:p w14:paraId="0000000B" w14:textId="77777777" w:rsidR="00F036C2" w:rsidRDefault="008768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De hecho, </w:t>
      </w:r>
      <w:r>
        <w:rPr>
          <w:rFonts w:ascii="Open Sans" w:eastAsia="Open Sans" w:hAnsi="Open Sans" w:cs="Open Sans"/>
          <w:sz w:val="21"/>
          <w:szCs w:val="21"/>
        </w:rPr>
        <w:t>este mes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</w:t>
      </w:r>
      <w:hyperlink r:id="rId9">
        <w:r>
          <w:rPr>
            <w:rFonts w:ascii="Open Sans" w:eastAsia="Open Sans" w:hAnsi="Open Sans" w:cs="Open Sans"/>
            <w:b/>
            <w:color w:val="0563C1"/>
            <w:sz w:val="21"/>
            <w:szCs w:val="21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publicaba el informe “</w:t>
      </w:r>
      <w:hyperlink r:id="rId10">
        <w:r>
          <w:rPr>
            <w:rFonts w:ascii="Open Sans" w:eastAsia="Open Sans" w:hAnsi="Open Sans" w:cs="Open Sans"/>
            <w:b/>
            <w:color w:val="0563C1"/>
            <w:sz w:val="21"/>
            <w:szCs w:val="21"/>
            <w:u w:val="single"/>
          </w:rPr>
          <w:t>Radiografía de la vivienda: un año de pandemia</w:t>
        </w:r>
      </w:hyperlink>
      <w:r>
        <w:rPr>
          <w:rFonts w:ascii="Open Sans" w:eastAsia="Open Sans" w:hAnsi="Open Sans" w:cs="Open Sans"/>
          <w:color w:val="000000"/>
          <w:sz w:val="21"/>
          <w:szCs w:val="21"/>
        </w:rPr>
        <w:t xml:space="preserve">” </w:t>
      </w:r>
      <w:r>
        <w:rPr>
          <w:rFonts w:ascii="Open Sans" w:eastAsia="Open Sans" w:hAnsi="Open Sans" w:cs="Open Sans"/>
          <w:sz w:val="21"/>
          <w:szCs w:val="21"/>
        </w:rPr>
        <w:t xml:space="preserve">en el que se muestra que 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la participación de los españoles en el mercado </w:t>
      </w:r>
      <w:r>
        <w:rPr>
          <w:rFonts w:ascii="Open Sans" w:eastAsia="Open Sans" w:hAnsi="Open Sans" w:cs="Open Sans"/>
          <w:sz w:val="21"/>
          <w:szCs w:val="21"/>
        </w:rPr>
        <w:t>de la compra no solo se ha recuperado, sino que presenta datos superiores a los regist</w:t>
      </w:r>
      <w:r>
        <w:rPr>
          <w:rFonts w:ascii="Open Sans" w:eastAsia="Open Sans" w:hAnsi="Open Sans" w:cs="Open Sans"/>
          <w:sz w:val="21"/>
          <w:szCs w:val="21"/>
        </w:rPr>
        <w:t xml:space="preserve">rados antes de que el coronavirus impactase en España. (del 39% registrado en febrero del 2020, ha aumentado al 40% en 2021). </w:t>
      </w:r>
      <w:r>
        <w:rPr>
          <w:rFonts w:ascii="Open Sans" w:eastAsia="Open Sans" w:hAnsi="Open Sans" w:cs="Open Sans"/>
          <w:color w:val="000000"/>
          <w:sz w:val="21"/>
          <w:szCs w:val="21"/>
        </w:rPr>
        <w:t>“La demanda de compra está viviendo un auge sin precedentes y muchos españoles se han pasado a la compra de vivienda y se han anim</w:t>
      </w:r>
      <w:r>
        <w:rPr>
          <w:rFonts w:ascii="Open Sans" w:eastAsia="Open Sans" w:hAnsi="Open Sans" w:cs="Open Sans"/>
          <w:color w:val="000000"/>
          <w:sz w:val="21"/>
          <w:szCs w:val="21"/>
        </w:rPr>
        <w:t>ado a buscar una vivienda mayor</w:t>
      </w:r>
      <w:r>
        <w:rPr>
          <w:rFonts w:ascii="Open Sans" w:eastAsia="Open Sans" w:hAnsi="Open Sans" w:cs="Open Sans"/>
          <w:sz w:val="21"/>
          <w:szCs w:val="21"/>
        </w:rPr>
        <w:t xml:space="preserve">” 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remarca </w:t>
      </w:r>
      <w:r>
        <w:rPr>
          <w:rFonts w:ascii="Open Sans" w:eastAsia="Open Sans" w:hAnsi="Open Sans" w:cs="Open Sans"/>
          <w:sz w:val="21"/>
          <w:szCs w:val="21"/>
        </w:rPr>
        <w:t>María Matos</w:t>
      </w:r>
      <w:r>
        <w:rPr>
          <w:rFonts w:ascii="Open Sans" w:eastAsia="Open Sans" w:hAnsi="Open Sans" w:cs="Open Sans"/>
          <w:color w:val="000000"/>
          <w:sz w:val="21"/>
          <w:szCs w:val="21"/>
        </w:rPr>
        <w:t>.</w:t>
      </w:r>
    </w:p>
    <w:p w14:paraId="0000000C" w14:textId="77777777" w:rsidR="00F036C2" w:rsidRDefault="008768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“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Si continuamos con este ritmo en el sector es posible que la crisis económica no afecte de forma tan directa al sector inmobiliario y sigamos viendo cómo evoluciona de forma positiva”, concluye </w:t>
      </w:r>
      <w:r>
        <w:rPr>
          <w:rFonts w:ascii="Open Sans" w:eastAsia="Open Sans" w:hAnsi="Open Sans" w:cs="Open Sans"/>
          <w:sz w:val="21"/>
          <w:szCs w:val="21"/>
        </w:rPr>
        <w:t xml:space="preserve">la directora de Estudios y Portavoz de </w:t>
      </w:r>
      <w:hyperlink r:id="rId11">
        <w:r>
          <w:rPr>
            <w:rFonts w:ascii="Open Sans" w:eastAsia="Open Sans" w:hAnsi="Open Sans" w:cs="Open Sans"/>
            <w:b/>
            <w:color w:val="0563C1"/>
            <w:sz w:val="21"/>
            <w:szCs w:val="21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  <w:sz w:val="21"/>
          <w:szCs w:val="21"/>
        </w:rPr>
        <w:t>.</w:t>
      </w:r>
    </w:p>
    <w:p w14:paraId="0000000D" w14:textId="77777777" w:rsidR="00F036C2" w:rsidRDefault="00F036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7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</w:p>
    <w:p w14:paraId="0000000E" w14:textId="77777777" w:rsidR="00F036C2" w:rsidRDefault="008768CE">
      <w:pPr>
        <w:spacing w:line="276" w:lineRule="auto"/>
        <w:ind w:right="-7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Departamento de Comunicación de Fotocasa</w:t>
      </w:r>
    </w:p>
    <w:p w14:paraId="0000000F" w14:textId="77777777" w:rsidR="00F036C2" w:rsidRDefault="008768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"/>
        <w:jc w:val="right"/>
        <w:rPr>
          <w:rFonts w:ascii="Open Sans" w:eastAsia="Open Sans" w:hAnsi="Open Sans" w:cs="Open Sans"/>
          <w:b/>
          <w:color w:val="000000"/>
          <w:sz w:val="21"/>
          <w:szCs w:val="21"/>
        </w:rPr>
      </w:pPr>
      <w:r>
        <w:rPr>
          <w:rFonts w:ascii="Open Sans" w:eastAsia="Open Sans" w:hAnsi="Open Sans" w:cs="Open Sans"/>
          <w:b/>
          <w:color w:val="000000"/>
          <w:sz w:val="21"/>
          <w:szCs w:val="21"/>
        </w:rPr>
        <w:t>Anaïs López</w:t>
      </w:r>
    </w:p>
    <w:p w14:paraId="00000010" w14:textId="77777777" w:rsidR="00F036C2" w:rsidRDefault="008768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"/>
        <w:jc w:val="right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>Móvil: 620 66 29 26</w:t>
      </w:r>
    </w:p>
    <w:p w14:paraId="00000011" w14:textId="77777777" w:rsidR="00F036C2" w:rsidRDefault="008768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"/>
        <w:jc w:val="right"/>
        <w:rPr>
          <w:rFonts w:ascii="Open Sans" w:eastAsia="Open Sans" w:hAnsi="Open Sans" w:cs="Open Sans"/>
          <w:color w:val="000000"/>
          <w:sz w:val="21"/>
          <w:szCs w:val="21"/>
        </w:rPr>
      </w:pPr>
      <w:hyperlink r:id="rId12">
        <w:r>
          <w:rPr>
            <w:rFonts w:ascii="Open Sans" w:eastAsia="Open Sans" w:hAnsi="Open Sans" w:cs="Open Sans"/>
            <w:color w:val="0563C1"/>
            <w:sz w:val="21"/>
            <w:szCs w:val="21"/>
            <w:u w:val="single"/>
          </w:rPr>
          <w:t>comunicacion@fotocasa.es</w:t>
        </w:r>
      </w:hyperlink>
    </w:p>
    <w:p w14:paraId="00000012" w14:textId="77777777" w:rsidR="00F036C2" w:rsidRDefault="008768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"/>
        <w:jc w:val="right"/>
        <w:rPr>
          <w:rFonts w:ascii="Open Sans" w:eastAsia="Open Sans" w:hAnsi="Open Sans" w:cs="Open Sans"/>
          <w:color w:val="000000"/>
          <w:sz w:val="21"/>
          <w:szCs w:val="21"/>
        </w:rPr>
      </w:pPr>
      <w:hyperlink r:id="rId13">
        <w:r>
          <w:rPr>
            <w:rFonts w:ascii="Open Sans" w:eastAsia="Open Sans" w:hAnsi="Open Sans" w:cs="Open Sans"/>
            <w:color w:val="0563C1"/>
            <w:sz w:val="21"/>
            <w:szCs w:val="21"/>
            <w:u w:val="single"/>
          </w:rPr>
          <w:t>http://prensa.fotocasa.es</w:t>
        </w:r>
      </w:hyperlink>
    </w:p>
    <w:p w14:paraId="00000013" w14:textId="77777777" w:rsidR="00F036C2" w:rsidRDefault="008768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"/>
        <w:jc w:val="right"/>
        <w:rPr>
          <w:rFonts w:ascii="Open Sans" w:eastAsia="Open Sans" w:hAnsi="Open Sans" w:cs="Open Sans"/>
          <w:color w:val="000000"/>
          <w:sz w:val="21"/>
          <w:szCs w:val="21"/>
        </w:rPr>
      </w:pPr>
      <w:proofErr w:type="spellStart"/>
      <w:r>
        <w:rPr>
          <w:rFonts w:ascii="Open Sans" w:eastAsia="Open Sans" w:hAnsi="Open Sans" w:cs="Open Sans"/>
          <w:color w:val="000000"/>
          <w:sz w:val="21"/>
          <w:szCs w:val="21"/>
        </w:rPr>
        <w:t>twitter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</w:rPr>
        <w:t>: @fotocasa</w:t>
      </w:r>
    </w:p>
    <w:sectPr w:rsidR="00F036C2">
      <w:footerReference w:type="default" r:id="rId14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9BA12" w14:textId="77777777" w:rsidR="008768CE" w:rsidRDefault="008768CE">
      <w:r>
        <w:separator/>
      </w:r>
    </w:p>
  </w:endnote>
  <w:endnote w:type="continuationSeparator" w:id="0">
    <w:p w14:paraId="24688752" w14:textId="77777777" w:rsidR="008768CE" w:rsidRDefault="0087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F036C2" w:rsidRDefault="008768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-1106166</wp:posOffset>
          </wp:positionH>
          <wp:positionV relativeFrom="paragraph">
            <wp:posOffset>148705</wp:posOffset>
          </wp:positionV>
          <wp:extent cx="7670550" cy="451315"/>
          <wp:effectExtent l="0" t="0" r="0" b="0"/>
          <wp:wrapSquare wrapText="bothSides" distT="0" distB="0" distL="0" distR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C189" w14:textId="77777777" w:rsidR="008768CE" w:rsidRDefault="008768CE">
      <w:r>
        <w:separator/>
      </w:r>
    </w:p>
  </w:footnote>
  <w:footnote w:type="continuationSeparator" w:id="0">
    <w:p w14:paraId="6CBE0C1D" w14:textId="77777777" w:rsidR="008768CE" w:rsidRDefault="00876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C2"/>
    <w:rsid w:val="004136DE"/>
    <w:rsid w:val="008768CE"/>
    <w:rsid w:val="00F0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558C"/>
  <w15:docId w15:val="{E717F4BF-81B2-4CCE-A535-081D5DAB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627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270B"/>
  </w:style>
  <w:style w:type="paragraph" w:styleId="Piedepgina">
    <w:name w:val="footer"/>
    <w:basedOn w:val="Normal"/>
    <w:link w:val="PiedepginaCar"/>
    <w:uiPriority w:val="99"/>
    <w:unhideWhenUsed/>
    <w:rsid w:val="007627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70B"/>
  </w:style>
  <w:style w:type="character" w:styleId="Hipervnculo">
    <w:name w:val="Hyperlink"/>
    <w:basedOn w:val="Fuentedeprrafopredeter"/>
    <w:uiPriority w:val="99"/>
    <w:unhideWhenUsed/>
    <w:rsid w:val="008C4B0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3E9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tocasa.es" TargetMode="External"/><Relationship Id="rId13" Type="http://schemas.openxmlformats.org/officeDocument/2006/relationships/hyperlink" Target="http://prensa.fotocasa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omunicacion@fotocasa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otocasa.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36360.pcdn.co/wp-content/uploads/2021/05/RadiografiaMercadoVivienda2020-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tocasa.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7jC0ebZJpCzFkXCLL7YI2it4Sg==">AMUW2mXmc/wK6VaRF4SZa3Y5zPl7pa7/EOCcbgs3Dz9B9wkRnMUGE+3dJalseHPFQWKw/SApe96UlAap0pkkMrHn1Gh/wLP/KhAgiA9ijAij+Vc/PZ0hLlE=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2982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2</cp:revision>
  <dcterms:created xsi:type="dcterms:W3CDTF">2018-08-31T08:21:00Z</dcterms:created>
  <dcterms:modified xsi:type="dcterms:W3CDTF">2021-06-28T07:35:00Z</dcterms:modified>
</cp:coreProperties>
</file>