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2305" w:rsidRDefault="00B852C7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FA2305" w:rsidRDefault="00FA2305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3" w14:textId="77777777" w:rsidR="00FA2305" w:rsidRDefault="00FA2305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4" w14:textId="77777777" w:rsidR="00FA2305" w:rsidRDefault="00FA2305">
      <w:pPr>
        <w:rPr>
          <w:rFonts w:ascii="National" w:eastAsia="National" w:hAnsi="National" w:cs="National"/>
          <w:color w:val="303AB2"/>
          <w:sz w:val="18"/>
          <w:szCs w:val="18"/>
        </w:rPr>
      </w:pPr>
    </w:p>
    <w:p w14:paraId="00000005" w14:textId="77777777" w:rsidR="00FA2305" w:rsidRDefault="00B852C7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>MAYO: PRECIO VIVIENDA EN VENTA</w:t>
      </w:r>
    </w:p>
    <w:p w14:paraId="00000006" w14:textId="77777777" w:rsidR="00FA2305" w:rsidRDefault="00B852C7">
      <w:pPr>
        <w:jc w:val="center"/>
        <w:rPr>
          <w:rFonts w:ascii="National" w:eastAsia="National" w:hAnsi="National" w:cs="National"/>
          <w:b/>
          <w:color w:val="303AB2"/>
          <w:sz w:val="48"/>
          <w:szCs w:val="48"/>
        </w:rPr>
      </w:pPr>
      <w:r>
        <w:rPr>
          <w:rFonts w:ascii="National" w:eastAsia="National" w:hAnsi="National" w:cs="National"/>
          <w:b/>
          <w:color w:val="303AB2"/>
          <w:sz w:val="48"/>
          <w:szCs w:val="48"/>
        </w:rPr>
        <w:t>El precio de la vivienda de segunda mano sube un 0,8% interanual en mayo en España</w:t>
      </w:r>
    </w:p>
    <w:p w14:paraId="00000007" w14:textId="77777777" w:rsidR="00FA2305" w:rsidRDefault="00FA2305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00000008" w14:textId="77777777" w:rsidR="00FA2305" w:rsidRDefault="00FA2305">
      <w:pPr>
        <w:rPr>
          <w:rFonts w:ascii="National" w:eastAsia="National" w:hAnsi="National" w:cs="National"/>
          <w:b/>
          <w:color w:val="303AB2"/>
          <w:sz w:val="14"/>
          <w:szCs w:val="14"/>
        </w:rPr>
      </w:pPr>
    </w:p>
    <w:p w14:paraId="00000009" w14:textId="77777777" w:rsidR="00FA2305" w:rsidRDefault="00B85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precio medio de la vivienda de segunda mano se sitúa en 1.893 euros/m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  <w:r>
        <w:rPr>
          <w:rFonts w:ascii="Open Sans" w:eastAsia="Open Sans" w:hAnsi="Open Sans" w:cs="Open Sans"/>
          <w:color w:val="303AB2"/>
        </w:rPr>
        <w:t xml:space="preserve"> </w:t>
      </w:r>
    </w:p>
    <w:p w14:paraId="0000000A" w14:textId="77777777" w:rsidR="00FA2305" w:rsidRDefault="00B85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La vivienda en venta sube de precio en nueve comunidades, en 25 provincias y en cinco de cada diez ciudades españolas analizadas</w:t>
      </w:r>
    </w:p>
    <w:p w14:paraId="0000000B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Open Sans Light" w:eastAsia="Open Sans Light" w:hAnsi="Open Sans Light" w:cs="Open Sans Light"/>
          <w:color w:val="303AB2"/>
        </w:rPr>
      </w:pPr>
      <w:bookmarkStart w:id="0" w:name="_heading=h.gjdgxs" w:colFirst="0" w:colLast="0"/>
      <w:bookmarkEnd w:id="0"/>
      <w:r>
        <w:rPr>
          <w:rFonts w:ascii="Open Sans Light" w:eastAsia="Open Sans Light" w:hAnsi="Open Sans Light" w:cs="Open Sans Light"/>
          <w:b/>
          <w:color w:val="303AB2"/>
        </w:rPr>
        <w:br/>
      </w:r>
      <w:r>
        <w:rPr>
          <w:rFonts w:ascii="Open Sans Light" w:eastAsia="Open Sans Light" w:hAnsi="Open Sans Light" w:cs="Open Sans Light"/>
          <w:color w:val="303AB2"/>
        </w:rPr>
        <w:t>Madrid, 3 de junio de 2021</w:t>
      </w:r>
    </w:p>
    <w:p w14:paraId="0000000C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España sube un 0,2% la variación mensual del precio de la vivienda de segunda mano y un 0,8% en su variación interanual, situando su precio en 1.893 euros/m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 xml:space="preserve">en mayo, según los datos del Índice Inmobiliario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 xml:space="preserve">. Este último valor es la séptima (0,8%) subida interanual del precio de la vivienda después de 11 meses de caídas interanuales en cadena (de diciembre de 2019 a octubre de 2020). </w:t>
      </w:r>
    </w:p>
    <w:p w14:paraId="0000000D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“Precisamente la mayoría d</w:t>
      </w:r>
      <w:r>
        <w:rPr>
          <w:rFonts w:ascii="Open Sans" w:eastAsia="Open Sans" w:hAnsi="Open Sans" w:cs="Open Sans"/>
        </w:rPr>
        <w:t xml:space="preserve">e las comunidades históricamente más caras son las que están presentando subidas más significativas y provocando que la media nacional continúe con precios al alza. Esto puede significar que son regiones en las que sigue habiendo mucho interés por cambiar </w:t>
      </w:r>
      <w:r>
        <w:rPr>
          <w:rFonts w:ascii="Open Sans" w:eastAsia="Open Sans" w:hAnsi="Open Sans" w:cs="Open Sans"/>
        </w:rPr>
        <w:t xml:space="preserve">de casa, ya sea desde el centro de la ciudad hacia la periferia o viceversa” explica María Matos, directora de Estudios y Portavoz de </w:t>
      </w:r>
      <w:hyperlink r:id="rId10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 xml:space="preserve">. </w:t>
      </w:r>
    </w:p>
    <w:p w14:paraId="0000000E" w14:textId="403F48A9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“A pesar de que el precio de la vivienda continúa subiendo, lo ciert</w:t>
      </w:r>
      <w:r>
        <w:rPr>
          <w:rFonts w:ascii="Open Sans" w:eastAsia="Open Sans" w:hAnsi="Open Sans" w:cs="Open Sans"/>
        </w:rPr>
        <w:t>o es que lo hace a un ritmo más moderado. Esta templanza podría ser señal de que el gran auge por comprar vivienda detectado tras el confinamiento va serenándose a medida que el sector inmobiliario va dando respuesta a la demanda surgida y las transaccione</w:t>
      </w:r>
      <w:r>
        <w:rPr>
          <w:rFonts w:ascii="Open Sans" w:eastAsia="Open Sans" w:hAnsi="Open Sans" w:cs="Open Sans"/>
        </w:rPr>
        <w:t>s se van completando” comenta la directora de Estudios.</w:t>
      </w:r>
    </w:p>
    <w:p w14:paraId="56D34C77" w14:textId="77777777" w:rsidR="0087387E" w:rsidRDefault="00873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both"/>
        <w:rPr>
          <w:rFonts w:ascii="Open Sans" w:eastAsia="Open Sans" w:hAnsi="Open Sans" w:cs="Open Sans"/>
        </w:rPr>
      </w:pPr>
    </w:p>
    <w:p w14:paraId="0000000F" w14:textId="77777777" w:rsidR="00FA2305" w:rsidRDefault="00B852C7" w:rsidP="007A7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19"/>
        </w:tabs>
        <w:spacing w:before="280" w:after="280" w:line="276" w:lineRule="auto"/>
        <w:jc w:val="center"/>
        <w:rPr>
          <w:rFonts w:ascii="Open Sans" w:eastAsia="Open Sans" w:hAnsi="Open Sans" w:cs="Open Sans"/>
          <w:b/>
          <w:color w:val="303AB2"/>
          <w:sz w:val="26"/>
          <w:szCs w:val="26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lastRenderedPageBreak/>
        <w:t>Variación mensual e interanual de España</w:t>
      </w:r>
    </w:p>
    <w:p w14:paraId="00000010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617276" cy="3182833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000011" w14:textId="46C287C0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España nueve comunidades autónomas presentan datos mensuales positivos en mayo de 2021. Los incrementos corresponden a: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(1,8%), </w:t>
      </w:r>
      <w:r>
        <w:rPr>
          <w:rFonts w:ascii="Open Sans" w:eastAsia="Open Sans" w:hAnsi="Open Sans" w:cs="Open Sans"/>
          <w:color w:val="000000"/>
        </w:rPr>
        <w:t>Andalucía (0,8%), Castilla-La Mancha (0,7%), La Rioja (0,6%), Aragón (0,5%), Castilla y León (0,4%), Ca</w:t>
      </w:r>
      <w:r>
        <w:rPr>
          <w:rFonts w:ascii="Open Sans" w:eastAsia="Open Sans" w:hAnsi="Open Sans" w:cs="Open Sans"/>
          <w:color w:val="000000"/>
        </w:rPr>
        <w:t xml:space="preserve">ntabria (0,3%), Extremadura (0,1%) y Canarias (0,02%). Por otro lado, las comunidades con descensos son: Navarra (-1,4%), Región de Murcia (-0,5%), Galicia (-0,3%), Asturias (-0,3%), Baleares (-0,2%), Madrid (-0,1%), País Vasco (-0,1%), Cataluña (-0,1%) y </w:t>
      </w:r>
      <w:r>
        <w:rPr>
          <w:rFonts w:ascii="Open Sans" w:eastAsia="Open Sans" w:hAnsi="Open Sans" w:cs="Open Sans"/>
          <w:color w:val="000000"/>
        </w:rPr>
        <w:t>Canarias (0,02%).</w:t>
      </w:r>
    </w:p>
    <w:p w14:paraId="00000012" w14:textId="2FDEB4B5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ranking de Comunidades Autónomas (CC.AA.) con el precio de la vivienda de segunda mano más caras en España, se encuentran Madrid y País Vasco, con los precios de 3.099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los 2.859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respectivamente. Le siguen</w:t>
      </w:r>
      <w:r>
        <w:rPr>
          <w:rFonts w:ascii="Open Sans" w:eastAsia="Open Sans" w:hAnsi="Open Sans" w:cs="Open Sans"/>
          <w:color w:val="000000"/>
        </w:rPr>
        <w:t>, Baleares con 2.851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Cataluña con 2.527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Canarias con 1.772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Cantabria con 1.730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Andalucía con 1.670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Navarra con 1.651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Galicia con 1.605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Asturias con 1.579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Aragón con 1.579 euros</w:t>
      </w:r>
      <w:r>
        <w:rPr>
          <w:rFonts w:ascii="Open Sans" w:eastAsia="Open Sans" w:hAnsi="Open Sans" w:cs="Open Sans"/>
          <w:color w:val="000000"/>
        </w:rPr>
        <w:t>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con 1.453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Castilla y León con 1.435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La Rioja con 1.434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Extremadura con 1.165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Región de Murcia con 1.128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Castilla- La Mancha con 1.119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.   </w:t>
      </w:r>
    </w:p>
    <w:p w14:paraId="0DC74312" w14:textId="77777777" w:rsidR="0087387E" w:rsidRDefault="00873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00000013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CCAA de mayor a menor incremento mensual</w:t>
      </w:r>
    </w:p>
    <w:tbl>
      <w:tblPr>
        <w:tblStyle w:val="a"/>
        <w:tblW w:w="90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FA2305" w14:paraId="3E711D3C" w14:textId="77777777" w:rsidTr="00FA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0000001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00000015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016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00000017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00000018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Mayo 2021</w:t>
            </w:r>
          </w:p>
          <w:p w14:paraId="00000019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(euros/m²)</w:t>
            </w:r>
          </w:p>
        </w:tc>
      </w:tr>
      <w:tr w:rsidR="00FA2305" w14:paraId="147B5553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1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 </w:t>
            </w:r>
          </w:p>
        </w:tc>
        <w:tc>
          <w:tcPr>
            <w:tcW w:w="2348" w:type="dxa"/>
            <w:vAlign w:val="bottom"/>
          </w:tcPr>
          <w:p w14:paraId="0000001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2013" w:type="dxa"/>
            <w:vAlign w:val="bottom"/>
          </w:tcPr>
          <w:p w14:paraId="0000001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998" w:type="dxa"/>
            <w:vAlign w:val="bottom"/>
          </w:tcPr>
          <w:p w14:paraId="0000001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1.453 €</w:t>
            </w:r>
          </w:p>
        </w:tc>
      </w:tr>
      <w:tr w:rsidR="00FA2305" w14:paraId="5A85126A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1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0000001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013" w:type="dxa"/>
            <w:vAlign w:val="bottom"/>
          </w:tcPr>
          <w:p w14:paraId="0000002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998" w:type="dxa"/>
            <w:vAlign w:val="bottom"/>
          </w:tcPr>
          <w:p w14:paraId="0000002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1.670 €</w:t>
            </w:r>
          </w:p>
        </w:tc>
      </w:tr>
      <w:tr w:rsidR="00FA2305" w14:paraId="3E204E5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2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0000002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013" w:type="dxa"/>
            <w:vAlign w:val="bottom"/>
          </w:tcPr>
          <w:p w14:paraId="0000002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998" w:type="dxa"/>
            <w:vAlign w:val="bottom"/>
          </w:tcPr>
          <w:p w14:paraId="0000002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1.119 €</w:t>
            </w:r>
          </w:p>
        </w:tc>
      </w:tr>
      <w:tr w:rsidR="00FA2305" w14:paraId="786B282A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2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0000002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013" w:type="dxa"/>
            <w:vAlign w:val="bottom"/>
          </w:tcPr>
          <w:p w14:paraId="0000002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1998" w:type="dxa"/>
            <w:vAlign w:val="bottom"/>
          </w:tcPr>
          <w:p w14:paraId="0000002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1.434 €</w:t>
            </w:r>
          </w:p>
        </w:tc>
      </w:tr>
      <w:tr w:rsidR="00FA2305" w14:paraId="41F0C00E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2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0000002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013" w:type="dxa"/>
            <w:vAlign w:val="bottom"/>
          </w:tcPr>
          <w:p w14:paraId="0000002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998" w:type="dxa"/>
            <w:vAlign w:val="bottom"/>
          </w:tcPr>
          <w:p w14:paraId="0000002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1.579 €</w:t>
            </w:r>
          </w:p>
        </w:tc>
      </w:tr>
      <w:tr w:rsidR="00FA2305" w14:paraId="4C04A909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2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0000002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013" w:type="dxa"/>
            <w:vAlign w:val="bottom"/>
          </w:tcPr>
          <w:p w14:paraId="0000003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98" w:type="dxa"/>
            <w:vAlign w:val="bottom"/>
          </w:tcPr>
          <w:p w14:paraId="0000003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1.435 €</w:t>
            </w:r>
          </w:p>
        </w:tc>
      </w:tr>
      <w:tr w:rsidR="00FA2305" w14:paraId="69D590D7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3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0000003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013" w:type="dxa"/>
            <w:vAlign w:val="bottom"/>
          </w:tcPr>
          <w:p w14:paraId="0000003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998" w:type="dxa"/>
            <w:vAlign w:val="bottom"/>
          </w:tcPr>
          <w:p w14:paraId="0000003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1.730 €</w:t>
            </w:r>
          </w:p>
        </w:tc>
      </w:tr>
      <w:tr w:rsidR="00FA2305" w14:paraId="41226863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3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0000003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013" w:type="dxa"/>
            <w:vAlign w:val="bottom"/>
          </w:tcPr>
          <w:p w14:paraId="0000003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4,0 %</w:t>
            </w:r>
          </w:p>
        </w:tc>
        <w:tc>
          <w:tcPr>
            <w:tcW w:w="1998" w:type="dxa"/>
            <w:vAlign w:val="bottom"/>
          </w:tcPr>
          <w:p w14:paraId="0000003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1.165 €</w:t>
            </w:r>
          </w:p>
        </w:tc>
      </w:tr>
      <w:tr w:rsidR="00FA2305" w14:paraId="600B8776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3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0000003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0,02 %</w:t>
            </w:r>
          </w:p>
        </w:tc>
        <w:tc>
          <w:tcPr>
            <w:tcW w:w="2013" w:type="dxa"/>
            <w:vAlign w:val="bottom"/>
          </w:tcPr>
          <w:p w14:paraId="0000003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98" w:type="dxa"/>
            <w:vAlign w:val="bottom"/>
          </w:tcPr>
          <w:p w14:paraId="0000003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1.772 €</w:t>
            </w:r>
          </w:p>
        </w:tc>
      </w:tr>
      <w:tr w:rsidR="00FA2305" w14:paraId="3558B07B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3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0000003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013" w:type="dxa"/>
            <w:vAlign w:val="bottom"/>
          </w:tcPr>
          <w:p w14:paraId="0000004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998" w:type="dxa"/>
            <w:vAlign w:val="bottom"/>
          </w:tcPr>
          <w:p w14:paraId="0000004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2.527 €</w:t>
            </w:r>
          </w:p>
        </w:tc>
      </w:tr>
      <w:tr w:rsidR="00FA2305" w14:paraId="267726C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4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0000004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013" w:type="dxa"/>
            <w:vAlign w:val="bottom"/>
          </w:tcPr>
          <w:p w14:paraId="0000004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1998" w:type="dxa"/>
            <w:vAlign w:val="bottom"/>
          </w:tcPr>
          <w:p w14:paraId="0000004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2.859 €</w:t>
            </w:r>
          </w:p>
        </w:tc>
      </w:tr>
      <w:tr w:rsidR="00FA2305" w14:paraId="4416FD00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4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0000004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013" w:type="dxa"/>
            <w:vAlign w:val="bottom"/>
          </w:tcPr>
          <w:p w14:paraId="0000004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998" w:type="dxa"/>
            <w:vAlign w:val="bottom"/>
          </w:tcPr>
          <w:p w14:paraId="0000004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3.099 €</w:t>
            </w:r>
          </w:p>
        </w:tc>
      </w:tr>
      <w:tr w:rsidR="00FA2305" w14:paraId="40F4D3FF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4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0000004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013" w:type="dxa"/>
            <w:vAlign w:val="bottom"/>
          </w:tcPr>
          <w:p w14:paraId="0000004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1998" w:type="dxa"/>
            <w:vAlign w:val="bottom"/>
          </w:tcPr>
          <w:p w14:paraId="0000004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2.851 €</w:t>
            </w:r>
          </w:p>
        </w:tc>
      </w:tr>
      <w:tr w:rsidR="00FA2305" w14:paraId="0B75C62A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4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0000004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013" w:type="dxa"/>
            <w:vAlign w:val="bottom"/>
          </w:tcPr>
          <w:p w14:paraId="0000005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998" w:type="dxa"/>
            <w:vAlign w:val="bottom"/>
          </w:tcPr>
          <w:p w14:paraId="0000005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1.579 €</w:t>
            </w:r>
          </w:p>
        </w:tc>
      </w:tr>
      <w:tr w:rsidR="00FA2305" w14:paraId="403FFBA5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5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0000005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013" w:type="dxa"/>
            <w:vAlign w:val="bottom"/>
          </w:tcPr>
          <w:p w14:paraId="0000005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1998" w:type="dxa"/>
            <w:vAlign w:val="bottom"/>
          </w:tcPr>
          <w:p w14:paraId="0000005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1.605 €</w:t>
            </w:r>
          </w:p>
        </w:tc>
      </w:tr>
      <w:tr w:rsidR="00FA2305" w14:paraId="71A5C03B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5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0000005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013" w:type="dxa"/>
            <w:vAlign w:val="bottom"/>
          </w:tcPr>
          <w:p w14:paraId="0000005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-3,6 %</w:t>
            </w:r>
          </w:p>
        </w:tc>
        <w:tc>
          <w:tcPr>
            <w:tcW w:w="1998" w:type="dxa"/>
            <w:vAlign w:val="bottom"/>
          </w:tcPr>
          <w:p w14:paraId="0000005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1.128 €</w:t>
            </w:r>
          </w:p>
        </w:tc>
      </w:tr>
      <w:tr w:rsidR="00FA2305" w14:paraId="7ECC88B9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5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0000005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013" w:type="dxa"/>
            <w:vAlign w:val="bottom"/>
          </w:tcPr>
          <w:p w14:paraId="0000005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-5,1 %</w:t>
            </w:r>
          </w:p>
        </w:tc>
        <w:tc>
          <w:tcPr>
            <w:tcW w:w="1998" w:type="dxa"/>
            <w:vAlign w:val="bottom"/>
          </w:tcPr>
          <w:p w14:paraId="0000005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1.651 €</w:t>
            </w:r>
          </w:p>
        </w:tc>
      </w:tr>
      <w:tr w:rsidR="00FA2305" w14:paraId="07A613A0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000005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0000005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013" w:type="dxa"/>
            <w:vAlign w:val="bottom"/>
          </w:tcPr>
          <w:p w14:paraId="0000006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998" w:type="dxa"/>
            <w:vAlign w:val="bottom"/>
          </w:tcPr>
          <w:p w14:paraId="0000006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1.893 €</w:t>
            </w:r>
          </w:p>
        </w:tc>
      </w:tr>
    </w:tbl>
    <w:p w14:paraId="00000062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Provincias </w:t>
      </w:r>
    </w:p>
    <w:p w14:paraId="00000063" w14:textId="77777777" w:rsidR="00FA2305" w:rsidRDefault="00B852C7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el 50% de las 50 provincias analizadas sube el precio en el mes de mayo. Las provincias con los diez primeros incrementos del ranking son: Valencia (5,0%), Soria</w:t>
      </w:r>
      <w:r>
        <w:rPr>
          <w:rFonts w:ascii="Open Sans" w:eastAsia="Open Sans" w:hAnsi="Open Sans" w:cs="Open Sans"/>
          <w:color w:val="000000"/>
        </w:rPr>
        <w:tab/>
        <w:t xml:space="preserve">(4,9%), Málaga (1,6%), Girona (1,3%), Araba - Álava (1,3%), Cáceres (1,3%), Toledo (1,2%), </w:t>
      </w:r>
      <w:r>
        <w:rPr>
          <w:rFonts w:ascii="Open Sans" w:eastAsia="Open Sans" w:hAnsi="Open Sans" w:cs="Open Sans"/>
          <w:color w:val="000000"/>
        </w:rPr>
        <w:t>Valladolid (1,2%), Ciudad Real (1,2%) y Ourense (1,0%). Por otro lado, los diez primeros descensos mensuales son: Guadalajara (-1,8%), Palencia (-1,5%), Ávila (-1,5%), Navarra (-1,4%), Teruel (-1,2%), Jaén (-1,1%), Huelva (-0,9%), Lugo (-0,8%), Alicante (-</w:t>
      </w:r>
      <w:r>
        <w:rPr>
          <w:rFonts w:ascii="Open Sans" w:eastAsia="Open Sans" w:hAnsi="Open Sans" w:cs="Open Sans"/>
          <w:color w:val="000000"/>
        </w:rPr>
        <w:t>0,7%) y Cuenca (-0,6%).</w:t>
      </w:r>
    </w:p>
    <w:p w14:paraId="00000064" w14:textId="77777777" w:rsidR="00FA2305" w:rsidRDefault="00FA2305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</w:p>
    <w:p w14:paraId="00000065" w14:textId="2B560F2B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 los precios, Gipuzkoa es la provincia más cara con 3.141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Madrid (3.099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Barcelona (2.977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entre otras. Por otro lado, las provincias con el precio por metro cuadrado por debajo de los 1.000 euros son Ciudad Real con 964 euros/m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y Toledo con 990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1F90B5D8" w14:textId="77777777" w:rsidR="0087387E" w:rsidRDefault="00873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 Light" w:eastAsia="Open Sans Light" w:hAnsi="Open Sans Light" w:cs="Open Sans Light"/>
          <w:b/>
          <w:color w:val="303AB2"/>
        </w:rPr>
      </w:pPr>
    </w:p>
    <w:tbl>
      <w:tblPr>
        <w:tblStyle w:val="a0"/>
        <w:tblW w:w="90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1856"/>
      </w:tblGrid>
      <w:tr w:rsidR="00FA2305" w14:paraId="094BA2B1" w14:textId="77777777" w:rsidTr="00FA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000006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lastRenderedPageBreak/>
              <w:t>Provincia</w:t>
            </w:r>
          </w:p>
        </w:tc>
        <w:tc>
          <w:tcPr>
            <w:tcW w:w="2410" w:type="dxa"/>
            <w:vAlign w:val="center"/>
          </w:tcPr>
          <w:p w14:paraId="00000067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068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00000069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0000006A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Mayo 2021</w:t>
            </w:r>
          </w:p>
          <w:p w14:paraId="0000006B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(euros/m²)</w:t>
            </w:r>
          </w:p>
        </w:tc>
      </w:tr>
      <w:tr w:rsidR="00FA2305" w14:paraId="35AD114E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6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0000006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268" w:type="dxa"/>
            <w:vAlign w:val="bottom"/>
          </w:tcPr>
          <w:p w14:paraId="0000006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856" w:type="dxa"/>
            <w:vAlign w:val="bottom"/>
          </w:tcPr>
          <w:p w14:paraId="0000006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1.517 €</w:t>
            </w:r>
          </w:p>
        </w:tc>
      </w:tr>
      <w:tr w:rsidR="00FA2305" w14:paraId="4B7DAF3B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7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  <w:vAlign w:val="bottom"/>
          </w:tcPr>
          <w:p w14:paraId="0000007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268" w:type="dxa"/>
            <w:vAlign w:val="bottom"/>
          </w:tcPr>
          <w:p w14:paraId="0000007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856" w:type="dxa"/>
            <w:vAlign w:val="bottom"/>
          </w:tcPr>
          <w:p w14:paraId="0000007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1.274 €</w:t>
            </w:r>
          </w:p>
        </w:tc>
      </w:tr>
      <w:tr w:rsidR="00FA2305" w14:paraId="2FB858BB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7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0000007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268" w:type="dxa"/>
            <w:vAlign w:val="bottom"/>
          </w:tcPr>
          <w:p w14:paraId="0000007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856" w:type="dxa"/>
            <w:vAlign w:val="bottom"/>
          </w:tcPr>
          <w:p w14:paraId="0000007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2.332 €</w:t>
            </w:r>
          </w:p>
        </w:tc>
      </w:tr>
      <w:tr w:rsidR="00FA2305" w14:paraId="4E30BFCC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7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0000007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0000007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856" w:type="dxa"/>
            <w:vAlign w:val="bottom"/>
          </w:tcPr>
          <w:p w14:paraId="0000007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2.051 €</w:t>
            </w:r>
          </w:p>
        </w:tc>
      </w:tr>
      <w:tr w:rsidR="00FA2305" w14:paraId="3F3AC1FC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7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  <w:vAlign w:val="bottom"/>
          </w:tcPr>
          <w:p w14:paraId="0000007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0000007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856" w:type="dxa"/>
            <w:vAlign w:val="bottom"/>
          </w:tcPr>
          <w:p w14:paraId="0000007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2.475 €</w:t>
            </w:r>
          </w:p>
        </w:tc>
      </w:tr>
      <w:tr w:rsidR="00FA2305" w14:paraId="4C30C852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8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0000008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268" w:type="dxa"/>
            <w:vAlign w:val="bottom"/>
          </w:tcPr>
          <w:p w14:paraId="0000008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856" w:type="dxa"/>
            <w:vAlign w:val="bottom"/>
          </w:tcPr>
          <w:p w14:paraId="0000008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1.165 €</w:t>
            </w:r>
          </w:p>
        </w:tc>
      </w:tr>
      <w:tr w:rsidR="00FA2305" w14:paraId="0681E196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8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0000008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268" w:type="dxa"/>
            <w:vAlign w:val="bottom"/>
          </w:tcPr>
          <w:p w14:paraId="0000008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856" w:type="dxa"/>
            <w:vAlign w:val="bottom"/>
          </w:tcPr>
          <w:p w14:paraId="0000008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990 €</w:t>
            </w:r>
          </w:p>
        </w:tc>
      </w:tr>
      <w:tr w:rsidR="00FA2305" w14:paraId="3FB7EB45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8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0000008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268" w:type="dxa"/>
            <w:vAlign w:val="bottom"/>
          </w:tcPr>
          <w:p w14:paraId="0000008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856" w:type="dxa"/>
            <w:vAlign w:val="bottom"/>
          </w:tcPr>
          <w:p w14:paraId="0000008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1.563 €</w:t>
            </w:r>
          </w:p>
        </w:tc>
      </w:tr>
      <w:tr w:rsidR="00FA2305" w14:paraId="0DC97D40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8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0000008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268" w:type="dxa"/>
            <w:vAlign w:val="bottom"/>
          </w:tcPr>
          <w:p w14:paraId="0000008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1856" w:type="dxa"/>
            <w:vAlign w:val="bottom"/>
          </w:tcPr>
          <w:p w14:paraId="0000008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964 €</w:t>
            </w:r>
          </w:p>
        </w:tc>
      </w:tr>
      <w:tr w:rsidR="00FA2305" w14:paraId="05D6C929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9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0000009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268" w:type="dxa"/>
            <w:vAlign w:val="bottom"/>
          </w:tcPr>
          <w:p w14:paraId="0000009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856" w:type="dxa"/>
            <w:vAlign w:val="bottom"/>
          </w:tcPr>
          <w:p w14:paraId="0000009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1.454 €</w:t>
            </w:r>
          </w:p>
        </w:tc>
      </w:tr>
      <w:tr w:rsidR="00FA2305" w14:paraId="1BEFD342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9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0000009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268" w:type="dxa"/>
            <w:vAlign w:val="bottom"/>
          </w:tcPr>
          <w:p w14:paraId="0000009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-3,4%</w:t>
            </w:r>
          </w:p>
        </w:tc>
        <w:tc>
          <w:tcPr>
            <w:tcW w:w="1856" w:type="dxa"/>
            <w:vAlign w:val="bottom"/>
          </w:tcPr>
          <w:p w14:paraId="0000009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1.439 €</w:t>
            </w:r>
          </w:p>
        </w:tc>
      </w:tr>
      <w:tr w:rsidR="00FA2305" w14:paraId="5A8848A4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9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0000009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0000009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56" w:type="dxa"/>
            <w:vAlign w:val="bottom"/>
          </w:tcPr>
          <w:p w14:paraId="0000009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1.656 €</w:t>
            </w:r>
          </w:p>
        </w:tc>
      </w:tr>
      <w:tr w:rsidR="00FA2305" w14:paraId="3957A83A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9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0000009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0000009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856" w:type="dxa"/>
            <w:vAlign w:val="bottom"/>
          </w:tcPr>
          <w:p w14:paraId="0000009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1.434 €</w:t>
            </w:r>
          </w:p>
        </w:tc>
      </w:tr>
      <w:tr w:rsidR="00FA2305" w14:paraId="72DD7B14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A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000000A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000000A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856" w:type="dxa"/>
            <w:vAlign w:val="bottom"/>
          </w:tcPr>
          <w:p w14:paraId="000000A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1.323 €</w:t>
            </w:r>
          </w:p>
        </w:tc>
      </w:tr>
      <w:tr w:rsidR="00FA2305" w14:paraId="35C7AF7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A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000000A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000000A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856" w:type="dxa"/>
            <w:vAlign w:val="bottom"/>
          </w:tcPr>
          <w:p w14:paraId="000000A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1.158 €</w:t>
            </w:r>
          </w:p>
        </w:tc>
      </w:tr>
      <w:tr w:rsidR="00FA2305" w14:paraId="48A26196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A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000000A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000000A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856" w:type="dxa"/>
            <w:vAlign w:val="bottom"/>
          </w:tcPr>
          <w:p w14:paraId="000000A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1.547 €</w:t>
            </w:r>
          </w:p>
        </w:tc>
      </w:tr>
      <w:tr w:rsidR="00FA2305" w14:paraId="188681A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A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000000A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268" w:type="dxa"/>
            <w:vAlign w:val="bottom"/>
          </w:tcPr>
          <w:p w14:paraId="000000A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56" w:type="dxa"/>
            <w:vAlign w:val="bottom"/>
          </w:tcPr>
          <w:p w14:paraId="000000A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1.609 €</w:t>
            </w:r>
          </w:p>
        </w:tc>
      </w:tr>
      <w:tr w:rsidR="00FA2305" w14:paraId="7B297694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B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000000B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000000B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856" w:type="dxa"/>
            <w:vAlign w:val="bottom"/>
          </w:tcPr>
          <w:p w14:paraId="000000B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1.615 €</w:t>
            </w:r>
          </w:p>
        </w:tc>
      </w:tr>
      <w:tr w:rsidR="00FA2305" w14:paraId="00B6F678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B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000000B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000000B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56" w:type="dxa"/>
            <w:vAlign w:val="bottom"/>
          </w:tcPr>
          <w:p w14:paraId="000000B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1.688 €</w:t>
            </w:r>
          </w:p>
        </w:tc>
      </w:tr>
      <w:tr w:rsidR="00FA2305" w14:paraId="0619FFE3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B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000000B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000000B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856" w:type="dxa"/>
            <w:vAlign w:val="bottom"/>
          </w:tcPr>
          <w:p w14:paraId="000000B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1.315 €</w:t>
            </w:r>
          </w:p>
        </w:tc>
      </w:tr>
      <w:tr w:rsidR="00FA2305" w14:paraId="2E7A53FA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B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000000B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000000B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856" w:type="dxa"/>
            <w:vAlign w:val="bottom"/>
          </w:tcPr>
          <w:p w14:paraId="000000B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1.099 €</w:t>
            </w:r>
          </w:p>
        </w:tc>
      </w:tr>
      <w:tr w:rsidR="00FA2305" w14:paraId="25F458C0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C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000000C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000000C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856" w:type="dxa"/>
            <w:vAlign w:val="bottom"/>
          </w:tcPr>
          <w:p w14:paraId="000000C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1.730 €</w:t>
            </w:r>
          </w:p>
        </w:tc>
      </w:tr>
      <w:tr w:rsidR="00FA2305" w14:paraId="29FD7769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C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000000C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000000C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56" w:type="dxa"/>
            <w:vAlign w:val="bottom"/>
          </w:tcPr>
          <w:p w14:paraId="000000C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1.780 €</w:t>
            </w:r>
          </w:p>
        </w:tc>
      </w:tr>
      <w:tr w:rsidR="00FA2305" w14:paraId="7BDAB512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C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000000C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000000C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856" w:type="dxa"/>
            <w:vAlign w:val="bottom"/>
          </w:tcPr>
          <w:p w14:paraId="000000C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1.371 €</w:t>
            </w:r>
          </w:p>
        </w:tc>
      </w:tr>
      <w:tr w:rsidR="00FA2305" w14:paraId="10616565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C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000000C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268" w:type="dxa"/>
            <w:vAlign w:val="bottom"/>
          </w:tcPr>
          <w:p w14:paraId="000000C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-2,6%</w:t>
            </w:r>
          </w:p>
        </w:tc>
        <w:tc>
          <w:tcPr>
            <w:tcW w:w="1856" w:type="dxa"/>
            <w:vAlign w:val="bottom"/>
          </w:tcPr>
          <w:p w14:paraId="000000C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1.351 €</w:t>
            </w:r>
          </w:p>
        </w:tc>
      </w:tr>
      <w:tr w:rsidR="00FA2305" w14:paraId="037B9A81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D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000000D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000000D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-4,3%</w:t>
            </w:r>
          </w:p>
        </w:tc>
        <w:tc>
          <w:tcPr>
            <w:tcW w:w="1856" w:type="dxa"/>
            <w:vAlign w:val="bottom"/>
          </w:tcPr>
          <w:p w14:paraId="000000D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1.184 €</w:t>
            </w:r>
          </w:p>
        </w:tc>
      </w:tr>
      <w:tr w:rsidR="00FA2305" w14:paraId="37E2ECE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D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000000D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000000D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856" w:type="dxa"/>
            <w:vAlign w:val="bottom"/>
          </w:tcPr>
          <w:p w14:paraId="000000D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3.099 €</w:t>
            </w:r>
          </w:p>
        </w:tc>
      </w:tr>
      <w:tr w:rsidR="00FA2305" w14:paraId="17A8246E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D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000000D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000000D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856" w:type="dxa"/>
            <w:vAlign w:val="bottom"/>
          </w:tcPr>
          <w:p w14:paraId="000000D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2.851 €</w:t>
            </w:r>
          </w:p>
        </w:tc>
      </w:tr>
      <w:tr w:rsidR="00FA2305" w14:paraId="288A4BC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D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000000D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000000D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856" w:type="dxa"/>
            <w:vAlign w:val="bottom"/>
          </w:tcPr>
          <w:p w14:paraId="000000D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2.829 €</w:t>
            </w:r>
          </w:p>
        </w:tc>
      </w:tr>
      <w:tr w:rsidR="00FA2305" w14:paraId="5C890301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E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000000E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000000E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856" w:type="dxa"/>
            <w:vAlign w:val="bottom"/>
          </w:tcPr>
          <w:p w14:paraId="000000E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1.579 €</w:t>
            </w:r>
          </w:p>
        </w:tc>
      </w:tr>
      <w:tr w:rsidR="00FA2305" w14:paraId="0F4519AE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E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000000E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000000E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856" w:type="dxa"/>
            <w:vAlign w:val="bottom"/>
          </w:tcPr>
          <w:p w14:paraId="000000E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1.489 €</w:t>
            </w:r>
          </w:p>
        </w:tc>
      </w:tr>
      <w:tr w:rsidR="00FA2305" w14:paraId="68F6D34B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E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000000E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000000E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856" w:type="dxa"/>
            <w:vAlign w:val="bottom"/>
          </w:tcPr>
          <w:p w14:paraId="000000E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1.563 €</w:t>
            </w:r>
          </w:p>
        </w:tc>
      </w:tr>
      <w:tr w:rsidR="00FA2305" w14:paraId="6014CF18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E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000000E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000000E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56" w:type="dxa"/>
            <w:vAlign w:val="bottom"/>
          </w:tcPr>
          <w:p w14:paraId="000000E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1.763 €</w:t>
            </w:r>
          </w:p>
        </w:tc>
      </w:tr>
      <w:tr w:rsidR="00FA2305" w14:paraId="1959A64F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F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000000F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000000F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56" w:type="dxa"/>
            <w:vAlign w:val="bottom"/>
          </w:tcPr>
          <w:p w14:paraId="000000F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1.211 €</w:t>
            </w:r>
          </w:p>
        </w:tc>
      </w:tr>
      <w:tr w:rsidR="00FA2305" w14:paraId="1F4DEF55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F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000000F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268" w:type="dxa"/>
            <w:vAlign w:val="bottom"/>
          </w:tcPr>
          <w:p w14:paraId="000000F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856" w:type="dxa"/>
            <w:vAlign w:val="bottom"/>
          </w:tcPr>
          <w:p w14:paraId="000000F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1.810 €</w:t>
            </w:r>
          </w:p>
        </w:tc>
      </w:tr>
      <w:tr w:rsidR="00FA2305" w14:paraId="0BE34010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F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000000F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268" w:type="dxa"/>
            <w:vAlign w:val="bottom"/>
          </w:tcPr>
          <w:p w14:paraId="000000F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856" w:type="dxa"/>
            <w:vAlign w:val="bottom"/>
          </w:tcPr>
          <w:p w14:paraId="000000F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1.165 €</w:t>
            </w:r>
          </w:p>
        </w:tc>
      </w:tr>
      <w:tr w:rsidR="00FA2305" w14:paraId="281D516C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0F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000000F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268" w:type="dxa"/>
            <w:vAlign w:val="bottom"/>
          </w:tcPr>
          <w:p w14:paraId="000000F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856" w:type="dxa"/>
            <w:vAlign w:val="bottom"/>
          </w:tcPr>
          <w:p w14:paraId="000000F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3.141 €</w:t>
            </w:r>
          </w:p>
        </w:tc>
      </w:tr>
      <w:tr w:rsidR="00FA2305" w14:paraId="07C96B23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0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0000010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268" w:type="dxa"/>
            <w:vAlign w:val="bottom"/>
          </w:tcPr>
          <w:p w14:paraId="0000010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856" w:type="dxa"/>
            <w:vAlign w:val="bottom"/>
          </w:tcPr>
          <w:p w14:paraId="0000010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2.977 €</w:t>
            </w:r>
          </w:p>
        </w:tc>
      </w:tr>
      <w:tr w:rsidR="00FA2305" w14:paraId="551FDB7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0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0000010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0000010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-3,6%</w:t>
            </w:r>
          </w:p>
        </w:tc>
        <w:tc>
          <w:tcPr>
            <w:tcW w:w="1856" w:type="dxa"/>
            <w:vAlign w:val="bottom"/>
          </w:tcPr>
          <w:p w14:paraId="0000010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1.128 €</w:t>
            </w:r>
          </w:p>
        </w:tc>
      </w:tr>
      <w:tr w:rsidR="00FA2305" w14:paraId="4232E4C1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0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0000010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268" w:type="dxa"/>
            <w:vAlign w:val="bottom"/>
          </w:tcPr>
          <w:p w14:paraId="0000010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856" w:type="dxa"/>
            <w:vAlign w:val="bottom"/>
          </w:tcPr>
          <w:p w14:paraId="0000010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1.241 €</w:t>
            </w:r>
          </w:p>
        </w:tc>
      </w:tr>
      <w:tr w:rsidR="00FA2305" w14:paraId="357EA45E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0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  <w:vAlign w:val="bottom"/>
          </w:tcPr>
          <w:p w14:paraId="0000010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268" w:type="dxa"/>
            <w:vAlign w:val="bottom"/>
          </w:tcPr>
          <w:p w14:paraId="0000010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56" w:type="dxa"/>
            <w:vAlign w:val="bottom"/>
          </w:tcPr>
          <w:p w14:paraId="0000010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1.107 €</w:t>
            </w:r>
          </w:p>
        </w:tc>
      </w:tr>
      <w:tr w:rsidR="00FA2305" w14:paraId="56748556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1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Alicante</w:t>
            </w:r>
          </w:p>
        </w:tc>
        <w:tc>
          <w:tcPr>
            <w:tcW w:w="2410" w:type="dxa"/>
            <w:vAlign w:val="bottom"/>
          </w:tcPr>
          <w:p w14:paraId="0000011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0000011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1856" w:type="dxa"/>
            <w:vAlign w:val="bottom"/>
          </w:tcPr>
          <w:p w14:paraId="0000011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1.514 €</w:t>
            </w:r>
          </w:p>
        </w:tc>
      </w:tr>
      <w:tr w:rsidR="00FA2305" w14:paraId="4F2C104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1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0000011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68" w:type="dxa"/>
            <w:vAlign w:val="bottom"/>
          </w:tcPr>
          <w:p w14:paraId="0000011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856" w:type="dxa"/>
            <w:vAlign w:val="bottom"/>
          </w:tcPr>
          <w:p w14:paraId="0000011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1.123 €</w:t>
            </w:r>
          </w:p>
        </w:tc>
      </w:tr>
      <w:tr w:rsidR="00FA2305" w14:paraId="6878698C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1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0000011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268" w:type="dxa"/>
            <w:vAlign w:val="bottom"/>
          </w:tcPr>
          <w:p w14:paraId="0000011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856" w:type="dxa"/>
            <w:vAlign w:val="bottom"/>
          </w:tcPr>
          <w:p w14:paraId="0000011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1.274 €</w:t>
            </w:r>
          </w:p>
        </w:tc>
      </w:tr>
      <w:tr w:rsidR="00FA2305" w14:paraId="6E761B30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1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0000011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268" w:type="dxa"/>
            <w:vAlign w:val="bottom"/>
          </w:tcPr>
          <w:p w14:paraId="0000011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-5,6%</w:t>
            </w:r>
          </w:p>
        </w:tc>
        <w:tc>
          <w:tcPr>
            <w:tcW w:w="1856" w:type="dxa"/>
            <w:vAlign w:val="bottom"/>
          </w:tcPr>
          <w:p w14:paraId="0000011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1.041 €</w:t>
            </w:r>
          </w:p>
        </w:tc>
      </w:tr>
      <w:tr w:rsidR="00FA2305" w14:paraId="43FDFFE4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2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410" w:type="dxa"/>
            <w:vAlign w:val="bottom"/>
          </w:tcPr>
          <w:p w14:paraId="0000012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268" w:type="dxa"/>
            <w:vAlign w:val="bottom"/>
          </w:tcPr>
          <w:p w14:paraId="0000012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-6,3%</w:t>
            </w:r>
          </w:p>
        </w:tc>
        <w:tc>
          <w:tcPr>
            <w:tcW w:w="1856" w:type="dxa"/>
            <w:vAlign w:val="bottom"/>
          </w:tcPr>
          <w:p w14:paraId="0000012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1.092 €</w:t>
            </w:r>
          </w:p>
        </w:tc>
      </w:tr>
      <w:tr w:rsidR="00FA2305" w14:paraId="024EA69F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2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0000012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268" w:type="dxa"/>
            <w:vAlign w:val="bottom"/>
          </w:tcPr>
          <w:p w14:paraId="0000012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-5,1%</w:t>
            </w:r>
          </w:p>
        </w:tc>
        <w:tc>
          <w:tcPr>
            <w:tcW w:w="1856" w:type="dxa"/>
            <w:vAlign w:val="bottom"/>
          </w:tcPr>
          <w:p w14:paraId="0000012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1.651 €</w:t>
            </w:r>
          </w:p>
        </w:tc>
      </w:tr>
      <w:tr w:rsidR="00FA2305" w14:paraId="1E5ADE9B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2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0000012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268" w:type="dxa"/>
            <w:vAlign w:val="bottom"/>
          </w:tcPr>
          <w:p w14:paraId="0000012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56" w:type="dxa"/>
            <w:vAlign w:val="bottom"/>
          </w:tcPr>
          <w:p w14:paraId="0000012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1.015 €</w:t>
            </w:r>
          </w:p>
        </w:tc>
      </w:tr>
      <w:tr w:rsidR="00FA2305" w14:paraId="1F1AA6AC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2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0000012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268" w:type="dxa"/>
            <w:vAlign w:val="bottom"/>
          </w:tcPr>
          <w:p w14:paraId="0000012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856" w:type="dxa"/>
            <w:vAlign w:val="bottom"/>
          </w:tcPr>
          <w:p w14:paraId="0000012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1.417 €</w:t>
            </w:r>
          </w:p>
        </w:tc>
      </w:tr>
      <w:tr w:rsidR="00FA2305" w14:paraId="5C78CE1A" w14:textId="77777777" w:rsidTr="00FA230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000013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0000013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2268" w:type="dxa"/>
            <w:vAlign w:val="bottom"/>
          </w:tcPr>
          <w:p w14:paraId="0000013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-4,3%</w:t>
            </w:r>
          </w:p>
        </w:tc>
        <w:tc>
          <w:tcPr>
            <w:tcW w:w="1856" w:type="dxa"/>
            <w:vAlign w:val="bottom"/>
          </w:tcPr>
          <w:p w14:paraId="0000013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1.246 €</w:t>
            </w:r>
          </w:p>
        </w:tc>
      </w:tr>
    </w:tbl>
    <w:p w14:paraId="00000134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Capitales de provincias</w:t>
      </w:r>
    </w:p>
    <w:p w14:paraId="00000135" w14:textId="597FA418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29 de las 50 capitales de provincia (en el 58%) con variación mensual sube el precio en mayo respecto al mes anterior. Los diez mayores incrementos mensuales corresponden a las siguientes ciudades: Soria capital (4,0%), Girona capital (2,6%), Toledo cap</w:t>
      </w:r>
      <w:r>
        <w:rPr>
          <w:rFonts w:ascii="Open Sans" w:eastAsia="Open Sans" w:hAnsi="Open Sans" w:cs="Open Sans"/>
          <w:color w:val="000000"/>
        </w:rPr>
        <w:t>ital (2,5%), Logroño (2,1%), Castellón de la Plana / Castelló de la Plana (1,8%), Vitoria – Gasteiz (1,3%), Valladolid capital (1,2%), Cádiz capital (1,2%), Guadalajara capital (1,0%) y Cuenca capital (1,0%</w:t>
      </w:r>
      <w:r w:rsidR="0087387E">
        <w:rPr>
          <w:rFonts w:ascii="Open Sans" w:eastAsia="Open Sans" w:hAnsi="Open Sans" w:cs="Open Sans"/>
          <w:color w:val="000000"/>
        </w:rPr>
        <w:t>)</w:t>
      </w:r>
      <w:r>
        <w:rPr>
          <w:rFonts w:ascii="Open Sans" w:eastAsia="Open Sans" w:hAnsi="Open Sans" w:cs="Open Sans"/>
          <w:color w:val="000000"/>
        </w:rPr>
        <w:t>.</w:t>
      </w:r>
    </w:p>
    <w:p w14:paraId="00000138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Por otro lado, las diez capitales con mayores</w:t>
      </w:r>
      <w:r>
        <w:rPr>
          <w:rFonts w:ascii="Open Sans" w:eastAsia="Open Sans" w:hAnsi="Open Sans" w:cs="Open Sans"/>
          <w:color w:val="000000"/>
        </w:rPr>
        <w:t xml:space="preserve"> descensos son: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Huesca capital (-3,3%), Jaén capital (-2,4%), Almería capital (-1,5%), Teruel capital (-1,4%), Santa Cruz de Tenerife capital</w:t>
      </w:r>
      <w:r>
        <w:rPr>
          <w:rFonts w:ascii="Open Sans" w:eastAsia="Open Sans" w:hAnsi="Open Sans" w:cs="Open Sans"/>
          <w:color w:val="000000"/>
        </w:rPr>
        <w:tab/>
        <w:t>(-1,4%), Pontevedra capital (-1,2%), Huelva capital (-1,2%), Pamplona / Iruña</w:t>
      </w:r>
      <w:r>
        <w:rPr>
          <w:rFonts w:ascii="Open Sans" w:eastAsia="Open Sans" w:hAnsi="Open Sans" w:cs="Open Sans"/>
          <w:color w:val="000000"/>
        </w:rPr>
        <w:tab/>
        <w:t xml:space="preserve">(-1,1%), Oviedo (-1,0%) y Barcelona </w:t>
      </w:r>
      <w:r>
        <w:rPr>
          <w:rFonts w:ascii="Open Sans" w:eastAsia="Open Sans" w:hAnsi="Open Sans" w:cs="Open Sans"/>
          <w:color w:val="000000"/>
        </w:rPr>
        <w:t>capital (-1,0%),</w:t>
      </w:r>
    </w:p>
    <w:p w14:paraId="00000139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Respecto a los precios, la capital de provincia más cara es Donostia - San Sebastián con 5.522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Barcelona capital (4.369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Madrid capital (3.896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Bilbao (3.334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Palma de Mallorca (3.101 euro</w:t>
      </w:r>
      <w:r>
        <w:rPr>
          <w:rFonts w:ascii="Open Sans" w:eastAsia="Open Sans" w:hAnsi="Open Sans" w:cs="Open Sans"/>
          <w:color w:val="000000"/>
        </w:rPr>
        <w:t>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Vitoria - Gasteiz (2.637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Pamplona / Iruña (2.545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Cádiz capital (2.530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 Por otro lado, la capital de provincia más económica es Ávila capital con 1.172 euros el metro cuadrado.</w:t>
      </w:r>
    </w:p>
    <w:tbl>
      <w:tblPr>
        <w:tblStyle w:val="a1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842"/>
        <w:gridCol w:w="1692"/>
      </w:tblGrid>
      <w:tr w:rsidR="00FA2305" w14:paraId="2187AF70" w14:textId="77777777" w:rsidTr="00FA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000013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0000013B" w14:textId="77777777" w:rsidR="00FA2305" w:rsidRDefault="00B8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Municipio</w:t>
            </w:r>
          </w:p>
        </w:tc>
        <w:tc>
          <w:tcPr>
            <w:tcW w:w="1701" w:type="dxa"/>
          </w:tcPr>
          <w:p w14:paraId="0000013C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13D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mensual (%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0000013E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13F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interanual (%)</w:t>
            </w:r>
          </w:p>
        </w:tc>
        <w:tc>
          <w:tcPr>
            <w:tcW w:w="1692" w:type="dxa"/>
          </w:tcPr>
          <w:p w14:paraId="00000140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Mayo 2021</w:t>
            </w:r>
          </w:p>
          <w:p w14:paraId="00000141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(euros/m²)</w:t>
            </w:r>
          </w:p>
        </w:tc>
      </w:tr>
      <w:tr w:rsidR="00FA2305" w14:paraId="6D62160E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4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00000143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701" w:type="dxa"/>
            <w:vAlign w:val="bottom"/>
          </w:tcPr>
          <w:p w14:paraId="0000014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4,0%</w:t>
            </w:r>
          </w:p>
        </w:tc>
        <w:tc>
          <w:tcPr>
            <w:tcW w:w="1842" w:type="dxa"/>
            <w:vAlign w:val="bottom"/>
          </w:tcPr>
          <w:p w14:paraId="0000014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92" w:type="dxa"/>
            <w:vAlign w:val="bottom"/>
          </w:tcPr>
          <w:p w14:paraId="0000014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1.394 €</w:t>
            </w:r>
          </w:p>
        </w:tc>
      </w:tr>
      <w:tr w:rsidR="00FA2305" w14:paraId="66F50408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47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00000148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0000014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2,6%</w:t>
            </w:r>
          </w:p>
        </w:tc>
        <w:tc>
          <w:tcPr>
            <w:tcW w:w="1842" w:type="dxa"/>
            <w:vAlign w:val="bottom"/>
          </w:tcPr>
          <w:p w14:paraId="0000014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692" w:type="dxa"/>
            <w:vAlign w:val="bottom"/>
          </w:tcPr>
          <w:p w14:paraId="0000014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2.345 €</w:t>
            </w:r>
          </w:p>
        </w:tc>
      </w:tr>
      <w:tr w:rsidR="00FA2305" w14:paraId="60A884F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4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0000014D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0000014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1842" w:type="dxa"/>
            <w:vAlign w:val="bottom"/>
          </w:tcPr>
          <w:p w14:paraId="0000014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692" w:type="dxa"/>
            <w:vAlign w:val="bottom"/>
          </w:tcPr>
          <w:p w14:paraId="0000015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1.468 €</w:t>
            </w:r>
          </w:p>
        </w:tc>
      </w:tr>
      <w:tr w:rsidR="00FA2305" w14:paraId="3C00E9D1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51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00000152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0000015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842" w:type="dxa"/>
            <w:vAlign w:val="bottom"/>
          </w:tcPr>
          <w:p w14:paraId="00000154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692" w:type="dxa"/>
            <w:vAlign w:val="bottom"/>
          </w:tcPr>
          <w:p w14:paraId="0000015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1.720 €</w:t>
            </w:r>
          </w:p>
        </w:tc>
      </w:tr>
      <w:tr w:rsidR="00FA2305" w14:paraId="0A16CFB8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5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00000157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701" w:type="dxa"/>
            <w:vAlign w:val="bottom"/>
          </w:tcPr>
          <w:p w14:paraId="0000015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1,8%</w:t>
            </w:r>
          </w:p>
        </w:tc>
        <w:tc>
          <w:tcPr>
            <w:tcW w:w="1842" w:type="dxa"/>
            <w:vAlign w:val="bottom"/>
          </w:tcPr>
          <w:p w14:paraId="00000159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4,9%</w:t>
            </w:r>
          </w:p>
        </w:tc>
        <w:tc>
          <w:tcPr>
            <w:tcW w:w="1692" w:type="dxa"/>
            <w:vAlign w:val="bottom"/>
          </w:tcPr>
          <w:p w14:paraId="0000015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1.278 €</w:t>
            </w:r>
          </w:p>
        </w:tc>
      </w:tr>
      <w:tr w:rsidR="00FA2305" w14:paraId="282B82B0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5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Araba - Álava</w:t>
            </w:r>
          </w:p>
        </w:tc>
        <w:tc>
          <w:tcPr>
            <w:tcW w:w="2268" w:type="dxa"/>
            <w:vAlign w:val="bottom"/>
          </w:tcPr>
          <w:p w14:paraId="0000015C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0000015D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842" w:type="dxa"/>
            <w:vAlign w:val="bottom"/>
          </w:tcPr>
          <w:p w14:paraId="0000015E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4,9%</w:t>
            </w:r>
          </w:p>
        </w:tc>
        <w:tc>
          <w:tcPr>
            <w:tcW w:w="1692" w:type="dxa"/>
            <w:vAlign w:val="bottom"/>
          </w:tcPr>
          <w:p w14:paraId="0000015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2.637 €</w:t>
            </w:r>
          </w:p>
        </w:tc>
      </w:tr>
      <w:tr w:rsidR="00FA2305" w14:paraId="2841604C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6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00000161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00000162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842" w:type="dxa"/>
            <w:vAlign w:val="bottom"/>
          </w:tcPr>
          <w:p w14:paraId="0000016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0000016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1.741 €</w:t>
            </w:r>
          </w:p>
        </w:tc>
      </w:tr>
      <w:tr w:rsidR="00FA2305" w14:paraId="6F180C96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65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00000166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0000016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842" w:type="dxa"/>
            <w:vAlign w:val="bottom"/>
          </w:tcPr>
          <w:p w14:paraId="0000016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692" w:type="dxa"/>
            <w:vAlign w:val="bottom"/>
          </w:tcPr>
          <w:p w14:paraId="0000016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2.530 €</w:t>
            </w:r>
          </w:p>
        </w:tc>
      </w:tr>
      <w:tr w:rsidR="00FA2305" w14:paraId="08A7D38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6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0000016B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0000016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842" w:type="dxa"/>
            <w:vAlign w:val="bottom"/>
          </w:tcPr>
          <w:p w14:paraId="0000016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92" w:type="dxa"/>
            <w:vAlign w:val="bottom"/>
          </w:tcPr>
          <w:p w14:paraId="0000016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1.456 €</w:t>
            </w:r>
          </w:p>
        </w:tc>
      </w:tr>
      <w:tr w:rsidR="00FA2305" w14:paraId="296B81D8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6F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00000170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701" w:type="dxa"/>
            <w:vAlign w:val="bottom"/>
          </w:tcPr>
          <w:p w14:paraId="0000017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842" w:type="dxa"/>
            <w:vAlign w:val="bottom"/>
          </w:tcPr>
          <w:p w14:paraId="0000017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8,1%</w:t>
            </w:r>
          </w:p>
        </w:tc>
        <w:tc>
          <w:tcPr>
            <w:tcW w:w="1692" w:type="dxa"/>
            <w:vAlign w:val="bottom"/>
          </w:tcPr>
          <w:p w14:paraId="0000017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1.356 €</w:t>
            </w:r>
          </w:p>
        </w:tc>
      </w:tr>
      <w:tr w:rsidR="00FA2305" w14:paraId="1C610919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7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00000175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0000017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842" w:type="dxa"/>
            <w:vAlign w:val="bottom"/>
          </w:tcPr>
          <w:p w14:paraId="0000017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692" w:type="dxa"/>
            <w:vAlign w:val="bottom"/>
          </w:tcPr>
          <w:p w14:paraId="0000017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1.561 €</w:t>
            </w:r>
          </w:p>
        </w:tc>
      </w:tr>
      <w:tr w:rsidR="00FA2305" w14:paraId="51A6BE73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79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0000017A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0000017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842" w:type="dxa"/>
            <w:vAlign w:val="bottom"/>
          </w:tcPr>
          <w:p w14:paraId="0000017C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3,8%</w:t>
            </w:r>
          </w:p>
        </w:tc>
        <w:tc>
          <w:tcPr>
            <w:tcW w:w="1692" w:type="dxa"/>
            <w:vAlign w:val="bottom"/>
          </w:tcPr>
          <w:p w14:paraId="0000017D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3.101 €</w:t>
            </w:r>
          </w:p>
        </w:tc>
      </w:tr>
      <w:tr w:rsidR="00FA2305" w14:paraId="04E52EBA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7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0000017F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0000018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842" w:type="dxa"/>
            <w:vAlign w:val="bottom"/>
          </w:tcPr>
          <w:p w14:paraId="00000181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1692" w:type="dxa"/>
            <w:vAlign w:val="bottom"/>
          </w:tcPr>
          <w:p w14:paraId="00000182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1.232 €</w:t>
            </w:r>
          </w:p>
        </w:tc>
      </w:tr>
      <w:tr w:rsidR="00FA2305" w14:paraId="673E4D17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83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00000184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0000018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842" w:type="dxa"/>
            <w:vAlign w:val="bottom"/>
          </w:tcPr>
          <w:p w14:paraId="00000186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9,7%</w:t>
            </w:r>
          </w:p>
        </w:tc>
        <w:tc>
          <w:tcPr>
            <w:tcW w:w="1692" w:type="dxa"/>
            <w:vAlign w:val="bottom"/>
          </w:tcPr>
          <w:p w14:paraId="0000018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1.456 €</w:t>
            </w:r>
          </w:p>
        </w:tc>
      </w:tr>
      <w:tr w:rsidR="00FA2305" w14:paraId="5C205C0C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8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00000189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0000018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842" w:type="dxa"/>
            <w:vAlign w:val="bottom"/>
          </w:tcPr>
          <w:p w14:paraId="0000018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692" w:type="dxa"/>
            <w:vAlign w:val="bottom"/>
          </w:tcPr>
          <w:p w14:paraId="0000018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1.836 €</w:t>
            </w:r>
          </w:p>
        </w:tc>
      </w:tr>
      <w:tr w:rsidR="00FA2305" w14:paraId="60781964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8D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0000018E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0000018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842" w:type="dxa"/>
            <w:vAlign w:val="bottom"/>
          </w:tcPr>
          <w:p w14:paraId="0000019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-5,8%</w:t>
            </w:r>
          </w:p>
        </w:tc>
        <w:tc>
          <w:tcPr>
            <w:tcW w:w="1692" w:type="dxa"/>
            <w:vAlign w:val="bottom"/>
          </w:tcPr>
          <w:p w14:paraId="0000019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1.180 €</w:t>
            </w:r>
          </w:p>
        </w:tc>
      </w:tr>
      <w:tr w:rsidR="00FA2305" w14:paraId="7A72F3C8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9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00000193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0000019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842" w:type="dxa"/>
            <w:vAlign w:val="bottom"/>
          </w:tcPr>
          <w:p w14:paraId="0000019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692" w:type="dxa"/>
            <w:vAlign w:val="bottom"/>
          </w:tcPr>
          <w:p w14:paraId="0000019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2.139 €</w:t>
            </w:r>
          </w:p>
        </w:tc>
      </w:tr>
      <w:tr w:rsidR="00FA2305" w14:paraId="26FF336C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97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00000198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0000019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0000019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692" w:type="dxa"/>
            <w:vAlign w:val="bottom"/>
          </w:tcPr>
          <w:p w14:paraId="0000019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1.899 €</w:t>
            </w:r>
          </w:p>
        </w:tc>
      </w:tr>
      <w:tr w:rsidR="00FA2305" w14:paraId="27648223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9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0000019D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0000019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0000019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692" w:type="dxa"/>
            <w:vAlign w:val="bottom"/>
          </w:tcPr>
          <w:p w14:paraId="000001A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2.380 €</w:t>
            </w:r>
          </w:p>
        </w:tc>
      </w:tr>
      <w:tr w:rsidR="00FA2305" w14:paraId="55E152A1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A1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000001A2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000001A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842" w:type="dxa"/>
            <w:vAlign w:val="bottom"/>
          </w:tcPr>
          <w:p w14:paraId="000001A4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692" w:type="dxa"/>
            <w:vAlign w:val="bottom"/>
          </w:tcPr>
          <w:p w14:paraId="000001A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1.477 €</w:t>
            </w:r>
          </w:p>
        </w:tc>
      </w:tr>
      <w:tr w:rsidR="00FA2305" w14:paraId="402BC32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A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000001A7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000001A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842" w:type="dxa"/>
            <w:vAlign w:val="bottom"/>
          </w:tcPr>
          <w:p w14:paraId="000001A9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2,9%</w:t>
            </w:r>
          </w:p>
        </w:tc>
        <w:tc>
          <w:tcPr>
            <w:tcW w:w="1692" w:type="dxa"/>
            <w:vAlign w:val="bottom"/>
          </w:tcPr>
          <w:p w14:paraId="000001A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1.711 €</w:t>
            </w:r>
          </w:p>
        </w:tc>
      </w:tr>
      <w:tr w:rsidR="00FA2305" w14:paraId="69E99E41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A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000001AC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000001AD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842" w:type="dxa"/>
            <w:vAlign w:val="bottom"/>
          </w:tcPr>
          <w:p w14:paraId="000001AE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  <w:tc>
          <w:tcPr>
            <w:tcW w:w="1692" w:type="dxa"/>
            <w:vAlign w:val="bottom"/>
          </w:tcPr>
          <w:p w14:paraId="000001A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5.522 €</w:t>
            </w:r>
          </w:p>
        </w:tc>
      </w:tr>
      <w:tr w:rsidR="00FA2305" w14:paraId="4269189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B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000001B1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000001B2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000001B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1,8%</w:t>
            </w:r>
          </w:p>
        </w:tc>
        <w:tc>
          <w:tcPr>
            <w:tcW w:w="1692" w:type="dxa"/>
            <w:vAlign w:val="bottom"/>
          </w:tcPr>
          <w:p w14:paraId="000001B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1.309 €</w:t>
            </w:r>
          </w:p>
        </w:tc>
      </w:tr>
      <w:tr w:rsidR="00FA2305" w14:paraId="54E0ADFF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B5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000001B6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000001B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842" w:type="dxa"/>
            <w:vAlign w:val="bottom"/>
          </w:tcPr>
          <w:p w14:paraId="000001B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92" w:type="dxa"/>
            <w:vAlign w:val="bottom"/>
          </w:tcPr>
          <w:p w14:paraId="000001B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2.080 €</w:t>
            </w:r>
          </w:p>
        </w:tc>
      </w:tr>
      <w:tr w:rsidR="00FA2305" w14:paraId="4A7FED5F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B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000001BB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000001B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842" w:type="dxa"/>
            <w:vAlign w:val="bottom"/>
          </w:tcPr>
          <w:p w14:paraId="000001B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692" w:type="dxa"/>
            <w:vAlign w:val="bottom"/>
          </w:tcPr>
          <w:p w14:paraId="000001B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2.156 €</w:t>
            </w:r>
          </w:p>
        </w:tc>
      </w:tr>
      <w:tr w:rsidR="00FA2305" w14:paraId="28C23845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BF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000001C0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000001C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842" w:type="dxa"/>
            <w:vAlign w:val="bottom"/>
          </w:tcPr>
          <w:p w14:paraId="000001C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1692" w:type="dxa"/>
            <w:vAlign w:val="bottom"/>
          </w:tcPr>
          <w:p w14:paraId="000001C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1.684 €</w:t>
            </w:r>
          </w:p>
        </w:tc>
      </w:tr>
      <w:tr w:rsidR="00FA2305" w14:paraId="3DF571FA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C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000001C5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000001C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842" w:type="dxa"/>
            <w:vAlign w:val="bottom"/>
          </w:tcPr>
          <w:p w14:paraId="000001C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692" w:type="dxa"/>
            <w:vAlign w:val="bottom"/>
          </w:tcPr>
          <w:p w14:paraId="000001C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1.172 €</w:t>
            </w:r>
          </w:p>
        </w:tc>
      </w:tr>
      <w:tr w:rsidR="00FA2305" w14:paraId="0C226588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C9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000001CA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000001C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0,03%</w:t>
            </w:r>
          </w:p>
        </w:tc>
        <w:tc>
          <w:tcPr>
            <w:tcW w:w="1842" w:type="dxa"/>
            <w:vAlign w:val="bottom"/>
          </w:tcPr>
          <w:p w14:paraId="000001CC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692" w:type="dxa"/>
            <w:vAlign w:val="bottom"/>
          </w:tcPr>
          <w:p w14:paraId="000001CD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1.904 €</w:t>
            </w:r>
          </w:p>
        </w:tc>
      </w:tr>
      <w:tr w:rsidR="00FA2305" w14:paraId="1E9DC07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C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000001CF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000001D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0,01%</w:t>
            </w:r>
          </w:p>
        </w:tc>
        <w:tc>
          <w:tcPr>
            <w:tcW w:w="1842" w:type="dxa"/>
            <w:vAlign w:val="bottom"/>
          </w:tcPr>
          <w:p w14:paraId="000001D1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692" w:type="dxa"/>
            <w:vAlign w:val="bottom"/>
          </w:tcPr>
          <w:p w14:paraId="000001D2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2.370 €</w:t>
            </w:r>
          </w:p>
        </w:tc>
      </w:tr>
      <w:tr w:rsidR="00FA2305" w14:paraId="24EE4A16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D3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000001D4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701" w:type="dxa"/>
            <w:vAlign w:val="bottom"/>
          </w:tcPr>
          <w:p w14:paraId="000001D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-0,02%</w:t>
            </w:r>
          </w:p>
        </w:tc>
        <w:tc>
          <w:tcPr>
            <w:tcW w:w="1842" w:type="dxa"/>
            <w:vAlign w:val="bottom"/>
          </w:tcPr>
          <w:p w14:paraId="000001D6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000001D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1.305 €</w:t>
            </w:r>
          </w:p>
        </w:tc>
      </w:tr>
      <w:tr w:rsidR="00FA2305" w14:paraId="649CFD3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D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000001D9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000001D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000001D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92" w:type="dxa"/>
            <w:vAlign w:val="bottom"/>
          </w:tcPr>
          <w:p w14:paraId="000001D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1.454 €</w:t>
            </w:r>
          </w:p>
        </w:tc>
      </w:tr>
      <w:tr w:rsidR="00FA2305" w14:paraId="75AA1A69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DD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000001DE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000001D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42" w:type="dxa"/>
            <w:vAlign w:val="bottom"/>
          </w:tcPr>
          <w:p w14:paraId="000001E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-6,9%</w:t>
            </w:r>
          </w:p>
        </w:tc>
        <w:tc>
          <w:tcPr>
            <w:tcW w:w="1692" w:type="dxa"/>
            <w:vAlign w:val="bottom"/>
          </w:tcPr>
          <w:p w14:paraId="000001E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1.604 €</w:t>
            </w:r>
          </w:p>
        </w:tc>
      </w:tr>
      <w:tr w:rsidR="00FA2305" w14:paraId="19C437A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E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000001E3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000001E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42" w:type="dxa"/>
            <w:vAlign w:val="bottom"/>
          </w:tcPr>
          <w:p w14:paraId="000001E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92" w:type="dxa"/>
            <w:vAlign w:val="bottom"/>
          </w:tcPr>
          <w:p w14:paraId="000001E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3.896 €</w:t>
            </w:r>
          </w:p>
        </w:tc>
      </w:tr>
      <w:tr w:rsidR="00FA2305" w14:paraId="17974E0C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E7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000001E8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000001E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842" w:type="dxa"/>
            <w:vAlign w:val="bottom"/>
          </w:tcPr>
          <w:p w14:paraId="000001E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6,0%</w:t>
            </w:r>
          </w:p>
        </w:tc>
        <w:tc>
          <w:tcPr>
            <w:tcW w:w="1692" w:type="dxa"/>
            <w:vAlign w:val="bottom"/>
          </w:tcPr>
          <w:p w14:paraId="000001E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1.384 €</w:t>
            </w:r>
          </w:p>
        </w:tc>
      </w:tr>
      <w:tr w:rsidR="00FA2305" w14:paraId="2299D01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E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000001ED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000001E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000001E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692" w:type="dxa"/>
            <w:vAlign w:val="bottom"/>
          </w:tcPr>
          <w:p w14:paraId="000001F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1.495 €</w:t>
            </w:r>
          </w:p>
        </w:tc>
      </w:tr>
      <w:tr w:rsidR="00FA2305" w14:paraId="01CFEE60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F1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000001F2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000001F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42" w:type="dxa"/>
            <w:vAlign w:val="bottom"/>
          </w:tcPr>
          <w:p w14:paraId="000001F4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-6,0%</w:t>
            </w:r>
          </w:p>
        </w:tc>
        <w:tc>
          <w:tcPr>
            <w:tcW w:w="1692" w:type="dxa"/>
            <w:vAlign w:val="bottom"/>
          </w:tcPr>
          <w:p w14:paraId="000001F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1.332 €</w:t>
            </w:r>
          </w:p>
        </w:tc>
      </w:tr>
      <w:tr w:rsidR="00FA2305" w14:paraId="20F89652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F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000001F7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000001F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42" w:type="dxa"/>
            <w:vAlign w:val="bottom"/>
          </w:tcPr>
          <w:p w14:paraId="000001F9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000001F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1.507 €</w:t>
            </w:r>
          </w:p>
        </w:tc>
      </w:tr>
      <w:tr w:rsidR="00FA2305" w14:paraId="7BAB792A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1F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000001FC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000001FD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42" w:type="dxa"/>
            <w:vAlign w:val="bottom"/>
          </w:tcPr>
          <w:p w14:paraId="000001FE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4,1%</w:t>
            </w:r>
          </w:p>
        </w:tc>
        <w:tc>
          <w:tcPr>
            <w:tcW w:w="1692" w:type="dxa"/>
            <w:vAlign w:val="bottom"/>
          </w:tcPr>
          <w:p w14:paraId="000001F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2.175 €</w:t>
            </w:r>
          </w:p>
        </w:tc>
      </w:tr>
      <w:tr w:rsidR="00FA2305" w14:paraId="7C544BFF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0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00000201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00000202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42" w:type="dxa"/>
            <w:vAlign w:val="bottom"/>
          </w:tcPr>
          <w:p w14:paraId="0000020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-3,6%</w:t>
            </w:r>
          </w:p>
        </w:tc>
        <w:tc>
          <w:tcPr>
            <w:tcW w:w="1692" w:type="dxa"/>
            <w:vAlign w:val="bottom"/>
          </w:tcPr>
          <w:p w14:paraId="0000020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1.642 €</w:t>
            </w:r>
          </w:p>
        </w:tc>
      </w:tr>
      <w:tr w:rsidR="00FA2305" w14:paraId="48F46CB3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05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00000206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0000020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42" w:type="dxa"/>
            <w:vAlign w:val="bottom"/>
          </w:tcPr>
          <w:p w14:paraId="0000020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1692" w:type="dxa"/>
            <w:vAlign w:val="bottom"/>
          </w:tcPr>
          <w:p w14:paraId="0000020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3.334 €</w:t>
            </w:r>
          </w:p>
        </w:tc>
      </w:tr>
      <w:tr w:rsidR="00FA2305" w14:paraId="63FADAA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0A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000020B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0000020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42" w:type="dxa"/>
            <w:vAlign w:val="bottom"/>
          </w:tcPr>
          <w:p w14:paraId="0000020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1692" w:type="dxa"/>
            <w:vAlign w:val="bottom"/>
          </w:tcPr>
          <w:p w14:paraId="0000020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4.369 €</w:t>
            </w:r>
          </w:p>
        </w:tc>
      </w:tr>
      <w:tr w:rsidR="00FA2305" w14:paraId="29A236E5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0F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00000210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0000021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42" w:type="dxa"/>
            <w:vAlign w:val="bottom"/>
          </w:tcPr>
          <w:p w14:paraId="0000021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0,7%</w:t>
            </w:r>
          </w:p>
        </w:tc>
        <w:tc>
          <w:tcPr>
            <w:tcW w:w="1692" w:type="dxa"/>
            <w:vAlign w:val="bottom"/>
          </w:tcPr>
          <w:p w14:paraId="0000021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1.676 €</w:t>
            </w:r>
          </w:p>
        </w:tc>
      </w:tr>
      <w:tr w:rsidR="00FA2305" w14:paraId="4F20B1F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14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00000215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0000021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842" w:type="dxa"/>
            <w:vAlign w:val="bottom"/>
          </w:tcPr>
          <w:p w14:paraId="0000021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5,2%</w:t>
            </w:r>
          </w:p>
        </w:tc>
        <w:tc>
          <w:tcPr>
            <w:tcW w:w="1692" w:type="dxa"/>
            <w:vAlign w:val="bottom"/>
          </w:tcPr>
          <w:p w14:paraId="0000021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2.545 €</w:t>
            </w:r>
          </w:p>
        </w:tc>
      </w:tr>
      <w:tr w:rsidR="00FA2305" w14:paraId="3457B169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19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0000021A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0000021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842" w:type="dxa"/>
            <w:vAlign w:val="bottom"/>
          </w:tcPr>
          <w:p w14:paraId="0000021C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692" w:type="dxa"/>
            <w:vAlign w:val="bottom"/>
          </w:tcPr>
          <w:p w14:paraId="0000021D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1.239 €</w:t>
            </w:r>
          </w:p>
        </w:tc>
      </w:tr>
      <w:tr w:rsidR="00FA2305" w14:paraId="233DE5D5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1E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0000021F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701" w:type="dxa"/>
            <w:vAlign w:val="bottom"/>
          </w:tcPr>
          <w:p w14:paraId="0000022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842" w:type="dxa"/>
            <w:vAlign w:val="bottom"/>
          </w:tcPr>
          <w:p w14:paraId="00000221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2,0%</w:t>
            </w:r>
          </w:p>
        </w:tc>
        <w:tc>
          <w:tcPr>
            <w:tcW w:w="1692" w:type="dxa"/>
            <w:vAlign w:val="bottom"/>
          </w:tcPr>
          <w:p w14:paraId="00000222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1.803 €</w:t>
            </w:r>
          </w:p>
        </w:tc>
      </w:tr>
      <w:tr w:rsidR="00FA2305" w14:paraId="18A6EA4F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23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Santa Cruz de Tenerife</w:t>
            </w:r>
          </w:p>
        </w:tc>
        <w:tc>
          <w:tcPr>
            <w:tcW w:w="2268" w:type="dxa"/>
            <w:vAlign w:val="bottom"/>
          </w:tcPr>
          <w:p w14:paraId="00000224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0000022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842" w:type="dxa"/>
            <w:vAlign w:val="bottom"/>
          </w:tcPr>
          <w:p w14:paraId="00000226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692" w:type="dxa"/>
            <w:vAlign w:val="bottom"/>
          </w:tcPr>
          <w:p w14:paraId="0000022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1.582 €</w:t>
            </w:r>
          </w:p>
        </w:tc>
      </w:tr>
      <w:tr w:rsidR="00FA2305" w14:paraId="5677889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2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00000229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701" w:type="dxa"/>
            <w:vAlign w:val="bottom"/>
          </w:tcPr>
          <w:p w14:paraId="0000022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842" w:type="dxa"/>
            <w:vAlign w:val="bottom"/>
          </w:tcPr>
          <w:p w14:paraId="0000022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-8,4%</w:t>
            </w:r>
          </w:p>
        </w:tc>
        <w:tc>
          <w:tcPr>
            <w:tcW w:w="1692" w:type="dxa"/>
            <w:vAlign w:val="bottom"/>
          </w:tcPr>
          <w:p w14:paraId="0000022C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1.297 €</w:t>
            </w:r>
          </w:p>
        </w:tc>
      </w:tr>
      <w:tr w:rsidR="00FA2305" w14:paraId="42BF723A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2D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0000022E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0000022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842" w:type="dxa"/>
            <w:vAlign w:val="bottom"/>
          </w:tcPr>
          <w:p w14:paraId="0000023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-5,8%</w:t>
            </w:r>
          </w:p>
        </w:tc>
        <w:tc>
          <w:tcPr>
            <w:tcW w:w="1692" w:type="dxa"/>
            <w:vAlign w:val="bottom"/>
          </w:tcPr>
          <w:p w14:paraId="00000231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1.302 €</w:t>
            </w:r>
          </w:p>
        </w:tc>
      </w:tr>
      <w:tr w:rsidR="00FA2305" w14:paraId="458DFA7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3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00000233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0000023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842" w:type="dxa"/>
            <w:vAlign w:val="bottom"/>
          </w:tcPr>
          <w:p w14:paraId="0000023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-7,1%</w:t>
            </w:r>
          </w:p>
        </w:tc>
        <w:tc>
          <w:tcPr>
            <w:tcW w:w="1692" w:type="dxa"/>
            <w:vAlign w:val="bottom"/>
          </w:tcPr>
          <w:p w14:paraId="0000023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1.266 €</w:t>
            </w:r>
          </w:p>
        </w:tc>
      </w:tr>
      <w:tr w:rsidR="00FA2305" w14:paraId="72CE16BE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0000237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00000238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0000023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842" w:type="dxa"/>
            <w:vAlign w:val="bottom"/>
          </w:tcPr>
          <w:p w14:paraId="0000023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0000023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1.493 €</w:t>
            </w:r>
          </w:p>
        </w:tc>
      </w:tr>
    </w:tbl>
    <w:p w14:paraId="0000023C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</w:t>
      </w:r>
    </w:p>
    <w:p w14:paraId="0000023D" w14:textId="41A08799" w:rsidR="00FA2305" w:rsidRDefault="00B852C7">
      <w:pPr>
        <w:spacing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sube en el 53% de los 713 municipios con variación mensual analizados por </w:t>
      </w:r>
      <w:hyperlink r:id="rId12">
        <w:r>
          <w:rPr>
            <w:rFonts w:ascii="Open Sans" w:eastAsia="Open Sans" w:hAnsi="Open Sans" w:cs="Open Sans"/>
            <w:color w:val="4472C4"/>
            <w:u w:val="single"/>
          </w:rPr>
          <w:t>Fotocasa</w:t>
        </w:r>
      </w:hyperlink>
      <w:r>
        <w:rPr>
          <w:rFonts w:ascii="Open Sans" w:eastAsia="Open Sans" w:hAnsi="Open Sans" w:cs="Open Sans"/>
          <w:color w:val="4472C4"/>
          <w:u w:val="single"/>
        </w:rPr>
        <w:t>.</w:t>
      </w:r>
      <w:r>
        <w:rPr>
          <w:rFonts w:ascii="Open Sans" w:eastAsia="Open Sans" w:hAnsi="Open Sans" w:cs="Open Sans"/>
          <w:color w:val="4472C4"/>
        </w:rPr>
        <w:t xml:space="preserve"> </w:t>
      </w:r>
      <w:r>
        <w:rPr>
          <w:rFonts w:ascii="Open Sans" w:eastAsia="Open Sans" w:hAnsi="Open Sans" w:cs="Open Sans"/>
          <w:color w:val="000000"/>
        </w:rPr>
        <w:t>Cuatro de los municipios suben el valor mensual de la vivienda por encima del 10% y son: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 xml:space="preserve">Canet </w:t>
      </w:r>
      <w:proofErr w:type="spellStart"/>
      <w:r>
        <w:rPr>
          <w:rFonts w:ascii="Open Sans" w:eastAsia="Open Sans" w:hAnsi="Open Sans" w:cs="Open Sans"/>
          <w:color w:val="000000"/>
        </w:rPr>
        <w:t>D'</w:t>
      </w:r>
      <w:r w:rsidR="0087387E">
        <w:rPr>
          <w:rFonts w:ascii="Open Sans" w:eastAsia="Open Sans" w:hAnsi="Open Sans" w:cs="Open Sans"/>
          <w:color w:val="000000"/>
        </w:rPr>
        <w:t>e</w:t>
      </w:r>
      <w:r>
        <w:rPr>
          <w:rFonts w:ascii="Open Sans" w:eastAsia="Open Sans" w:hAnsi="Open Sans" w:cs="Open Sans"/>
          <w:color w:val="000000"/>
        </w:rPr>
        <w:t>n</w:t>
      </w:r>
      <w:proofErr w:type="spellEnd"/>
      <w:r>
        <w:rPr>
          <w:rFonts w:ascii="Open Sans" w:eastAsia="Open Sans" w:hAnsi="Open Sans" w:cs="Open Sans"/>
          <w:color w:val="000000"/>
        </w:rPr>
        <w:t xml:space="preserve"> Berenguer (49,4%), Alguazas (26,4%), Sallent (14,8%) y Ojén (12,9%).  Por otro lado, los municipios con descensos por debajo del -10% son: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>Benissa (-18,2%),</w:t>
      </w:r>
      <w:r>
        <w:rPr>
          <w:rFonts w:ascii="Open Sans" w:eastAsia="Open Sans" w:hAnsi="Open Sans" w:cs="Open Sans"/>
          <w:color w:val="000000"/>
        </w:rPr>
        <w:t xml:space="preserve"> Arévalo (-15,0%), Teulada (-12,2%), La Oliva (-11,4%), Benaguasil (-10,1%) y Puig (-10,1%).</w:t>
      </w:r>
    </w:p>
    <w:p w14:paraId="0000023E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mayo, vemos que el orden de las ciudades más caras 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Donostia - San Sebastián con 5.522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Eivissa con 5.007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el municipio más económico es Sant Joan de Moró en Castellón, con un p</w:t>
      </w:r>
      <w:r>
        <w:rPr>
          <w:rFonts w:ascii="Open Sans" w:eastAsia="Open Sans" w:hAnsi="Open Sans" w:cs="Open Sans"/>
          <w:color w:val="000000"/>
        </w:rPr>
        <w:t>recio de 640 euros el metro cuadrado.</w:t>
      </w:r>
    </w:p>
    <w:p w14:paraId="0000023F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incremento mensual</w:t>
      </w:r>
    </w:p>
    <w:tbl>
      <w:tblPr>
        <w:tblStyle w:val="a2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1843"/>
        <w:gridCol w:w="1550"/>
      </w:tblGrid>
      <w:tr w:rsidR="00FA2305" w14:paraId="674B78B9" w14:textId="77777777" w:rsidTr="00FA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000024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Provincia</w:t>
            </w:r>
          </w:p>
        </w:tc>
        <w:tc>
          <w:tcPr>
            <w:tcW w:w="2551" w:type="dxa"/>
            <w:vAlign w:val="center"/>
          </w:tcPr>
          <w:p w14:paraId="00000241" w14:textId="77777777" w:rsidR="00FA2305" w:rsidRDefault="00B8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Municipio</w:t>
            </w:r>
          </w:p>
        </w:tc>
        <w:tc>
          <w:tcPr>
            <w:tcW w:w="1701" w:type="dxa"/>
          </w:tcPr>
          <w:p w14:paraId="00000242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243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mensual (%)</w:t>
            </w:r>
          </w:p>
        </w:tc>
        <w:tc>
          <w:tcPr>
            <w:tcW w:w="1843" w:type="dxa"/>
          </w:tcPr>
          <w:p w14:paraId="00000244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245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interanual (%)</w:t>
            </w:r>
          </w:p>
        </w:tc>
        <w:tc>
          <w:tcPr>
            <w:tcW w:w="1550" w:type="dxa"/>
          </w:tcPr>
          <w:p w14:paraId="00000246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Mayo 2021</w:t>
            </w:r>
          </w:p>
          <w:p w14:paraId="00000247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(euros/m²)</w:t>
            </w:r>
          </w:p>
        </w:tc>
      </w:tr>
      <w:tr w:rsidR="00FA2305" w14:paraId="55633B3B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4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551" w:type="dxa"/>
            <w:vAlign w:val="bottom"/>
          </w:tcPr>
          <w:p w14:paraId="00000249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Canet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D'En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Berenguer</w:t>
            </w:r>
          </w:p>
        </w:tc>
        <w:tc>
          <w:tcPr>
            <w:tcW w:w="1701" w:type="dxa"/>
            <w:vAlign w:val="bottom"/>
          </w:tcPr>
          <w:p w14:paraId="0000024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49,4%</w:t>
            </w:r>
          </w:p>
        </w:tc>
        <w:tc>
          <w:tcPr>
            <w:tcW w:w="1843" w:type="dxa"/>
            <w:vAlign w:val="bottom"/>
          </w:tcPr>
          <w:p w14:paraId="0000024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81,1%</w:t>
            </w:r>
          </w:p>
        </w:tc>
        <w:tc>
          <w:tcPr>
            <w:tcW w:w="1550" w:type="dxa"/>
            <w:vAlign w:val="bottom"/>
          </w:tcPr>
          <w:p w14:paraId="0000024C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2.934 € </w:t>
            </w:r>
          </w:p>
        </w:tc>
      </w:tr>
      <w:tr w:rsidR="00FA2305" w14:paraId="5AE42118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4D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551" w:type="dxa"/>
            <w:vAlign w:val="bottom"/>
          </w:tcPr>
          <w:p w14:paraId="0000024E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Alguazas</w:t>
            </w:r>
          </w:p>
        </w:tc>
        <w:tc>
          <w:tcPr>
            <w:tcW w:w="1701" w:type="dxa"/>
            <w:vAlign w:val="bottom"/>
          </w:tcPr>
          <w:p w14:paraId="0000024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26,4%</w:t>
            </w:r>
          </w:p>
        </w:tc>
        <w:tc>
          <w:tcPr>
            <w:tcW w:w="1843" w:type="dxa"/>
            <w:vAlign w:val="bottom"/>
          </w:tcPr>
          <w:p w14:paraId="0000025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-5,8%</w:t>
            </w:r>
          </w:p>
        </w:tc>
        <w:tc>
          <w:tcPr>
            <w:tcW w:w="1550" w:type="dxa"/>
            <w:vAlign w:val="bottom"/>
          </w:tcPr>
          <w:p w14:paraId="00000251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806 € </w:t>
            </w:r>
          </w:p>
        </w:tc>
      </w:tr>
      <w:tr w:rsidR="00FA2305" w14:paraId="7CD68DA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5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00000253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Sallent</w:t>
            </w:r>
          </w:p>
        </w:tc>
        <w:tc>
          <w:tcPr>
            <w:tcW w:w="1701" w:type="dxa"/>
            <w:vAlign w:val="bottom"/>
          </w:tcPr>
          <w:p w14:paraId="0000025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14,8%</w:t>
            </w:r>
          </w:p>
        </w:tc>
        <w:tc>
          <w:tcPr>
            <w:tcW w:w="1843" w:type="dxa"/>
            <w:vAlign w:val="bottom"/>
          </w:tcPr>
          <w:p w14:paraId="0000025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16,9%</w:t>
            </w:r>
          </w:p>
        </w:tc>
        <w:tc>
          <w:tcPr>
            <w:tcW w:w="1550" w:type="dxa"/>
            <w:vAlign w:val="bottom"/>
          </w:tcPr>
          <w:p w14:paraId="00000256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1.367 € </w:t>
            </w:r>
          </w:p>
        </w:tc>
      </w:tr>
      <w:tr w:rsidR="00FA2305" w14:paraId="4E061EA2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57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551" w:type="dxa"/>
            <w:vAlign w:val="bottom"/>
          </w:tcPr>
          <w:p w14:paraId="00000258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Ojén</w:t>
            </w:r>
          </w:p>
        </w:tc>
        <w:tc>
          <w:tcPr>
            <w:tcW w:w="1701" w:type="dxa"/>
            <w:vAlign w:val="bottom"/>
          </w:tcPr>
          <w:p w14:paraId="0000025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12,9%</w:t>
            </w:r>
          </w:p>
        </w:tc>
        <w:tc>
          <w:tcPr>
            <w:tcW w:w="1843" w:type="dxa"/>
            <w:vAlign w:val="bottom"/>
          </w:tcPr>
          <w:p w14:paraId="0000025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46,8%</w:t>
            </w:r>
          </w:p>
        </w:tc>
        <w:tc>
          <w:tcPr>
            <w:tcW w:w="1550" w:type="dxa"/>
            <w:vAlign w:val="bottom"/>
          </w:tcPr>
          <w:p w14:paraId="0000025B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2.465 € </w:t>
            </w:r>
          </w:p>
        </w:tc>
      </w:tr>
      <w:tr w:rsidR="00FA2305" w14:paraId="5BD1FF32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5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551" w:type="dxa"/>
            <w:vAlign w:val="bottom"/>
          </w:tcPr>
          <w:p w14:paraId="0000025D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Lalín</w:t>
            </w:r>
          </w:p>
        </w:tc>
        <w:tc>
          <w:tcPr>
            <w:tcW w:w="1701" w:type="dxa"/>
            <w:vAlign w:val="bottom"/>
          </w:tcPr>
          <w:p w14:paraId="0000025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8,1%</w:t>
            </w:r>
          </w:p>
        </w:tc>
        <w:tc>
          <w:tcPr>
            <w:tcW w:w="1843" w:type="dxa"/>
            <w:vAlign w:val="bottom"/>
          </w:tcPr>
          <w:p w14:paraId="0000025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6,6%</w:t>
            </w:r>
          </w:p>
        </w:tc>
        <w:tc>
          <w:tcPr>
            <w:tcW w:w="1550" w:type="dxa"/>
            <w:vAlign w:val="bottom"/>
          </w:tcPr>
          <w:p w14:paraId="00000260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887 € </w:t>
            </w:r>
          </w:p>
        </w:tc>
      </w:tr>
      <w:tr w:rsidR="00FA2305" w14:paraId="223812E8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61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551" w:type="dxa"/>
            <w:vAlign w:val="bottom"/>
          </w:tcPr>
          <w:p w14:paraId="00000262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Algemesí</w:t>
            </w:r>
          </w:p>
        </w:tc>
        <w:tc>
          <w:tcPr>
            <w:tcW w:w="1701" w:type="dxa"/>
            <w:vAlign w:val="bottom"/>
          </w:tcPr>
          <w:p w14:paraId="0000026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8,0%</w:t>
            </w:r>
          </w:p>
        </w:tc>
        <w:tc>
          <w:tcPr>
            <w:tcW w:w="1843" w:type="dxa"/>
            <w:vAlign w:val="bottom"/>
          </w:tcPr>
          <w:p w14:paraId="00000264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6,0%</w:t>
            </w:r>
          </w:p>
        </w:tc>
        <w:tc>
          <w:tcPr>
            <w:tcW w:w="1550" w:type="dxa"/>
            <w:vAlign w:val="bottom"/>
          </w:tcPr>
          <w:p w14:paraId="00000265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899 € </w:t>
            </w:r>
          </w:p>
        </w:tc>
      </w:tr>
      <w:tr w:rsidR="00FA2305" w14:paraId="5C3A1DC7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6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551" w:type="dxa"/>
            <w:vAlign w:val="bottom"/>
          </w:tcPr>
          <w:p w14:paraId="00000267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Huércal-Overa</w:t>
            </w:r>
          </w:p>
        </w:tc>
        <w:tc>
          <w:tcPr>
            <w:tcW w:w="1701" w:type="dxa"/>
            <w:vAlign w:val="bottom"/>
          </w:tcPr>
          <w:p w14:paraId="0000026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7,5%</w:t>
            </w:r>
          </w:p>
        </w:tc>
        <w:tc>
          <w:tcPr>
            <w:tcW w:w="1843" w:type="dxa"/>
            <w:vAlign w:val="bottom"/>
          </w:tcPr>
          <w:p w14:paraId="00000269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0,01%</w:t>
            </w:r>
          </w:p>
        </w:tc>
        <w:tc>
          <w:tcPr>
            <w:tcW w:w="1550" w:type="dxa"/>
            <w:vAlign w:val="bottom"/>
          </w:tcPr>
          <w:p w14:paraId="0000026A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947 € </w:t>
            </w:r>
          </w:p>
        </w:tc>
      </w:tr>
      <w:tr w:rsidR="00FA2305" w14:paraId="3C9550C8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6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0000026C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L'Alfàs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del Pi</w:t>
            </w:r>
          </w:p>
        </w:tc>
        <w:tc>
          <w:tcPr>
            <w:tcW w:w="1701" w:type="dxa"/>
            <w:vAlign w:val="bottom"/>
          </w:tcPr>
          <w:p w14:paraId="0000026D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7,2%</w:t>
            </w:r>
          </w:p>
        </w:tc>
        <w:tc>
          <w:tcPr>
            <w:tcW w:w="1843" w:type="dxa"/>
            <w:vAlign w:val="bottom"/>
          </w:tcPr>
          <w:p w14:paraId="0000026E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20,6%</w:t>
            </w:r>
          </w:p>
        </w:tc>
        <w:tc>
          <w:tcPr>
            <w:tcW w:w="1550" w:type="dxa"/>
            <w:vAlign w:val="bottom"/>
          </w:tcPr>
          <w:p w14:paraId="0000026F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2.508 € </w:t>
            </w:r>
          </w:p>
        </w:tc>
      </w:tr>
      <w:tr w:rsidR="00FA2305" w14:paraId="4748DB4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7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551" w:type="dxa"/>
            <w:vAlign w:val="bottom"/>
          </w:tcPr>
          <w:p w14:paraId="00000271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Salvaterra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de Miño</w:t>
            </w:r>
          </w:p>
        </w:tc>
        <w:tc>
          <w:tcPr>
            <w:tcW w:w="1701" w:type="dxa"/>
            <w:vAlign w:val="bottom"/>
          </w:tcPr>
          <w:p w14:paraId="00000272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6,9%</w:t>
            </w:r>
          </w:p>
        </w:tc>
        <w:tc>
          <w:tcPr>
            <w:tcW w:w="1843" w:type="dxa"/>
            <w:vAlign w:val="bottom"/>
          </w:tcPr>
          <w:p w14:paraId="0000027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550" w:type="dxa"/>
            <w:vAlign w:val="bottom"/>
          </w:tcPr>
          <w:p w14:paraId="00000274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1.010 € </w:t>
            </w:r>
          </w:p>
        </w:tc>
      </w:tr>
      <w:tr w:rsidR="00FA2305" w14:paraId="51120039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75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551" w:type="dxa"/>
            <w:vAlign w:val="bottom"/>
          </w:tcPr>
          <w:p w14:paraId="00000276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Ripoll</w:t>
            </w:r>
          </w:p>
        </w:tc>
        <w:tc>
          <w:tcPr>
            <w:tcW w:w="1701" w:type="dxa"/>
            <w:vAlign w:val="bottom"/>
          </w:tcPr>
          <w:p w14:paraId="00000277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6,6%</w:t>
            </w:r>
          </w:p>
        </w:tc>
        <w:tc>
          <w:tcPr>
            <w:tcW w:w="1843" w:type="dxa"/>
            <w:vAlign w:val="bottom"/>
          </w:tcPr>
          <w:p w14:paraId="0000027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5,4%</w:t>
            </w:r>
          </w:p>
        </w:tc>
        <w:tc>
          <w:tcPr>
            <w:tcW w:w="1550" w:type="dxa"/>
            <w:vAlign w:val="bottom"/>
          </w:tcPr>
          <w:p w14:paraId="00000279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1.123 € </w:t>
            </w:r>
          </w:p>
        </w:tc>
      </w:tr>
    </w:tbl>
    <w:p w14:paraId="0CB13003" w14:textId="77777777" w:rsidR="0087387E" w:rsidRDefault="0087387E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810E1E2" w14:textId="77777777" w:rsidR="0087387E" w:rsidRDefault="0087387E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0000027A" w14:textId="048B88EF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Municipios con mayor descenso mensual</w:t>
      </w:r>
    </w:p>
    <w:tbl>
      <w:tblPr>
        <w:tblStyle w:val="a3"/>
        <w:tblW w:w="90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050"/>
        <w:gridCol w:w="1701"/>
        <w:gridCol w:w="1893"/>
        <w:gridCol w:w="1783"/>
      </w:tblGrid>
      <w:tr w:rsidR="00FA2305" w14:paraId="3A9F7016" w14:textId="77777777" w:rsidTr="00FA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0000027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Provincia</w:t>
            </w:r>
          </w:p>
        </w:tc>
        <w:tc>
          <w:tcPr>
            <w:tcW w:w="2050" w:type="dxa"/>
            <w:vAlign w:val="center"/>
          </w:tcPr>
          <w:p w14:paraId="0000027C" w14:textId="77777777" w:rsidR="00FA2305" w:rsidRDefault="00B8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Municipio</w:t>
            </w:r>
          </w:p>
        </w:tc>
        <w:tc>
          <w:tcPr>
            <w:tcW w:w="1701" w:type="dxa"/>
          </w:tcPr>
          <w:p w14:paraId="0000027D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27E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mensual (%)</w:t>
            </w:r>
          </w:p>
        </w:tc>
        <w:tc>
          <w:tcPr>
            <w:tcW w:w="1893" w:type="dxa"/>
          </w:tcPr>
          <w:p w14:paraId="0000027F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280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interanual (%)</w:t>
            </w:r>
          </w:p>
        </w:tc>
        <w:tc>
          <w:tcPr>
            <w:tcW w:w="1783" w:type="dxa"/>
          </w:tcPr>
          <w:p w14:paraId="00000281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Mayo 2021</w:t>
            </w:r>
          </w:p>
          <w:p w14:paraId="00000282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(euros/m²)</w:t>
            </w:r>
          </w:p>
        </w:tc>
      </w:tr>
      <w:tr w:rsidR="00FA2305" w14:paraId="119BCC9E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83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00000284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Benissa</w:t>
            </w:r>
          </w:p>
        </w:tc>
        <w:tc>
          <w:tcPr>
            <w:tcW w:w="1701" w:type="dxa"/>
            <w:vAlign w:val="bottom"/>
          </w:tcPr>
          <w:p w14:paraId="0000028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-18,2%</w:t>
            </w:r>
          </w:p>
        </w:tc>
        <w:tc>
          <w:tcPr>
            <w:tcW w:w="1893" w:type="dxa"/>
            <w:vAlign w:val="bottom"/>
          </w:tcPr>
          <w:p w14:paraId="0000028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6,8%</w:t>
            </w:r>
          </w:p>
        </w:tc>
        <w:tc>
          <w:tcPr>
            <w:tcW w:w="1783" w:type="dxa"/>
            <w:vAlign w:val="bottom"/>
          </w:tcPr>
          <w:p w14:paraId="00000287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1.051 € </w:t>
            </w:r>
          </w:p>
        </w:tc>
      </w:tr>
      <w:tr w:rsidR="00FA2305" w14:paraId="21058DF6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8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050" w:type="dxa"/>
            <w:vAlign w:val="bottom"/>
          </w:tcPr>
          <w:p w14:paraId="00000289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Arévalo</w:t>
            </w:r>
          </w:p>
        </w:tc>
        <w:tc>
          <w:tcPr>
            <w:tcW w:w="1701" w:type="dxa"/>
            <w:vAlign w:val="bottom"/>
          </w:tcPr>
          <w:p w14:paraId="0000028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-15,0%</w:t>
            </w:r>
          </w:p>
        </w:tc>
        <w:tc>
          <w:tcPr>
            <w:tcW w:w="1893" w:type="dxa"/>
            <w:vAlign w:val="bottom"/>
          </w:tcPr>
          <w:p w14:paraId="0000028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-11,9%</w:t>
            </w:r>
          </w:p>
        </w:tc>
        <w:tc>
          <w:tcPr>
            <w:tcW w:w="1783" w:type="dxa"/>
            <w:vAlign w:val="bottom"/>
          </w:tcPr>
          <w:p w14:paraId="0000028C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729 € </w:t>
            </w:r>
          </w:p>
        </w:tc>
      </w:tr>
      <w:tr w:rsidR="00FA2305" w14:paraId="6D23D18F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8D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0000028E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Teulada</w:t>
            </w:r>
          </w:p>
        </w:tc>
        <w:tc>
          <w:tcPr>
            <w:tcW w:w="1701" w:type="dxa"/>
            <w:vAlign w:val="bottom"/>
          </w:tcPr>
          <w:p w14:paraId="0000028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-12,2%</w:t>
            </w:r>
          </w:p>
        </w:tc>
        <w:tc>
          <w:tcPr>
            <w:tcW w:w="1893" w:type="dxa"/>
            <w:vAlign w:val="bottom"/>
          </w:tcPr>
          <w:p w14:paraId="0000029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 -</w:t>
            </w:r>
          </w:p>
        </w:tc>
        <w:tc>
          <w:tcPr>
            <w:tcW w:w="1783" w:type="dxa"/>
            <w:vAlign w:val="bottom"/>
          </w:tcPr>
          <w:p w14:paraId="00000291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1.632 € </w:t>
            </w:r>
          </w:p>
        </w:tc>
      </w:tr>
      <w:tr w:rsidR="00FA2305" w14:paraId="122B47D3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9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050" w:type="dxa"/>
            <w:vAlign w:val="bottom"/>
          </w:tcPr>
          <w:p w14:paraId="00000293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Oliva</w:t>
            </w:r>
          </w:p>
        </w:tc>
        <w:tc>
          <w:tcPr>
            <w:tcW w:w="1701" w:type="dxa"/>
            <w:vAlign w:val="bottom"/>
          </w:tcPr>
          <w:p w14:paraId="00000294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-11,4%</w:t>
            </w:r>
          </w:p>
        </w:tc>
        <w:tc>
          <w:tcPr>
            <w:tcW w:w="1893" w:type="dxa"/>
            <w:vAlign w:val="bottom"/>
          </w:tcPr>
          <w:p w14:paraId="0000029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-11,7%</w:t>
            </w:r>
          </w:p>
        </w:tc>
        <w:tc>
          <w:tcPr>
            <w:tcW w:w="1783" w:type="dxa"/>
            <w:vAlign w:val="bottom"/>
          </w:tcPr>
          <w:p w14:paraId="00000296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1.562 € </w:t>
            </w:r>
          </w:p>
        </w:tc>
      </w:tr>
      <w:tr w:rsidR="00FA2305" w14:paraId="216F1A48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97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050" w:type="dxa"/>
            <w:vAlign w:val="bottom"/>
          </w:tcPr>
          <w:p w14:paraId="00000298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Benaguasil</w:t>
            </w:r>
          </w:p>
        </w:tc>
        <w:tc>
          <w:tcPr>
            <w:tcW w:w="1701" w:type="dxa"/>
            <w:vAlign w:val="bottom"/>
          </w:tcPr>
          <w:p w14:paraId="00000299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-10,1%</w:t>
            </w:r>
          </w:p>
        </w:tc>
        <w:tc>
          <w:tcPr>
            <w:tcW w:w="1893" w:type="dxa"/>
            <w:vAlign w:val="bottom"/>
          </w:tcPr>
          <w:p w14:paraId="0000029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-4,3%</w:t>
            </w:r>
          </w:p>
        </w:tc>
        <w:tc>
          <w:tcPr>
            <w:tcW w:w="1783" w:type="dxa"/>
            <w:vAlign w:val="bottom"/>
          </w:tcPr>
          <w:p w14:paraId="0000029B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855 € </w:t>
            </w:r>
          </w:p>
        </w:tc>
      </w:tr>
      <w:tr w:rsidR="00FA2305" w14:paraId="3E501193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9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050" w:type="dxa"/>
            <w:vAlign w:val="bottom"/>
          </w:tcPr>
          <w:p w14:paraId="0000029D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Puig</w:t>
            </w:r>
          </w:p>
        </w:tc>
        <w:tc>
          <w:tcPr>
            <w:tcW w:w="1701" w:type="dxa"/>
            <w:vAlign w:val="bottom"/>
          </w:tcPr>
          <w:p w14:paraId="0000029E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-10,1%</w:t>
            </w:r>
          </w:p>
        </w:tc>
        <w:tc>
          <w:tcPr>
            <w:tcW w:w="1893" w:type="dxa"/>
            <w:vAlign w:val="bottom"/>
          </w:tcPr>
          <w:p w14:paraId="0000029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-20,8%</w:t>
            </w:r>
          </w:p>
        </w:tc>
        <w:tc>
          <w:tcPr>
            <w:tcW w:w="1783" w:type="dxa"/>
            <w:vAlign w:val="bottom"/>
          </w:tcPr>
          <w:p w14:paraId="000002A0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1.239 € </w:t>
            </w:r>
          </w:p>
        </w:tc>
      </w:tr>
      <w:tr w:rsidR="00FA2305" w14:paraId="20BF10F1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A1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050" w:type="dxa"/>
            <w:vAlign w:val="bottom"/>
          </w:tcPr>
          <w:p w14:paraId="000002A2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Deltebre</w:t>
            </w:r>
          </w:p>
        </w:tc>
        <w:tc>
          <w:tcPr>
            <w:tcW w:w="1701" w:type="dxa"/>
            <w:vAlign w:val="bottom"/>
          </w:tcPr>
          <w:p w14:paraId="000002A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-8,1%</w:t>
            </w:r>
          </w:p>
        </w:tc>
        <w:tc>
          <w:tcPr>
            <w:tcW w:w="1893" w:type="dxa"/>
            <w:vAlign w:val="bottom"/>
          </w:tcPr>
          <w:p w14:paraId="000002A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-11,7%</w:t>
            </w:r>
          </w:p>
        </w:tc>
        <w:tc>
          <w:tcPr>
            <w:tcW w:w="1783" w:type="dxa"/>
            <w:vAlign w:val="bottom"/>
          </w:tcPr>
          <w:p w14:paraId="000002A5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744 € </w:t>
            </w:r>
          </w:p>
        </w:tc>
      </w:tr>
      <w:tr w:rsidR="00FA2305" w14:paraId="5CF9AD8A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A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050" w:type="dxa"/>
            <w:vAlign w:val="bottom"/>
          </w:tcPr>
          <w:p w14:paraId="000002A7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Calasparra</w:t>
            </w:r>
          </w:p>
        </w:tc>
        <w:tc>
          <w:tcPr>
            <w:tcW w:w="1701" w:type="dxa"/>
            <w:vAlign w:val="bottom"/>
          </w:tcPr>
          <w:p w14:paraId="000002A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-7,6%</w:t>
            </w:r>
          </w:p>
        </w:tc>
        <w:tc>
          <w:tcPr>
            <w:tcW w:w="1893" w:type="dxa"/>
            <w:vAlign w:val="bottom"/>
          </w:tcPr>
          <w:p w14:paraId="000002A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000002AA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660 € </w:t>
            </w:r>
          </w:p>
        </w:tc>
      </w:tr>
      <w:tr w:rsidR="00FA2305" w14:paraId="7183659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A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050" w:type="dxa"/>
            <w:vAlign w:val="bottom"/>
          </w:tcPr>
          <w:p w14:paraId="000002AC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Fuente Álamo de Murcia</w:t>
            </w:r>
          </w:p>
        </w:tc>
        <w:tc>
          <w:tcPr>
            <w:tcW w:w="1701" w:type="dxa"/>
            <w:vAlign w:val="bottom"/>
          </w:tcPr>
          <w:p w14:paraId="000002A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-7,5%</w:t>
            </w:r>
          </w:p>
        </w:tc>
        <w:tc>
          <w:tcPr>
            <w:tcW w:w="1893" w:type="dxa"/>
            <w:vAlign w:val="bottom"/>
          </w:tcPr>
          <w:p w14:paraId="000002A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-16,5%</w:t>
            </w:r>
          </w:p>
        </w:tc>
        <w:tc>
          <w:tcPr>
            <w:tcW w:w="1783" w:type="dxa"/>
            <w:vAlign w:val="bottom"/>
          </w:tcPr>
          <w:p w14:paraId="000002AF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788 € </w:t>
            </w:r>
          </w:p>
        </w:tc>
      </w:tr>
      <w:tr w:rsidR="00FA2305" w14:paraId="58DE3A1C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B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000002B1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Castalla</w:t>
            </w:r>
          </w:p>
        </w:tc>
        <w:tc>
          <w:tcPr>
            <w:tcW w:w="1701" w:type="dxa"/>
            <w:vAlign w:val="bottom"/>
          </w:tcPr>
          <w:p w14:paraId="000002B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-7,3%</w:t>
            </w:r>
          </w:p>
        </w:tc>
        <w:tc>
          <w:tcPr>
            <w:tcW w:w="1893" w:type="dxa"/>
            <w:vAlign w:val="bottom"/>
          </w:tcPr>
          <w:p w14:paraId="000002B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5,4%</w:t>
            </w:r>
          </w:p>
        </w:tc>
        <w:tc>
          <w:tcPr>
            <w:tcW w:w="1783" w:type="dxa"/>
            <w:vAlign w:val="bottom"/>
          </w:tcPr>
          <w:p w14:paraId="000002B4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   747 € </w:t>
            </w:r>
          </w:p>
        </w:tc>
      </w:tr>
      <w:tr w:rsidR="00FA2305" w14:paraId="60682A99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0002B5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000002B6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Benissa</w:t>
            </w:r>
          </w:p>
        </w:tc>
        <w:tc>
          <w:tcPr>
            <w:tcW w:w="1701" w:type="dxa"/>
            <w:vAlign w:val="bottom"/>
          </w:tcPr>
          <w:p w14:paraId="000002B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-18,2%</w:t>
            </w:r>
          </w:p>
        </w:tc>
        <w:tc>
          <w:tcPr>
            <w:tcW w:w="1893" w:type="dxa"/>
            <w:vAlign w:val="bottom"/>
          </w:tcPr>
          <w:p w14:paraId="000002B8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6,8%</w:t>
            </w:r>
          </w:p>
        </w:tc>
        <w:tc>
          <w:tcPr>
            <w:tcW w:w="1783" w:type="dxa"/>
            <w:vAlign w:val="bottom"/>
          </w:tcPr>
          <w:p w14:paraId="000002B9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  1.051 € </w:t>
            </w:r>
          </w:p>
        </w:tc>
      </w:tr>
    </w:tbl>
    <w:p w14:paraId="000002BA" w14:textId="77777777" w:rsidR="00FA2305" w:rsidRDefault="00B852C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precio en mayo de 2021</w:t>
      </w:r>
    </w:p>
    <w:tbl>
      <w:tblPr>
        <w:tblStyle w:val="a4"/>
        <w:tblW w:w="908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843"/>
        <w:gridCol w:w="1701"/>
        <w:gridCol w:w="1851"/>
      </w:tblGrid>
      <w:tr w:rsidR="00FA2305" w14:paraId="1737150A" w14:textId="77777777" w:rsidTr="00FA2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00002B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000002BC" w14:textId="77777777" w:rsidR="00FA2305" w:rsidRDefault="00B852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Municipio</w:t>
            </w:r>
          </w:p>
        </w:tc>
        <w:tc>
          <w:tcPr>
            <w:tcW w:w="1843" w:type="dxa"/>
          </w:tcPr>
          <w:p w14:paraId="000002BD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Mayo 2021</w:t>
            </w:r>
          </w:p>
          <w:p w14:paraId="000002BE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(euros/m²)</w:t>
            </w:r>
          </w:p>
        </w:tc>
        <w:tc>
          <w:tcPr>
            <w:tcW w:w="1701" w:type="dxa"/>
          </w:tcPr>
          <w:p w14:paraId="000002BF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2C0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mensual (%)</w:t>
            </w:r>
          </w:p>
        </w:tc>
        <w:tc>
          <w:tcPr>
            <w:tcW w:w="1851" w:type="dxa"/>
          </w:tcPr>
          <w:p w14:paraId="000002C1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Variación</w:t>
            </w:r>
          </w:p>
          <w:p w14:paraId="000002C2" w14:textId="77777777" w:rsidR="00FA2305" w:rsidRDefault="00B85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interanual (%)</w:t>
            </w:r>
          </w:p>
        </w:tc>
      </w:tr>
      <w:tr w:rsidR="00FA2305" w14:paraId="372ED1DD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C3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000002C4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843" w:type="dxa"/>
            <w:vAlign w:val="bottom"/>
          </w:tcPr>
          <w:p w14:paraId="000002C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5.522 €</w:t>
            </w:r>
          </w:p>
        </w:tc>
        <w:tc>
          <w:tcPr>
            <w:tcW w:w="1701" w:type="dxa"/>
            <w:vAlign w:val="bottom"/>
          </w:tcPr>
          <w:p w14:paraId="000002C6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851" w:type="dxa"/>
            <w:vAlign w:val="bottom"/>
          </w:tcPr>
          <w:p w14:paraId="000002C7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1,2%</w:t>
            </w:r>
          </w:p>
        </w:tc>
      </w:tr>
      <w:tr w:rsidR="00FA2305" w14:paraId="1A35CBBA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C8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000002C9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843" w:type="dxa"/>
            <w:vAlign w:val="bottom"/>
          </w:tcPr>
          <w:p w14:paraId="000002C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5.007 €</w:t>
            </w:r>
          </w:p>
        </w:tc>
        <w:tc>
          <w:tcPr>
            <w:tcW w:w="1701" w:type="dxa"/>
            <w:vAlign w:val="bottom"/>
          </w:tcPr>
          <w:p w14:paraId="000002CB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851" w:type="dxa"/>
            <w:vAlign w:val="bottom"/>
          </w:tcPr>
          <w:p w14:paraId="000002CC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-3,4%</w:t>
            </w:r>
          </w:p>
        </w:tc>
      </w:tr>
      <w:tr w:rsidR="00FA2305" w14:paraId="1CD55A24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CD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000002CE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843" w:type="dxa"/>
            <w:vAlign w:val="bottom"/>
          </w:tcPr>
          <w:p w14:paraId="000002C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4.923 €</w:t>
            </w:r>
          </w:p>
        </w:tc>
        <w:tc>
          <w:tcPr>
            <w:tcW w:w="1701" w:type="dxa"/>
            <w:vAlign w:val="bottom"/>
          </w:tcPr>
          <w:p w14:paraId="000002D0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51" w:type="dxa"/>
            <w:vAlign w:val="bottom"/>
          </w:tcPr>
          <w:p w14:paraId="000002D1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3,5%</w:t>
            </w:r>
          </w:p>
        </w:tc>
      </w:tr>
      <w:tr w:rsidR="00FA2305" w14:paraId="3FEFDA10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D2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00002D3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843" w:type="dxa"/>
            <w:vAlign w:val="bottom"/>
          </w:tcPr>
          <w:p w14:paraId="000002D4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4.847 €</w:t>
            </w:r>
          </w:p>
        </w:tc>
        <w:tc>
          <w:tcPr>
            <w:tcW w:w="1701" w:type="dxa"/>
            <w:vAlign w:val="bottom"/>
          </w:tcPr>
          <w:p w14:paraId="000002D5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851" w:type="dxa"/>
            <w:vAlign w:val="bottom"/>
          </w:tcPr>
          <w:p w14:paraId="000002D6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60,0%</w:t>
            </w:r>
          </w:p>
        </w:tc>
      </w:tr>
      <w:tr w:rsidR="00FA2305" w14:paraId="6F8D807C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D7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000002D8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843" w:type="dxa"/>
            <w:vAlign w:val="bottom"/>
          </w:tcPr>
          <w:p w14:paraId="000002D9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4.427 €</w:t>
            </w:r>
          </w:p>
        </w:tc>
        <w:tc>
          <w:tcPr>
            <w:tcW w:w="1701" w:type="dxa"/>
            <w:vAlign w:val="bottom"/>
          </w:tcPr>
          <w:p w14:paraId="000002DA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851" w:type="dxa"/>
            <w:vAlign w:val="bottom"/>
          </w:tcPr>
          <w:p w14:paraId="000002DB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</w:tr>
      <w:tr w:rsidR="00FA2305" w14:paraId="22870BBC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DC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00002DD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843" w:type="dxa"/>
            <w:vAlign w:val="bottom"/>
          </w:tcPr>
          <w:p w14:paraId="000002DE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4.386 €</w:t>
            </w:r>
          </w:p>
        </w:tc>
        <w:tc>
          <w:tcPr>
            <w:tcW w:w="1701" w:type="dxa"/>
            <w:vAlign w:val="bottom"/>
          </w:tcPr>
          <w:p w14:paraId="000002DF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851" w:type="dxa"/>
            <w:vAlign w:val="bottom"/>
          </w:tcPr>
          <w:p w14:paraId="000002E0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1,6%</w:t>
            </w:r>
          </w:p>
        </w:tc>
      </w:tr>
      <w:tr w:rsidR="00FA2305" w14:paraId="31D9FA59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E1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00002E2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843" w:type="dxa"/>
            <w:vAlign w:val="bottom"/>
          </w:tcPr>
          <w:p w14:paraId="000002E3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4.369 €</w:t>
            </w:r>
          </w:p>
        </w:tc>
        <w:tc>
          <w:tcPr>
            <w:tcW w:w="1701" w:type="dxa"/>
            <w:vAlign w:val="bottom"/>
          </w:tcPr>
          <w:p w14:paraId="000002E4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51" w:type="dxa"/>
            <w:vAlign w:val="bottom"/>
          </w:tcPr>
          <w:p w14:paraId="000002E5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-4,2%</w:t>
            </w:r>
          </w:p>
        </w:tc>
      </w:tr>
      <w:tr w:rsidR="00FA2305" w14:paraId="1265F403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E6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000002E7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843" w:type="dxa"/>
            <w:vAlign w:val="bottom"/>
          </w:tcPr>
          <w:p w14:paraId="000002E8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4.296 €</w:t>
            </w:r>
          </w:p>
        </w:tc>
        <w:tc>
          <w:tcPr>
            <w:tcW w:w="1701" w:type="dxa"/>
            <w:vAlign w:val="bottom"/>
          </w:tcPr>
          <w:p w14:paraId="000002E9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851" w:type="dxa"/>
            <w:vAlign w:val="bottom"/>
          </w:tcPr>
          <w:p w14:paraId="000002EA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2,0%</w:t>
            </w:r>
          </w:p>
        </w:tc>
      </w:tr>
      <w:tr w:rsidR="00FA2305" w14:paraId="6C4EDC19" w14:textId="77777777" w:rsidTr="00FA2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EB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000002EC" w14:textId="77777777" w:rsidR="00FA2305" w:rsidRDefault="00B85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843" w:type="dxa"/>
            <w:vAlign w:val="bottom"/>
          </w:tcPr>
          <w:p w14:paraId="000002ED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4.259 €</w:t>
            </w:r>
          </w:p>
        </w:tc>
        <w:tc>
          <w:tcPr>
            <w:tcW w:w="1701" w:type="dxa"/>
            <w:vAlign w:val="bottom"/>
          </w:tcPr>
          <w:p w14:paraId="000002EE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851" w:type="dxa"/>
            <w:vAlign w:val="bottom"/>
          </w:tcPr>
          <w:p w14:paraId="000002EF" w14:textId="77777777" w:rsidR="00FA2305" w:rsidRDefault="00B85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23,9%</w:t>
            </w:r>
          </w:p>
        </w:tc>
      </w:tr>
      <w:tr w:rsidR="00FA2305" w14:paraId="285E9016" w14:textId="77777777" w:rsidTr="00FA230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0002F0" w14:textId="77777777" w:rsidR="00FA2305" w:rsidRDefault="00B852C7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000002F1" w14:textId="77777777" w:rsidR="00FA2305" w:rsidRDefault="00B85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Hondarribia</w:t>
            </w:r>
          </w:p>
        </w:tc>
        <w:tc>
          <w:tcPr>
            <w:tcW w:w="1843" w:type="dxa"/>
            <w:vAlign w:val="bottom"/>
          </w:tcPr>
          <w:p w14:paraId="000002F2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4.250 €</w:t>
            </w:r>
          </w:p>
        </w:tc>
        <w:tc>
          <w:tcPr>
            <w:tcW w:w="1701" w:type="dxa"/>
            <w:vAlign w:val="bottom"/>
          </w:tcPr>
          <w:p w14:paraId="000002F3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851" w:type="dxa"/>
            <w:vAlign w:val="bottom"/>
          </w:tcPr>
          <w:p w14:paraId="000002F4" w14:textId="77777777" w:rsidR="00FA2305" w:rsidRDefault="00B85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-4,5%</w:t>
            </w:r>
          </w:p>
        </w:tc>
      </w:tr>
    </w:tbl>
    <w:p w14:paraId="000002F5" w14:textId="77777777" w:rsidR="00FA2305" w:rsidRDefault="00FA230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07CA6F9B" w14:textId="77777777" w:rsidR="0087387E" w:rsidRDefault="0087387E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249AE2A" w14:textId="77777777" w:rsidR="0087387E" w:rsidRDefault="0087387E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7D90D88" w14:textId="77777777" w:rsidR="0087387E" w:rsidRDefault="0087387E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8AB0CD6" w14:textId="77777777" w:rsidR="00521BB8" w:rsidRDefault="00521BB8" w:rsidP="00E320EE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55187057" w14:textId="77777777" w:rsidR="00521BB8" w:rsidRDefault="00521BB8" w:rsidP="00E320E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259AAA86" w14:textId="77777777" w:rsidR="00521BB8" w:rsidRDefault="00521BB8" w:rsidP="00E320EE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1" w:name="_heading=h.30j0zll" w:colFirst="0" w:colLast="0"/>
    <w:bookmarkEnd w:id="1"/>
    <w:p w14:paraId="398CA641" w14:textId="77777777" w:rsidR="00521BB8" w:rsidRDefault="00521BB8" w:rsidP="00E320E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63D2E1B4" w14:textId="77777777" w:rsidR="00521BB8" w:rsidRDefault="00521BB8" w:rsidP="00E320EE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2C29AB48" w14:textId="77777777" w:rsidR="00521BB8" w:rsidRDefault="00521BB8" w:rsidP="00E320EE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59CAA6B" w14:textId="77777777" w:rsidR="00521BB8" w:rsidRDefault="00521BB8" w:rsidP="00E320E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Fotocasa y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habitaclia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InfoJobs</w:t>
      </w:r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coches.net y motos.net</w:t>
      </w:r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Milanuncios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vibbo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).</w:t>
      </w:r>
    </w:p>
    <w:p w14:paraId="7642ACB9" w14:textId="77777777" w:rsidR="00521BB8" w:rsidRDefault="00521BB8" w:rsidP="00E320EE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1.100 empleados comprometidos con fomentar un cambio positivo en el mundo a través de tecnología innovadora, otorgando una nueva oportunidad a quienes la están buscando y dando a las cosas una segunda vida.</w:t>
      </w:r>
    </w:p>
    <w:p w14:paraId="76E93DF3" w14:textId="77777777" w:rsidR="00521BB8" w:rsidRDefault="00521BB8" w:rsidP="00E320EE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en 11 países de Europa y América Latina. El conjunto de sus</w:t>
      </w:r>
    </w:p>
    <w:p w14:paraId="6CFA8025" w14:textId="77777777" w:rsidR="00521BB8" w:rsidRDefault="00521BB8" w:rsidP="00E320EE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plataformas locales reciben un promedio de 1.300 millones de visitas cada mes.</w:t>
      </w:r>
    </w:p>
    <w:p w14:paraId="611308CB" w14:textId="77777777" w:rsidR="00521BB8" w:rsidRDefault="00521BB8" w:rsidP="00E320EE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454F9B" w14:textId="77777777" w:rsidR="00521BB8" w:rsidRDefault="00521BB8" w:rsidP="00E320EE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adevinta.es</w:t>
        </w:r>
      </w:hyperlink>
    </w:p>
    <w:p w14:paraId="280BAA74" w14:textId="77777777" w:rsidR="00521BB8" w:rsidRDefault="00521BB8" w:rsidP="00E320EE">
      <w:pPr>
        <w:shd w:val="clear" w:color="auto" w:fill="FFFFFF"/>
        <w:spacing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6296E002" w14:textId="1D4F070D" w:rsidR="00521BB8" w:rsidRDefault="00521BB8" w:rsidP="00E320EE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</w:t>
      </w:r>
      <w:r w:rsidR="00E320EE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511C8B96" w14:textId="006F4B5D" w:rsidR="00521BB8" w:rsidRDefault="00521BB8" w:rsidP="00E320EE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   </w:t>
      </w:r>
      <w:r w:rsidR="00E320EE"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Anaïs López </w:t>
      </w:r>
    </w:p>
    <w:p w14:paraId="4F23D1AF" w14:textId="213B51AD" w:rsidR="00521BB8" w:rsidRDefault="00521BB8" w:rsidP="00E320EE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17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</w:t>
      </w:r>
      <w:r>
        <w:rPr>
          <w:rFonts w:ascii="Open Sans" w:eastAsia="Open Sans" w:hAnsi="Open Sans" w:cs="Open Sans"/>
          <w:color w:val="0000FF"/>
          <w:sz w:val="19"/>
          <w:szCs w:val="19"/>
        </w:rPr>
        <w:t xml:space="preserve"> </w:t>
      </w:r>
      <w:r w:rsidR="00E320EE">
        <w:rPr>
          <w:rFonts w:ascii="Open Sans" w:eastAsia="Open Sans" w:hAnsi="Open Sans" w:cs="Open Sans"/>
          <w:color w:val="0000FF"/>
          <w:sz w:val="19"/>
          <w:szCs w:val="19"/>
        </w:rPr>
        <w:t xml:space="preserve"> </w:t>
      </w:r>
      <w:hyperlink r:id="rId18" w:history="1">
        <w:r w:rsidR="00E320EE" w:rsidRPr="00911CA1">
          <w:rPr>
            <w:rStyle w:val="Hipervnculo"/>
            <w:rFonts w:ascii="Open Sans" w:eastAsia="Open Sans" w:hAnsi="Open Sans" w:cs="Open Sans"/>
            <w:sz w:val="19"/>
            <w:szCs w:val="19"/>
          </w:rPr>
          <w:t>comunicacion@fotocasa.es</w:t>
        </w:r>
      </w:hyperlink>
    </w:p>
    <w:p w14:paraId="2C2FF866" w14:textId="0B630462" w:rsidR="00521BB8" w:rsidRDefault="00521BB8" w:rsidP="00E320EE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           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  620 66 29 26</w:t>
      </w:r>
    </w:p>
    <w:p w14:paraId="47592204" w14:textId="77777777" w:rsidR="00521BB8" w:rsidRDefault="00521BB8" w:rsidP="00E320EE">
      <w:pPr>
        <w:shd w:val="clear" w:color="auto" w:fill="FFFFFF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417ADFCD" w14:textId="77777777" w:rsidR="00521BB8" w:rsidRDefault="00521BB8" w:rsidP="00E320EE">
      <w:pPr>
        <w:shd w:val="clear" w:color="auto" w:fill="FFFFFF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21E887FA" w14:textId="77777777" w:rsidR="00521BB8" w:rsidRDefault="00521BB8" w:rsidP="00E320EE">
      <w:pPr>
        <w:shd w:val="clear" w:color="auto" w:fill="FFFFFF"/>
        <w:rPr>
          <w:rFonts w:ascii="Open Sans" w:eastAsia="Open Sans" w:hAnsi="Open Sans" w:cs="Open Sans"/>
          <w:color w:val="0000FF"/>
          <w:sz w:val="19"/>
          <w:szCs w:val="19"/>
        </w:rPr>
      </w:pPr>
      <w:hyperlink r:id="rId19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70B546C0" w14:textId="77777777" w:rsidR="00521BB8" w:rsidRDefault="00521BB8" w:rsidP="00E320EE">
      <w:pPr>
        <w:shd w:val="clear" w:color="auto" w:fill="FFFFFF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75683825" w14:textId="77777777" w:rsidR="00521BB8" w:rsidRDefault="00521BB8" w:rsidP="00521BB8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sectPr w:rsidR="00521BB8">
      <w:footerReference w:type="default" r:id="rId20"/>
      <w:pgSz w:w="11900" w:h="16840"/>
      <w:pgMar w:top="1417" w:right="112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C6D3" w14:textId="77777777" w:rsidR="00B852C7" w:rsidRDefault="00B852C7">
      <w:r>
        <w:separator/>
      </w:r>
    </w:p>
  </w:endnote>
  <w:endnote w:type="continuationSeparator" w:id="0">
    <w:p w14:paraId="32F9B0F8" w14:textId="77777777" w:rsidR="00B852C7" w:rsidRDefault="00B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05" w14:textId="77777777" w:rsidR="00FA2305" w:rsidRDefault="00B852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A542" w14:textId="77777777" w:rsidR="00B852C7" w:rsidRDefault="00B852C7">
      <w:r>
        <w:separator/>
      </w:r>
    </w:p>
  </w:footnote>
  <w:footnote w:type="continuationSeparator" w:id="0">
    <w:p w14:paraId="5B67C98F" w14:textId="77777777" w:rsidR="00B852C7" w:rsidRDefault="00B8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81"/>
    <w:multiLevelType w:val="multilevel"/>
    <w:tmpl w:val="F0685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05"/>
    <w:rsid w:val="00291440"/>
    <w:rsid w:val="00521BB8"/>
    <w:rsid w:val="007A76DA"/>
    <w:rsid w:val="0087387E"/>
    <w:rsid w:val="00B852C7"/>
    <w:rsid w:val="00E320EE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0FCD"/>
  <w15:docId w15:val="{1099135D-8474-46AD-88DE-8F52B9A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E3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" TargetMode="External"/><Relationship Id="rId17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evint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mailto:emerino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1-VENTA\01-NOTAS%20DE%20PRENSA\2021\05-MAYO\PRENSA%20VENTA%20MAYO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89913341540741254"/>
          <c:h val="0.63530895928511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6.78264575522980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26-4D83-95C1-917F1331ED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1.3158036706552689</c:v>
                </c:pt>
                <c:pt idx="1">
                  <c:v>-0.23109568106666201</c:v>
                </c:pt>
                <c:pt idx="2">
                  <c:v>0.74933152582898899</c:v>
                </c:pt>
                <c:pt idx="3">
                  <c:v>-0.56099718706793533</c:v>
                </c:pt>
                <c:pt idx="4">
                  <c:v>-1.6860935901806928</c:v>
                </c:pt>
                <c:pt idx="5">
                  <c:v>0.75590499981035286</c:v>
                </c:pt>
                <c:pt idx="6">
                  <c:v>0.96159017327983598</c:v>
                </c:pt>
                <c:pt idx="7">
                  <c:v>-7.4042507857019491E-2</c:v>
                </c:pt>
                <c:pt idx="8">
                  <c:v>-0.12097835254770706</c:v>
                </c:pt>
                <c:pt idx="9">
                  <c:v>0.48458841206828751</c:v>
                </c:pt>
                <c:pt idx="10">
                  <c:v>0.76431970765700186</c:v>
                </c:pt>
                <c:pt idx="11">
                  <c:v>-0.46597192571858903</c:v>
                </c:pt>
                <c:pt idx="12">
                  <c:v>0.23142876813169178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26-4D83-95C1-917F1331EDC9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4.1449023014864612E-17"/>
                  <c:y val="-2.394093563815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26-4D83-95C1-917F1331EDC9}"/>
                </c:ext>
              </c:extLst>
            </c:dLbl>
            <c:dLbl>
              <c:idx val="6"/>
              <c:layout>
                <c:manualLayout>
                  <c:x val="1.58263621976034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26-4D83-95C1-917F1331ED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MAY</c:v>
                  </c:pt>
                  <c:pt idx="1">
                    <c:v>JUN</c:v>
                  </c:pt>
                  <c:pt idx="2">
                    <c:v>JUL</c:v>
                  </c:pt>
                  <c:pt idx="3">
                    <c:v>AGO</c:v>
                  </c:pt>
                  <c:pt idx="4">
                    <c:v>SEP</c:v>
                  </c:pt>
                  <c:pt idx="5">
                    <c:v>OCT</c:v>
                  </c:pt>
                  <c:pt idx="6">
                    <c:v>NOV</c:v>
                  </c:pt>
                  <c:pt idx="7">
                    <c:v>DIC</c:v>
                  </c:pt>
                  <c:pt idx="8">
                    <c:v>ENE</c:v>
                  </c:pt>
                  <c:pt idx="9">
                    <c:v>FEB</c:v>
                  </c:pt>
                  <c:pt idx="10">
                    <c:v>MAR</c:v>
                  </c:pt>
                  <c:pt idx="11">
                    <c:v>ABR</c:v>
                  </c:pt>
                  <c:pt idx="12">
                    <c:v>MAY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-1.0605431441696123</c:v>
                </c:pt>
                <c:pt idx="1">
                  <c:v>-1.8914307125737828</c:v>
                </c:pt>
                <c:pt idx="2">
                  <c:v>-0.70173314193738845</c:v>
                </c:pt>
                <c:pt idx="3">
                  <c:v>-0.75121819166216186</c:v>
                </c:pt>
                <c:pt idx="4">
                  <c:v>-2.3876150058407042</c:v>
                </c:pt>
                <c:pt idx="5">
                  <c:v>-1.7295082279115137</c:v>
                </c:pt>
                <c:pt idx="6">
                  <c:v>0.71838232532686064</c:v>
                </c:pt>
                <c:pt idx="7">
                  <c:v>1.6389800938417798</c:v>
                </c:pt>
                <c:pt idx="8">
                  <c:v>1.7768494720995509</c:v>
                </c:pt>
                <c:pt idx="9">
                  <c:v>2.1596162611507763</c:v>
                </c:pt>
                <c:pt idx="10">
                  <c:v>2.866345478918797</c:v>
                </c:pt>
                <c:pt idx="11">
                  <c:v>1.8693151778681694</c:v>
                </c:pt>
                <c:pt idx="12">
                  <c:v>0.77901608617632068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26-4D83-95C1-917F1331E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40494727317739"/>
          <c:h val="9.1817028103173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0.03144</cdr:x>
      <cdr:y>0.42538</cdr:y>
    </cdr:from>
    <cdr:to>
      <cdr:x>0.94926</cdr:x>
      <cdr:y>0.42563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 flipV="1">
          <a:off x="176597" y="1353816"/>
          <a:ext cx="5155588" cy="795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m53vAxYiPHxq/CVVKo2QMkaWQ==">AMUW2mVhUEX7UXLcDDemJTB1MR7K1FncW0wJ393+8Xxdhgxv15g1kusvyQ1xSFOwXZl6WecsFUYmS+bpVMrBX97J9i0xJW5XerL8snK/8uMmt6reIKmjZTyaxRhbtffrdK/qtAKmmuYA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2289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7</cp:revision>
  <cp:lastPrinted>2021-06-02T12:55:00Z</cp:lastPrinted>
  <dcterms:created xsi:type="dcterms:W3CDTF">2020-08-26T10:47:00Z</dcterms:created>
  <dcterms:modified xsi:type="dcterms:W3CDTF">2021-06-02T13:18:00Z</dcterms:modified>
</cp:coreProperties>
</file>