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57B7D" w:rsidRDefault="00117B41">
      <w:pPr>
        <w:ind w:right="-574"/>
      </w:pPr>
      <w:r>
        <w:rPr>
          <w:noProof/>
        </w:rPr>
        <w:drawing>
          <wp:anchor distT="0" distB="0" distL="114300" distR="114300" simplePos="0" relativeHeight="251658240" behindDoc="0" locked="0" layoutInCell="1" hidden="0" allowOverlap="1">
            <wp:simplePos x="0" y="0"/>
            <wp:positionH relativeFrom="column">
              <wp:posOffset>-1078860</wp:posOffset>
            </wp:positionH>
            <wp:positionV relativeFrom="paragraph">
              <wp:posOffset>-350448</wp:posOffset>
            </wp:positionV>
            <wp:extent cx="7581265" cy="1019175"/>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A57B7D" w:rsidRDefault="00A57B7D">
      <w:pPr>
        <w:ind w:right="-574"/>
        <w:jc w:val="right"/>
        <w:rPr>
          <w:rFonts w:ascii="National" w:eastAsia="National" w:hAnsi="National" w:cs="National"/>
          <w:color w:val="303AB2"/>
          <w:sz w:val="36"/>
          <w:szCs w:val="36"/>
        </w:rPr>
      </w:pPr>
    </w:p>
    <w:p w14:paraId="00000003" w14:textId="77777777" w:rsidR="00A57B7D" w:rsidRDefault="00A57B7D">
      <w:pPr>
        <w:ind w:right="-574"/>
        <w:jc w:val="right"/>
        <w:rPr>
          <w:rFonts w:ascii="National" w:eastAsia="National" w:hAnsi="National" w:cs="National"/>
          <w:color w:val="303AB2"/>
          <w:sz w:val="36"/>
          <w:szCs w:val="36"/>
        </w:rPr>
      </w:pPr>
    </w:p>
    <w:p w14:paraId="00000004" w14:textId="77777777" w:rsidR="00A57B7D" w:rsidRDefault="00A57B7D">
      <w:pPr>
        <w:spacing w:line="276" w:lineRule="auto"/>
        <w:ind w:right="-574"/>
        <w:jc w:val="center"/>
        <w:rPr>
          <w:rFonts w:ascii="National" w:eastAsia="National" w:hAnsi="National" w:cs="National"/>
          <w:b/>
          <w:color w:val="1DBDC5"/>
          <w:sz w:val="20"/>
          <w:szCs w:val="20"/>
        </w:rPr>
      </w:pPr>
    </w:p>
    <w:p w14:paraId="00000005" w14:textId="77777777" w:rsidR="00A57B7D" w:rsidRDefault="00117B41">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RADIOGRAFÍA DEL MERCADO DE LA VIVIENDA: UN AÑO DE PANDEMIA</w:t>
      </w:r>
    </w:p>
    <w:p w14:paraId="00000006" w14:textId="0940B6FC" w:rsidR="00A57B7D" w:rsidRDefault="00117B41">
      <w:pPr>
        <w:shd w:val="clear" w:color="auto" w:fill="FFFFFF"/>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Los jóvenes ganan protagonismo </w:t>
      </w:r>
      <w:r w:rsidR="00591D6A">
        <w:rPr>
          <w:rFonts w:ascii="National" w:eastAsia="National" w:hAnsi="National" w:cs="National"/>
          <w:b/>
          <w:color w:val="303AB2"/>
          <w:sz w:val="46"/>
          <w:szCs w:val="46"/>
        </w:rPr>
        <w:t>en la búsqueda de</w:t>
      </w:r>
      <w:r>
        <w:rPr>
          <w:rFonts w:ascii="National" w:eastAsia="National" w:hAnsi="National" w:cs="National"/>
          <w:b/>
          <w:color w:val="303AB2"/>
          <w:sz w:val="46"/>
          <w:szCs w:val="46"/>
        </w:rPr>
        <w:t xml:space="preserve"> vivienda y están más activos que antes de la pandemia</w:t>
      </w:r>
    </w:p>
    <w:p w14:paraId="00000007" w14:textId="77777777" w:rsidR="00A57B7D" w:rsidRDefault="00A57B7D">
      <w:pPr>
        <w:pBdr>
          <w:top w:val="nil"/>
          <w:left w:val="nil"/>
          <w:bottom w:val="nil"/>
          <w:right w:val="nil"/>
          <w:between w:val="nil"/>
        </w:pBdr>
        <w:spacing w:line="276" w:lineRule="auto"/>
        <w:ind w:left="644" w:right="-574"/>
        <w:rPr>
          <w:rFonts w:ascii="Open Sans" w:eastAsia="Open Sans" w:hAnsi="Open Sans" w:cs="Open Sans"/>
          <w:color w:val="000000"/>
          <w:sz w:val="22"/>
          <w:szCs w:val="22"/>
          <w:highlight w:val="yellow"/>
        </w:rPr>
      </w:pPr>
    </w:p>
    <w:p w14:paraId="00000008" w14:textId="77777777" w:rsidR="00A57B7D" w:rsidRDefault="00117B41">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Un 45% de jóvenes de entre 25 y 34 años ha realizado alguna acción en el mercado de la vivienda en los últimos 12 meses</w:t>
      </w:r>
    </w:p>
    <w:p w14:paraId="00000009" w14:textId="77777777" w:rsidR="00A57B7D" w:rsidRDefault="00117B41">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segmentos jóvenes buscan una vivienda que cubra sus necesidades residenciales en un momento de agitación en el mercado; </w:t>
      </w:r>
    </w:p>
    <w:p w14:paraId="0000000A" w14:textId="77777777" w:rsidR="00A57B7D" w:rsidRDefault="00117B41">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más may</w:t>
      </w:r>
      <w:r>
        <w:rPr>
          <w:rFonts w:ascii="Open Sans" w:eastAsia="Open Sans" w:hAnsi="Open Sans" w:cs="Open Sans"/>
          <w:color w:val="000000"/>
          <w:sz w:val="22"/>
          <w:szCs w:val="22"/>
        </w:rPr>
        <w:t>ores tienen un perfil más inversor y están retrayendo la demanda ante las incertidumbres</w:t>
      </w:r>
    </w:p>
    <w:p w14:paraId="0000000B" w14:textId="77777777" w:rsidR="00A57B7D" w:rsidRDefault="00117B41">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jóvenes-adultos (25 a 34 años) buscan más en el mercado de alquiler y menos en el de compraventa que antes de la pandemia</w:t>
      </w:r>
    </w:p>
    <w:p w14:paraId="0000000C" w14:textId="77777777" w:rsidR="00A57B7D" w:rsidRDefault="00117B41">
      <w:pPr>
        <w:numPr>
          <w:ilvl w:val="0"/>
          <w:numId w:val="1"/>
        </w:numPr>
        <w:pBdr>
          <w:top w:val="nil"/>
          <w:left w:val="nil"/>
          <w:bottom w:val="nil"/>
          <w:right w:val="nil"/>
          <w:between w:val="nil"/>
        </w:pBdr>
        <w:spacing w:line="276" w:lineRule="auto"/>
        <w:ind w:right="-574" w:hanging="358"/>
        <w:jc w:val="both"/>
        <w:rPr>
          <w:rFonts w:ascii="Open Sans" w:eastAsia="Open Sans" w:hAnsi="Open Sans" w:cs="Open Sans"/>
          <w:b/>
          <w:color w:val="000000"/>
          <w:sz w:val="22"/>
          <w:szCs w:val="22"/>
        </w:rPr>
      </w:pPr>
      <w:hyperlink r:id="rId9">
        <w:r>
          <w:rPr>
            <w:rFonts w:ascii="Open Sans" w:eastAsia="Open Sans" w:hAnsi="Open Sans" w:cs="Open Sans"/>
            <w:b/>
            <w:color w:val="0000FF"/>
            <w:sz w:val="22"/>
            <w:szCs w:val="22"/>
            <w:u w:val="single"/>
          </w:rPr>
          <w:t>Aquí se puede ver la valoración en vídeo</w:t>
        </w:r>
      </w:hyperlink>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de la directora de Estudios de Fotocasa</w:t>
      </w:r>
    </w:p>
    <w:p w14:paraId="0000000D" w14:textId="77777777" w:rsidR="00A57B7D" w:rsidRDefault="00A57B7D">
      <w:pPr>
        <w:spacing w:line="276" w:lineRule="auto"/>
        <w:ind w:right="-574"/>
        <w:rPr>
          <w:rFonts w:ascii="Open Sans" w:eastAsia="Open Sans" w:hAnsi="Open Sans" w:cs="Open Sans"/>
          <w:sz w:val="22"/>
          <w:szCs w:val="22"/>
        </w:rPr>
      </w:pPr>
    </w:p>
    <w:p w14:paraId="0000000E" w14:textId="77777777" w:rsidR="00A57B7D" w:rsidRDefault="00117B41">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7 de junio de 2021</w:t>
      </w:r>
    </w:p>
    <w:p w14:paraId="0000000F" w14:textId="77777777" w:rsidR="00A57B7D" w:rsidRDefault="00A57B7D">
      <w:pPr>
        <w:spacing w:line="276" w:lineRule="auto"/>
        <w:ind w:right="-574"/>
        <w:rPr>
          <w:rFonts w:ascii="Open Sans Light" w:eastAsia="Open Sans Light" w:hAnsi="Open Sans Light" w:cs="Open Sans Light"/>
          <w:b/>
          <w:color w:val="303AB2"/>
        </w:rPr>
      </w:pPr>
    </w:p>
    <w:p w14:paraId="00000010" w14:textId="77777777" w:rsidR="00A57B7D" w:rsidRDefault="00117B41">
      <w:pPr>
        <w:spacing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La participación en el mercado de la vivienda está muy vinculada al ciclo vital de la</w:t>
      </w:r>
      <w:r>
        <w:rPr>
          <w:rFonts w:ascii="Open Sans" w:eastAsia="Open Sans" w:hAnsi="Open Sans" w:cs="Open Sans"/>
          <w:color w:val="000000"/>
          <w:sz w:val="22"/>
          <w:szCs w:val="22"/>
        </w:rPr>
        <w:t>s personas. Por ello, hay determinadas edades más propicias para realizar cualquier acción en este mercado. Concretamente, hasta los 44 años se concentran los particulares más activos en el mercado de la vivienda. Dentro de este límite destacan especialmen</w:t>
      </w:r>
      <w:r>
        <w:rPr>
          <w:rFonts w:ascii="Open Sans" w:eastAsia="Open Sans" w:hAnsi="Open Sans" w:cs="Open Sans"/>
          <w:color w:val="000000"/>
          <w:sz w:val="22"/>
          <w:szCs w:val="22"/>
        </w:rPr>
        <w:t xml:space="preserve">te los jóvenes de 25 a 34 años. Un segmento en el que el 45% de particulares ha realizado alguna acción en el mercado inmobiliario en los últimos 12 meses. Esta es una de las conclusiones del informe de </w:t>
      </w:r>
      <w:hyperlink r:id="rId10">
        <w:r>
          <w:rPr>
            <w:rFonts w:ascii="Open Sans" w:eastAsia="Open Sans" w:hAnsi="Open Sans" w:cs="Open Sans"/>
            <w:color w:val="0000FF"/>
            <w:sz w:val="22"/>
            <w:szCs w:val="22"/>
            <w:u w:val="single"/>
          </w:rPr>
          <w:t>Foto</w:t>
        </w:r>
        <w:r>
          <w:rPr>
            <w:rFonts w:ascii="Open Sans" w:eastAsia="Open Sans" w:hAnsi="Open Sans" w:cs="Open Sans"/>
            <w:color w:val="0000FF"/>
            <w:sz w:val="22"/>
            <w:szCs w:val="22"/>
            <w:u w:val="single"/>
          </w:rPr>
          <w:t xml:space="preserve">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Radiografía del mercado de la vivienda 2020-2021: un año de pandemia</w:t>
      </w:r>
      <w:r>
        <w:rPr>
          <w:rFonts w:ascii="Open Sans" w:eastAsia="Open Sans" w:hAnsi="Open Sans" w:cs="Open Sans"/>
          <w:color w:val="000000"/>
          <w:sz w:val="22"/>
          <w:szCs w:val="22"/>
        </w:rPr>
        <w:t xml:space="preserve">” elaborado por el portal inmobiliario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con la intención de conocer las consecuencias más directas de la situación provocad</w:t>
      </w:r>
      <w:r>
        <w:rPr>
          <w:rFonts w:ascii="Open Sans" w:eastAsia="Open Sans" w:hAnsi="Open Sans" w:cs="Open Sans"/>
          <w:color w:val="000000"/>
          <w:sz w:val="22"/>
          <w:szCs w:val="22"/>
        </w:rPr>
        <w:t xml:space="preserve">a por el coronavirus y comparándola con la situación justo antes de la pandemia y, en este caso, ahondando en la participación del mercado de la vivienda según la edad de los demandantes. </w:t>
      </w:r>
    </w:p>
    <w:p w14:paraId="00000011" w14:textId="77777777" w:rsidR="00A57B7D" w:rsidRDefault="00A57B7D">
      <w:pPr>
        <w:spacing w:line="276" w:lineRule="auto"/>
        <w:ind w:right="-574"/>
        <w:jc w:val="both"/>
        <w:rPr>
          <w:rFonts w:ascii="Open Sans" w:eastAsia="Open Sans" w:hAnsi="Open Sans" w:cs="Open Sans"/>
          <w:color w:val="000000"/>
          <w:sz w:val="22"/>
          <w:szCs w:val="22"/>
        </w:rPr>
      </w:pPr>
    </w:p>
    <w:p w14:paraId="00000012" w14:textId="77777777" w:rsidR="00A57B7D" w:rsidRDefault="00A57B7D">
      <w:pPr>
        <w:spacing w:line="276" w:lineRule="auto"/>
        <w:ind w:right="-574"/>
        <w:jc w:val="both"/>
        <w:rPr>
          <w:rFonts w:ascii="Open Sans" w:eastAsia="Open Sans" w:hAnsi="Open Sans" w:cs="Open Sans"/>
          <w:color w:val="000000"/>
          <w:sz w:val="22"/>
          <w:szCs w:val="22"/>
        </w:rPr>
      </w:pPr>
    </w:p>
    <w:p w14:paraId="00000013"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Así, el informe muestra cómo los jóvenes de 25 a 34 años son un g</w:t>
      </w:r>
      <w:r>
        <w:rPr>
          <w:rFonts w:ascii="Open Sans" w:eastAsia="Open Sans" w:hAnsi="Open Sans" w:cs="Open Sans"/>
          <w:color w:val="000000"/>
          <w:sz w:val="22"/>
          <w:szCs w:val="22"/>
        </w:rPr>
        <w:t>rupo al que la pandemia no ha frenado sus aspiraciones en materia de vivienda ya que están ahora, incluso, más activos que hace un año cuando eran un 44% de los particulares en esa franja de edad.</w:t>
      </w:r>
    </w:p>
    <w:p w14:paraId="00000014" w14:textId="77777777" w:rsidR="00A57B7D" w:rsidRDefault="00A57B7D">
      <w:pPr>
        <w:spacing w:line="276" w:lineRule="auto"/>
        <w:ind w:right="-574"/>
        <w:jc w:val="both"/>
        <w:rPr>
          <w:rFonts w:ascii="Open Sans" w:eastAsia="Open Sans" w:hAnsi="Open Sans" w:cs="Open Sans"/>
          <w:sz w:val="22"/>
          <w:szCs w:val="22"/>
        </w:rPr>
      </w:pPr>
    </w:p>
    <w:p w14:paraId="00000015" w14:textId="77777777" w:rsidR="00A57B7D" w:rsidRDefault="00117B41">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“Estos datos nos muestran que la mayoría de la población v</w:t>
      </w:r>
      <w:r>
        <w:rPr>
          <w:rFonts w:ascii="Open Sans" w:eastAsia="Open Sans" w:hAnsi="Open Sans" w:cs="Open Sans"/>
          <w:sz w:val="22"/>
          <w:szCs w:val="22"/>
        </w:rPr>
        <w:t>e este momento económico y social como una oportunidad para encontrar vivienda. Por ello, el sector debe buscar formas de colaboración público-privada para que juntos se pueda dar respuesta a esta gran demanda que ha surgido por cambiar de vivienda. Ya sea</w:t>
      </w:r>
      <w:r>
        <w:rPr>
          <w:rFonts w:ascii="Open Sans" w:eastAsia="Open Sans" w:hAnsi="Open Sans" w:cs="Open Sans"/>
          <w:sz w:val="22"/>
          <w:szCs w:val="22"/>
        </w:rPr>
        <w:t xml:space="preserve"> a la hora de facilitar el acceso de la vivienda a los jóvenes, como de aumentar el parque público de vivienda en alquiler y fomentando las rentas asequibles” explica María Matos, directora de Estudios y portavoz de </w:t>
      </w:r>
      <w:hyperlink r:id="rId12">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00000016" w14:textId="77777777" w:rsidR="00A57B7D" w:rsidRDefault="00A57B7D">
      <w:pPr>
        <w:spacing w:line="276" w:lineRule="auto"/>
        <w:ind w:right="-574"/>
        <w:jc w:val="both"/>
        <w:rPr>
          <w:rFonts w:ascii="Open Sans" w:eastAsia="Open Sans" w:hAnsi="Open Sans" w:cs="Open Sans"/>
          <w:color w:val="000000"/>
          <w:sz w:val="22"/>
          <w:szCs w:val="22"/>
        </w:rPr>
      </w:pPr>
    </w:p>
    <w:p w14:paraId="00000017"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Una situación muy distinta se da en los segmentos de mayor edad que, con la llegada de la covid-19, han disminuido su interés por el mercado de vivienda. Por ejemplo, un 26% de particulares de 55 a 75 años</w:t>
      </w:r>
      <w:r>
        <w:rPr>
          <w:rFonts w:ascii="Open Sans" w:eastAsia="Open Sans" w:hAnsi="Open Sans" w:cs="Open Sans"/>
          <w:color w:val="000000"/>
          <w:sz w:val="22"/>
          <w:szCs w:val="22"/>
        </w:rPr>
        <w:t>, en febrero de 2020, había realizado alguna acción en los últimos doce meses. Una cifra que cayó al 20% en agosto del mismo año y que ahora es dos puntos más baja: 18%.</w:t>
      </w:r>
    </w:p>
    <w:p w14:paraId="00000018" w14:textId="77777777" w:rsidR="00A57B7D" w:rsidRDefault="00A57B7D">
      <w:pPr>
        <w:spacing w:line="276" w:lineRule="auto"/>
        <w:ind w:right="-574"/>
        <w:jc w:val="both"/>
        <w:rPr>
          <w:rFonts w:ascii="Open Sans" w:eastAsia="Open Sans" w:hAnsi="Open Sans" w:cs="Open Sans"/>
          <w:color w:val="000000"/>
          <w:sz w:val="22"/>
          <w:szCs w:val="22"/>
        </w:rPr>
      </w:pPr>
    </w:p>
    <w:p w14:paraId="00000019" w14:textId="77777777" w:rsidR="00A57B7D" w:rsidRDefault="00117B41">
      <w:pPr>
        <w:spacing w:line="276" w:lineRule="auto"/>
        <w:ind w:right="-574"/>
        <w:jc w:val="both"/>
        <w:rPr>
          <w:rFonts w:ascii="Open Sans" w:eastAsia="Open Sans" w:hAnsi="Open Sans" w:cs="Open Sans"/>
          <w:color w:val="000000"/>
          <w:sz w:val="22"/>
          <w:szCs w:val="22"/>
        </w:rPr>
      </w:pPr>
      <w:r>
        <w:rPr>
          <w:noProof/>
        </w:rPr>
        <w:drawing>
          <wp:inline distT="0" distB="0" distL="0" distR="0">
            <wp:extent cx="5872687" cy="3585256"/>
            <wp:effectExtent l="0" t="0" r="0" b="0"/>
            <wp:docPr id="18" name="image6.png" descr="Imagen de la pantalla de un celular con la imagen de una mujer&#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png" descr="Imagen de la pantalla de un celular con la imagen de una mujer&#10;&#10;Descripción generada automáticamente con confianza media"/>
                    <pic:cNvPicPr preferRelativeResize="0"/>
                  </pic:nvPicPr>
                  <pic:blipFill>
                    <a:blip r:embed="rId13"/>
                    <a:srcRect/>
                    <a:stretch>
                      <a:fillRect/>
                    </a:stretch>
                  </pic:blipFill>
                  <pic:spPr>
                    <a:xfrm>
                      <a:off x="0" y="0"/>
                      <a:ext cx="5872687" cy="3585256"/>
                    </a:xfrm>
                    <a:prstGeom prst="rect">
                      <a:avLst/>
                    </a:prstGeom>
                    <a:ln/>
                  </pic:spPr>
                </pic:pic>
              </a:graphicData>
            </a:graphic>
          </wp:inline>
        </w:drawing>
      </w:r>
    </w:p>
    <w:p w14:paraId="0000001A" w14:textId="1949B2D1" w:rsidR="00A57B7D" w:rsidRDefault="00A57B7D">
      <w:pPr>
        <w:spacing w:line="276" w:lineRule="auto"/>
        <w:ind w:right="-574"/>
        <w:jc w:val="center"/>
        <w:rPr>
          <w:rFonts w:ascii="Open Sans" w:eastAsia="Open Sans" w:hAnsi="Open Sans" w:cs="Open Sans"/>
          <w:color w:val="000000"/>
          <w:sz w:val="22"/>
          <w:szCs w:val="22"/>
        </w:rPr>
      </w:pPr>
    </w:p>
    <w:p w14:paraId="3B5DCD13" w14:textId="77777777" w:rsidR="00457FF4" w:rsidRDefault="00457FF4">
      <w:pPr>
        <w:spacing w:line="276" w:lineRule="auto"/>
        <w:ind w:right="-574"/>
        <w:jc w:val="center"/>
        <w:rPr>
          <w:rFonts w:ascii="Open Sans" w:eastAsia="Open Sans" w:hAnsi="Open Sans" w:cs="Open Sans"/>
          <w:color w:val="000000"/>
          <w:sz w:val="22"/>
          <w:szCs w:val="22"/>
        </w:rPr>
      </w:pPr>
    </w:p>
    <w:p w14:paraId="0000001B" w14:textId="77777777" w:rsidR="00A57B7D" w:rsidRDefault="00A57B7D">
      <w:pPr>
        <w:spacing w:line="276" w:lineRule="auto"/>
        <w:ind w:right="-574"/>
        <w:jc w:val="both"/>
        <w:rPr>
          <w:rFonts w:ascii="Open Sans" w:eastAsia="Open Sans" w:hAnsi="Open Sans" w:cs="Open Sans"/>
          <w:color w:val="000000"/>
          <w:sz w:val="22"/>
          <w:szCs w:val="22"/>
        </w:rPr>
      </w:pPr>
    </w:p>
    <w:p w14:paraId="0000001C"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Los que tienen entre 45 y 54 años también han bajado su participación con respect</w:t>
      </w:r>
      <w:r>
        <w:rPr>
          <w:rFonts w:ascii="Open Sans" w:eastAsia="Open Sans" w:hAnsi="Open Sans" w:cs="Open Sans"/>
          <w:color w:val="000000"/>
          <w:sz w:val="22"/>
          <w:szCs w:val="22"/>
        </w:rPr>
        <w:t>o a hace un año: en febrero de 2020 un 25% de particulares de esta edad había realizado alguna acción en el mercado inmobiliario, un porcentaje que bajó al 19% seis meses más tarde y ha repuntado ligeramente hasta el 21% en 2021.</w:t>
      </w:r>
    </w:p>
    <w:p w14:paraId="0000001D" w14:textId="77777777" w:rsidR="00A57B7D" w:rsidRDefault="00A57B7D">
      <w:pPr>
        <w:spacing w:line="276" w:lineRule="auto"/>
        <w:ind w:right="-574"/>
        <w:jc w:val="both"/>
        <w:rPr>
          <w:rFonts w:ascii="Open Sans" w:eastAsia="Open Sans" w:hAnsi="Open Sans" w:cs="Open Sans"/>
          <w:color w:val="000000"/>
          <w:sz w:val="22"/>
          <w:szCs w:val="22"/>
        </w:rPr>
      </w:pPr>
    </w:p>
    <w:p w14:paraId="0000001E"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Este distinto comportamiento del perfil más joven y el más maduro responde, como sabemos por la composición que históricamente tienen estos segmentos de edad, a sus diferentes necesidades e intereses: entre los más mayores tienen más peso las búsquedas de </w:t>
      </w:r>
      <w:r>
        <w:rPr>
          <w:rFonts w:ascii="Open Sans" w:eastAsia="Open Sans" w:hAnsi="Open Sans" w:cs="Open Sans"/>
          <w:color w:val="000000"/>
          <w:sz w:val="22"/>
          <w:szCs w:val="22"/>
        </w:rPr>
        <w:t>inversión o de segundas viviendas y la incertidumbre socioeconómica está retrayendo esa demanda, mientras que entre los jóvenes tiene más importancia la búsqueda de soluciones residenciales, principalmente de alquiler, en un momento en el que el mercado es</w:t>
      </w:r>
      <w:r>
        <w:rPr>
          <w:rFonts w:ascii="Open Sans" w:eastAsia="Open Sans" w:hAnsi="Open Sans" w:cs="Open Sans"/>
          <w:color w:val="000000"/>
          <w:sz w:val="22"/>
          <w:szCs w:val="22"/>
        </w:rPr>
        <w:t>tá agitado</w:t>
      </w:r>
    </w:p>
    <w:p w14:paraId="0000001F" w14:textId="77777777" w:rsidR="00A57B7D" w:rsidRDefault="00A57B7D">
      <w:pPr>
        <w:spacing w:line="276" w:lineRule="auto"/>
        <w:ind w:right="-574"/>
        <w:jc w:val="both"/>
        <w:rPr>
          <w:rFonts w:ascii="Open Sans" w:eastAsia="Open Sans" w:hAnsi="Open Sans" w:cs="Open Sans"/>
          <w:color w:val="000000"/>
          <w:sz w:val="22"/>
          <w:szCs w:val="22"/>
        </w:rPr>
      </w:pPr>
    </w:p>
    <w:p w14:paraId="00000020" w14:textId="77777777" w:rsidR="00A57B7D" w:rsidRDefault="00117B41">
      <w:pPr>
        <w:spacing w:line="276" w:lineRule="auto"/>
        <w:ind w:right="-574"/>
        <w:jc w:val="both"/>
        <w:rPr>
          <w:rFonts w:ascii="Open Sans" w:eastAsia="Open Sans" w:hAnsi="Open Sans" w:cs="Open Sans"/>
          <w:color w:val="000000"/>
          <w:sz w:val="22"/>
          <w:szCs w:val="22"/>
        </w:rPr>
      </w:pPr>
      <w:r>
        <w:rPr>
          <w:noProof/>
        </w:rPr>
        <w:drawing>
          <wp:inline distT="0" distB="0" distL="0" distR="0">
            <wp:extent cx="5828262" cy="2820857"/>
            <wp:effectExtent l="0" t="0" r="0" b="0"/>
            <wp:docPr id="17"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14"/>
                    <a:srcRect/>
                    <a:stretch>
                      <a:fillRect/>
                    </a:stretch>
                  </pic:blipFill>
                  <pic:spPr>
                    <a:xfrm>
                      <a:off x="0" y="0"/>
                      <a:ext cx="5828262" cy="2820857"/>
                    </a:xfrm>
                    <a:prstGeom prst="rect">
                      <a:avLst/>
                    </a:prstGeom>
                    <a:ln/>
                  </pic:spPr>
                </pic:pic>
              </a:graphicData>
            </a:graphic>
          </wp:inline>
        </w:drawing>
      </w:r>
    </w:p>
    <w:p w14:paraId="00000021" w14:textId="77777777" w:rsidR="00A57B7D" w:rsidRDefault="00A57B7D">
      <w:pPr>
        <w:spacing w:line="276" w:lineRule="auto"/>
        <w:ind w:right="-574"/>
        <w:jc w:val="both"/>
        <w:rPr>
          <w:rFonts w:ascii="Open Sans" w:eastAsia="Open Sans" w:hAnsi="Open Sans" w:cs="Open Sans"/>
          <w:color w:val="000000"/>
          <w:sz w:val="22"/>
          <w:szCs w:val="22"/>
        </w:rPr>
      </w:pPr>
    </w:p>
    <w:p w14:paraId="00000022" w14:textId="77777777" w:rsidR="00A57B7D" w:rsidRPr="00457FF4" w:rsidRDefault="00117B41">
      <w:pPr>
        <w:spacing w:before="240" w:line="276" w:lineRule="auto"/>
        <w:ind w:right="-574"/>
        <w:jc w:val="both"/>
        <w:rPr>
          <w:rFonts w:ascii="Open Sans Light" w:eastAsia="Open Sans Light" w:hAnsi="Open Sans Light" w:cs="Open Sans Light"/>
          <w:b/>
          <w:color w:val="303AB2"/>
          <w:sz w:val="26"/>
          <w:szCs w:val="26"/>
        </w:rPr>
      </w:pPr>
      <w:r w:rsidRPr="00457FF4">
        <w:rPr>
          <w:rFonts w:ascii="Open Sans Light" w:eastAsia="Open Sans Light" w:hAnsi="Open Sans Light" w:cs="Open Sans Light"/>
          <w:b/>
          <w:color w:val="303AB2"/>
          <w:sz w:val="26"/>
          <w:szCs w:val="26"/>
        </w:rPr>
        <w:t>Movimientos en ambos mercados</w:t>
      </w:r>
    </w:p>
    <w:p w14:paraId="00000023" w14:textId="77777777" w:rsidR="00A57B7D" w:rsidRDefault="00A57B7D">
      <w:pPr>
        <w:spacing w:line="276" w:lineRule="auto"/>
        <w:ind w:right="-574"/>
        <w:jc w:val="both"/>
        <w:rPr>
          <w:rFonts w:ascii="Open Sans" w:eastAsia="Open Sans" w:hAnsi="Open Sans" w:cs="Open Sans"/>
          <w:color w:val="000000"/>
          <w:sz w:val="22"/>
          <w:szCs w:val="22"/>
        </w:rPr>
      </w:pPr>
    </w:p>
    <w:p w14:paraId="00000024"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Cuando se analizan los datos distinguiendo entre compraventa y alquiler se puede conocer mejor cómo se mueven los particulares en función de sus necesidades o situaciones socioeconómicas y personales. Por ejemp</w:t>
      </w:r>
      <w:r>
        <w:rPr>
          <w:rFonts w:ascii="Open Sans" w:eastAsia="Open Sans" w:hAnsi="Open Sans" w:cs="Open Sans"/>
          <w:color w:val="000000"/>
          <w:sz w:val="22"/>
          <w:szCs w:val="22"/>
        </w:rPr>
        <w:t>lo, como mencionábamos antes, los jóvenes de 25 a 34 años son los más activos en el mercado inmobiliario. Pese a esto, sus movimientos en compraventa y alquiler no han evolucionado de la misma manera en los últimos meses.</w:t>
      </w:r>
    </w:p>
    <w:p w14:paraId="00000025" w14:textId="189120E1" w:rsidR="00A57B7D" w:rsidRDefault="00A57B7D">
      <w:pPr>
        <w:spacing w:line="276" w:lineRule="auto"/>
        <w:ind w:right="-574"/>
        <w:jc w:val="both"/>
        <w:rPr>
          <w:rFonts w:ascii="Open Sans" w:eastAsia="Open Sans" w:hAnsi="Open Sans" w:cs="Open Sans"/>
          <w:color w:val="000000"/>
          <w:sz w:val="22"/>
          <w:szCs w:val="22"/>
        </w:rPr>
      </w:pPr>
    </w:p>
    <w:p w14:paraId="12A71C73" w14:textId="77777777" w:rsidR="00457FF4" w:rsidRDefault="00457FF4">
      <w:pPr>
        <w:spacing w:line="276" w:lineRule="auto"/>
        <w:ind w:right="-574"/>
        <w:jc w:val="both"/>
        <w:rPr>
          <w:rFonts w:ascii="Open Sans" w:eastAsia="Open Sans" w:hAnsi="Open Sans" w:cs="Open Sans"/>
          <w:color w:val="000000"/>
          <w:sz w:val="22"/>
          <w:szCs w:val="22"/>
        </w:rPr>
      </w:pPr>
    </w:p>
    <w:p w14:paraId="00000026"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Cuando se trata de realizar algun</w:t>
      </w:r>
      <w:r>
        <w:rPr>
          <w:rFonts w:ascii="Open Sans" w:eastAsia="Open Sans" w:hAnsi="Open Sans" w:cs="Open Sans"/>
          <w:color w:val="000000"/>
          <w:sz w:val="22"/>
          <w:szCs w:val="22"/>
        </w:rPr>
        <w:t>a acción de compraventa, los jóvenes que pertenecen a esta horquilla de edad han disminuido de manera estadísticamente significativa su actividad. En febrero de 2020 había un 25% actuando en la compraventa, una cifra que cayó dos puntos en agosto de 2020 (</w:t>
      </w:r>
      <w:r>
        <w:rPr>
          <w:rFonts w:ascii="Open Sans" w:eastAsia="Open Sans" w:hAnsi="Open Sans" w:cs="Open Sans"/>
          <w:color w:val="000000"/>
          <w:sz w:val="22"/>
          <w:szCs w:val="22"/>
        </w:rPr>
        <w:t>23%) y que en febrero de 2021 ha seguido esta tendencia hasta situarse en un 21%.</w:t>
      </w:r>
    </w:p>
    <w:p w14:paraId="00000027" w14:textId="77777777" w:rsidR="00A57B7D" w:rsidRDefault="00A57B7D">
      <w:pPr>
        <w:spacing w:line="276" w:lineRule="auto"/>
        <w:ind w:right="-574"/>
        <w:jc w:val="both"/>
        <w:rPr>
          <w:rFonts w:ascii="Open Sans" w:eastAsia="Open Sans" w:hAnsi="Open Sans" w:cs="Open Sans"/>
          <w:color w:val="000000"/>
          <w:sz w:val="22"/>
          <w:szCs w:val="22"/>
        </w:rPr>
      </w:pPr>
    </w:p>
    <w:p w14:paraId="0000002D" w14:textId="77777777" w:rsidR="00A57B7D" w:rsidRDefault="00117B41">
      <w:pPr>
        <w:spacing w:line="276" w:lineRule="auto"/>
        <w:ind w:right="-574"/>
        <w:jc w:val="both"/>
        <w:rPr>
          <w:rFonts w:ascii="Open Sans" w:eastAsia="Open Sans" w:hAnsi="Open Sans" w:cs="Open Sans"/>
          <w:color w:val="000000"/>
          <w:sz w:val="22"/>
          <w:szCs w:val="22"/>
        </w:rPr>
      </w:pPr>
      <w:r>
        <w:rPr>
          <w:noProof/>
        </w:rPr>
        <w:drawing>
          <wp:inline distT="0" distB="0" distL="0" distR="0">
            <wp:extent cx="5744887" cy="2632451"/>
            <wp:effectExtent l="0" t="0" r="0" b="0"/>
            <wp:docPr id="2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Descripción generada automáticamente"/>
                    <pic:cNvPicPr preferRelativeResize="0"/>
                  </pic:nvPicPr>
                  <pic:blipFill>
                    <a:blip r:embed="rId15"/>
                    <a:srcRect/>
                    <a:stretch>
                      <a:fillRect/>
                    </a:stretch>
                  </pic:blipFill>
                  <pic:spPr>
                    <a:xfrm>
                      <a:off x="0" y="0"/>
                      <a:ext cx="5744887" cy="2632451"/>
                    </a:xfrm>
                    <a:prstGeom prst="rect">
                      <a:avLst/>
                    </a:prstGeom>
                    <a:ln/>
                  </pic:spPr>
                </pic:pic>
              </a:graphicData>
            </a:graphic>
          </wp:inline>
        </w:drawing>
      </w:r>
    </w:p>
    <w:p w14:paraId="0000002E" w14:textId="77777777" w:rsidR="00A57B7D" w:rsidRDefault="00A57B7D">
      <w:pPr>
        <w:spacing w:line="276" w:lineRule="auto"/>
        <w:ind w:right="-574"/>
        <w:jc w:val="both"/>
        <w:rPr>
          <w:rFonts w:ascii="Open Sans" w:eastAsia="Open Sans" w:hAnsi="Open Sans" w:cs="Open Sans"/>
          <w:color w:val="000000"/>
          <w:sz w:val="22"/>
          <w:szCs w:val="22"/>
        </w:rPr>
      </w:pPr>
    </w:p>
    <w:p w14:paraId="0000002F"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Sin embargo, cuando se trata del alquiler, no sólo han mantenido su actividad, sino que se ha incrementado. Hace un año había un 29% de particulares de 25 a 34 años </w:t>
      </w:r>
      <w:r>
        <w:rPr>
          <w:rFonts w:ascii="Open Sans" w:eastAsia="Open Sans" w:hAnsi="Open Sans" w:cs="Open Sans"/>
          <w:color w:val="000000"/>
          <w:sz w:val="22"/>
          <w:szCs w:val="22"/>
        </w:rPr>
        <w:t xml:space="preserve">en este mercado y, tras una ligera caída en agosto (27%), ahora son un 31%, superando incluso las cifras </w:t>
      </w:r>
      <w:proofErr w:type="spellStart"/>
      <w:r>
        <w:rPr>
          <w:rFonts w:ascii="Open Sans" w:eastAsia="Open Sans" w:hAnsi="Open Sans" w:cs="Open Sans"/>
          <w:color w:val="000000"/>
          <w:sz w:val="22"/>
          <w:szCs w:val="22"/>
        </w:rPr>
        <w:t>precovid</w:t>
      </w:r>
      <w:proofErr w:type="spellEnd"/>
      <w:r>
        <w:rPr>
          <w:rFonts w:ascii="Open Sans" w:eastAsia="Open Sans" w:hAnsi="Open Sans" w:cs="Open Sans"/>
          <w:color w:val="000000"/>
          <w:sz w:val="22"/>
          <w:szCs w:val="22"/>
        </w:rPr>
        <w:t>.</w:t>
      </w:r>
    </w:p>
    <w:p w14:paraId="00000030" w14:textId="77777777" w:rsidR="00A57B7D" w:rsidRDefault="00A57B7D">
      <w:pPr>
        <w:spacing w:line="276" w:lineRule="auto"/>
        <w:ind w:right="-574"/>
        <w:jc w:val="both"/>
        <w:rPr>
          <w:rFonts w:ascii="Open Sans" w:eastAsia="Open Sans" w:hAnsi="Open Sans" w:cs="Open Sans"/>
          <w:color w:val="000000"/>
          <w:sz w:val="22"/>
          <w:szCs w:val="22"/>
        </w:rPr>
      </w:pPr>
    </w:p>
    <w:p w14:paraId="00000031" w14:textId="77777777" w:rsidR="00A57B7D" w:rsidRDefault="00117B41">
      <w:pPr>
        <w:spacing w:line="276" w:lineRule="auto"/>
        <w:ind w:right="-574"/>
        <w:jc w:val="both"/>
        <w:rPr>
          <w:rFonts w:ascii="Open Sans" w:eastAsia="Open Sans" w:hAnsi="Open Sans" w:cs="Open Sans"/>
          <w:color w:val="000000"/>
          <w:sz w:val="22"/>
          <w:szCs w:val="22"/>
        </w:rPr>
      </w:pPr>
      <w:r>
        <w:rPr>
          <w:noProof/>
        </w:rPr>
        <w:drawing>
          <wp:inline distT="0" distB="0" distL="0" distR="0">
            <wp:extent cx="5804323" cy="2961585"/>
            <wp:effectExtent l="0" t="0" r="0" b="0"/>
            <wp:docPr id="19" name="image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Descripción generada automáticamente"/>
                    <pic:cNvPicPr preferRelativeResize="0"/>
                  </pic:nvPicPr>
                  <pic:blipFill>
                    <a:blip r:embed="rId16"/>
                    <a:srcRect/>
                    <a:stretch>
                      <a:fillRect/>
                    </a:stretch>
                  </pic:blipFill>
                  <pic:spPr>
                    <a:xfrm>
                      <a:off x="0" y="0"/>
                      <a:ext cx="5804323" cy="2961585"/>
                    </a:xfrm>
                    <a:prstGeom prst="rect">
                      <a:avLst/>
                    </a:prstGeom>
                    <a:ln/>
                  </pic:spPr>
                </pic:pic>
              </a:graphicData>
            </a:graphic>
          </wp:inline>
        </w:drawing>
      </w:r>
    </w:p>
    <w:p w14:paraId="00000032" w14:textId="77777777" w:rsidR="00A57B7D" w:rsidRDefault="00A57B7D">
      <w:pPr>
        <w:spacing w:line="276" w:lineRule="auto"/>
        <w:ind w:right="-574"/>
        <w:jc w:val="both"/>
        <w:rPr>
          <w:rFonts w:ascii="Open Sans" w:eastAsia="Open Sans" w:hAnsi="Open Sans" w:cs="Open Sans"/>
          <w:color w:val="000000"/>
          <w:sz w:val="22"/>
          <w:szCs w:val="22"/>
        </w:rPr>
      </w:pPr>
    </w:p>
    <w:p w14:paraId="00000033"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Este grupo de edad, por el punto vital en el que se encuentra, es muy propicio para la emancipación y realizar movimientos en el mercado </w:t>
      </w:r>
      <w:r>
        <w:rPr>
          <w:rFonts w:ascii="Open Sans" w:eastAsia="Open Sans" w:hAnsi="Open Sans" w:cs="Open Sans"/>
          <w:color w:val="000000"/>
          <w:sz w:val="22"/>
          <w:szCs w:val="22"/>
        </w:rPr>
        <w:t>con este fin. En este sentido, si la inestabilidad laboral ya era un freno para dar este paso, la incertidumbre económica que ha traído la covid-19 consigo también puede reflejarse en la preferencia por el alquiler ante una mayor dificultad para ahorrar lo</w:t>
      </w:r>
      <w:r>
        <w:rPr>
          <w:rFonts w:ascii="Open Sans" w:eastAsia="Open Sans" w:hAnsi="Open Sans" w:cs="Open Sans"/>
          <w:color w:val="000000"/>
          <w:sz w:val="22"/>
          <w:szCs w:val="22"/>
        </w:rPr>
        <w:t xml:space="preserve"> suficiente para adentrarse en la compra de vivienda.</w:t>
      </w:r>
    </w:p>
    <w:p w14:paraId="00000034"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siguiente segmento, que comprende los 35 y 44 años, ocurre la situación contraria: mientras que cae la participación en el alquiler, se incrementa la de la compra. En febrero de 2020 había un 20% </w:t>
      </w:r>
      <w:r>
        <w:rPr>
          <w:rFonts w:ascii="Open Sans" w:eastAsia="Open Sans" w:hAnsi="Open Sans" w:cs="Open Sans"/>
          <w:color w:val="000000"/>
          <w:sz w:val="22"/>
          <w:szCs w:val="22"/>
        </w:rPr>
        <w:t>de particulares de entre 35 y 44 años realizando acciones en el mercado del alquiler. Sin embargo, ahora son el 17%. Y, en el lado contrario, en el de compraventa, en doce meses se ha pasado del 17% al 19%.</w:t>
      </w:r>
    </w:p>
    <w:p w14:paraId="00000035" w14:textId="77777777" w:rsidR="00A57B7D" w:rsidRDefault="00A57B7D">
      <w:pPr>
        <w:spacing w:line="276" w:lineRule="auto"/>
        <w:ind w:right="-574"/>
        <w:jc w:val="both"/>
        <w:rPr>
          <w:rFonts w:ascii="Open Sans" w:eastAsia="Open Sans" w:hAnsi="Open Sans" w:cs="Open Sans"/>
          <w:color w:val="000000"/>
          <w:sz w:val="22"/>
          <w:szCs w:val="22"/>
        </w:rPr>
      </w:pPr>
    </w:p>
    <w:p w14:paraId="00000036" w14:textId="77777777" w:rsidR="00A57B7D" w:rsidRDefault="00117B41">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Este hecho, nuevamente, podría estar vinculado a</w:t>
      </w:r>
      <w:r>
        <w:rPr>
          <w:rFonts w:ascii="Open Sans" w:eastAsia="Open Sans" w:hAnsi="Open Sans" w:cs="Open Sans"/>
          <w:color w:val="000000"/>
          <w:sz w:val="22"/>
          <w:szCs w:val="22"/>
        </w:rPr>
        <w:t>l momento vital y a la estabilidad económica de los particulares que, en este segmento, tiende a ser algo mayor y, por tanto, haría más propicia la compra en detrimento del alquiler.</w:t>
      </w:r>
    </w:p>
    <w:p w14:paraId="00000037" w14:textId="77777777" w:rsidR="00A57B7D" w:rsidRDefault="00A57B7D">
      <w:pPr>
        <w:spacing w:line="276" w:lineRule="auto"/>
        <w:ind w:right="-574"/>
        <w:jc w:val="both"/>
        <w:rPr>
          <w:rFonts w:ascii="Open Sans" w:eastAsia="Open Sans" w:hAnsi="Open Sans" w:cs="Open Sans"/>
          <w:color w:val="000000"/>
          <w:sz w:val="22"/>
          <w:szCs w:val="22"/>
        </w:rPr>
      </w:pPr>
    </w:p>
    <w:p w14:paraId="00000038" w14:textId="77777777" w:rsidR="00A57B7D" w:rsidRDefault="00A57B7D">
      <w:pPr>
        <w:spacing w:line="276" w:lineRule="auto"/>
        <w:ind w:right="-574"/>
        <w:jc w:val="both"/>
        <w:rPr>
          <w:rFonts w:ascii="Open Sans" w:eastAsia="Open Sans" w:hAnsi="Open Sans" w:cs="Open Sans"/>
          <w:color w:val="000000"/>
          <w:sz w:val="22"/>
          <w:szCs w:val="22"/>
        </w:rPr>
      </w:pPr>
    </w:p>
    <w:p w14:paraId="00000039" w14:textId="77777777" w:rsidR="00A57B7D" w:rsidRDefault="00A57B7D">
      <w:pPr>
        <w:spacing w:line="276" w:lineRule="auto"/>
        <w:ind w:right="-574"/>
        <w:jc w:val="both"/>
        <w:rPr>
          <w:rFonts w:ascii="Open Sans" w:eastAsia="Open Sans" w:hAnsi="Open Sans" w:cs="Open Sans"/>
          <w:color w:val="000000"/>
          <w:sz w:val="22"/>
          <w:szCs w:val="22"/>
        </w:rPr>
      </w:pPr>
    </w:p>
    <w:p w14:paraId="0000003A" w14:textId="77777777" w:rsidR="00A57B7D" w:rsidRDefault="00117B41">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el informe “Radiografía del mercado de la vivienda 2021-2021: un año de pandemia”</w:t>
      </w:r>
    </w:p>
    <w:p w14:paraId="0000003B" w14:textId="77777777" w:rsidR="00A57B7D" w:rsidRDefault="00117B41">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7">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i/>
          <w:color w:val="000000"/>
          <w:sz w:val="22"/>
          <w:szCs w:val="22"/>
        </w:rPr>
        <w:t>Radiografía del mercado de la vivienda 2020-2021: un año de pandemia”</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000003C" w14:textId="77777777" w:rsidR="00A57B7D" w:rsidRDefault="00117B41">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w:t>
      </w:r>
      <w:r>
        <w:rPr>
          <w:rFonts w:ascii="Open Sans" w:eastAsia="Open Sans" w:hAnsi="Open Sans" w:cs="Open Sans"/>
          <w:color w:val="000000"/>
          <w:sz w:val="22"/>
          <w:szCs w:val="22"/>
        </w:rPr>
        <w:t>dad a los informes presentados en 2020, 2019, 2018 y 2017. Al igual que los anteriores estudios, se ha realizado sobre un panel independiente con una muestra de 5.000 personas representativas de la sociedad española y que tienen entre 18 y 75 años, a travé</w:t>
      </w:r>
      <w:r>
        <w:rPr>
          <w:rFonts w:ascii="Open Sans" w:eastAsia="Open Sans" w:hAnsi="Open Sans" w:cs="Open Sans"/>
          <w:color w:val="000000"/>
          <w:sz w:val="22"/>
          <w:szCs w:val="22"/>
        </w:rPr>
        <w:t>s de encuestas online que se efectuaron entre febrero y marzo de 2021. Error muestral: +-1,4%</w:t>
      </w:r>
    </w:p>
    <w:p w14:paraId="529018E9" w14:textId="77777777" w:rsidR="00457FF4" w:rsidRDefault="00457FF4">
      <w:pPr>
        <w:spacing w:line="276" w:lineRule="auto"/>
        <w:ind w:right="-716"/>
        <w:jc w:val="right"/>
        <w:rPr>
          <w:rFonts w:ascii="Open Sans Light" w:eastAsia="Open Sans Light" w:hAnsi="Open Sans Light" w:cs="Open Sans Light"/>
          <w:b/>
          <w:color w:val="303AB2"/>
        </w:rPr>
      </w:pPr>
    </w:p>
    <w:p w14:paraId="2F191678" w14:textId="77777777" w:rsidR="00457FF4" w:rsidRDefault="00457FF4">
      <w:pPr>
        <w:spacing w:line="276" w:lineRule="auto"/>
        <w:ind w:right="-716"/>
        <w:jc w:val="right"/>
        <w:rPr>
          <w:rFonts w:ascii="Open Sans Light" w:eastAsia="Open Sans Light" w:hAnsi="Open Sans Light" w:cs="Open Sans Light"/>
          <w:b/>
          <w:color w:val="303AB2"/>
        </w:rPr>
      </w:pPr>
    </w:p>
    <w:p w14:paraId="0000003D" w14:textId="7D187A4F" w:rsidR="00A57B7D" w:rsidRDefault="00117B4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3E" w14:textId="77777777" w:rsidR="00A57B7D" w:rsidRDefault="00117B41">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w:t>
      </w:r>
      <w:r>
        <w:rPr>
          <w:rFonts w:ascii="Open Sans" w:eastAsia="Open Sans" w:hAnsi="Open Sans" w:cs="Open Sans"/>
          <w:color w:val="000000"/>
          <w:sz w:val="22"/>
          <w:szCs w:val="22"/>
        </w:rPr>
        <w:t>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w:t>
      </w:r>
      <w:r>
        <w:rPr>
          <w:rFonts w:ascii="Open Sans" w:eastAsia="Open Sans" w:hAnsi="Open Sans" w:cs="Open Sans"/>
          <w:color w:val="000000"/>
          <w:sz w:val="22"/>
          <w:szCs w:val="22"/>
        </w:rPr>
        <w:t xml:space="preserve"> en venta como en alquiler.</w:t>
      </w:r>
    </w:p>
    <w:bookmarkStart w:id="0" w:name="_heading=h.30j0zll" w:colFirst="0" w:colLast="0"/>
    <w:bookmarkEnd w:id="0"/>
    <w:p w14:paraId="0000003F" w14:textId="77777777" w:rsidR="00A57B7D" w:rsidRDefault="00117B41">
      <w:pPr>
        <w:shd w:val="clear" w:color="auto" w:fill="FFFFFF"/>
        <w:spacing w:before="280" w:after="280"/>
        <w:ind w:right="-716"/>
        <w:jc w:val="both"/>
        <w:rPr>
          <w:rFonts w:ascii="Open Sans" w:eastAsia="Open Sans" w:hAnsi="Open Sans" w:cs="Open Sans"/>
          <w:color w:val="000000"/>
          <w:sz w:val="22"/>
          <w:szCs w:val="22"/>
        </w:rPr>
      </w:pPr>
      <w:r>
        <w:lastRenderedPageBreak/>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w:t>
      </w:r>
      <w:r>
        <w:rPr>
          <w:rFonts w:ascii="Open Sans" w:eastAsia="Open Sans" w:hAnsi="Open Sans" w:cs="Open Sans"/>
          <w:color w:val="000000"/>
          <w:sz w:val="22"/>
          <w:szCs w:val="22"/>
        </w:rPr>
        <w:t>nes de visitas cada mes.</w:t>
      </w:r>
    </w:p>
    <w:p w14:paraId="00000040" w14:textId="77777777" w:rsidR="00A57B7D" w:rsidRDefault="00117B41">
      <w:pPr>
        <w:shd w:val="clear" w:color="auto" w:fill="FFFFFF"/>
        <w:spacing w:before="280" w:after="280"/>
        <w:ind w:right="-716"/>
        <w:jc w:val="both"/>
        <w:rPr>
          <w:rFonts w:ascii="Times New Roman" w:eastAsia="Times New Roman" w:hAnsi="Times New Roman" w:cs="Times New Roman"/>
          <w:color w:val="222222"/>
          <w:sz w:val="22"/>
          <w:szCs w:val="22"/>
        </w:rPr>
      </w:pP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w:t>
      </w:r>
    </w:p>
    <w:p w14:paraId="00000041" w14:textId="77777777" w:rsidR="00A57B7D" w:rsidRDefault="00117B41">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es una de las principales empresas del sector tec</w:t>
      </w:r>
      <w:r>
        <w:rPr>
          <w:rFonts w:ascii="Open Sans" w:eastAsia="Open Sans" w:hAnsi="Open Sans" w:cs="Open Sans"/>
          <w:color w:val="000000"/>
          <w:sz w:val="22"/>
          <w:szCs w:val="22"/>
        </w:rPr>
        <w:t xml:space="preserve">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w:t>
      </w:r>
      <w:r>
        <w:rPr>
          <w:rFonts w:ascii="Open Sans" w:eastAsia="Open Sans" w:hAnsi="Open Sans" w:cs="Open Sans"/>
          <w:color w:val="000000"/>
          <w:sz w:val="22"/>
          <w:szCs w:val="22"/>
        </w:rPr>
        <w:t>tes como inmobiliaria (</w:t>
      </w:r>
      <w:hyperlink r:id="rId2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1">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2">
        <w:r>
          <w:rPr>
            <w:rFonts w:ascii="Open Sans" w:eastAsia="Open Sans" w:hAnsi="Open Sans" w:cs="Open Sans"/>
            <w:color w:val="0000FF"/>
            <w:sz w:val="22"/>
            <w:szCs w:val="22"/>
            <w:u w:val="single"/>
          </w:rPr>
          <w:t>c</w:t>
        </w:r>
        <w:r>
          <w:rPr>
            <w:rFonts w:ascii="Open Sans" w:eastAsia="Open Sans" w:hAnsi="Open Sans" w:cs="Open Sans"/>
            <w:color w:val="0000FF"/>
            <w:sz w:val="22"/>
            <w:szCs w:val="22"/>
            <w:u w:val="single"/>
          </w:rPr>
          <w:t>oches.net</w:t>
        </w:r>
      </w:hyperlink>
      <w:r>
        <w:rPr>
          <w:rFonts w:ascii="Open Sans" w:eastAsia="Open Sans" w:hAnsi="Open Sans" w:cs="Open Sans"/>
          <w:color w:val="000000"/>
          <w:sz w:val="22"/>
          <w:szCs w:val="22"/>
        </w:rPr>
        <w:t> y </w:t>
      </w:r>
      <w:hyperlink r:id="rId23">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w:t>
      </w:r>
      <w:r>
        <w:rPr>
          <w:rFonts w:ascii="Open Sans" w:eastAsia="Open Sans" w:hAnsi="Open Sans" w:cs="Open Sans"/>
          <w:color w:val="000000"/>
          <w:sz w:val="22"/>
          <w:szCs w:val="22"/>
        </w:rPr>
        <w:t xml:space="preserve">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00000042" w14:textId="77777777" w:rsidR="00A57B7D" w:rsidRDefault="00A57B7D">
      <w:pPr>
        <w:shd w:val="clear" w:color="auto" w:fill="FFFFFF"/>
        <w:spacing w:line="276" w:lineRule="auto"/>
        <w:ind w:right="-716"/>
        <w:jc w:val="both"/>
        <w:rPr>
          <w:rFonts w:ascii="Open Sans" w:eastAsia="Open Sans" w:hAnsi="Open Sans" w:cs="Open Sans"/>
          <w:color w:val="000000"/>
          <w:sz w:val="21"/>
          <w:szCs w:val="21"/>
        </w:rPr>
      </w:pPr>
    </w:p>
    <w:p w14:paraId="00000043" w14:textId="77777777" w:rsidR="00A57B7D" w:rsidRDefault="00117B41">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4">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00000044" w14:textId="77777777" w:rsidR="00A57B7D" w:rsidRDefault="00A57B7D">
      <w:pPr>
        <w:shd w:val="clear" w:color="auto" w:fill="FFFFFF"/>
        <w:spacing w:line="276" w:lineRule="auto"/>
        <w:ind w:right="-716"/>
        <w:jc w:val="both"/>
        <w:rPr>
          <w:rFonts w:ascii="Open Sans" w:eastAsia="Open Sans" w:hAnsi="Open Sans" w:cs="Open Sans"/>
          <w:color w:val="000000"/>
          <w:sz w:val="21"/>
          <w:szCs w:val="21"/>
        </w:rPr>
      </w:pPr>
    </w:p>
    <w:p w14:paraId="00000045" w14:textId="77777777" w:rsidR="00A57B7D" w:rsidRDefault="00A57B7D">
      <w:pPr>
        <w:spacing w:line="276" w:lineRule="auto"/>
        <w:ind w:right="-716"/>
        <w:rPr>
          <w:rFonts w:ascii="Open Sans Light" w:eastAsia="Open Sans Light" w:hAnsi="Open Sans Light" w:cs="Open Sans Light"/>
          <w:b/>
          <w:color w:val="303AB2"/>
          <w:sz w:val="22"/>
          <w:szCs w:val="22"/>
        </w:rPr>
      </w:pPr>
    </w:p>
    <w:p w14:paraId="00000046" w14:textId="77777777" w:rsidR="00A57B7D" w:rsidRDefault="00117B41">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47" w14:textId="77777777" w:rsidR="00A57B7D" w:rsidRDefault="00117B41">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 xml:space="preserve">                               Anaïs López </w:t>
      </w:r>
    </w:p>
    <w:p w14:paraId="00000048" w14:textId="77777777" w:rsidR="00A57B7D" w:rsidRDefault="00117B41">
      <w:pPr>
        <w:shd w:val="clear" w:color="auto" w:fill="FFFFFF"/>
        <w:spacing w:line="276" w:lineRule="auto"/>
        <w:ind w:right="-716"/>
        <w:rPr>
          <w:rFonts w:ascii="Open Sans" w:eastAsia="Open Sans" w:hAnsi="Open Sans" w:cs="Open Sans"/>
          <w:color w:val="0000FF"/>
          <w:sz w:val="19"/>
          <w:szCs w:val="19"/>
          <w:u w:val="single"/>
        </w:rPr>
      </w:pPr>
      <w:hyperlink r:id="rId25">
        <w:r>
          <w:rPr>
            <w:rFonts w:ascii="Open Sans" w:eastAsia="Open Sans" w:hAnsi="Open Sans" w:cs="Open Sans"/>
            <w:color w:val="0000FF"/>
            <w:sz w:val="19"/>
            <w:szCs w:val="19"/>
            <w:u w:val="single"/>
          </w:rPr>
          <w:t>rtorne@llorenteycuenca.com</w:t>
        </w:r>
      </w:hyperlink>
      <w:r>
        <w:rPr>
          <w:rFonts w:ascii="Open Sans" w:eastAsia="Open Sans" w:hAnsi="Open Sans" w:cs="Open Sans"/>
          <w:color w:val="0000FF"/>
          <w:sz w:val="19"/>
          <w:szCs w:val="19"/>
        </w:rPr>
        <w:tab/>
      </w:r>
      <w:r>
        <w:rPr>
          <w:rFonts w:ascii="Open Sans" w:eastAsia="Open Sans" w:hAnsi="Open Sans" w:cs="Open Sans"/>
          <w:color w:val="0000FF"/>
          <w:sz w:val="19"/>
          <w:szCs w:val="19"/>
        </w:rPr>
        <w:tab/>
      </w:r>
      <w:r>
        <w:rPr>
          <w:rFonts w:ascii="Open Sans" w:eastAsia="Open Sans" w:hAnsi="Open Sans" w:cs="Open Sans"/>
          <w:color w:val="0000FF"/>
          <w:sz w:val="19"/>
          <w:szCs w:val="19"/>
        </w:rPr>
        <w:tab/>
        <w:t xml:space="preserve">                                                  </w:t>
      </w:r>
      <w:hyperlink r:id="rId26">
        <w:r>
          <w:rPr>
            <w:rFonts w:ascii="Open Sans" w:eastAsia="Open Sans" w:hAnsi="Open Sans" w:cs="Open Sans"/>
            <w:color w:val="0000FF"/>
            <w:sz w:val="19"/>
            <w:szCs w:val="19"/>
            <w:u w:val="single"/>
          </w:rPr>
          <w:t>comunicacion@fotocasa.es</w:t>
        </w:r>
      </w:hyperlink>
    </w:p>
    <w:p w14:paraId="00000049" w14:textId="77777777" w:rsidR="00A57B7D" w:rsidRDefault="00117B41">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0000004A" w14:textId="77777777" w:rsidR="00A57B7D" w:rsidRDefault="00117B41">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4B" w14:textId="77777777" w:rsidR="00A57B7D" w:rsidRDefault="00117B41">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4C" w14:textId="77777777" w:rsidR="00A57B7D" w:rsidRDefault="00117B41">
      <w:pPr>
        <w:shd w:val="clear" w:color="auto" w:fill="FFFFFF"/>
        <w:ind w:right="-716"/>
        <w:rPr>
          <w:rFonts w:ascii="Open Sans" w:eastAsia="Open Sans" w:hAnsi="Open Sans" w:cs="Open Sans"/>
          <w:color w:val="0000FF"/>
          <w:sz w:val="19"/>
          <w:szCs w:val="19"/>
        </w:rPr>
      </w:pPr>
      <w:hyperlink r:id="rId27">
        <w:r>
          <w:rPr>
            <w:rFonts w:ascii="Open Sans" w:eastAsia="Open Sans" w:hAnsi="Open Sans" w:cs="Open Sans"/>
            <w:color w:val="0000FF"/>
            <w:sz w:val="19"/>
            <w:szCs w:val="19"/>
            <w:u w:val="single"/>
          </w:rPr>
          <w:t>emerino@llorenteycuenca.com</w:t>
        </w:r>
      </w:hyperlink>
    </w:p>
    <w:p w14:paraId="0000004D" w14:textId="77777777" w:rsidR="00A57B7D" w:rsidRDefault="00117B41">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0000004E" w14:textId="77777777" w:rsidR="00A57B7D" w:rsidRDefault="00A57B7D">
      <w:pPr>
        <w:shd w:val="clear" w:color="auto" w:fill="FFFFFF"/>
        <w:ind w:right="-716"/>
        <w:rPr>
          <w:rFonts w:ascii="Open Sans" w:eastAsia="Open Sans" w:hAnsi="Open Sans" w:cs="Open Sans"/>
          <w:color w:val="000000"/>
          <w:sz w:val="19"/>
          <w:szCs w:val="19"/>
        </w:rPr>
      </w:pPr>
    </w:p>
    <w:p w14:paraId="0000004F" w14:textId="77777777" w:rsidR="00A57B7D" w:rsidRDefault="00117B41">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00000050" w14:textId="77777777" w:rsidR="00A57B7D" w:rsidRDefault="00117B41">
      <w:pPr>
        <w:shd w:val="clear" w:color="auto" w:fill="FFFFFF"/>
        <w:ind w:right="-716"/>
        <w:rPr>
          <w:rFonts w:ascii="Open Sans" w:eastAsia="Open Sans" w:hAnsi="Open Sans" w:cs="Open Sans"/>
          <w:color w:val="0000FF"/>
          <w:sz w:val="19"/>
          <w:szCs w:val="19"/>
        </w:rPr>
      </w:pPr>
      <w:hyperlink r:id="rId28">
        <w:r>
          <w:rPr>
            <w:rFonts w:ascii="Open Sans" w:eastAsia="Open Sans" w:hAnsi="Open Sans" w:cs="Open Sans"/>
            <w:color w:val="0000FF"/>
            <w:sz w:val="19"/>
            <w:szCs w:val="19"/>
            <w:u w:val="single"/>
          </w:rPr>
          <w:t>llazaro@llorenteycuenca.com</w:t>
        </w:r>
      </w:hyperlink>
    </w:p>
    <w:p w14:paraId="00000051" w14:textId="77777777" w:rsidR="00A57B7D" w:rsidRDefault="00117B41">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A57B7D">
      <w:footerReference w:type="default" r:id="rId29"/>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FD39E" w14:textId="77777777" w:rsidR="00117B41" w:rsidRDefault="00117B41">
      <w:r>
        <w:separator/>
      </w:r>
    </w:p>
  </w:endnote>
  <w:endnote w:type="continuationSeparator" w:id="0">
    <w:p w14:paraId="43351385" w14:textId="77777777" w:rsidR="00117B41" w:rsidRDefault="00117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A57B7D" w:rsidRDefault="00117B41">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simplePos x="0" y="0"/>
          <wp:positionH relativeFrom="column">
            <wp:posOffset>-1068065</wp:posOffset>
          </wp:positionH>
          <wp:positionV relativeFrom="paragraph">
            <wp:posOffset>174608</wp:posOffset>
          </wp:positionV>
          <wp:extent cx="7670550" cy="451315"/>
          <wp:effectExtent l="0" t="0" r="0" b="0"/>
          <wp:wrapSquare wrapText="bothSides" distT="0" distB="0" distL="0" distR="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0B6A1" w14:textId="77777777" w:rsidR="00117B41" w:rsidRDefault="00117B41">
      <w:r>
        <w:separator/>
      </w:r>
    </w:p>
  </w:footnote>
  <w:footnote w:type="continuationSeparator" w:id="0">
    <w:p w14:paraId="676A2138" w14:textId="77777777" w:rsidR="00117B41" w:rsidRDefault="00117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32163"/>
    <w:multiLevelType w:val="multilevel"/>
    <w:tmpl w:val="2374A27C"/>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B7D"/>
    <w:rsid w:val="00117B41"/>
    <w:rsid w:val="00457FF4"/>
    <w:rsid w:val="00591D6A"/>
    <w:rsid w:val="00A57B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BE165"/>
  <w15:docId w15:val="{C92F994E-D126-44E0-99E9-B143764B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indice/"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www.fotocasa.es" TargetMode="External"/><Relationship Id="rId25" Type="http://schemas.openxmlformats.org/officeDocument/2006/relationships/hyperlink" Target="mailto:rtorne@llorenteycuenc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fotocasa.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otos.coches.net/" TargetMode="External"/><Relationship Id="rId28" Type="http://schemas.openxmlformats.org/officeDocument/2006/relationships/hyperlink" Target="mailto:llazaro@llorenteycuenca.com" TargetMode="External"/><Relationship Id="rId10" Type="http://schemas.openxmlformats.org/officeDocument/2006/relationships/hyperlink" Target="https://research.fotocasa.es/" TargetMode="External"/><Relationship Id="rId19" Type="http://schemas.openxmlformats.org/officeDocument/2006/relationships/hyperlink" Target="https://www.fotocasa.es/es/quienes-somo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qIthYjFoDWc" TargetMode="External"/><Relationship Id="rId14" Type="http://schemas.openxmlformats.org/officeDocument/2006/relationships/image" Target="media/image3.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sH8NeACf29AL+uYwr+11v2hdTg==">AMUW2mU6vQbpeg7gz1nfq8+VYdJ8QVluH+GtU9MzkuWPWmNFl8TC4an22awqjmzd7FUtb+L/GQffFSa7V7CTNAMFPplPLv68v5/bqj2R0T3xPAuVfN4KJZ5lpb3IfnBCnXDMUS4Xz6cs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1497</Words>
  <Characters>8234</Characters>
  <Application>Microsoft Office Word</Application>
  <DocSecurity>0</DocSecurity>
  <Lines>68</Lines>
  <Paragraphs>19</Paragraphs>
  <ScaleCrop>false</ScaleCrop>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2021-05-04T14:46:00Z</dcterms:created>
  <dcterms:modified xsi:type="dcterms:W3CDTF">2021-06-04T09:12:00Z</dcterms:modified>
</cp:coreProperties>
</file>