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1646" w:rsidRDefault="00867CFF">
      <w:pPr>
        <w:ind w:right="-574"/>
      </w:pPr>
      <w:r>
        <w:rPr>
          <w:noProof/>
        </w:rPr>
        <w:drawing>
          <wp:anchor distT="0" distB="0" distL="114300" distR="114300" simplePos="0" relativeHeight="251658240" behindDoc="0" locked="0" layoutInCell="1" hidden="0" allowOverlap="1">
            <wp:simplePos x="0" y="0"/>
            <wp:positionH relativeFrom="column">
              <wp:posOffset>-1080134</wp:posOffset>
            </wp:positionH>
            <wp:positionV relativeFrom="paragraph">
              <wp:posOffset>-447674</wp:posOffset>
            </wp:positionV>
            <wp:extent cx="7581265" cy="1019175"/>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581265" cy="1019175"/>
                    </a:xfrm>
                    <a:prstGeom prst="rect">
                      <a:avLst/>
                    </a:prstGeom>
                    <a:ln/>
                  </pic:spPr>
                </pic:pic>
              </a:graphicData>
            </a:graphic>
          </wp:anchor>
        </w:drawing>
      </w:r>
    </w:p>
    <w:p w14:paraId="00000002" w14:textId="77777777" w:rsidR="00031646" w:rsidRDefault="00031646">
      <w:pPr>
        <w:ind w:right="-574"/>
        <w:jc w:val="right"/>
        <w:rPr>
          <w:rFonts w:ascii="National" w:eastAsia="National" w:hAnsi="National" w:cs="National"/>
          <w:color w:val="303AB2"/>
          <w:sz w:val="36"/>
          <w:szCs w:val="36"/>
        </w:rPr>
      </w:pPr>
    </w:p>
    <w:p w14:paraId="00000003" w14:textId="77777777" w:rsidR="00031646" w:rsidRDefault="00031646">
      <w:pPr>
        <w:ind w:right="-574"/>
        <w:jc w:val="right"/>
        <w:rPr>
          <w:rFonts w:ascii="National" w:eastAsia="National" w:hAnsi="National" w:cs="National"/>
          <w:color w:val="303AB2"/>
          <w:sz w:val="36"/>
          <w:szCs w:val="36"/>
        </w:rPr>
      </w:pPr>
    </w:p>
    <w:p w14:paraId="00000004" w14:textId="77777777" w:rsidR="00031646" w:rsidRDefault="00867CFF">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SEGUNDO TRIMESTRE 2021: PRECIO VIVIENDA EN VENTA</w:t>
      </w:r>
    </w:p>
    <w:p w14:paraId="00000005" w14:textId="77777777" w:rsidR="00031646" w:rsidRPr="00CE7D09" w:rsidRDefault="00867CFF">
      <w:pPr>
        <w:spacing w:line="276" w:lineRule="auto"/>
        <w:ind w:right="-574"/>
        <w:jc w:val="center"/>
        <w:rPr>
          <w:rFonts w:ascii="National" w:eastAsia="National" w:hAnsi="National" w:cs="National"/>
          <w:b/>
          <w:color w:val="303AB2"/>
          <w:sz w:val="46"/>
          <w:szCs w:val="46"/>
        </w:rPr>
      </w:pPr>
      <w:r w:rsidRPr="00CE7D09">
        <w:rPr>
          <w:rFonts w:ascii="National" w:eastAsia="National" w:hAnsi="National" w:cs="National"/>
          <w:b/>
          <w:color w:val="303AB2"/>
          <w:sz w:val="46"/>
          <w:szCs w:val="46"/>
        </w:rPr>
        <w:t>El precio de la vivienda cae en España un -0,7% en el segundo trimestre de 2021 después de 4 años de subidas</w:t>
      </w:r>
    </w:p>
    <w:p w14:paraId="00000006" w14:textId="77777777" w:rsidR="00031646" w:rsidRDefault="00031646">
      <w:pPr>
        <w:ind w:right="-574"/>
        <w:rPr>
          <w:rFonts w:ascii="National" w:eastAsia="National" w:hAnsi="National" w:cs="National"/>
          <w:b/>
          <w:color w:val="303AB2"/>
          <w:sz w:val="16"/>
          <w:szCs w:val="16"/>
        </w:rPr>
      </w:pPr>
    </w:p>
    <w:p w14:paraId="00000007" w14:textId="77777777" w:rsidR="00031646" w:rsidRDefault="00867CF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 vivienda en España ha aumentado su valor interanual un 0,5%, situando su precio medio en 1.883 euros/m</w:t>
      </w:r>
      <w:r>
        <w:rPr>
          <w:rFonts w:ascii="Open Sans" w:eastAsia="Open Sans" w:hAnsi="Open Sans" w:cs="Open Sans"/>
          <w:color w:val="303AB2"/>
          <w:vertAlign w:val="superscript"/>
        </w:rPr>
        <w:t>2</w:t>
      </w:r>
    </w:p>
    <w:p w14:paraId="00000008" w14:textId="77777777" w:rsidR="00031646" w:rsidRDefault="00867CF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En el segundo trimestre de 2021 el precio de la vivienda de segunda mano cae en 14 comunidades autónomas, en 34 provincias y en seis de cada diez municipios de España </w:t>
      </w:r>
    </w:p>
    <w:p w14:paraId="00000009" w14:textId="00EC15A7" w:rsidR="00031646" w:rsidRDefault="00867CF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de la vivienda de segunda mano se dispara en los distritos y en los barrios de Madrid, mientras que en los de Barcelona los precios caen en el segundo trimestre</w:t>
      </w:r>
    </w:p>
    <w:p w14:paraId="7C074CC1" w14:textId="6BCE229C" w:rsidR="00867CFF" w:rsidRDefault="0054637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hyperlink r:id="rId7" w:history="1">
        <w:r w:rsidR="00867CFF" w:rsidRPr="00867CFF">
          <w:rPr>
            <w:rStyle w:val="Hipervnculo"/>
            <w:rFonts w:ascii="Open Sans" w:eastAsia="Open Sans" w:hAnsi="Open Sans" w:cs="Open Sans"/>
          </w:rPr>
          <w:t>Aquí se puede ver un</w:t>
        </w:r>
        <w:r w:rsidR="00867CFF" w:rsidRPr="00867CFF">
          <w:rPr>
            <w:rStyle w:val="Hipervnculo"/>
            <w:rFonts w:ascii="Open Sans" w:eastAsia="Open Sans" w:hAnsi="Open Sans" w:cs="Open Sans"/>
          </w:rPr>
          <w:t>a</w:t>
        </w:r>
        <w:r w:rsidR="00867CFF" w:rsidRPr="00867CFF">
          <w:rPr>
            <w:rStyle w:val="Hipervnculo"/>
            <w:rFonts w:ascii="Open Sans" w:eastAsia="Open Sans" w:hAnsi="Open Sans" w:cs="Open Sans"/>
          </w:rPr>
          <w:t xml:space="preserve"> valoración en vídeo</w:t>
        </w:r>
      </w:hyperlink>
      <w:r w:rsidR="00867CFF">
        <w:rPr>
          <w:rFonts w:ascii="Open Sans" w:eastAsia="Open Sans" w:hAnsi="Open Sans" w:cs="Open Sans"/>
          <w:color w:val="303AB2"/>
        </w:rPr>
        <w:t xml:space="preserve"> de la directora de Estudios</w:t>
      </w:r>
    </w:p>
    <w:p w14:paraId="0000000A" w14:textId="77777777" w:rsidR="00031646" w:rsidRDefault="00031646">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0000000B" w14:textId="77777777" w:rsidR="00031646" w:rsidRDefault="00867CFF">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5 de julio de 2021</w:t>
      </w:r>
    </w:p>
    <w:p w14:paraId="0000000C" w14:textId="77777777" w:rsidR="00031646" w:rsidRDefault="00031646">
      <w:pPr>
        <w:spacing w:line="276" w:lineRule="auto"/>
        <w:ind w:right="-574"/>
        <w:rPr>
          <w:rFonts w:ascii="Open Sans Light" w:eastAsia="Open Sans Light" w:hAnsi="Open Sans Light" w:cs="Open Sans Light"/>
          <w:color w:val="303AB2"/>
          <w:sz w:val="16"/>
          <w:szCs w:val="16"/>
        </w:rPr>
      </w:pPr>
    </w:p>
    <w:p w14:paraId="0000000D" w14:textId="77777777"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de segunda mano experimenta en el segundo trimestre de 2021 un descenso trimestral del -0,7% y una subida interanual del 0,5%, situando el precio medio en 1.883 euros/m</w:t>
      </w:r>
      <w:r>
        <w:rPr>
          <w:rFonts w:ascii="Open Sans" w:eastAsia="Open Sans" w:hAnsi="Open Sans" w:cs="Open Sans"/>
          <w:color w:val="000000"/>
          <w:vertAlign w:val="superscript"/>
        </w:rPr>
        <w:t>2</w:t>
      </w:r>
      <w:r>
        <w:rPr>
          <w:rFonts w:ascii="Open Sans" w:eastAsia="Open Sans" w:hAnsi="Open Sans" w:cs="Open Sans"/>
          <w:color w:val="000000"/>
        </w:rPr>
        <w:t xml:space="preserve">, según los datos del Índice Inmobiliario </w:t>
      </w:r>
      <w:hyperlink r:id="rId8">
        <w:r>
          <w:rPr>
            <w:rFonts w:ascii="Open Sans" w:eastAsia="Open Sans" w:hAnsi="Open Sans" w:cs="Open Sans"/>
            <w:b/>
            <w:color w:val="0000FF"/>
            <w:u w:val="single"/>
          </w:rPr>
          <w:t>Fotocasa</w:t>
        </w:r>
      </w:hyperlink>
      <w:r>
        <w:rPr>
          <w:rFonts w:ascii="Open Sans" w:eastAsia="Open Sans" w:hAnsi="Open Sans" w:cs="Open Sans"/>
          <w:color w:val="000000"/>
        </w:rPr>
        <w:t xml:space="preserve">. El descenso trimestral (-0,7%) es la primera caída producida en este periodo después de cuatro años de subidas en estos trimestres. </w:t>
      </w:r>
    </w:p>
    <w:p w14:paraId="0000000E" w14:textId="77777777" w:rsidR="00031646" w:rsidRDefault="00031646">
      <w:pPr>
        <w:spacing w:line="276" w:lineRule="auto"/>
        <w:ind w:right="-574"/>
        <w:jc w:val="center"/>
        <w:rPr>
          <w:rFonts w:ascii="Open Sans Light" w:eastAsia="Open Sans Light" w:hAnsi="Open Sans Light" w:cs="Open Sans Light"/>
          <w:b/>
          <w:color w:val="303AB2"/>
        </w:rPr>
      </w:pPr>
    </w:p>
    <w:p w14:paraId="00000010" w14:textId="1FD60807" w:rsidR="00031646" w:rsidRPr="00D93A77" w:rsidRDefault="00867CFF" w:rsidP="00D93A77">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rPr>
        <w:t>Variaciones en el segundo trimestre por años</w:t>
      </w:r>
      <w:r>
        <w:rPr>
          <w:noProof/>
        </w:rPr>
        <w:drawing>
          <wp:inline distT="0" distB="0" distL="0" distR="0">
            <wp:extent cx="5743575" cy="20193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00011" w14:textId="60609E3C" w:rsidR="00031646" w:rsidRDefault="00867CFF">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“Estos datos son señal de que el precio de la vivienda está a las puertas de iniciar un ciclo de moderación producido por un sosiego de la actividad en la demanda de compra. Las cifras trimestrales nos devuelven a niveles similares a 2016, cuando el precio de la vivienda de segunda mano presentaba descensos. A nivel interanual nos encontramos con un crecimiento moderado que probablemente continuará con tendencia a la baja y formalizará </w:t>
      </w:r>
      <w:r w:rsidR="00CE7D09">
        <w:rPr>
          <w:rFonts w:ascii="Open Sans" w:eastAsia="Open Sans" w:hAnsi="Open Sans" w:cs="Open Sans"/>
        </w:rPr>
        <w:t>la estabilización</w:t>
      </w:r>
      <w:r>
        <w:rPr>
          <w:rFonts w:ascii="Open Sans" w:eastAsia="Open Sans" w:hAnsi="Open Sans" w:cs="Open Sans"/>
        </w:rPr>
        <w:t xml:space="preserve"> en los próximos meses. Hay que recordar que es un cambio de rumbo que nuestro Índice Inmobiliario Fotocasa ya detectó a cierre de 2019 después de tres años de subidas ininterrumpidas del precio de la vivienda”, comenta María Matos, directora de Estudios y Portavoz de </w:t>
      </w:r>
      <w:hyperlink r:id="rId10">
        <w:r>
          <w:rPr>
            <w:rFonts w:ascii="Open Sans" w:eastAsia="Open Sans" w:hAnsi="Open Sans" w:cs="Open Sans"/>
            <w:color w:val="0000FF"/>
            <w:u w:val="single"/>
          </w:rPr>
          <w:t>Fotocasa</w:t>
        </w:r>
      </w:hyperlink>
      <w:r>
        <w:rPr>
          <w:rFonts w:ascii="Open Sans" w:eastAsia="Open Sans" w:hAnsi="Open Sans" w:cs="Open Sans"/>
        </w:rPr>
        <w:t xml:space="preserve">. </w:t>
      </w:r>
    </w:p>
    <w:p w14:paraId="74F6CA7C" w14:textId="3AC2F048" w:rsidR="00CE7D09" w:rsidRDefault="00CE7D09">
      <w:pPr>
        <w:spacing w:line="276" w:lineRule="auto"/>
        <w:ind w:right="-574"/>
        <w:jc w:val="both"/>
        <w:rPr>
          <w:rFonts w:ascii="Open Sans" w:eastAsia="Open Sans" w:hAnsi="Open Sans" w:cs="Open Sans"/>
        </w:rPr>
      </w:pPr>
    </w:p>
    <w:p w14:paraId="6388D019" w14:textId="01E40B4C" w:rsidR="00CE7D09" w:rsidRDefault="00546376">
      <w:pPr>
        <w:spacing w:line="276" w:lineRule="auto"/>
        <w:ind w:right="-574"/>
        <w:jc w:val="both"/>
        <w:rPr>
          <w:rFonts w:ascii="Open Sans" w:eastAsia="Open Sans" w:hAnsi="Open Sans" w:cs="Open Sans"/>
        </w:rPr>
      </w:pPr>
      <w:r>
        <w:rPr>
          <w:noProof/>
        </w:rPr>
        <w:drawing>
          <wp:inline distT="0" distB="0" distL="0" distR="0" wp14:anchorId="29E3000D" wp14:editId="5A7B8AB6">
            <wp:extent cx="5781675" cy="3239180"/>
            <wp:effectExtent l="0" t="0" r="0" b="0"/>
            <wp:docPr id="2" name="Imagen 2" descr="Interfaz de usuario gráfica, Aplicación, Teams&#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 Teams&#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5218" cy="3241165"/>
                    </a:xfrm>
                    <a:prstGeom prst="rect">
                      <a:avLst/>
                    </a:prstGeom>
                    <a:noFill/>
                    <a:ln>
                      <a:noFill/>
                    </a:ln>
                  </pic:spPr>
                </pic:pic>
              </a:graphicData>
            </a:graphic>
          </wp:inline>
        </w:drawing>
      </w:r>
    </w:p>
    <w:p w14:paraId="00000012" w14:textId="77777777" w:rsidR="00031646" w:rsidRDefault="00031646">
      <w:pPr>
        <w:spacing w:line="276" w:lineRule="auto"/>
        <w:ind w:right="-574"/>
        <w:jc w:val="both"/>
        <w:rPr>
          <w:rFonts w:ascii="Open Sans" w:eastAsia="Open Sans" w:hAnsi="Open Sans" w:cs="Open Sans"/>
        </w:rPr>
      </w:pPr>
    </w:p>
    <w:p w14:paraId="00000013" w14:textId="77777777"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las Comunidades Autónomas con mayor descenso trimestral, Región de Murcia encabeza el ranking de junio con un -3,5%. Le siguen, Navarra (-2,6%), Aragón (-2,6%), Castilla-La Mancha (-2,4%), Canarias (-2,3%), Extremadura (-1,8%),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(-1,4%), Baleares (-1,1%), Asturias (-1,0%), La Rioja (-0,8%), Andalucía (-0,3%), Castilla y León (-0,3%), Galicia (-0,2%) y País Vasco (-0,2%). Sin embargo, los precios medios de las viviendas en Madrid (0,2%), Cantabria (0,1%) y Cataluña (0,1%), son más altos en junio que hace tres meses (marzo de 2021). </w:t>
      </w:r>
    </w:p>
    <w:p w14:paraId="00000014" w14:textId="1F0DB922" w:rsidR="00031646" w:rsidRDefault="00031646">
      <w:pPr>
        <w:spacing w:line="276" w:lineRule="auto"/>
        <w:ind w:right="-574"/>
        <w:jc w:val="both"/>
        <w:rPr>
          <w:rFonts w:ascii="Open Sans" w:eastAsia="Open Sans" w:hAnsi="Open Sans" w:cs="Open Sans"/>
          <w:color w:val="000000"/>
        </w:rPr>
      </w:pPr>
    </w:p>
    <w:p w14:paraId="6C840C70" w14:textId="20DE22A5" w:rsidR="00546376" w:rsidRDefault="00546376">
      <w:pPr>
        <w:spacing w:line="276" w:lineRule="auto"/>
        <w:ind w:right="-574"/>
        <w:jc w:val="both"/>
        <w:rPr>
          <w:rFonts w:ascii="Open Sans" w:eastAsia="Open Sans" w:hAnsi="Open Sans" w:cs="Open Sans"/>
          <w:color w:val="000000"/>
        </w:rPr>
      </w:pPr>
    </w:p>
    <w:p w14:paraId="04E3D475" w14:textId="77777777" w:rsidR="00546376" w:rsidRDefault="00546376">
      <w:pPr>
        <w:spacing w:line="276" w:lineRule="auto"/>
        <w:ind w:right="-574"/>
        <w:jc w:val="both"/>
        <w:rPr>
          <w:rFonts w:ascii="Open Sans" w:eastAsia="Open Sans" w:hAnsi="Open Sans" w:cs="Open Sans"/>
          <w:color w:val="000000"/>
        </w:rPr>
      </w:pPr>
    </w:p>
    <w:p w14:paraId="125B0992" w14:textId="77777777" w:rsidR="00CE7D09" w:rsidRDefault="00CE7D09">
      <w:pPr>
        <w:spacing w:line="276" w:lineRule="auto"/>
        <w:ind w:right="-574"/>
        <w:jc w:val="center"/>
        <w:rPr>
          <w:rFonts w:ascii="Open Sans Light" w:eastAsia="Open Sans Light" w:hAnsi="Open Sans Light" w:cs="Open Sans Light"/>
          <w:b/>
          <w:color w:val="303AB2"/>
          <w:sz w:val="28"/>
          <w:szCs w:val="28"/>
        </w:rPr>
      </w:pPr>
    </w:p>
    <w:p w14:paraId="00000015" w14:textId="75A33CA9" w:rsidR="00031646" w:rsidRDefault="00867CFF">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Variaciones en el segundo trimestre por CCAA</w:t>
      </w:r>
    </w:p>
    <w:p w14:paraId="00000016" w14:textId="77777777" w:rsidR="00031646" w:rsidRDefault="00867CFF">
      <w:pPr>
        <w:spacing w:line="276" w:lineRule="auto"/>
        <w:ind w:right="-574"/>
        <w:jc w:val="center"/>
        <w:rPr>
          <w:rFonts w:ascii="Open Sans" w:eastAsia="Open Sans" w:hAnsi="Open Sans" w:cs="Open Sans"/>
          <w:color w:val="000000"/>
        </w:rPr>
      </w:pPr>
      <w:r>
        <w:rPr>
          <w:noProof/>
        </w:rPr>
        <w:drawing>
          <wp:inline distT="0" distB="0" distL="0" distR="0" wp14:editId="0CFD6779">
            <wp:extent cx="5676900" cy="4391025"/>
            <wp:effectExtent l="0" t="0" r="0" b="9525"/>
            <wp:docPr id="12" name="image2.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urbujas&#10;&#10;Descripción generada automáticamente"/>
                    <pic:cNvPicPr preferRelativeResize="0"/>
                  </pic:nvPicPr>
                  <pic:blipFill>
                    <a:blip r:embed="rId13"/>
                    <a:srcRect/>
                    <a:stretch>
                      <a:fillRect/>
                    </a:stretch>
                  </pic:blipFill>
                  <pic:spPr>
                    <a:xfrm>
                      <a:off x="0" y="0"/>
                      <a:ext cx="5676900" cy="4391025"/>
                    </a:xfrm>
                    <a:prstGeom prst="rect">
                      <a:avLst/>
                    </a:prstGeom>
                    <a:ln/>
                  </pic:spPr>
                </pic:pic>
              </a:graphicData>
            </a:graphic>
          </wp:inline>
        </w:drawing>
      </w:r>
    </w:p>
    <w:p w14:paraId="00000018" w14:textId="77777777" w:rsidR="00031646" w:rsidRDefault="00031646">
      <w:pPr>
        <w:spacing w:line="276" w:lineRule="auto"/>
        <w:ind w:right="-574"/>
        <w:jc w:val="both"/>
        <w:rPr>
          <w:rFonts w:ascii="Open Sans" w:eastAsia="Open Sans" w:hAnsi="Open Sans" w:cs="Open Sans"/>
          <w:color w:val="000000"/>
        </w:rPr>
      </w:pPr>
    </w:p>
    <w:p w14:paraId="71009504" w14:textId="77777777" w:rsidR="00CE7D09" w:rsidRDefault="00CE7D09">
      <w:pPr>
        <w:spacing w:line="276" w:lineRule="auto"/>
        <w:ind w:right="-574"/>
        <w:jc w:val="both"/>
        <w:rPr>
          <w:rFonts w:ascii="Open Sans" w:eastAsia="Open Sans" w:hAnsi="Open Sans" w:cs="Open Sans"/>
          <w:color w:val="000000"/>
        </w:rPr>
      </w:pPr>
    </w:p>
    <w:p w14:paraId="00000019" w14:textId="498AE85A"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Madrid, que ocupa el primer puesto, es la única que supera la barrera de los 3.000 euros, en concreto se paga por metro cuadrado unos 3.111 euros. Le siguen las comunidades de País Vasco (2.870 euros/m</w:t>
      </w:r>
      <w:r>
        <w:rPr>
          <w:rFonts w:ascii="Open Sans" w:eastAsia="Open Sans" w:hAnsi="Open Sans" w:cs="Open Sans"/>
          <w:color w:val="000000"/>
          <w:vertAlign w:val="superscript"/>
        </w:rPr>
        <w:t>2</w:t>
      </w:r>
      <w:r>
        <w:rPr>
          <w:rFonts w:ascii="Open Sans" w:eastAsia="Open Sans" w:hAnsi="Open Sans" w:cs="Open Sans"/>
          <w:color w:val="000000"/>
        </w:rPr>
        <w:t>), Baleares (2.848 euros/m</w:t>
      </w:r>
      <w:r>
        <w:rPr>
          <w:rFonts w:ascii="Open Sans" w:eastAsia="Open Sans" w:hAnsi="Open Sans" w:cs="Open Sans"/>
          <w:color w:val="000000"/>
          <w:vertAlign w:val="superscript"/>
        </w:rPr>
        <w:t>2</w:t>
      </w:r>
      <w:r>
        <w:rPr>
          <w:rFonts w:ascii="Open Sans" w:eastAsia="Open Sans" w:hAnsi="Open Sans" w:cs="Open Sans"/>
          <w:color w:val="000000"/>
        </w:rPr>
        <w:t>) y Cataluña (2.522 euros/m</w:t>
      </w:r>
      <w:r>
        <w:rPr>
          <w:rFonts w:ascii="Open Sans" w:eastAsia="Open Sans" w:hAnsi="Open Sans" w:cs="Open Sans"/>
          <w:color w:val="000000"/>
          <w:vertAlign w:val="superscript"/>
        </w:rPr>
        <w:t>2</w:t>
      </w:r>
      <w:r>
        <w:rPr>
          <w:rFonts w:ascii="Open Sans" w:eastAsia="Open Sans" w:hAnsi="Open Sans" w:cs="Open Sans"/>
          <w:color w:val="000000"/>
        </w:rPr>
        <w:t>). Por otro lado, los precios de la vivienda por metro cuadrado en 13 comunidades autónomas no superan los 2.000 euros y son: Canarias (1.772 euros/m</w:t>
      </w:r>
      <w:r>
        <w:rPr>
          <w:rFonts w:ascii="Open Sans" w:eastAsia="Open Sans" w:hAnsi="Open Sans" w:cs="Open Sans"/>
          <w:color w:val="000000"/>
          <w:vertAlign w:val="superscript"/>
        </w:rPr>
        <w:t>2</w:t>
      </w:r>
      <w:r>
        <w:rPr>
          <w:rFonts w:ascii="Open Sans" w:eastAsia="Open Sans" w:hAnsi="Open Sans" w:cs="Open Sans"/>
          <w:color w:val="000000"/>
        </w:rPr>
        <w:t>), Cantabria (1.743 euros/m</w:t>
      </w:r>
      <w:r>
        <w:rPr>
          <w:rFonts w:ascii="Open Sans" w:eastAsia="Open Sans" w:hAnsi="Open Sans" w:cs="Open Sans"/>
          <w:color w:val="000000"/>
          <w:vertAlign w:val="superscript"/>
        </w:rPr>
        <w:t>2</w:t>
      </w:r>
      <w:r>
        <w:rPr>
          <w:rFonts w:ascii="Open Sans" w:eastAsia="Open Sans" w:hAnsi="Open Sans" w:cs="Open Sans"/>
          <w:color w:val="000000"/>
        </w:rPr>
        <w:t>), Andalucía (1.666 euros/m</w:t>
      </w:r>
      <w:r>
        <w:rPr>
          <w:rFonts w:ascii="Open Sans" w:eastAsia="Open Sans" w:hAnsi="Open Sans" w:cs="Open Sans"/>
          <w:color w:val="000000"/>
          <w:vertAlign w:val="superscript"/>
        </w:rPr>
        <w:t>2</w:t>
      </w:r>
      <w:r>
        <w:rPr>
          <w:rFonts w:ascii="Open Sans" w:eastAsia="Open Sans" w:hAnsi="Open Sans" w:cs="Open Sans"/>
          <w:color w:val="000000"/>
        </w:rPr>
        <w:t>), Navarra (1.626 euros/m</w:t>
      </w:r>
      <w:r>
        <w:rPr>
          <w:rFonts w:ascii="Open Sans" w:eastAsia="Open Sans" w:hAnsi="Open Sans" w:cs="Open Sans"/>
          <w:color w:val="000000"/>
          <w:vertAlign w:val="superscript"/>
        </w:rPr>
        <w:t>2</w:t>
      </w:r>
      <w:r>
        <w:rPr>
          <w:rFonts w:ascii="Open Sans" w:eastAsia="Open Sans" w:hAnsi="Open Sans" w:cs="Open Sans"/>
          <w:color w:val="000000"/>
        </w:rPr>
        <w:t>), Galicia (1.613 euros/m</w:t>
      </w:r>
      <w:r>
        <w:rPr>
          <w:rFonts w:ascii="Open Sans" w:eastAsia="Open Sans" w:hAnsi="Open Sans" w:cs="Open Sans"/>
          <w:color w:val="000000"/>
          <w:vertAlign w:val="superscript"/>
        </w:rPr>
        <w:t>2</w:t>
      </w:r>
      <w:r>
        <w:rPr>
          <w:rFonts w:ascii="Open Sans" w:eastAsia="Open Sans" w:hAnsi="Open Sans" w:cs="Open Sans"/>
          <w:color w:val="000000"/>
        </w:rPr>
        <w:t>), Asturias (1.570 euros/m</w:t>
      </w:r>
      <w:r>
        <w:rPr>
          <w:rFonts w:ascii="Open Sans" w:eastAsia="Open Sans" w:hAnsi="Open Sans" w:cs="Open Sans"/>
          <w:color w:val="000000"/>
          <w:vertAlign w:val="superscript"/>
        </w:rPr>
        <w:t>2</w:t>
      </w:r>
      <w:r>
        <w:rPr>
          <w:rFonts w:ascii="Open Sans" w:eastAsia="Open Sans" w:hAnsi="Open Sans" w:cs="Open Sans"/>
          <w:color w:val="000000"/>
        </w:rPr>
        <w:t>), Aragón (1.554 euros/m</w:t>
      </w:r>
      <w:r>
        <w:rPr>
          <w:rFonts w:ascii="Open Sans" w:eastAsia="Open Sans" w:hAnsi="Open Sans" w:cs="Open Sans"/>
          <w:color w:val="000000"/>
          <w:vertAlign w:val="superscript"/>
        </w:rPr>
        <w:t>2</w:t>
      </w:r>
      <w:r>
        <w:rPr>
          <w:rFonts w:ascii="Open Sans" w:eastAsia="Open Sans" w:hAnsi="Open Sans" w:cs="Open Sans"/>
          <w:color w:val="000000"/>
        </w:rPr>
        <w:t>), Castilla y León (1.435 euros/m</w:t>
      </w:r>
      <w:r>
        <w:rPr>
          <w:rFonts w:ascii="Open Sans" w:eastAsia="Open Sans" w:hAnsi="Open Sans" w:cs="Open Sans"/>
          <w:color w:val="000000"/>
          <w:vertAlign w:val="superscript"/>
        </w:rPr>
        <w:t>2</w:t>
      </w:r>
      <w:r>
        <w:rPr>
          <w:rFonts w:ascii="Open Sans" w:eastAsia="Open Sans" w:hAnsi="Open Sans" w:cs="Open Sans"/>
          <w:color w:val="000000"/>
        </w:rPr>
        <w:t>), La Rioja (1.432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(1.422 euros/m</w:t>
      </w:r>
      <w:r>
        <w:rPr>
          <w:rFonts w:ascii="Open Sans" w:eastAsia="Open Sans" w:hAnsi="Open Sans" w:cs="Open Sans"/>
          <w:color w:val="000000"/>
          <w:vertAlign w:val="superscript"/>
        </w:rPr>
        <w:t>2</w:t>
      </w:r>
      <w:r>
        <w:rPr>
          <w:rFonts w:ascii="Open Sans" w:eastAsia="Open Sans" w:hAnsi="Open Sans" w:cs="Open Sans"/>
          <w:color w:val="000000"/>
        </w:rPr>
        <w:t>), Extremadura (1.160 euros/m</w:t>
      </w:r>
      <w:r>
        <w:rPr>
          <w:rFonts w:ascii="Open Sans" w:eastAsia="Open Sans" w:hAnsi="Open Sans" w:cs="Open Sans"/>
          <w:color w:val="000000"/>
          <w:vertAlign w:val="superscript"/>
        </w:rPr>
        <w:t>2</w:t>
      </w:r>
      <w:r>
        <w:rPr>
          <w:rFonts w:ascii="Open Sans" w:eastAsia="Open Sans" w:hAnsi="Open Sans" w:cs="Open Sans"/>
          <w:color w:val="000000"/>
        </w:rPr>
        <w:t>), Región de Murcia (1.122 euros/m</w:t>
      </w:r>
      <w:r>
        <w:rPr>
          <w:rFonts w:ascii="Open Sans" w:eastAsia="Open Sans" w:hAnsi="Open Sans" w:cs="Open Sans"/>
          <w:color w:val="000000"/>
          <w:vertAlign w:val="superscript"/>
        </w:rPr>
        <w:t>2</w:t>
      </w:r>
      <w:r>
        <w:rPr>
          <w:rFonts w:ascii="Open Sans" w:eastAsia="Open Sans" w:hAnsi="Open Sans" w:cs="Open Sans"/>
          <w:color w:val="000000"/>
        </w:rPr>
        <w:t>) y Castilla-La Mancha (1.108 euros/m</w:t>
      </w:r>
      <w:r>
        <w:rPr>
          <w:rFonts w:ascii="Open Sans" w:eastAsia="Open Sans" w:hAnsi="Open Sans" w:cs="Open Sans"/>
          <w:color w:val="000000"/>
          <w:vertAlign w:val="superscript"/>
        </w:rPr>
        <w:t>2</w:t>
      </w:r>
      <w:r>
        <w:rPr>
          <w:rFonts w:ascii="Open Sans" w:eastAsia="Open Sans" w:hAnsi="Open Sans" w:cs="Open Sans"/>
          <w:color w:val="000000"/>
        </w:rPr>
        <w:t>).</w:t>
      </w:r>
    </w:p>
    <w:p w14:paraId="0000001A" w14:textId="707750EA" w:rsidR="00031646" w:rsidRDefault="00031646">
      <w:pPr>
        <w:spacing w:line="276" w:lineRule="auto"/>
        <w:ind w:right="-574"/>
        <w:jc w:val="center"/>
        <w:rPr>
          <w:rFonts w:ascii="Open Sans Light" w:eastAsia="Open Sans Light" w:hAnsi="Open Sans Light" w:cs="Open Sans Light"/>
          <w:b/>
          <w:color w:val="303AB2"/>
          <w:sz w:val="28"/>
          <w:szCs w:val="28"/>
        </w:rPr>
      </w:pPr>
    </w:p>
    <w:p w14:paraId="2C68178C" w14:textId="305C1720" w:rsidR="00CE7D09" w:rsidRDefault="00CE7D09">
      <w:pPr>
        <w:spacing w:line="276" w:lineRule="auto"/>
        <w:ind w:right="-574"/>
        <w:jc w:val="center"/>
        <w:rPr>
          <w:rFonts w:ascii="Open Sans Light" w:eastAsia="Open Sans Light" w:hAnsi="Open Sans Light" w:cs="Open Sans Light"/>
          <w:b/>
          <w:color w:val="303AB2"/>
          <w:sz w:val="28"/>
          <w:szCs w:val="28"/>
        </w:rPr>
      </w:pPr>
    </w:p>
    <w:p w14:paraId="57EFE21E" w14:textId="28C27B48" w:rsidR="00CE7D09" w:rsidRDefault="00CE7D09">
      <w:pPr>
        <w:spacing w:line="276" w:lineRule="auto"/>
        <w:ind w:right="-574"/>
        <w:jc w:val="center"/>
        <w:rPr>
          <w:rFonts w:ascii="Open Sans Light" w:eastAsia="Open Sans Light" w:hAnsi="Open Sans Light" w:cs="Open Sans Light"/>
          <w:b/>
          <w:color w:val="303AB2"/>
          <w:sz w:val="28"/>
          <w:szCs w:val="28"/>
        </w:rPr>
      </w:pPr>
    </w:p>
    <w:p w14:paraId="48003F97" w14:textId="77777777" w:rsidR="00CE7D09" w:rsidRDefault="00CE7D09">
      <w:pPr>
        <w:spacing w:line="276" w:lineRule="auto"/>
        <w:ind w:right="-574"/>
        <w:jc w:val="center"/>
        <w:rPr>
          <w:rFonts w:ascii="Open Sans Light" w:eastAsia="Open Sans Light" w:hAnsi="Open Sans Light" w:cs="Open Sans Light"/>
          <w:b/>
          <w:color w:val="303AB2"/>
          <w:sz w:val="28"/>
          <w:szCs w:val="28"/>
        </w:rPr>
      </w:pPr>
    </w:p>
    <w:p w14:paraId="0000001B" w14:textId="77777777" w:rsidR="00031646" w:rsidRDefault="00867CFF">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segundo trimestre por CCAA</w:t>
      </w:r>
    </w:p>
    <w:p w14:paraId="0000001C" w14:textId="77777777" w:rsidR="00031646" w:rsidRDefault="00867CFF">
      <w:pPr>
        <w:spacing w:line="276" w:lineRule="auto"/>
        <w:ind w:right="-574"/>
        <w:jc w:val="center"/>
        <w:rPr>
          <w:rFonts w:ascii="Open Sans" w:eastAsia="Open Sans" w:hAnsi="Open Sans" w:cs="Open Sans"/>
          <w:color w:val="000000"/>
        </w:rPr>
      </w:pPr>
      <w:r>
        <w:rPr>
          <w:noProof/>
        </w:rPr>
        <w:drawing>
          <wp:inline distT="0" distB="0" distL="0" distR="0">
            <wp:extent cx="5396230" cy="3849370"/>
            <wp:effectExtent l="0" t="0" r="0" b="0"/>
            <wp:docPr id="14" name="image6.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urbujas&#10;&#10;Descripción generada automáticamente"/>
                    <pic:cNvPicPr preferRelativeResize="0"/>
                  </pic:nvPicPr>
                  <pic:blipFill>
                    <a:blip r:embed="rId14"/>
                    <a:srcRect/>
                    <a:stretch>
                      <a:fillRect/>
                    </a:stretch>
                  </pic:blipFill>
                  <pic:spPr>
                    <a:xfrm>
                      <a:off x="0" y="0"/>
                      <a:ext cx="5396230" cy="3849370"/>
                    </a:xfrm>
                    <a:prstGeom prst="rect">
                      <a:avLst/>
                    </a:prstGeom>
                    <a:ln/>
                  </pic:spPr>
                </pic:pic>
              </a:graphicData>
            </a:graphic>
          </wp:inline>
        </w:drawing>
      </w:r>
    </w:p>
    <w:p w14:paraId="0000001D" w14:textId="77777777" w:rsidR="00031646" w:rsidRDefault="00031646">
      <w:pPr>
        <w:spacing w:line="276" w:lineRule="auto"/>
        <w:ind w:right="-574"/>
        <w:jc w:val="both"/>
        <w:rPr>
          <w:rFonts w:ascii="Open Sans" w:eastAsia="Open Sans" w:hAnsi="Open Sans" w:cs="Open Sans"/>
          <w:color w:val="000000"/>
        </w:rPr>
      </w:pPr>
    </w:p>
    <w:p w14:paraId="0000001E" w14:textId="77777777" w:rsidR="00031646" w:rsidRDefault="00031646">
      <w:pPr>
        <w:spacing w:line="276" w:lineRule="auto"/>
        <w:ind w:right="-574"/>
        <w:jc w:val="both"/>
        <w:rPr>
          <w:rFonts w:ascii="Open Sans" w:eastAsia="Open Sans" w:hAnsi="Open Sans" w:cs="Open Sans"/>
          <w:color w:val="000000"/>
        </w:rPr>
      </w:pPr>
    </w:p>
    <w:p w14:paraId="0000001F" w14:textId="77777777" w:rsidR="00031646" w:rsidRDefault="00867CF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00000020" w14:textId="77777777"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datos del Índice Inmobiliario </w:t>
      </w:r>
      <w:hyperlink r:id="rId15">
        <w:r>
          <w:rPr>
            <w:rFonts w:ascii="Open Sans" w:eastAsia="Open Sans" w:hAnsi="Open Sans" w:cs="Open Sans"/>
            <w:b/>
            <w:color w:val="0000FF"/>
            <w:u w:val="single"/>
          </w:rPr>
          <w:t>Fotocasa</w:t>
        </w:r>
      </w:hyperlink>
      <w:r>
        <w:rPr>
          <w:rFonts w:ascii="Open Sans" w:eastAsia="Open Sans" w:hAnsi="Open Sans" w:cs="Open Sans"/>
          <w:color w:val="000000"/>
        </w:rPr>
        <w:t xml:space="preserve"> revelan también que en el segundo trimestre el precio de la vivienda desciende en 34 de las 50 provincias de España. Los descensos trimestrales van desde el -4,9% de Las Palmas hasta el -0,02% de Pontevedra. Por otro lado, la provincia con el incremento más acusado es Soria, que ha visto subir su valor un 6,7% en junio respecto a marzo de 2021. Le siguen, Lugo (3%), Segovia (2,3%), Teruel (1,7%) y Ourense (1,6%), entre otros.</w:t>
      </w:r>
    </w:p>
    <w:p w14:paraId="00000021" w14:textId="77777777" w:rsidR="00031646" w:rsidRDefault="00031646">
      <w:pPr>
        <w:spacing w:line="276" w:lineRule="auto"/>
        <w:ind w:right="-574"/>
        <w:jc w:val="both"/>
        <w:rPr>
          <w:rFonts w:ascii="Open Sans" w:eastAsia="Open Sans" w:hAnsi="Open Sans" w:cs="Open Sans"/>
          <w:color w:val="000000"/>
        </w:rPr>
      </w:pPr>
    </w:p>
    <w:p w14:paraId="00000022" w14:textId="77777777"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Gipuzkoa y Madrid son las únicas que superan la barrera de los 3.000 euros, en concreto se paga por Gipuzkoa 3.143 euros y por Madrid 3.111 euros el metro cuadrado. Tan solo seis provincias ubican el precio de la vivienda entre los 2.000 y 3.000 euros/m</w:t>
      </w:r>
      <w:r>
        <w:rPr>
          <w:rFonts w:ascii="Open Sans" w:eastAsia="Open Sans" w:hAnsi="Open Sans" w:cs="Open Sans"/>
          <w:color w:val="000000"/>
          <w:vertAlign w:val="superscript"/>
        </w:rPr>
        <w:t>2</w:t>
      </w:r>
      <w:r>
        <w:rPr>
          <w:rFonts w:ascii="Open Sans" w:eastAsia="Open Sans" w:hAnsi="Open Sans" w:cs="Open Sans"/>
          <w:color w:val="000000"/>
        </w:rPr>
        <w:t>:</w:t>
      </w:r>
      <w:r>
        <w:t xml:space="preserve"> </w:t>
      </w:r>
      <w:r>
        <w:rPr>
          <w:rFonts w:ascii="Open Sans" w:eastAsia="Open Sans" w:hAnsi="Open Sans" w:cs="Open Sans"/>
          <w:color w:val="000000"/>
        </w:rPr>
        <w:t>Barcelona con 2.968 euros/m</w:t>
      </w:r>
      <w:r>
        <w:rPr>
          <w:rFonts w:ascii="Open Sans" w:eastAsia="Open Sans" w:hAnsi="Open Sans" w:cs="Open Sans"/>
          <w:color w:val="000000"/>
          <w:vertAlign w:val="superscript"/>
        </w:rPr>
        <w:t>2</w:t>
      </w:r>
      <w:r>
        <w:rPr>
          <w:rFonts w:ascii="Open Sans" w:eastAsia="Open Sans" w:hAnsi="Open Sans" w:cs="Open Sans"/>
          <w:color w:val="000000"/>
        </w:rPr>
        <w:t>, Illes Balears con 2.848 euros/m</w:t>
      </w:r>
      <w:r>
        <w:rPr>
          <w:rFonts w:ascii="Open Sans" w:eastAsia="Open Sans" w:hAnsi="Open Sans" w:cs="Open Sans"/>
          <w:color w:val="000000"/>
          <w:vertAlign w:val="superscript"/>
        </w:rPr>
        <w:t>2</w:t>
      </w:r>
      <w:r>
        <w:rPr>
          <w:rFonts w:ascii="Open Sans" w:eastAsia="Open Sans" w:hAnsi="Open Sans" w:cs="Open Sans"/>
          <w:color w:val="000000"/>
        </w:rPr>
        <w:t>, Bizkaia 2.842 euros/m</w:t>
      </w:r>
      <w:r>
        <w:rPr>
          <w:rFonts w:ascii="Open Sans" w:eastAsia="Open Sans" w:hAnsi="Open Sans" w:cs="Open Sans"/>
          <w:color w:val="000000"/>
          <w:vertAlign w:val="superscript"/>
        </w:rPr>
        <w:t>2</w:t>
      </w:r>
      <w:r>
        <w:rPr>
          <w:rFonts w:ascii="Open Sans" w:eastAsia="Open Sans" w:hAnsi="Open Sans" w:cs="Open Sans"/>
          <w:color w:val="000000"/>
        </w:rPr>
        <w:t>, Araba – Álava con 2.489 euros/m</w:t>
      </w:r>
      <w:r>
        <w:rPr>
          <w:rFonts w:ascii="Open Sans" w:eastAsia="Open Sans" w:hAnsi="Open Sans" w:cs="Open Sans"/>
          <w:color w:val="000000"/>
          <w:vertAlign w:val="superscript"/>
        </w:rPr>
        <w:t>2</w:t>
      </w:r>
      <w:r>
        <w:rPr>
          <w:rFonts w:ascii="Open Sans" w:eastAsia="Open Sans" w:hAnsi="Open Sans" w:cs="Open Sans"/>
          <w:color w:val="000000"/>
        </w:rPr>
        <w:t>, Málaga con 2.338 euros/m</w:t>
      </w:r>
      <w:r>
        <w:rPr>
          <w:rFonts w:ascii="Open Sans" w:eastAsia="Open Sans" w:hAnsi="Open Sans" w:cs="Open Sans"/>
          <w:color w:val="000000"/>
          <w:vertAlign w:val="superscript"/>
        </w:rPr>
        <w:t>2</w:t>
      </w:r>
      <w:r>
        <w:rPr>
          <w:rFonts w:ascii="Open Sans" w:eastAsia="Open Sans" w:hAnsi="Open Sans" w:cs="Open Sans"/>
          <w:color w:val="000000"/>
        </w:rPr>
        <w:t xml:space="preserve"> y Girona con 2.063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Por otro lado, las tres provincias que no superan los 1.000 euros son Ciudad Real con 963 euros/m</w:t>
      </w:r>
      <w:r>
        <w:rPr>
          <w:rFonts w:ascii="Open Sans" w:eastAsia="Open Sans" w:hAnsi="Open Sans" w:cs="Open Sans"/>
          <w:color w:val="000000"/>
          <w:vertAlign w:val="superscript"/>
        </w:rPr>
        <w:t>2</w:t>
      </w:r>
      <w:r>
        <w:rPr>
          <w:rFonts w:ascii="Open Sans" w:eastAsia="Open Sans" w:hAnsi="Open Sans" w:cs="Open Sans"/>
          <w:color w:val="000000"/>
        </w:rPr>
        <w:t>, Toledo con 975 euros/m</w:t>
      </w:r>
      <w:r>
        <w:rPr>
          <w:rFonts w:ascii="Open Sans" w:eastAsia="Open Sans" w:hAnsi="Open Sans" w:cs="Open Sans"/>
          <w:color w:val="000000"/>
          <w:vertAlign w:val="superscript"/>
        </w:rPr>
        <w:t>2</w:t>
      </w:r>
      <w:r>
        <w:rPr>
          <w:rFonts w:ascii="Open Sans" w:eastAsia="Open Sans" w:hAnsi="Open Sans" w:cs="Open Sans"/>
          <w:color w:val="000000"/>
        </w:rPr>
        <w:t xml:space="preserve"> y Ávila con 994 euros/m</w:t>
      </w:r>
      <w:r>
        <w:rPr>
          <w:rFonts w:ascii="Open Sans" w:eastAsia="Open Sans" w:hAnsi="Open Sans" w:cs="Open Sans"/>
          <w:color w:val="000000"/>
          <w:vertAlign w:val="superscript"/>
        </w:rPr>
        <w:t>2</w:t>
      </w:r>
      <w:r>
        <w:rPr>
          <w:rFonts w:ascii="Open Sans" w:eastAsia="Open Sans" w:hAnsi="Open Sans" w:cs="Open Sans"/>
          <w:color w:val="000000"/>
        </w:rPr>
        <w:t>.</w:t>
      </w:r>
    </w:p>
    <w:p w14:paraId="00000024" w14:textId="77777777" w:rsidR="00031646" w:rsidRDefault="00867CFF">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Variaciones en el segundo trimestre por provincias</w:t>
      </w:r>
    </w:p>
    <w:p w14:paraId="00000026" w14:textId="4EC9712C" w:rsidR="00031646" w:rsidRPr="00CE7D09" w:rsidRDefault="00867CFF" w:rsidP="00CE7D09">
      <w:pPr>
        <w:spacing w:line="276" w:lineRule="auto"/>
        <w:ind w:right="-574"/>
        <w:jc w:val="center"/>
        <w:rPr>
          <w:rFonts w:ascii="Open Sans" w:eastAsia="Open Sans" w:hAnsi="Open Sans" w:cs="Open Sans"/>
          <w:color w:val="000000"/>
        </w:rPr>
      </w:pPr>
      <w:r>
        <w:rPr>
          <w:noProof/>
        </w:rPr>
        <w:drawing>
          <wp:inline distT="0" distB="0" distL="0" distR="0" wp14:editId="55BFA18B">
            <wp:extent cx="5343525" cy="3981450"/>
            <wp:effectExtent l="0" t="0" r="9525" b="0"/>
            <wp:docPr id="13"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16"/>
                    <a:srcRect/>
                    <a:stretch>
                      <a:fillRect/>
                    </a:stretch>
                  </pic:blipFill>
                  <pic:spPr>
                    <a:xfrm>
                      <a:off x="0" y="0"/>
                      <a:ext cx="5343525" cy="3981450"/>
                    </a:xfrm>
                    <a:prstGeom prst="rect">
                      <a:avLst/>
                    </a:prstGeom>
                    <a:ln/>
                  </pic:spPr>
                </pic:pic>
              </a:graphicData>
            </a:graphic>
          </wp:inline>
        </w:drawing>
      </w:r>
    </w:p>
    <w:p w14:paraId="61CA1BEE" w14:textId="77777777" w:rsidR="00CE7D09" w:rsidRDefault="00CE7D09">
      <w:pPr>
        <w:spacing w:line="276" w:lineRule="auto"/>
        <w:ind w:right="-574"/>
        <w:jc w:val="center"/>
        <w:rPr>
          <w:rFonts w:ascii="Open Sans Light" w:eastAsia="Open Sans Light" w:hAnsi="Open Sans Light" w:cs="Open Sans Light"/>
          <w:b/>
          <w:color w:val="303AB2"/>
          <w:sz w:val="28"/>
          <w:szCs w:val="28"/>
        </w:rPr>
      </w:pPr>
    </w:p>
    <w:p w14:paraId="00000032" w14:textId="33A526B1" w:rsidR="00031646" w:rsidRDefault="00867CFF">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segundo trimestre por provincia</w:t>
      </w:r>
    </w:p>
    <w:p w14:paraId="00000033" w14:textId="77777777" w:rsidR="00031646" w:rsidRDefault="00867CFF">
      <w:pPr>
        <w:spacing w:line="276" w:lineRule="auto"/>
        <w:ind w:right="-574"/>
        <w:jc w:val="center"/>
        <w:rPr>
          <w:rFonts w:ascii="Open Sans" w:eastAsia="Open Sans" w:hAnsi="Open Sans" w:cs="Open Sans"/>
          <w:color w:val="000000"/>
        </w:rPr>
      </w:pPr>
      <w:r>
        <w:rPr>
          <w:noProof/>
        </w:rPr>
        <w:drawing>
          <wp:inline distT="0" distB="0" distL="0" distR="0" wp14:editId="742C9481">
            <wp:extent cx="5314950" cy="3886200"/>
            <wp:effectExtent l="0" t="0" r="0" b="0"/>
            <wp:docPr id="16" name="image7.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burbujas&#10;&#10;Descripción generada automáticamente"/>
                    <pic:cNvPicPr preferRelativeResize="0"/>
                  </pic:nvPicPr>
                  <pic:blipFill>
                    <a:blip r:embed="rId17"/>
                    <a:srcRect/>
                    <a:stretch>
                      <a:fillRect/>
                    </a:stretch>
                  </pic:blipFill>
                  <pic:spPr>
                    <a:xfrm>
                      <a:off x="0" y="0"/>
                      <a:ext cx="5314950" cy="3886200"/>
                    </a:xfrm>
                    <a:prstGeom prst="rect">
                      <a:avLst/>
                    </a:prstGeom>
                    <a:ln/>
                  </pic:spPr>
                </pic:pic>
              </a:graphicData>
            </a:graphic>
          </wp:inline>
        </w:drawing>
      </w:r>
    </w:p>
    <w:p w14:paraId="00000035" w14:textId="77777777" w:rsidR="00031646" w:rsidRDefault="00867CFF">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w:t>
      </w:r>
    </w:p>
    <w:p w14:paraId="00000036" w14:textId="77777777" w:rsidR="00031646" w:rsidRDefault="00031646">
      <w:pPr>
        <w:spacing w:line="276" w:lineRule="auto"/>
        <w:ind w:right="-574"/>
        <w:rPr>
          <w:rFonts w:ascii="Open Sans Light" w:eastAsia="Open Sans Light" w:hAnsi="Open Sans Light" w:cs="Open Sans Light"/>
          <w:b/>
          <w:color w:val="303AB2"/>
          <w:sz w:val="28"/>
          <w:szCs w:val="28"/>
        </w:rPr>
      </w:pPr>
    </w:p>
    <w:p w14:paraId="00000037" w14:textId="77777777"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las capitales de provincia, en junio de 2021 el precio de la vivienda trimestral sube en el 52% de los 50 municipios de España. Los incrementos trimestrales van del 8,2% de Lugo capital hasta el 0,03% A Coruña capital. Por otro lado, Las Palmas de Gran Canaria es en la que más desciende el precio de la vivienda trimestral en junio, un -4,9%, seguida de Pontevedra capital (-3,3%) y Huelva capital (-2,9%).</w:t>
      </w:r>
    </w:p>
    <w:p w14:paraId="00000038" w14:textId="77777777" w:rsidR="00031646" w:rsidRDefault="00031646">
      <w:pPr>
        <w:spacing w:line="276" w:lineRule="auto"/>
        <w:ind w:right="-574"/>
        <w:jc w:val="both"/>
        <w:rPr>
          <w:rFonts w:ascii="Open Sans" w:eastAsia="Open Sans" w:hAnsi="Open Sans" w:cs="Open Sans"/>
          <w:color w:val="000000"/>
        </w:rPr>
      </w:pPr>
    </w:p>
    <w:p w14:paraId="00000039" w14:textId="77777777" w:rsidR="00031646" w:rsidRDefault="00867CFF">
      <w:pPr>
        <w:spacing w:line="276" w:lineRule="auto"/>
        <w:ind w:right="-574"/>
        <w:jc w:val="both"/>
        <w:rPr>
          <w:rFonts w:ascii="Open Sans Light" w:eastAsia="Open Sans Light" w:hAnsi="Open Sans Light" w:cs="Open Sans Light"/>
          <w:b/>
          <w:color w:val="303AB2"/>
          <w:sz w:val="28"/>
          <w:szCs w:val="28"/>
        </w:rPr>
      </w:pPr>
      <w:r>
        <w:rPr>
          <w:rFonts w:ascii="Open Sans" w:eastAsia="Open Sans" w:hAnsi="Open Sans" w:cs="Open Sans"/>
          <w:color w:val="000000"/>
        </w:rPr>
        <w:t>La única capital de España que supera los 5.000 euros/m</w:t>
      </w:r>
      <w:r>
        <w:rPr>
          <w:rFonts w:ascii="Open Sans" w:eastAsia="Open Sans" w:hAnsi="Open Sans" w:cs="Open Sans"/>
          <w:color w:val="000000"/>
          <w:vertAlign w:val="superscript"/>
        </w:rPr>
        <w:t xml:space="preserve">2 </w:t>
      </w:r>
      <w:r>
        <w:rPr>
          <w:rFonts w:ascii="Open Sans" w:eastAsia="Open Sans" w:hAnsi="Open Sans" w:cs="Open Sans"/>
          <w:color w:val="000000"/>
        </w:rPr>
        <w:t>es Donostia - San Sebastián con 5.569 euros/m</w:t>
      </w:r>
      <w:r>
        <w:rPr>
          <w:rFonts w:ascii="Open Sans" w:eastAsia="Open Sans" w:hAnsi="Open Sans" w:cs="Open Sans"/>
          <w:color w:val="000000"/>
          <w:vertAlign w:val="superscript"/>
        </w:rPr>
        <w:t>2</w:t>
      </w:r>
      <w:r>
        <w:rPr>
          <w:rFonts w:ascii="Open Sans" w:eastAsia="Open Sans" w:hAnsi="Open Sans" w:cs="Open Sans"/>
          <w:color w:val="000000"/>
        </w:rPr>
        <w:t>.  Le siguen, Barcelona con 4.378 euros/m</w:t>
      </w:r>
      <w:r>
        <w:rPr>
          <w:rFonts w:ascii="Open Sans" w:eastAsia="Open Sans" w:hAnsi="Open Sans" w:cs="Open Sans"/>
          <w:color w:val="000000"/>
          <w:vertAlign w:val="superscript"/>
        </w:rPr>
        <w:t>2</w:t>
      </w:r>
      <w:r>
        <w:rPr>
          <w:rFonts w:ascii="Open Sans" w:eastAsia="Open Sans" w:hAnsi="Open Sans" w:cs="Open Sans"/>
          <w:color w:val="000000"/>
        </w:rPr>
        <w:t>, Madrid con 3.903 euros/m</w:t>
      </w:r>
      <w:r>
        <w:rPr>
          <w:rFonts w:ascii="Open Sans" w:eastAsia="Open Sans" w:hAnsi="Open Sans" w:cs="Open Sans"/>
          <w:color w:val="000000"/>
          <w:vertAlign w:val="superscript"/>
        </w:rPr>
        <w:t>2</w:t>
      </w:r>
      <w:r>
        <w:rPr>
          <w:rFonts w:ascii="Open Sans Light" w:eastAsia="Open Sans Light" w:hAnsi="Open Sans Light" w:cs="Open Sans Light"/>
          <w:color w:val="000000"/>
          <w:sz w:val="28"/>
          <w:szCs w:val="28"/>
        </w:rPr>
        <w:t xml:space="preserve">, </w:t>
      </w:r>
      <w:r>
        <w:rPr>
          <w:rFonts w:ascii="Open Sans" w:eastAsia="Open Sans" w:hAnsi="Open Sans" w:cs="Open Sans"/>
          <w:color w:val="000000"/>
        </w:rPr>
        <w:t>Bilbao con 3.368</w:t>
      </w:r>
      <w:r>
        <w:rPr>
          <w:rFonts w:ascii="Open Sans Light" w:eastAsia="Open Sans Light" w:hAnsi="Open Sans Light" w:cs="Open Sans Light"/>
          <w:b/>
          <w:color w:val="303AB2"/>
          <w:sz w:val="28"/>
          <w:szCs w:val="28"/>
        </w:rPr>
        <w:t xml:space="preserve"> </w:t>
      </w:r>
      <w:r>
        <w:rPr>
          <w:rFonts w:ascii="Open Sans" w:eastAsia="Open Sans" w:hAnsi="Open Sans" w:cs="Open Sans"/>
          <w:color w:val="000000"/>
        </w:rPr>
        <w:t>euros/m</w:t>
      </w:r>
      <w:r>
        <w:rPr>
          <w:rFonts w:ascii="Open Sans" w:eastAsia="Open Sans" w:hAnsi="Open Sans" w:cs="Open Sans"/>
          <w:color w:val="000000"/>
          <w:vertAlign w:val="superscript"/>
        </w:rPr>
        <w:t>2</w:t>
      </w:r>
      <w:r>
        <w:rPr>
          <w:rFonts w:ascii="Open Sans" w:eastAsia="Open Sans" w:hAnsi="Open Sans" w:cs="Open Sans"/>
          <w:color w:val="000000"/>
        </w:rPr>
        <w:t xml:space="preserve"> y Palma de Mallorca con 3.127 euros/m</w:t>
      </w:r>
      <w:r>
        <w:rPr>
          <w:rFonts w:ascii="Open Sans" w:eastAsia="Open Sans" w:hAnsi="Open Sans" w:cs="Open Sans"/>
          <w:color w:val="000000"/>
          <w:vertAlign w:val="superscript"/>
        </w:rPr>
        <w:t>2</w:t>
      </w:r>
      <w:r>
        <w:rPr>
          <w:rFonts w:ascii="Open Sans" w:eastAsia="Open Sans" w:hAnsi="Open Sans" w:cs="Open Sans"/>
          <w:color w:val="000000"/>
        </w:rPr>
        <w:t>. Por otro lado, 35 de las capitales de provincia están por debajo del precio medio de España, que en junio se sitúa en 1.883 euros/m</w:t>
      </w:r>
      <w:r>
        <w:rPr>
          <w:rFonts w:ascii="Open Sans" w:eastAsia="Open Sans" w:hAnsi="Open Sans" w:cs="Open Sans"/>
          <w:color w:val="000000"/>
          <w:vertAlign w:val="superscript"/>
        </w:rPr>
        <w:t>2</w:t>
      </w:r>
      <w:r>
        <w:rPr>
          <w:rFonts w:ascii="Open Sans" w:eastAsia="Open Sans" w:hAnsi="Open Sans" w:cs="Open Sans"/>
          <w:color w:val="000000"/>
        </w:rPr>
        <w:t>. La más económica del país es Ávila capital con 1.158 euros/m</w:t>
      </w:r>
      <w:r>
        <w:rPr>
          <w:rFonts w:ascii="Open Sans" w:eastAsia="Open Sans" w:hAnsi="Open Sans" w:cs="Open Sans"/>
          <w:color w:val="000000"/>
          <w:vertAlign w:val="superscript"/>
        </w:rPr>
        <w:t>2</w:t>
      </w:r>
      <w:r>
        <w:rPr>
          <w:rFonts w:ascii="Open Sans" w:eastAsia="Open Sans" w:hAnsi="Open Sans" w:cs="Open Sans"/>
          <w:color w:val="000000"/>
        </w:rPr>
        <w:t>, seguida de Lleida capital (1.178 euros/m</w:t>
      </w:r>
      <w:r>
        <w:rPr>
          <w:rFonts w:ascii="Open Sans" w:eastAsia="Open Sans" w:hAnsi="Open Sans" w:cs="Open Sans"/>
          <w:color w:val="000000"/>
          <w:vertAlign w:val="superscript"/>
        </w:rPr>
        <w:t>2</w:t>
      </w:r>
      <w:r>
        <w:rPr>
          <w:rFonts w:ascii="Open Sans" w:eastAsia="Open Sans" w:hAnsi="Open Sans" w:cs="Open Sans"/>
          <w:color w:val="000000"/>
        </w:rPr>
        <w:t>) y Ciudad Real capital (1.228 euros/m</w:t>
      </w:r>
      <w:r>
        <w:rPr>
          <w:rFonts w:ascii="Open Sans" w:eastAsia="Open Sans" w:hAnsi="Open Sans" w:cs="Open Sans"/>
          <w:color w:val="000000"/>
          <w:vertAlign w:val="superscript"/>
        </w:rPr>
        <w:t>2</w:t>
      </w:r>
      <w:r>
        <w:rPr>
          <w:rFonts w:ascii="Open Sans" w:eastAsia="Open Sans" w:hAnsi="Open Sans" w:cs="Open Sans"/>
          <w:color w:val="000000"/>
        </w:rPr>
        <w:t>).</w:t>
      </w:r>
    </w:p>
    <w:p w14:paraId="0000003A" w14:textId="77777777" w:rsidR="00031646" w:rsidRDefault="00031646">
      <w:pPr>
        <w:spacing w:line="276" w:lineRule="auto"/>
        <w:ind w:right="-574"/>
        <w:jc w:val="center"/>
        <w:rPr>
          <w:rFonts w:ascii="Open Sans Light" w:eastAsia="Open Sans Light" w:hAnsi="Open Sans Light" w:cs="Open Sans Light"/>
          <w:b/>
          <w:color w:val="303AB2"/>
          <w:sz w:val="28"/>
          <w:szCs w:val="28"/>
        </w:rPr>
      </w:pPr>
    </w:p>
    <w:p w14:paraId="0000003B" w14:textId="77777777" w:rsidR="00031646" w:rsidRDefault="00867CFF">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Variaciones en el segundo trimestre por capitales</w:t>
      </w:r>
    </w:p>
    <w:p w14:paraId="0000003C" w14:textId="77777777" w:rsidR="00031646" w:rsidRDefault="00031646">
      <w:pPr>
        <w:spacing w:line="276" w:lineRule="auto"/>
        <w:ind w:right="-574"/>
        <w:jc w:val="both"/>
        <w:rPr>
          <w:rFonts w:ascii="Open Sans" w:eastAsia="Open Sans" w:hAnsi="Open Sans" w:cs="Open Sans"/>
          <w:color w:val="000000"/>
        </w:rPr>
      </w:pPr>
    </w:p>
    <w:p w14:paraId="0000003D" w14:textId="77777777" w:rsidR="00031646" w:rsidRDefault="00867CFF">
      <w:pPr>
        <w:spacing w:line="276" w:lineRule="auto"/>
        <w:ind w:right="-574"/>
        <w:jc w:val="center"/>
        <w:rPr>
          <w:rFonts w:ascii="Open Sans" w:eastAsia="Open Sans" w:hAnsi="Open Sans" w:cs="Open Sans"/>
          <w:color w:val="000000"/>
        </w:rPr>
      </w:pPr>
      <w:r>
        <w:rPr>
          <w:noProof/>
        </w:rPr>
        <w:drawing>
          <wp:inline distT="0" distB="0" distL="0" distR="0">
            <wp:extent cx="5057775" cy="3886200"/>
            <wp:effectExtent l="0" t="0" r="0" b="0"/>
            <wp:docPr id="15" name="image3.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cono&#10;&#10;Descripción generada automáticamente"/>
                    <pic:cNvPicPr preferRelativeResize="0"/>
                  </pic:nvPicPr>
                  <pic:blipFill>
                    <a:blip r:embed="rId18"/>
                    <a:srcRect/>
                    <a:stretch>
                      <a:fillRect/>
                    </a:stretch>
                  </pic:blipFill>
                  <pic:spPr>
                    <a:xfrm>
                      <a:off x="0" y="0"/>
                      <a:ext cx="5057775" cy="3886200"/>
                    </a:xfrm>
                    <a:prstGeom prst="rect">
                      <a:avLst/>
                    </a:prstGeom>
                    <a:ln/>
                  </pic:spPr>
                </pic:pic>
              </a:graphicData>
            </a:graphic>
          </wp:inline>
        </w:drawing>
      </w:r>
    </w:p>
    <w:p w14:paraId="4B9436D2" w14:textId="77777777" w:rsidR="00CE7D09" w:rsidRDefault="00CE7D09">
      <w:pPr>
        <w:spacing w:line="276" w:lineRule="auto"/>
        <w:ind w:right="-574"/>
        <w:jc w:val="center"/>
        <w:rPr>
          <w:rFonts w:ascii="Open Sans Light" w:eastAsia="Open Sans Light" w:hAnsi="Open Sans Light" w:cs="Open Sans Light"/>
          <w:b/>
          <w:color w:val="303AB2"/>
          <w:sz w:val="28"/>
          <w:szCs w:val="28"/>
        </w:rPr>
      </w:pPr>
    </w:p>
    <w:p w14:paraId="0000003E" w14:textId="6D4A044F" w:rsidR="00031646" w:rsidRDefault="00867CFF">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segundo trimestre por capitales</w:t>
      </w:r>
    </w:p>
    <w:p w14:paraId="0000003F" w14:textId="77777777" w:rsidR="00031646" w:rsidRDefault="00867CFF">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extent cx="5257800" cy="3914775"/>
            <wp:effectExtent l="0" t="0" r="0" b="0"/>
            <wp:docPr id="17" name="image5.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cono&#10;&#10;Descripción generada automáticamente"/>
                    <pic:cNvPicPr preferRelativeResize="0"/>
                  </pic:nvPicPr>
                  <pic:blipFill>
                    <a:blip r:embed="rId19"/>
                    <a:srcRect/>
                    <a:stretch>
                      <a:fillRect/>
                    </a:stretch>
                  </pic:blipFill>
                  <pic:spPr>
                    <a:xfrm>
                      <a:off x="0" y="0"/>
                      <a:ext cx="5257800" cy="3914775"/>
                    </a:xfrm>
                    <a:prstGeom prst="rect">
                      <a:avLst/>
                    </a:prstGeom>
                    <a:ln/>
                  </pic:spPr>
                </pic:pic>
              </a:graphicData>
            </a:graphic>
          </wp:inline>
        </w:drawing>
      </w:r>
    </w:p>
    <w:p w14:paraId="1C34EC6C" w14:textId="77777777" w:rsidR="00CE7D09" w:rsidRDefault="00CE7D09">
      <w:pPr>
        <w:spacing w:line="276" w:lineRule="auto"/>
        <w:ind w:right="-574"/>
        <w:rPr>
          <w:rFonts w:ascii="Open Sans Light" w:eastAsia="Open Sans Light" w:hAnsi="Open Sans Light" w:cs="Open Sans Light"/>
          <w:b/>
          <w:color w:val="303AB2"/>
          <w:sz w:val="28"/>
          <w:szCs w:val="28"/>
        </w:rPr>
      </w:pPr>
    </w:p>
    <w:p w14:paraId="00000040" w14:textId="1007F454" w:rsidR="00031646" w:rsidRDefault="00867CFF">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00000041"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precio medio de la vivienda trimestral de segunda mano cae en 389 (57</w:t>
      </w:r>
      <w:proofErr w:type="gramStart"/>
      <w:r>
        <w:rPr>
          <w:rFonts w:ascii="Open Sans" w:eastAsia="Open Sans" w:hAnsi="Open Sans" w:cs="Open Sans"/>
          <w:color w:val="000000"/>
        </w:rPr>
        <w:t>%)  de</w:t>
      </w:r>
      <w:proofErr w:type="gramEnd"/>
      <w:r>
        <w:rPr>
          <w:rFonts w:ascii="Open Sans" w:eastAsia="Open Sans" w:hAnsi="Open Sans" w:cs="Open Sans"/>
          <w:color w:val="000000"/>
        </w:rPr>
        <w:t xml:space="preserve"> los 681 municipios analizados por </w:t>
      </w:r>
      <w:hyperlink r:id="rId20">
        <w:r>
          <w:rPr>
            <w:rFonts w:ascii="Open Sans" w:eastAsia="Open Sans" w:hAnsi="Open Sans" w:cs="Open Sans"/>
            <w:b/>
            <w:color w:val="0000FF"/>
            <w:u w:val="single"/>
          </w:rPr>
          <w:t>Fotocasa</w:t>
        </w:r>
      </w:hyperlink>
      <w:r>
        <w:rPr>
          <w:rFonts w:ascii="Open Sans" w:eastAsia="Open Sans" w:hAnsi="Open Sans" w:cs="Open Sans"/>
          <w:color w:val="000000"/>
        </w:rPr>
        <w:t xml:space="preserve">. En Santa Cruz de Tenerife se detecta el mayor descenso trimestral de España, en concreto el -14,6% detectado en el municipio de Tacoronte. Le sigue el municipio murciano de Calasparra (14%) y el gallego Foz (-13,7%). </w:t>
      </w:r>
    </w:p>
    <w:p w14:paraId="00000042"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municipio de Donostia - San Sebastián es el único municipio que supera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con 5.569 euros/m</w:t>
      </w:r>
      <w:r>
        <w:rPr>
          <w:rFonts w:ascii="Open Sans" w:eastAsia="Open Sans" w:hAnsi="Open Sans" w:cs="Open Sans"/>
          <w:color w:val="000000"/>
          <w:vertAlign w:val="superscript"/>
        </w:rPr>
        <w:t>2</w:t>
      </w:r>
      <w:r>
        <w:rPr>
          <w:rFonts w:ascii="Open Sans" w:eastAsia="Open Sans" w:hAnsi="Open Sans" w:cs="Open Sans"/>
          <w:color w:val="000000"/>
        </w:rPr>
        <w:t>. Por otro lado, el 27% de las ciudades españolas no superan los 1.000 euros/m</w:t>
      </w:r>
      <w:r>
        <w:rPr>
          <w:rFonts w:ascii="Open Sans" w:eastAsia="Open Sans" w:hAnsi="Open Sans" w:cs="Open Sans"/>
          <w:color w:val="000000"/>
          <w:vertAlign w:val="superscript"/>
        </w:rPr>
        <w:t>2</w:t>
      </w:r>
      <w:r>
        <w:rPr>
          <w:rFonts w:ascii="Open Sans" w:eastAsia="Open Sans" w:hAnsi="Open Sans" w:cs="Open Sans"/>
          <w:color w:val="000000"/>
        </w:rPr>
        <w:t>, el 56% se encuentra entre los 1.000 y 2.000 euros/m</w:t>
      </w:r>
      <w:r>
        <w:rPr>
          <w:rFonts w:ascii="Open Sans" w:eastAsia="Open Sans" w:hAnsi="Open Sans" w:cs="Open Sans"/>
          <w:color w:val="000000"/>
          <w:vertAlign w:val="superscript"/>
        </w:rPr>
        <w:t>2</w:t>
      </w:r>
      <w:r>
        <w:rPr>
          <w:rFonts w:ascii="Open Sans" w:eastAsia="Open Sans" w:hAnsi="Open Sans" w:cs="Open Sans"/>
          <w:color w:val="000000"/>
        </w:rPr>
        <w:t>;</w:t>
      </w:r>
      <w:r>
        <w:rPr>
          <w:rFonts w:ascii="Open Sans" w:eastAsia="Open Sans" w:hAnsi="Open Sans" w:cs="Open Sans"/>
          <w:color w:val="000000"/>
          <w:vertAlign w:val="superscript"/>
        </w:rPr>
        <w:t xml:space="preserve"> </w:t>
      </w:r>
      <w:r>
        <w:rPr>
          <w:rFonts w:ascii="Open Sans" w:eastAsia="Open Sans" w:hAnsi="Open Sans" w:cs="Open Sans"/>
          <w:color w:val="000000"/>
        </w:rPr>
        <w:t>y tan solo el 4% de los municipios están en la franja de los 3.000 euros/m</w:t>
      </w:r>
      <w:r>
        <w:rPr>
          <w:rFonts w:ascii="Open Sans" w:eastAsia="Open Sans" w:hAnsi="Open Sans" w:cs="Open Sans"/>
          <w:color w:val="000000"/>
          <w:vertAlign w:val="superscript"/>
        </w:rPr>
        <w:t>2</w:t>
      </w:r>
      <w:r>
        <w:rPr>
          <w:rFonts w:ascii="Open Sans" w:eastAsia="Open Sans" w:hAnsi="Open Sans" w:cs="Open Sans"/>
          <w:color w:val="000000"/>
        </w:rPr>
        <w:t>.</w:t>
      </w:r>
    </w:p>
    <w:p w14:paraId="00000043" w14:textId="77777777" w:rsidR="00031646" w:rsidRDefault="00867CFF">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y Barcelona</w:t>
      </w:r>
    </w:p>
    <w:p w14:paraId="00000044"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en los distritos de </w:t>
      </w:r>
      <w:r>
        <w:rPr>
          <w:rFonts w:ascii="Open Sans" w:eastAsia="Open Sans" w:hAnsi="Open Sans" w:cs="Open Sans"/>
          <w:b/>
          <w:color w:val="000000"/>
        </w:rPr>
        <w:t>Madrid</w:t>
      </w:r>
      <w:r>
        <w:rPr>
          <w:rFonts w:ascii="Open Sans" w:eastAsia="Open Sans" w:hAnsi="Open Sans" w:cs="Open Sans"/>
          <w:color w:val="000000"/>
        </w:rPr>
        <w:t xml:space="preserve"> sube en el segundo trimestre de 2021 en el 81% (19 de 21) de los distritos madrileños analizados por </w:t>
      </w:r>
      <w:hyperlink r:id="rId21">
        <w:r>
          <w:rPr>
            <w:rFonts w:ascii="Open Sans" w:eastAsia="Open Sans" w:hAnsi="Open Sans" w:cs="Open Sans"/>
            <w:b/>
            <w:color w:val="0000FF"/>
            <w:u w:val="single"/>
          </w:rPr>
          <w:t>Fotocasa</w:t>
        </w:r>
      </w:hyperlink>
      <w:r>
        <w:rPr>
          <w:rFonts w:ascii="Open Sans" w:eastAsia="Open Sans" w:hAnsi="Open Sans" w:cs="Open Sans"/>
          <w:color w:val="000000"/>
        </w:rPr>
        <w:t xml:space="preserve">. El incremento trimestral más destacado corresponde al </w:t>
      </w:r>
      <w:r>
        <w:rPr>
          <w:rFonts w:ascii="Open Sans" w:eastAsia="Open Sans" w:hAnsi="Open Sans" w:cs="Open Sans"/>
          <w:color w:val="000000"/>
        </w:rPr>
        <w:lastRenderedPageBreak/>
        <w:t>distrito de Villa de Vallecas con un 6,2%, seguida de San Blas y Usera con un 4,2%, cada una. Por otro lado, los distritos con descensos son Centro (-2,7%) y Carabanchel (-1,3%) en junio.</w:t>
      </w:r>
    </w:p>
    <w:p w14:paraId="00000045"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cinco distritos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Salamanca (6.385 euros/m</w:t>
      </w:r>
      <w:r>
        <w:rPr>
          <w:rFonts w:ascii="Open Sans" w:eastAsia="Open Sans" w:hAnsi="Open Sans" w:cs="Open Sans"/>
          <w:color w:val="000000"/>
          <w:vertAlign w:val="superscript"/>
        </w:rPr>
        <w:t>2</w:t>
      </w:r>
      <w:r>
        <w:rPr>
          <w:rFonts w:ascii="Open Sans" w:eastAsia="Open Sans" w:hAnsi="Open Sans" w:cs="Open Sans"/>
          <w:color w:val="000000"/>
        </w:rPr>
        <w:t>), Chamberí (5.460 euros/m</w:t>
      </w:r>
      <w:r>
        <w:rPr>
          <w:rFonts w:ascii="Open Sans" w:eastAsia="Open Sans" w:hAnsi="Open Sans" w:cs="Open Sans"/>
          <w:color w:val="000000"/>
          <w:vertAlign w:val="superscript"/>
        </w:rPr>
        <w:t>2</w:t>
      </w:r>
      <w:r>
        <w:rPr>
          <w:rFonts w:ascii="Open Sans" w:eastAsia="Open Sans" w:hAnsi="Open Sans" w:cs="Open Sans"/>
          <w:color w:val="000000"/>
        </w:rPr>
        <w:t>), Chamartín (5.307 euros/m</w:t>
      </w:r>
      <w:r>
        <w:rPr>
          <w:rFonts w:ascii="Open Sans" w:eastAsia="Open Sans" w:hAnsi="Open Sans" w:cs="Open Sans"/>
          <w:color w:val="000000"/>
          <w:vertAlign w:val="superscript"/>
        </w:rPr>
        <w:t>2</w:t>
      </w:r>
      <w:r>
        <w:rPr>
          <w:rFonts w:ascii="Open Sans" w:eastAsia="Open Sans" w:hAnsi="Open Sans" w:cs="Open Sans"/>
          <w:color w:val="000000"/>
        </w:rPr>
        <w:t>), Centro (5.141 euros/m</w:t>
      </w:r>
      <w:r>
        <w:rPr>
          <w:rFonts w:ascii="Open Sans" w:eastAsia="Open Sans" w:hAnsi="Open Sans" w:cs="Open Sans"/>
          <w:color w:val="000000"/>
          <w:vertAlign w:val="superscript"/>
        </w:rPr>
        <w:t>2</w:t>
      </w:r>
      <w:r>
        <w:rPr>
          <w:rFonts w:ascii="Open Sans" w:eastAsia="Open Sans" w:hAnsi="Open Sans" w:cs="Open Sans"/>
          <w:color w:val="000000"/>
        </w:rPr>
        <w:t>) y Retiro (5.114 euros/m</w:t>
      </w:r>
      <w:r>
        <w:rPr>
          <w:rFonts w:ascii="Open Sans" w:eastAsia="Open Sans" w:hAnsi="Open Sans" w:cs="Open Sans"/>
          <w:color w:val="000000"/>
          <w:vertAlign w:val="superscript"/>
        </w:rPr>
        <w:t>2</w:t>
      </w:r>
      <w:r>
        <w:rPr>
          <w:rFonts w:ascii="Open Sans" w:eastAsia="Open Sans" w:hAnsi="Open Sans" w:cs="Open Sans"/>
          <w:color w:val="000000"/>
        </w:rPr>
        <w:t>). Por otro lado, tan solo el distrito de Villaverde tiene un precio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en concreto 1.803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00000046" w14:textId="77777777" w:rsidR="00031646" w:rsidRDefault="00867CFF">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w:t>
      </w:r>
      <w:r>
        <w:rPr>
          <w:rFonts w:ascii="Open Sans" w:eastAsia="Open Sans" w:hAnsi="Open Sans" w:cs="Open Sans"/>
          <w:b/>
          <w:color w:val="000000"/>
        </w:rPr>
        <w:t>Barcelona</w:t>
      </w:r>
      <w:r>
        <w:rPr>
          <w:rFonts w:ascii="Open Sans" w:eastAsia="Open Sans" w:hAnsi="Open Sans" w:cs="Open Sans"/>
          <w:color w:val="000000"/>
        </w:rPr>
        <w:t>, seis distritos descienden su valor trimestral. El descenso más destacado corresponde al distrito de Sant Martí con un -4,3%, seguida de Sants – Montjuïc con un -4%, entre otros. Por otro lado, los distritos con incrementos trimestrales son Eixample (3,4%), Sant Andreu (2,5%), Gràcia (1,5%) y Sarrià - Sant Gervasi (0,4%).</w:t>
      </w:r>
    </w:p>
    <w:p w14:paraId="00000047"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junio, vemos que solo tres distritos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son: Sarrià - Sant Gervasi (5.678 euros/m</w:t>
      </w:r>
      <w:r>
        <w:rPr>
          <w:rFonts w:ascii="Open Sans" w:eastAsia="Open Sans" w:hAnsi="Open Sans" w:cs="Open Sans"/>
          <w:color w:val="000000"/>
          <w:vertAlign w:val="superscript"/>
        </w:rPr>
        <w:t>2</w:t>
      </w:r>
      <w:r>
        <w:rPr>
          <w:rFonts w:ascii="Open Sans" w:eastAsia="Open Sans" w:hAnsi="Open Sans" w:cs="Open Sans"/>
          <w:color w:val="000000"/>
        </w:rPr>
        <w:t>), Eixample (5.274 euros/m</w:t>
      </w:r>
      <w:r>
        <w:rPr>
          <w:rFonts w:ascii="Open Sans" w:eastAsia="Open Sans" w:hAnsi="Open Sans" w:cs="Open Sans"/>
          <w:color w:val="000000"/>
          <w:vertAlign w:val="superscript"/>
        </w:rPr>
        <w:t>2</w:t>
      </w:r>
      <w:r>
        <w:rPr>
          <w:rFonts w:ascii="Open Sans" w:eastAsia="Open Sans" w:hAnsi="Open Sans" w:cs="Open Sans"/>
          <w:color w:val="000000"/>
        </w:rPr>
        <w:t>) y Les Corts (5.269 euros/m</w:t>
      </w:r>
      <w:r>
        <w:rPr>
          <w:rFonts w:ascii="Open Sans" w:eastAsia="Open Sans" w:hAnsi="Open Sans" w:cs="Open Sans"/>
          <w:color w:val="000000"/>
          <w:vertAlign w:val="superscript"/>
        </w:rPr>
        <w:t>2</w:t>
      </w:r>
      <w:r>
        <w:rPr>
          <w:rFonts w:ascii="Open Sans" w:eastAsia="Open Sans" w:hAnsi="Open Sans" w:cs="Open Sans"/>
          <w:color w:val="000000"/>
        </w:rPr>
        <w:t xml:space="preserve">). Por otro lado, tan solo el distrito de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tiene un precio por debajo de los 3.000 euros/m</w:t>
      </w:r>
      <w:r>
        <w:rPr>
          <w:rFonts w:ascii="Open Sans" w:eastAsia="Open Sans" w:hAnsi="Open Sans" w:cs="Open Sans"/>
          <w:color w:val="000000"/>
          <w:vertAlign w:val="superscript"/>
        </w:rPr>
        <w:t>2</w:t>
      </w:r>
      <w:r>
        <w:rPr>
          <w:rFonts w:ascii="Open Sans" w:eastAsia="Open Sans" w:hAnsi="Open Sans" w:cs="Open Sans"/>
          <w:color w:val="000000"/>
        </w:rPr>
        <w:t>, en concreto 2.491 euros/m</w:t>
      </w:r>
      <w:r>
        <w:rPr>
          <w:rFonts w:ascii="Open Sans" w:eastAsia="Open Sans" w:hAnsi="Open Sans" w:cs="Open Sans"/>
          <w:color w:val="000000"/>
          <w:vertAlign w:val="superscript"/>
        </w:rPr>
        <w:t>2</w:t>
      </w:r>
      <w:r>
        <w:rPr>
          <w:rFonts w:ascii="Open Sans" w:eastAsia="Open Sans" w:hAnsi="Open Sans" w:cs="Open Sans"/>
          <w:color w:val="000000"/>
        </w:rPr>
        <w:t>.</w:t>
      </w:r>
    </w:p>
    <w:p w14:paraId="00000048" w14:textId="77777777" w:rsidR="00031646" w:rsidRDefault="00867CFF">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Barrios de Madrid y Barcelona </w:t>
      </w:r>
    </w:p>
    <w:p w14:paraId="00000049"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en los barrios de </w:t>
      </w:r>
      <w:r>
        <w:rPr>
          <w:rFonts w:ascii="Open Sans" w:eastAsia="Open Sans" w:hAnsi="Open Sans" w:cs="Open Sans"/>
          <w:b/>
          <w:color w:val="000000"/>
        </w:rPr>
        <w:t>Madrid</w:t>
      </w:r>
      <w:r>
        <w:rPr>
          <w:rFonts w:ascii="Open Sans" w:eastAsia="Open Sans" w:hAnsi="Open Sans" w:cs="Open Sans"/>
          <w:color w:val="000000"/>
        </w:rPr>
        <w:t xml:space="preserve"> sube en el segundo trimestre de 2021 en el 58% (48 de 83) de los barrios madrileños con variación trimestral analizados por </w:t>
      </w:r>
      <w:hyperlink r:id="rId22">
        <w:r>
          <w:rPr>
            <w:rFonts w:ascii="Open Sans" w:eastAsia="Open Sans" w:hAnsi="Open Sans" w:cs="Open Sans"/>
            <w:b/>
            <w:color w:val="0000FF"/>
            <w:u w:val="single"/>
          </w:rPr>
          <w:t>Fotocasa</w:t>
        </w:r>
      </w:hyperlink>
      <w:r>
        <w:rPr>
          <w:rFonts w:ascii="Open Sans" w:eastAsia="Open Sans" w:hAnsi="Open Sans" w:cs="Open Sans"/>
          <w:color w:val="000000"/>
        </w:rPr>
        <w:t xml:space="preserve">. El incremento trimestral más destacado corresponde al barrio de Castellana, en Salamanca, con un 9,9%, seguida de Lucero en Latina con un 7,2%. Por otro lado, el distrito con mayor descenso trimestral es Aravaca en </w:t>
      </w:r>
      <w:proofErr w:type="gramStart"/>
      <w:r>
        <w:rPr>
          <w:rFonts w:ascii="Open Sans" w:eastAsia="Open Sans" w:hAnsi="Open Sans" w:cs="Open Sans"/>
          <w:color w:val="000000"/>
        </w:rPr>
        <w:t>Moncloa</w:t>
      </w:r>
      <w:proofErr w:type="gramEnd"/>
      <w:r>
        <w:rPr>
          <w:rFonts w:ascii="Open Sans" w:eastAsia="Open Sans" w:hAnsi="Open Sans" w:cs="Open Sans"/>
          <w:color w:val="000000"/>
        </w:rPr>
        <w:t xml:space="preserve"> con -7,1% en junio.</w:t>
      </w:r>
    </w:p>
    <w:p w14:paraId="0000004A"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19 barrios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tan solo nueve están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todos ellos correspondientes a los distritos de Villaverde, Puente de Vallecas, Usera y Carabanchel.</w:t>
      </w:r>
    </w:p>
    <w:p w14:paraId="0000004B"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 </w:t>
      </w:r>
      <w:r>
        <w:rPr>
          <w:rFonts w:ascii="Open Sans" w:eastAsia="Open Sans" w:hAnsi="Open Sans" w:cs="Open Sans"/>
          <w:b/>
          <w:color w:val="000000"/>
        </w:rPr>
        <w:t>Barcelona</w:t>
      </w:r>
      <w:r>
        <w:rPr>
          <w:rFonts w:ascii="Open Sans" w:eastAsia="Open Sans" w:hAnsi="Open Sans" w:cs="Open Sans"/>
          <w:color w:val="000000"/>
        </w:rPr>
        <w:t xml:space="preserve">, 35 de los 58 barrios (60%) descienden su valor trimestral. El descenso más destacado corresponde al barrio de El Poblenou, Sant Martí, con un -6,7%, seguida de El Poble </w:t>
      </w:r>
      <w:proofErr w:type="spellStart"/>
      <w:r>
        <w:rPr>
          <w:rFonts w:ascii="Open Sans" w:eastAsia="Open Sans" w:hAnsi="Open Sans" w:cs="Open Sans"/>
          <w:color w:val="000000"/>
        </w:rPr>
        <w:t>Sec</w:t>
      </w:r>
      <w:proofErr w:type="spellEnd"/>
      <w:r>
        <w:rPr>
          <w:rFonts w:ascii="Open Sans" w:eastAsia="Open Sans" w:hAnsi="Open Sans" w:cs="Open Sans"/>
          <w:color w:val="000000"/>
        </w:rPr>
        <w:t xml:space="preserve"> - </w:t>
      </w:r>
      <w:proofErr w:type="spellStart"/>
      <w:r>
        <w:rPr>
          <w:rFonts w:ascii="Open Sans" w:eastAsia="Open Sans" w:hAnsi="Open Sans" w:cs="Open Sans"/>
          <w:color w:val="000000"/>
        </w:rPr>
        <w:t>Parc</w:t>
      </w:r>
      <w:proofErr w:type="spellEnd"/>
      <w:r>
        <w:rPr>
          <w:rFonts w:ascii="Open Sans" w:eastAsia="Open Sans" w:hAnsi="Open Sans" w:cs="Open Sans"/>
          <w:color w:val="000000"/>
        </w:rPr>
        <w:t xml:space="preserve"> de Montjuïc, Sants - Montjuïc, con un -</w:t>
      </w:r>
      <w:r>
        <w:rPr>
          <w:rFonts w:ascii="Open Sans" w:eastAsia="Open Sans" w:hAnsi="Open Sans" w:cs="Open Sans"/>
          <w:color w:val="000000"/>
        </w:rPr>
        <w:lastRenderedPageBreak/>
        <w:t xml:space="preserve">5,4%. Por otro lado, el distrito con mayor incremento es </w:t>
      </w:r>
      <w:proofErr w:type="spellStart"/>
      <w:r>
        <w:rPr>
          <w:rFonts w:ascii="Open Sans" w:eastAsia="Open Sans" w:hAnsi="Open Sans" w:cs="Open Sans"/>
          <w:color w:val="000000"/>
        </w:rPr>
        <w:t>Provençals</w:t>
      </w:r>
      <w:proofErr w:type="spellEnd"/>
      <w:r>
        <w:rPr>
          <w:rFonts w:ascii="Open Sans" w:eastAsia="Open Sans" w:hAnsi="Open Sans" w:cs="Open Sans"/>
          <w:color w:val="000000"/>
        </w:rPr>
        <w:t xml:space="preserve"> del Poblenou, en Sant Martí con un 20,1% en junio.</w:t>
      </w:r>
    </w:p>
    <w:p w14:paraId="0000004C" w14:textId="77777777" w:rsidR="00031646" w:rsidRDefault="00867CFF">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vemos que 15 barrios superan la barrera de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y tan solo dos están por debajo de los 2.000 euros/m</w:t>
      </w:r>
      <w:r>
        <w:rPr>
          <w:rFonts w:ascii="Open Sans" w:eastAsia="Open Sans" w:hAnsi="Open Sans" w:cs="Open Sans"/>
          <w:color w:val="000000"/>
          <w:vertAlign w:val="superscript"/>
        </w:rPr>
        <w:t>2</w:t>
      </w:r>
      <w:r>
        <w:rPr>
          <w:rFonts w:ascii="Open Sans" w:eastAsia="Open Sans" w:hAnsi="Open Sans" w:cs="Open Sans"/>
          <w:color w:val="000000"/>
        </w:rPr>
        <w:t xml:space="preserve">, todos ellos correspondientes a los barrios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Meridiana y </w:t>
      </w:r>
      <w:proofErr w:type="spellStart"/>
      <w:r>
        <w:rPr>
          <w:rFonts w:ascii="Open Sans" w:eastAsia="Open Sans" w:hAnsi="Open Sans" w:cs="Open Sans"/>
          <w:color w:val="000000"/>
        </w:rPr>
        <w:t>Trinitat</w:t>
      </w:r>
      <w:proofErr w:type="spellEnd"/>
      <w:r>
        <w:rPr>
          <w:rFonts w:ascii="Open Sans" w:eastAsia="Open Sans" w:hAnsi="Open Sans" w:cs="Open Sans"/>
          <w:color w:val="000000"/>
        </w:rPr>
        <w:t xml:space="preserve"> Vella.</w:t>
      </w:r>
    </w:p>
    <w:p w14:paraId="0000004D" w14:textId="77777777" w:rsidR="00031646" w:rsidRDefault="00867CFF">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(7)</w:t>
      </w:r>
    </w:p>
    <w:p w14:paraId="0000004E"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(mar.21 – jun.21)</w:t>
      </w:r>
    </w:p>
    <w:tbl>
      <w:tblPr>
        <w:tblStyle w:val="a"/>
        <w:tblW w:w="89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62"/>
        <w:gridCol w:w="2466"/>
        <w:gridCol w:w="2148"/>
        <w:gridCol w:w="1847"/>
      </w:tblGrid>
      <w:tr w:rsidR="00031646" w14:paraId="3712C54A" w14:textId="77777777" w:rsidTr="0003164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tcPr>
          <w:p w14:paraId="0000004F"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Comunidad Autónoma</w:t>
            </w:r>
          </w:p>
        </w:tc>
        <w:tc>
          <w:tcPr>
            <w:tcW w:w="2466" w:type="dxa"/>
            <w:shd w:val="clear" w:color="auto" w:fill="1DBDC5"/>
          </w:tcPr>
          <w:p w14:paraId="00000050"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051"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2148" w:type="dxa"/>
            <w:shd w:val="clear" w:color="auto" w:fill="1DBDC5"/>
          </w:tcPr>
          <w:p w14:paraId="00000052"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847" w:type="dxa"/>
            <w:shd w:val="clear" w:color="auto" w:fill="1DBDC5"/>
          </w:tcPr>
          <w:p w14:paraId="00000053"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054"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(€/m²)</w:t>
            </w:r>
          </w:p>
        </w:tc>
      </w:tr>
      <w:tr w:rsidR="00031646" w14:paraId="66276DCA"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5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466" w:type="dxa"/>
            <w:vAlign w:val="bottom"/>
          </w:tcPr>
          <w:p w14:paraId="0000005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2148" w:type="dxa"/>
            <w:vAlign w:val="bottom"/>
          </w:tcPr>
          <w:p w14:paraId="0000005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w:t>
            </w:r>
          </w:p>
        </w:tc>
        <w:tc>
          <w:tcPr>
            <w:tcW w:w="1847" w:type="dxa"/>
            <w:vAlign w:val="bottom"/>
          </w:tcPr>
          <w:p w14:paraId="0000005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1.122 €</w:t>
            </w:r>
          </w:p>
        </w:tc>
      </w:tr>
      <w:tr w:rsidR="00031646" w14:paraId="11ABCA48"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5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466" w:type="dxa"/>
            <w:vAlign w:val="bottom"/>
          </w:tcPr>
          <w:p w14:paraId="0000005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148" w:type="dxa"/>
            <w:vAlign w:val="bottom"/>
          </w:tcPr>
          <w:p w14:paraId="0000005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-5,6%</w:t>
            </w:r>
          </w:p>
        </w:tc>
        <w:tc>
          <w:tcPr>
            <w:tcW w:w="1847" w:type="dxa"/>
            <w:vAlign w:val="bottom"/>
          </w:tcPr>
          <w:p w14:paraId="0000005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1.626 €</w:t>
            </w:r>
          </w:p>
        </w:tc>
      </w:tr>
      <w:tr w:rsidR="00031646" w14:paraId="067BF537"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5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466" w:type="dxa"/>
            <w:vAlign w:val="bottom"/>
          </w:tcPr>
          <w:p w14:paraId="0000005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148" w:type="dxa"/>
            <w:vAlign w:val="bottom"/>
          </w:tcPr>
          <w:p w14:paraId="0000005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847" w:type="dxa"/>
            <w:vAlign w:val="bottom"/>
          </w:tcPr>
          <w:p w14:paraId="0000006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1.554 €</w:t>
            </w:r>
          </w:p>
        </w:tc>
      </w:tr>
      <w:tr w:rsidR="00031646" w14:paraId="5C7AF647"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6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466" w:type="dxa"/>
            <w:vAlign w:val="bottom"/>
          </w:tcPr>
          <w:p w14:paraId="0000006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2148" w:type="dxa"/>
            <w:vAlign w:val="bottom"/>
          </w:tcPr>
          <w:p w14:paraId="0000006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847" w:type="dxa"/>
            <w:vAlign w:val="bottom"/>
          </w:tcPr>
          <w:p w14:paraId="0000006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1.108 €</w:t>
            </w:r>
          </w:p>
        </w:tc>
      </w:tr>
      <w:tr w:rsidR="00031646" w14:paraId="7446DD94"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6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466" w:type="dxa"/>
            <w:vAlign w:val="bottom"/>
          </w:tcPr>
          <w:p w14:paraId="0000006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148" w:type="dxa"/>
            <w:vAlign w:val="bottom"/>
          </w:tcPr>
          <w:p w14:paraId="0000006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47" w:type="dxa"/>
            <w:vAlign w:val="bottom"/>
          </w:tcPr>
          <w:p w14:paraId="0000006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1.772 €</w:t>
            </w:r>
          </w:p>
        </w:tc>
      </w:tr>
      <w:tr w:rsidR="00031646" w14:paraId="5DAF6429"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6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466" w:type="dxa"/>
            <w:vAlign w:val="bottom"/>
          </w:tcPr>
          <w:p w14:paraId="0000006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2148" w:type="dxa"/>
            <w:vAlign w:val="bottom"/>
          </w:tcPr>
          <w:p w14:paraId="0000006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847" w:type="dxa"/>
            <w:vAlign w:val="bottom"/>
          </w:tcPr>
          <w:p w14:paraId="0000006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1.160 €</w:t>
            </w:r>
          </w:p>
        </w:tc>
      </w:tr>
      <w:tr w:rsidR="00031646" w14:paraId="2CA25A3A"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6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2466" w:type="dxa"/>
            <w:vAlign w:val="bottom"/>
          </w:tcPr>
          <w:p w14:paraId="0000006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148" w:type="dxa"/>
            <w:vAlign w:val="bottom"/>
          </w:tcPr>
          <w:p w14:paraId="0000006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847" w:type="dxa"/>
            <w:vAlign w:val="bottom"/>
          </w:tcPr>
          <w:p w14:paraId="0000007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1.422 €</w:t>
            </w:r>
          </w:p>
        </w:tc>
      </w:tr>
      <w:tr w:rsidR="00031646" w14:paraId="6B6C3B09"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7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466" w:type="dxa"/>
            <w:vAlign w:val="bottom"/>
          </w:tcPr>
          <w:p w14:paraId="0000007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48" w:type="dxa"/>
            <w:vAlign w:val="bottom"/>
          </w:tcPr>
          <w:p w14:paraId="0000007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847" w:type="dxa"/>
            <w:vAlign w:val="bottom"/>
          </w:tcPr>
          <w:p w14:paraId="0000007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2.848 €</w:t>
            </w:r>
          </w:p>
        </w:tc>
      </w:tr>
      <w:tr w:rsidR="00031646" w14:paraId="3221AB8D"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7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466" w:type="dxa"/>
            <w:vAlign w:val="bottom"/>
          </w:tcPr>
          <w:p w14:paraId="0000007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48" w:type="dxa"/>
            <w:vAlign w:val="bottom"/>
          </w:tcPr>
          <w:p w14:paraId="0000007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47" w:type="dxa"/>
            <w:vAlign w:val="bottom"/>
          </w:tcPr>
          <w:p w14:paraId="0000007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1.570 €</w:t>
            </w:r>
          </w:p>
        </w:tc>
      </w:tr>
      <w:tr w:rsidR="00031646" w14:paraId="50BF0D9F"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7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466" w:type="dxa"/>
            <w:vAlign w:val="bottom"/>
          </w:tcPr>
          <w:p w14:paraId="0000007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2148" w:type="dxa"/>
            <w:vAlign w:val="bottom"/>
          </w:tcPr>
          <w:p w14:paraId="0000007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847" w:type="dxa"/>
            <w:vAlign w:val="bottom"/>
          </w:tcPr>
          <w:p w14:paraId="0000007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1.432 €</w:t>
            </w:r>
          </w:p>
        </w:tc>
      </w:tr>
      <w:tr w:rsidR="00031646" w14:paraId="4C7A7EF4"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7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466" w:type="dxa"/>
            <w:vAlign w:val="bottom"/>
          </w:tcPr>
          <w:p w14:paraId="0000007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2148" w:type="dxa"/>
            <w:vAlign w:val="bottom"/>
          </w:tcPr>
          <w:p w14:paraId="0000007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847" w:type="dxa"/>
            <w:vAlign w:val="bottom"/>
          </w:tcPr>
          <w:p w14:paraId="0000008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1.666 €</w:t>
            </w:r>
          </w:p>
        </w:tc>
      </w:tr>
      <w:tr w:rsidR="00031646" w14:paraId="12652997"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8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466" w:type="dxa"/>
            <w:vAlign w:val="bottom"/>
          </w:tcPr>
          <w:p w14:paraId="0000008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48" w:type="dxa"/>
            <w:vAlign w:val="bottom"/>
          </w:tcPr>
          <w:p w14:paraId="0000008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47" w:type="dxa"/>
            <w:vAlign w:val="bottom"/>
          </w:tcPr>
          <w:p w14:paraId="0000008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1.435 €</w:t>
            </w:r>
          </w:p>
        </w:tc>
      </w:tr>
      <w:tr w:rsidR="00031646" w14:paraId="4DF93C41"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8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466" w:type="dxa"/>
            <w:vAlign w:val="bottom"/>
          </w:tcPr>
          <w:p w14:paraId="0000008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48" w:type="dxa"/>
            <w:vAlign w:val="bottom"/>
          </w:tcPr>
          <w:p w14:paraId="0000008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847" w:type="dxa"/>
            <w:vAlign w:val="bottom"/>
          </w:tcPr>
          <w:p w14:paraId="0000008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1.613 €</w:t>
            </w:r>
          </w:p>
        </w:tc>
      </w:tr>
      <w:tr w:rsidR="00031646" w14:paraId="6D895E81"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8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466" w:type="dxa"/>
            <w:vAlign w:val="bottom"/>
          </w:tcPr>
          <w:p w14:paraId="0000008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148" w:type="dxa"/>
            <w:vAlign w:val="bottom"/>
          </w:tcPr>
          <w:p w14:paraId="0000008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847" w:type="dxa"/>
            <w:vAlign w:val="bottom"/>
          </w:tcPr>
          <w:p w14:paraId="0000008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2.870 €</w:t>
            </w:r>
          </w:p>
        </w:tc>
      </w:tr>
      <w:tr w:rsidR="00031646" w14:paraId="49FB7359"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8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466" w:type="dxa"/>
            <w:vAlign w:val="bottom"/>
          </w:tcPr>
          <w:p w14:paraId="0000008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148" w:type="dxa"/>
            <w:vAlign w:val="bottom"/>
          </w:tcPr>
          <w:p w14:paraId="0000008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847" w:type="dxa"/>
            <w:vAlign w:val="bottom"/>
          </w:tcPr>
          <w:p w14:paraId="0000009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2.522 €</w:t>
            </w:r>
          </w:p>
        </w:tc>
      </w:tr>
      <w:tr w:rsidR="00031646" w14:paraId="4E84FA2B"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9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466" w:type="dxa"/>
            <w:vAlign w:val="bottom"/>
          </w:tcPr>
          <w:p w14:paraId="0000009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148" w:type="dxa"/>
            <w:vAlign w:val="bottom"/>
          </w:tcPr>
          <w:p w14:paraId="0000009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847" w:type="dxa"/>
            <w:vAlign w:val="bottom"/>
          </w:tcPr>
          <w:p w14:paraId="0000009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1.743 €</w:t>
            </w:r>
          </w:p>
        </w:tc>
      </w:tr>
      <w:tr w:rsidR="00031646" w14:paraId="5E7E1F7B"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9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466" w:type="dxa"/>
            <w:vAlign w:val="bottom"/>
          </w:tcPr>
          <w:p w14:paraId="0000009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148" w:type="dxa"/>
            <w:vAlign w:val="bottom"/>
          </w:tcPr>
          <w:p w14:paraId="0000009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847" w:type="dxa"/>
            <w:vAlign w:val="bottom"/>
          </w:tcPr>
          <w:p w14:paraId="0000009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3.111 €</w:t>
            </w:r>
          </w:p>
        </w:tc>
      </w:tr>
      <w:tr w:rsidR="00031646" w14:paraId="278AA60D"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000009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466" w:type="dxa"/>
            <w:vAlign w:val="bottom"/>
          </w:tcPr>
          <w:p w14:paraId="0000009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2148" w:type="dxa"/>
            <w:vAlign w:val="bottom"/>
          </w:tcPr>
          <w:p w14:paraId="0000009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w:t>
            </w:r>
          </w:p>
        </w:tc>
        <w:tc>
          <w:tcPr>
            <w:tcW w:w="1847" w:type="dxa"/>
            <w:vAlign w:val="bottom"/>
          </w:tcPr>
          <w:p w14:paraId="0000009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1.883 €</w:t>
            </w:r>
          </w:p>
        </w:tc>
      </w:tr>
    </w:tbl>
    <w:p w14:paraId="0000009D"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menor a mayor incremento trimestral (mar.21 – jun.21)</w:t>
      </w:r>
    </w:p>
    <w:tbl>
      <w:tblPr>
        <w:tblStyle w:val="a0"/>
        <w:tblW w:w="901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79"/>
        <w:gridCol w:w="1702"/>
        <w:gridCol w:w="1984"/>
        <w:gridCol w:w="1869"/>
        <w:gridCol w:w="1485"/>
      </w:tblGrid>
      <w:tr w:rsidR="00031646" w14:paraId="0D10F793" w14:textId="77777777" w:rsidTr="0003164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center"/>
          </w:tcPr>
          <w:p w14:paraId="0000009E"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CCAA</w:t>
            </w:r>
          </w:p>
        </w:tc>
        <w:tc>
          <w:tcPr>
            <w:tcW w:w="1702" w:type="dxa"/>
            <w:shd w:val="clear" w:color="auto" w:fill="1DBDC5"/>
            <w:vAlign w:val="center"/>
          </w:tcPr>
          <w:p w14:paraId="0000009F" w14:textId="77777777" w:rsidR="00031646" w:rsidRDefault="00867CF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Provincia </w:t>
            </w:r>
          </w:p>
        </w:tc>
        <w:tc>
          <w:tcPr>
            <w:tcW w:w="1984" w:type="dxa"/>
            <w:shd w:val="clear" w:color="auto" w:fill="1DBDC5"/>
          </w:tcPr>
          <w:p w14:paraId="000000A0"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0A1"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1869" w:type="dxa"/>
            <w:shd w:val="clear" w:color="auto" w:fill="1DBDC5"/>
          </w:tcPr>
          <w:p w14:paraId="000000A2"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485" w:type="dxa"/>
            <w:shd w:val="clear" w:color="auto" w:fill="1DBDC5"/>
          </w:tcPr>
          <w:p w14:paraId="000000A3"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0A4"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r>
      <w:tr w:rsidR="00031646" w14:paraId="5EF67461"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A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Canarias</w:t>
            </w:r>
          </w:p>
        </w:tc>
        <w:tc>
          <w:tcPr>
            <w:tcW w:w="1702" w:type="dxa"/>
            <w:vAlign w:val="bottom"/>
          </w:tcPr>
          <w:p w14:paraId="000000A6"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1984" w:type="dxa"/>
            <w:vAlign w:val="bottom"/>
          </w:tcPr>
          <w:p w14:paraId="000000A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-4,9 %</w:t>
            </w:r>
          </w:p>
        </w:tc>
        <w:tc>
          <w:tcPr>
            <w:tcW w:w="1869" w:type="dxa"/>
            <w:vAlign w:val="bottom"/>
          </w:tcPr>
          <w:p w14:paraId="000000A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-0,9 %</w:t>
            </w:r>
          </w:p>
        </w:tc>
        <w:tc>
          <w:tcPr>
            <w:tcW w:w="1485" w:type="dxa"/>
            <w:vAlign w:val="bottom"/>
          </w:tcPr>
          <w:p w14:paraId="000000A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1.753 €</w:t>
            </w:r>
          </w:p>
        </w:tc>
      </w:tr>
      <w:tr w:rsidR="00031646" w14:paraId="2FDB8CFF"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A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0AB"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Ávila</w:t>
            </w:r>
          </w:p>
        </w:tc>
        <w:tc>
          <w:tcPr>
            <w:tcW w:w="1984" w:type="dxa"/>
            <w:vAlign w:val="bottom"/>
          </w:tcPr>
          <w:p w14:paraId="000000A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-4,4 %</w:t>
            </w:r>
          </w:p>
        </w:tc>
        <w:tc>
          <w:tcPr>
            <w:tcW w:w="1869" w:type="dxa"/>
            <w:vAlign w:val="bottom"/>
          </w:tcPr>
          <w:p w14:paraId="000000A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-4,0 %</w:t>
            </w:r>
          </w:p>
        </w:tc>
        <w:tc>
          <w:tcPr>
            <w:tcW w:w="1485" w:type="dxa"/>
            <w:vAlign w:val="bottom"/>
          </w:tcPr>
          <w:p w14:paraId="000000A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994 €</w:t>
            </w:r>
          </w:p>
        </w:tc>
      </w:tr>
      <w:tr w:rsidR="00031646" w14:paraId="14BCF1B9"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A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0B0"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1984" w:type="dxa"/>
            <w:vAlign w:val="bottom"/>
          </w:tcPr>
          <w:p w14:paraId="000000B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-3,5 %</w:t>
            </w:r>
          </w:p>
        </w:tc>
        <w:tc>
          <w:tcPr>
            <w:tcW w:w="1869" w:type="dxa"/>
            <w:vAlign w:val="bottom"/>
          </w:tcPr>
          <w:p w14:paraId="000000B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0,7 %</w:t>
            </w:r>
          </w:p>
        </w:tc>
        <w:tc>
          <w:tcPr>
            <w:tcW w:w="1485" w:type="dxa"/>
            <w:vAlign w:val="bottom"/>
          </w:tcPr>
          <w:p w14:paraId="000000B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1.550 €</w:t>
            </w:r>
          </w:p>
        </w:tc>
      </w:tr>
      <w:tr w:rsidR="00031646" w14:paraId="2F920CF1"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B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000000B5"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Guadalajara</w:t>
            </w:r>
          </w:p>
        </w:tc>
        <w:tc>
          <w:tcPr>
            <w:tcW w:w="1984" w:type="dxa"/>
            <w:vAlign w:val="bottom"/>
          </w:tcPr>
          <w:p w14:paraId="000000B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-3,5 %</w:t>
            </w:r>
          </w:p>
        </w:tc>
        <w:tc>
          <w:tcPr>
            <w:tcW w:w="1869" w:type="dxa"/>
            <w:vAlign w:val="bottom"/>
          </w:tcPr>
          <w:p w14:paraId="000000B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-2,7 %</w:t>
            </w:r>
          </w:p>
        </w:tc>
        <w:tc>
          <w:tcPr>
            <w:tcW w:w="1485" w:type="dxa"/>
            <w:vAlign w:val="bottom"/>
          </w:tcPr>
          <w:p w14:paraId="000000B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1.253 €</w:t>
            </w:r>
          </w:p>
        </w:tc>
      </w:tr>
      <w:tr w:rsidR="00031646" w14:paraId="11073F03"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B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1702" w:type="dxa"/>
            <w:vAlign w:val="bottom"/>
          </w:tcPr>
          <w:p w14:paraId="000000BA"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1984" w:type="dxa"/>
            <w:vAlign w:val="bottom"/>
          </w:tcPr>
          <w:p w14:paraId="000000B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-3,5 %</w:t>
            </w:r>
          </w:p>
        </w:tc>
        <w:tc>
          <w:tcPr>
            <w:tcW w:w="1869" w:type="dxa"/>
            <w:vAlign w:val="bottom"/>
          </w:tcPr>
          <w:p w14:paraId="000000B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-3,9 %</w:t>
            </w:r>
          </w:p>
        </w:tc>
        <w:tc>
          <w:tcPr>
            <w:tcW w:w="1485" w:type="dxa"/>
            <w:vAlign w:val="bottom"/>
          </w:tcPr>
          <w:p w14:paraId="000000B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1.122 €</w:t>
            </w:r>
          </w:p>
        </w:tc>
      </w:tr>
      <w:tr w:rsidR="00031646" w14:paraId="5E09182D"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B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lastRenderedPageBreak/>
              <w:t>Castilla-La Mancha</w:t>
            </w:r>
          </w:p>
        </w:tc>
        <w:tc>
          <w:tcPr>
            <w:tcW w:w="1702" w:type="dxa"/>
            <w:vAlign w:val="bottom"/>
          </w:tcPr>
          <w:p w14:paraId="000000BF"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Cuenca</w:t>
            </w:r>
          </w:p>
        </w:tc>
        <w:tc>
          <w:tcPr>
            <w:tcW w:w="1984" w:type="dxa"/>
            <w:vAlign w:val="bottom"/>
          </w:tcPr>
          <w:p w14:paraId="000000C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-2,7 %</w:t>
            </w:r>
          </w:p>
        </w:tc>
        <w:tc>
          <w:tcPr>
            <w:tcW w:w="1869" w:type="dxa"/>
            <w:vAlign w:val="bottom"/>
          </w:tcPr>
          <w:p w14:paraId="000000C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0,3 %</w:t>
            </w:r>
          </w:p>
        </w:tc>
        <w:tc>
          <w:tcPr>
            <w:tcW w:w="1485" w:type="dxa"/>
            <w:vAlign w:val="bottom"/>
          </w:tcPr>
          <w:p w14:paraId="000000C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1.107 €</w:t>
            </w:r>
          </w:p>
        </w:tc>
      </w:tr>
      <w:tr w:rsidR="00031646" w14:paraId="1DF15822"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C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2" w:type="dxa"/>
            <w:vAlign w:val="bottom"/>
          </w:tcPr>
          <w:p w14:paraId="000000C4"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w:t>
            </w:r>
          </w:p>
        </w:tc>
        <w:tc>
          <w:tcPr>
            <w:tcW w:w="1984" w:type="dxa"/>
            <w:vAlign w:val="bottom"/>
          </w:tcPr>
          <w:p w14:paraId="000000C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-2,6 %</w:t>
            </w:r>
          </w:p>
        </w:tc>
        <w:tc>
          <w:tcPr>
            <w:tcW w:w="1869" w:type="dxa"/>
            <w:vAlign w:val="bottom"/>
          </w:tcPr>
          <w:p w14:paraId="000000C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4,1 %</w:t>
            </w:r>
          </w:p>
        </w:tc>
        <w:tc>
          <w:tcPr>
            <w:tcW w:w="1485" w:type="dxa"/>
            <w:vAlign w:val="bottom"/>
          </w:tcPr>
          <w:p w14:paraId="000000C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1.159 €</w:t>
            </w:r>
          </w:p>
        </w:tc>
      </w:tr>
      <w:tr w:rsidR="00031646" w14:paraId="4ECEC566"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C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Navarra</w:t>
            </w:r>
          </w:p>
        </w:tc>
        <w:tc>
          <w:tcPr>
            <w:tcW w:w="1702" w:type="dxa"/>
            <w:vAlign w:val="bottom"/>
          </w:tcPr>
          <w:p w14:paraId="000000C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984" w:type="dxa"/>
            <w:vAlign w:val="bottom"/>
          </w:tcPr>
          <w:p w14:paraId="000000C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-2,6 %</w:t>
            </w:r>
          </w:p>
        </w:tc>
        <w:tc>
          <w:tcPr>
            <w:tcW w:w="1869" w:type="dxa"/>
            <w:vAlign w:val="bottom"/>
          </w:tcPr>
          <w:p w14:paraId="000000C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-5,6 %</w:t>
            </w:r>
          </w:p>
        </w:tc>
        <w:tc>
          <w:tcPr>
            <w:tcW w:w="1485" w:type="dxa"/>
            <w:vAlign w:val="bottom"/>
          </w:tcPr>
          <w:p w14:paraId="000000C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1.626 €</w:t>
            </w:r>
          </w:p>
        </w:tc>
      </w:tr>
      <w:tr w:rsidR="00031646" w14:paraId="6D77CAF8"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C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Aragón</w:t>
            </w:r>
          </w:p>
        </w:tc>
        <w:tc>
          <w:tcPr>
            <w:tcW w:w="1702" w:type="dxa"/>
            <w:vAlign w:val="bottom"/>
          </w:tcPr>
          <w:p w14:paraId="000000CE"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w:t>
            </w:r>
          </w:p>
        </w:tc>
        <w:tc>
          <w:tcPr>
            <w:tcW w:w="1984" w:type="dxa"/>
            <w:vAlign w:val="bottom"/>
          </w:tcPr>
          <w:p w14:paraId="000000C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-2,6 %</w:t>
            </w:r>
          </w:p>
        </w:tc>
        <w:tc>
          <w:tcPr>
            <w:tcW w:w="1869" w:type="dxa"/>
            <w:vAlign w:val="bottom"/>
          </w:tcPr>
          <w:p w14:paraId="000000D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-1,2 %</w:t>
            </w:r>
          </w:p>
        </w:tc>
        <w:tc>
          <w:tcPr>
            <w:tcW w:w="1485" w:type="dxa"/>
            <w:vAlign w:val="bottom"/>
          </w:tcPr>
          <w:p w14:paraId="000000D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1.631 €</w:t>
            </w:r>
          </w:p>
        </w:tc>
      </w:tr>
      <w:tr w:rsidR="00031646" w14:paraId="27B28208"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D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0D3"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w:t>
            </w:r>
          </w:p>
        </w:tc>
        <w:tc>
          <w:tcPr>
            <w:tcW w:w="1984" w:type="dxa"/>
            <w:vAlign w:val="bottom"/>
          </w:tcPr>
          <w:p w14:paraId="000000D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-2,5 %</w:t>
            </w:r>
          </w:p>
        </w:tc>
        <w:tc>
          <w:tcPr>
            <w:tcW w:w="1869" w:type="dxa"/>
            <w:vAlign w:val="bottom"/>
          </w:tcPr>
          <w:p w14:paraId="000000D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-1,5 %</w:t>
            </w:r>
          </w:p>
        </w:tc>
        <w:tc>
          <w:tcPr>
            <w:tcW w:w="1485" w:type="dxa"/>
            <w:vAlign w:val="bottom"/>
          </w:tcPr>
          <w:p w14:paraId="000000D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1.584 €</w:t>
            </w:r>
          </w:p>
        </w:tc>
      </w:tr>
      <w:tr w:rsidR="00031646" w14:paraId="06334327"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D7"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000000D8"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w:t>
            </w:r>
          </w:p>
        </w:tc>
        <w:tc>
          <w:tcPr>
            <w:tcW w:w="1984" w:type="dxa"/>
            <w:vAlign w:val="bottom"/>
          </w:tcPr>
          <w:p w14:paraId="000000D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-2,2 %</w:t>
            </w:r>
          </w:p>
        </w:tc>
        <w:tc>
          <w:tcPr>
            <w:tcW w:w="1869" w:type="dxa"/>
            <w:vAlign w:val="bottom"/>
          </w:tcPr>
          <w:p w14:paraId="000000D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485" w:type="dxa"/>
            <w:vAlign w:val="bottom"/>
          </w:tcPr>
          <w:p w14:paraId="000000D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975 €</w:t>
            </w:r>
          </w:p>
        </w:tc>
      </w:tr>
      <w:tr w:rsidR="00031646" w14:paraId="77A3E543"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DC"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0DD"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Zamora</w:t>
            </w:r>
          </w:p>
        </w:tc>
        <w:tc>
          <w:tcPr>
            <w:tcW w:w="1984" w:type="dxa"/>
            <w:vAlign w:val="bottom"/>
          </w:tcPr>
          <w:p w14:paraId="000000D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-2,0 %</w:t>
            </w:r>
          </w:p>
        </w:tc>
        <w:tc>
          <w:tcPr>
            <w:tcW w:w="1869" w:type="dxa"/>
            <w:vAlign w:val="bottom"/>
          </w:tcPr>
          <w:p w14:paraId="000000D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-0,8 %</w:t>
            </w:r>
          </w:p>
        </w:tc>
        <w:tc>
          <w:tcPr>
            <w:tcW w:w="1485" w:type="dxa"/>
            <w:vAlign w:val="bottom"/>
          </w:tcPr>
          <w:p w14:paraId="000000E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1.216 €</w:t>
            </w:r>
          </w:p>
        </w:tc>
      </w:tr>
      <w:tr w:rsidR="00031646" w14:paraId="659F4116"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E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0E2"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1984" w:type="dxa"/>
            <w:vAlign w:val="bottom"/>
          </w:tcPr>
          <w:p w14:paraId="000000E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-2,0 %</w:t>
            </w:r>
          </w:p>
        </w:tc>
        <w:tc>
          <w:tcPr>
            <w:tcW w:w="1869" w:type="dxa"/>
            <w:vAlign w:val="bottom"/>
          </w:tcPr>
          <w:p w14:paraId="000000E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485" w:type="dxa"/>
            <w:vAlign w:val="bottom"/>
          </w:tcPr>
          <w:p w14:paraId="000000E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1.279 €</w:t>
            </w:r>
          </w:p>
        </w:tc>
      </w:tr>
      <w:tr w:rsidR="00031646" w14:paraId="2990CBAD"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E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0E7"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w:t>
            </w:r>
          </w:p>
        </w:tc>
        <w:tc>
          <w:tcPr>
            <w:tcW w:w="1984" w:type="dxa"/>
            <w:vAlign w:val="bottom"/>
          </w:tcPr>
          <w:p w14:paraId="000000E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-1,9 %</w:t>
            </w:r>
          </w:p>
        </w:tc>
        <w:tc>
          <w:tcPr>
            <w:tcW w:w="1869" w:type="dxa"/>
            <w:vAlign w:val="bottom"/>
          </w:tcPr>
          <w:p w14:paraId="000000E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-5,6 %</w:t>
            </w:r>
          </w:p>
        </w:tc>
        <w:tc>
          <w:tcPr>
            <w:tcW w:w="1485" w:type="dxa"/>
            <w:vAlign w:val="bottom"/>
          </w:tcPr>
          <w:p w14:paraId="000000E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1.035 €</w:t>
            </w:r>
          </w:p>
        </w:tc>
      </w:tr>
      <w:tr w:rsidR="00031646" w14:paraId="32E267CB"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EB"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0EC"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1984" w:type="dxa"/>
            <w:vAlign w:val="bottom"/>
          </w:tcPr>
          <w:p w14:paraId="000000E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-1,6 %</w:t>
            </w:r>
          </w:p>
        </w:tc>
        <w:tc>
          <w:tcPr>
            <w:tcW w:w="1869" w:type="dxa"/>
            <w:vAlign w:val="bottom"/>
          </w:tcPr>
          <w:p w14:paraId="000000E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-3,1 %</w:t>
            </w:r>
          </w:p>
        </w:tc>
        <w:tc>
          <w:tcPr>
            <w:tcW w:w="1485" w:type="dxa"/>
            <w:vAlign w:val="bottom"/>
          </w:tcPr>
          <w:p w14:paraId="000000E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1.184 €</w:t>
            </w:r>
          </w:p>
        </w:tc>
      </w:tr>
      <w:tr w:rsidR="00031646" w14:paraId="32B49636"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F0" w14:textId="77777777" w:rsidR="00031646" w:rsidRDefault="00867CFF">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2" w:type="dxa"/>
            <w:vAlign w:val="bottom"/>
          </w:tcPr>
          <w:p w14:paraId="000000F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1984" w:type="dxa"/>
            <w:vAlign w:val="bottom"/>
          </w:tcPr>
          <w:p w14:paraId="000000F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-1,5 %</w:t>
            </w:r>
          </w:p>
        </w:tc>
        <w:tc>
          <w:tcPr>
            <w:tcW w:w="1869" w:type="dxa"/>
            <w:vAlign w:val="bottom"/>
          </w:tcPr>
          <w:p w14:paraId="000000F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0,8 %</w:t>
            </w:r>
          </w:p>
        </w:tc>
        <w:tc>
          <w:tcPr>
            <w:tcW w:w="1485" w:type="dxa"/>
            <w:vAlign w:val="bottom"/>
          </w:tcPr>
          <w:p w14:paraId="000000F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1.435 €</w:t>
            </w:r>
          </w:p>
        </w:tc>
      </w:tr>
      <w:tr w:rsidR="00031646" w14:paraId="54F369B0"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F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000000F6"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w:t>
            </w:r>
          </w:p>
        </w:tc>
        <w:tc>
          <w:tcPr>
            <w:tcW w:w="1984" w:type="dxa"/>
            <w:vAlign w:val="bottom"/>
          </w:tcPr>
          <w:p w14:paraId="000000F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-1,4 %</w:t>
            </w:r>
          </w:p>
        </w:tc>
        <w:tc>
          <w:tcPr>
            <w:tcW w:w="1869" w:type="dxa"/>
            <w:vAlign w:val="bottom"/>
          </w:tcPr>
          <w:p w14:paraId="000000F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-2,9 %</w:t>
            </w:r>
          </w:p>
        </w:tc>
        <w:tc>
          <w:tcPr>
            <w:tcW w:w="1485" w:type="dxa"/>
            <w:vAlign w:val="bottom"/>
          </w:tcPr>
          <w:p w14:paraId="000000F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963 €</w:t>
            </w:r>
          </w:p>
        </w:tc>
      </w:tr>
      <w:tr w:rsidR="00031646" w14:paraId="192A5723"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FA" w14:textId="77777777" w:rsidR="00031646" w:rsidRDefault="00867CFF">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2" w:type="dxa"/>
            <w:vAlign w:val="bottom"/>
          </w:tcPr>
          <w:p w14:paraId="000000FB"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1984" w:type="dxa"/>
            <w:vAlign w:val="bottom"/>
          </w:tcPr>
          <w:p w14:paraId="000000F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-1,4 %</w:t>
            </w:r>
          </w:p>
        </w:tc>
        <w:tc>
          <w:tcPr>
            <w:tcW w:w="1869" w:type="dxa"/>
            <w:vAlign w:val="bottom"/>
          </w:tcPr>
          <w:p w14:paraId="000000F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-0,5 %</w:t>
            </w:r>
          </w:p>
        </w:tc>
        <w:tc>
          <w:tcPr>
            <w:tcW w:w="1485" w:type="dxa"/>
            <w:vAlign w:val="bottom"/>
          </w:tcPr>
          <w:p w14:paraId="000000F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1.522 €</w:t>
            </w:r>
          </w:p>
        </w:tc>
      </w:tr>
      <w:tr w:rsidR="00031646" w14:paraId="085D9729"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0F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00000100"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1984" w:type="dxa"/>
            <w:vAlign w:val="bottom"/>
          </w:tcPr>
          <w:p w14:paraId="0000010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869" w:type="dxa"/>
            <w:vAlign w:val="bottom"/>
          </w:tcPr>
          <w:p w14:paraId="0000010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1,0 %</w:t>
            </w:r>
          </w:p>
        </w:tc>
        <w:tc>
          <w:tcPr>
            <w:tcW w:w="1485" w:type="dxa"/>
            <w:vAlign w:val="bottom"/>
          </w:tcPr>
          <w:p w14:paraId="0000010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1.492 €</w:t>
            </w:r>
          </w:p>
        </w:tc>
      </w:tr>
      <w:tr w:rsidR="00031646" w14:paraId="097CB147"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0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Aragón</w:t>
            </w:r>
          </w:p>
        </w:tc>
        <w:tc>
          <w:tcPr>
            <w:tcW w:w="1702" w:type="dxa"/>
            <w:vAlign w:val="bottom"/>
          </w:tcPr>
          <w:p w14:paraId="00000105"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Huesca</w:t>
            </w:r>
          </w:p>
        </w:tc>
        <w:tc>
          <w:tcPr>
            <w:tcW w:w="1984" w:type="dxa"/>
            <w:vAlign w:val="bottom"/>
          </w:tcPr>
          <w:p w14:paraId="0000010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869" w:type="dxa"/>
            <w:vAlign w:val="bottom"/>
          </w:tcPr>
          <w:p w14:paraId="0000010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-2,2 %</w:t>
            </w:r>
          </w:p>
        </w:tc>
        <w:tc>
          <w:tcPr>
            <w:tcW w:w="1485" w:type="dxa"/>
            <w:vAlign w:val="bottom"/>
          </w:tcPr>
          <w:p w14:paraId="0000010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1.361 €</w:t>
            </w:r>
          </w:p>
        </w:tc>
      </w:tr>
      <w:tr w:rsidR="00031646" w14:paraId="0FA998CF"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0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Baleares</w:t>
            </w:r>
          </w:p>
        </w:tc>
        <w:tc>
          <w:tcPr>
            <w:tcW w:w="1702" w:type="dxa"/>
            <w:vAlign w:val="bottom"/>
          </w:tcPr>
          <w:p w14:paraId="0000010A"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1984" w:type="dxa"/>
            <w:vAlign w:val="bottom"/>
          </w:tcPr>
          <w:p w14:paraId="0000010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869" w:type="dxa"/>
            <w:vAlign w:val="bottom"/>
          </w:tcPr>
          <w:p w14:paraId="0000010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3,1 %</w:t>
            </w:r>
          </w:p>
        </w:tc>
        <w:tc>
          <w:tcPr>
            <w:tcW w:w="1485" w:type="dxa"/>
            <w:vAlign w:val="bottom"/>
          </w:tcPr>
          <w:p w14:paraId="0000010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2.848 €</w:t>
            </w:r>
          </w:p>
        </w:tc>
      </w:tr>
      <w:tr w:rsidR="00031646" w14:paraId="7857F086"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0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2" w:type="dxa"/>
            <w:vAlign w:val="bottom"/>
          </w:tcPr>
          <w:p w14:paraId="0000010F"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1984" w:type="dxa"/>
            <w:vAlign w:val="bottom"/>
          </w:tcPr>
          <w:p w14:paraId="0000011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-1,0 %</w:t>
            </w:r>
          </w:p>
        </w:tc>
        <w:tc>
          <w:tcPr>
            <w:tcW w:w="1869" w:type="dxa"/>
            <w:vAlign w:val="bottom"/>
          </w:tcPr>
          <w:p w14:paraId="0000011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2,9 %</w:t>
            </w:r>
          </w:p>
        </w:tc>
        <w:tc>
          <w:tcPr>
            <w:tcW w:w="1485" w:type="dxa"/>
            <w:vAlign w:val="bottom"/>
          </w:tcPr>
          <w:p w14:paraId="0000011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3.143 €</w:t>
            </w:r>
          </w:p>
        </w:tc>
      </w:tr>
      <w:tr w:rsidR="00031646" w14:paraId="60B32EC7"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1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14"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w:t>
            </w:r>
          </w:p>
        </w:tc>
        <w:tc>
          <w:tcPr>
            <w:tcW w:w="1984" w:type="dxa"/>
            <w:vAlign w:val="bottom"/>
          </w:tcPr>
          <w:p w14:paraId="0000011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-1,0 %</w:t>
            </w:r>
          </w:p>
        </w:tc>
        <w:tc>
          <w:tcPr>
            <w:tcW w:w="1869" w:type="dxa"/>
            <w:vAlign w:val="bottom"/>
          </w:tcPr>
          <w:p w14:paraId="0000011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-1,4 %</w:t>
            </w:r>
          </w:p>
        </w:tc>
        <w:tc>
          <w:tcPr>
            <w:tcW w:w="1485" w:type="dxa"/>
            <w:vAlign w:val="bottom"/>
          </w:tcPr>
          <w:p w14:paraId="0000011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1.435 €</w:t>
            </w:r>
          </w:p>
        </w:tc>
      </w:tr>
      <w:tr w:rsidR="00031646" w14:paraId="551669EC"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1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Asturias</w:t>
            </w:r>
          </w:p>
        </w:tc>
        <w:tc>
          <w:tcPr>
            <w:tcW w:w="1702" w:type="dxa"/>
            <w:vAlign w:val="bottom"/>
          </w:tcPr>
          <w:p w14:paraId="0000011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984" w:type="dxa"/>
            <w:vAlign w:val="bottom"/>
          </w:tcPr>
          <w:p w14:paraId="0000011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-1,0 %</w:t>
            </w:r>
          </w:p>
        </w:tc>
        <w:tc>
          <w:tcPr>
            <w:tcW w:w="1869" w:type="dxa"/>
            <w:vAlign w:val="bottom"/>
          </w:tcPr>
          <w:p w14:paraId="0000011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-0,7 %</w:t>
            </w:r>
          </w:p>
        </w:tc>
        <w:tc>
          <w:tcPr>
            <w:tcW w:w="1485" w:type="dxa"/>
            <w:vAlign w:val="bottom"/>
          </w:tcPr>
          <w:p w14:paraId="0000011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1.570 €</w:t>
            </w:r>
          </w:p>
        </w:tc>
      </w:tr>
      <w:tr w:rsidR="00031646" w14:paraId="57EA7693"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1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0000011E"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w:t>
            </w:r>
          </w:p>
        </w:tc>
        <w:tc>
          <w:tcPr>
            <w:tcW w:w="1984" w:type="dxa"/>
            <w:vAlign w:val="bottom"/>
          </w:tcPr>
          <w:p w14:paraId="0000011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-0,9 %</w:t>
            </w:r>
          </w:p>
        </w:tc>
        <w:tc>
          <w:tcPr>
            <w:tcW w:w="1869" w:type="dxa"/>
            <w:vAlign w:val="bottom"/>
          </w:tcPr>
          <w:p w14:paraId="0000012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-0,4 %</w:t>
            </w:r>
          </w:p>
        </w:tc>
        <w:tc>
          <w:tcPr>
            <w:tcW w:w="1485" w:type="dxa"/>
            <w:vAlign w:val="bottom"/>
          </w:tcPr>
          <w:p w14:paraId="0000012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1.155 €</w:t>
            </w:r>
          </w:p>
        </w:tc>
      </w:tr>
      <w:tr w:rsidR="00031646" w14:paraId="58D3B832"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2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La Rioja</w:t>
            </w:r>
          </w:p>
        </w:tc>
        <w:tc>
          <w:tcPr>
            <w:tcW w:w="1702" w:type="dxa"/>
            <w:vAlign w:val="bottom"/>
          </w:tcPr>
          <w:p w14:paraId="00000123"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984" w:type="dxa"/>
            <w:vAlign w:val="bottom"/>
          </w:tcPr>
          <w:p w14:paraId="0000012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-0,8 %</w:t>
            </w:r>
          </w:p>
        </w:tc>
        <w:tc>
          <w:tcPr>
            <w:tcW w:w="1869" w:type="dxa"/>
            <w:vAlign w:val="bottom"/>
          </w:tcPr>
          <w:p w14:paraId="0000012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1,0 %</w:t>
            </w:r>
          </w:p>
        </w:tc>
        <w:tc>
          <w:tcPr>
            <w:tcW w:w="1485" w:type="dxa"/>
            <w:vAlign w:val="bottom"/>
          </w:tcPr>
          <w:p w14:paraId="0000012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1.432 €</w:t>
            </w:r>
          </w:p>
        </w:tc>
      </w:tr>
      <w:tr w:rsidR="00031646" w14:paraId="4D4E4B5A"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27"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28"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w:t>
            </w:r>
          </w:p>
        </w:tc>
        <w:tc>
          <w:tcPr>
            <w:tcW w:w="1984" w:type="dxa"/>
            <w:vAlign w:val="bottom"/>
          </w:tcPr>
          <w:p w14:paraId="0000012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-0,5 %</w:t>
            </w:r>
          </w:p>
        </w:tc>
        <w:tc>
          <w:tcPr>
            <w:tcW w:w="1869" w:type="dxa"/>
            <w:vAlign w:val="bottom"/>
          </w:tcPr>
          <w:p w14:paraId="0000012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-1,8 %</w:t>
            </w:r>
          </w:p>
        </w:tc>
        <w:tc>
          <w:tcPr>
            <w:tcW w:w="1485" w:type="dxa"/>
            <w:vAlign w:val="bottom"/>
          </w:tcPr>
          <w:p w14:paraId="0000012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1.436 €</w:t>
            </w:r>
          </w:p>
        </w:tc>
      </w:tr>
      <w:tr w:rsidR="00031646" w14:paraId="4FAD98D5"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2C"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1702" w:type="dxa"/>
            <w:vAlign w:val="bottom"/>
          </w:tcPr>
          <w:p w14:paraId="0000012D"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w:t>
            </w:r>
          </w:p>
        </w:tc>
        <w:tc>
          <w:tcPr>
            <w:tcW w:w="1984" w:type="dxa"/>
            <w:vAlign w:val="bottom"/>
          </w:tcPr>
          <w:p w14:paraId="0000012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-0,5 %</w:t>
            </w:r>
          </w:p>
        </w:tc>
        <w:tc>
          <w:tcPr>
            <w:tcW w:w="1869" w:type="dxa"/>
            <w:vAlign w:val="bottom"/>
          </w:tcPr>
          <w:p w14:paraId="0000012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-1,6 %</w:t>
            </w:r>
          </w:p>
        </w:tc>
        <w:tc>
          <w:tcPr>
            <w:tcW w:w="1485" w:type="dxa"/>
            <w:vAlign w:val="bottom"/>
          </w:tcPr>
          <w:p w14:paraId="0000013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1.313 €</w:t>
            </w:r>
          </w:p>
        </w:tc>
      </w:tr>
      <w:tr w:rsidR="00031646" w14:paraId="51CCF4C0"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3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132"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1984" w:type="dxa"/>
            <w:vAlign w:val="bottom"/>
          </w:tcPr>
          <w:p w14:paraId="0000013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-0,3 %</w:t>
            </w:r>
          </w:p>
        </w:tc>
        <w:tc>
          <w:tcPr>
            <w:tcW w:w="1869" w:type="dxa"/>
            <w:vAlign w:val="bottom"/>
          </w:tcPr>
          <w:p w14:paraId="0000013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2,3 %</w:t>
            </w:r>
          </w:p>
        </w:tc>
        <w:tc>
          <w:tcPr>
            <w:tcW w:w="1485" w:type="dxa"/>
            <w:vAlign w:val="bottom"/>
          </w:tcPr>
          <w:p w14:paraId="0000013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1.548 €</w:t>
            </w:r>
          </w:p>
        </w:tc>
      </w:tr>
      <w:tr w:rsidR="00031646" w14:paraId="3ED64DA1"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3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00000137"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1984" w:type="dxa"/>
            <w:vAlign w:val="bottom"/>
          </w:tcPr>
          <w:p w14:paraId="0000013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-0,3 %</w:t>
            </w:r>
          </w:p>
        </w:tc>
        <w:tc>
          <w:tcPr>
            <w:tcW w:w="1869" w:type="dxa"/>
            <w:vAlign w:val="bottom"/>
          </w:tcPr>
          <w:p w14:paraId="0000013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1,8 %</w:t>
            </w:r>
          </w:p>
        </w:tc>
        <w:tc>
          <w:tcPr>
            <w:tcW w:w="1485" w:type="dxa"/>
            <w:vAlign w:val="bottom"/>
          </w:tcPr>
          <w:p w14:paraId="0000013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1.619 €</w:t>
            </w:r>
          </w:p>
        </w:tc>
      </w:tr>
      <w:tr w:rsidR="00031646" w14:paraId="3E6CF833"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3B"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3C"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1984" w:type="dxa"/>
            <w:vAlign w:val="bottom"/>
          </w:tcPr>
          <w:p w14:paraId="0000013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-0,2 %</w:t>
            </w:r>
          </w:p>
        </w:tc>
        <w:tc>
          <w:tcPr>
            <w:tcW w:w="1869" w:type="dxa"/>
            <w:vAlign w:val="bottom"/>
          </w:tcPr>
          <w:p w14:paraId="0000013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-0,7 %</w:t>
            </w:r>
          </w:p>
        </w:tc>
        <w:tc>
          <w:tcPr>
            <w:tcW w:w="1485" w:type="dxa"/>
            <w:vAlign w:val="bottom"/>
          </w:tcPr>
          <w:p w14:paraId="0000013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1.682 €</w:t>
            </w:r>
          </w:p>
        </w:tc>
      </w:tr>
      <w:tr w:rsidR="00031646" w14:paraId="757A86C7"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40"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Cataluña</w:t>
            </w:r>
          </w:p>
        </w:tc>
        <w:tc>
          <w:tcPr>
            <w:tcW w:w="1702" w:type="dxa"/>
            <w:vAlign w:val="bottom"/>
          </w:tcPr>
          <w:p w14:paraId="0000014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1984" w:type="dxa"/>
            <w:vAlign w:val="bottom"/>
          </w:tcPr>
          <w:p w14:paraId="0000014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-0,1 %</w:t>
            </w:r>
          </w:p>
        </w:tc>
        <w:tc>
          <w:tcPr>
            <w:tcW w:w="1869" w:type="dxa"/>
            <w:vAlign w:val="bottom"/>
          </w:tcPr>
          <w:p w14:paraId="0000014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-0,7 %</w:t>
            </w:r>
          </w:p>
        </w:tc>
        <w:tc>
          <w:tcPr>
            <w:tcW w:w="1485" w:type="dxa"/>
            <w:vAlign w:val="bottom"/>
          </w:tcPr>
          <w:p w14:paraId="0000014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2.968 €</w:t>
            </w:r>
          </w:p>
        </w:tc>
      </w:tr>
      <w:tr w:rsidR="00031646" w14:paraId="789180B8"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4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Canarias</w:t>
            </w:r>
          </w:p>
        </w:tc>
        <w:tc>
          <w:tcPr>
            <w:tcW w:w="1702" w:type="dxa"/>
            <w:vAlign w:val="bottom"/>
          </w:tcPr>
          <w:p w14:paraId="00000146"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1984" w:type="dxa"/>
            <w:vAlign w:val="bottom"/>
          </w:tcPr>
          <w:p w14:paraId="0000014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-0,1 %</w:t>
            </w:r>
          </w:p>
        </w:tc>
        <w:tc>
          <w:tcPr>
            <w:tcW w:w="1869" w:type="dxa"/>
            <w:vAlign w:val="bottom"/>
          </w:tcPr>
          <w:p w14:paraId="0000014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0,5 %</w:t>
            </w:r>
          </w:p>
        </w:tc>
        <w:tc>
          <w:tcPr>
            <w:tcW w:w="1485" w:type="dxa"/>
            <w:vAlign w:val="bottom"/>
          </w:tcPr>
          <w:p w14:paraId="0000014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1.788 €</w:t>
            </w:r>
          </w:p>
        </w:tc>
      </w:tr>
      <w:tr w:rsidR="00031646" w14:paraId="0103F993"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4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0000014B"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1984" w:type="dxa"/>
            <w:vAlign w:val="bottom"/>
          </w:tcPr>
          <w:p w14:paraId="0000014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-0,02 %</w:t>
            </w:r>
          </w:p>
        </w:tc>
        <w:tc>
          <w:tcPr>
            <w:tcW w:w="1869" w:type="dxa"/>
            <w:vAlign w:val="bottom"/>
          </w:tcPr>
          <w:p w14:paraId="0000014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4,9 %</w:t>
            </w:r>
          </w:p>
        </w:tc>
        <w:tc>
          <w:tcPr>
            <w:tcW w:w="1485" w:type="dxa"/>
            <w:vAlign w:val="bottom"/>
          </w:tcPr>
          <w:p w14:paraId="0000014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1.816 €</w:t>
            </w:r>
          </w:p>
        </w:tc>
      </w:tr>
      <w:tr w:rsidR="00031646" w14:paraId="108A3115"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4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Extremadura</w:t>
            </w:r>
          </w:p>
        </w:tc>
        <w:tc>
          <w:tcPr>
            <w:tcW w:w="1702" w:type="dxa"/>
            <w:vAlign w:val="bottom"/>
          </w:tcPr>
          <w:p w14:paraId="00000150"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w:t>
            </w:r>
          </w:p>
        </w:tc>
        <w:tc>
          <w:tcPr>
            <w:tcW w:w="1984" w:type="dxa"/>
            <w:vAlign w:val="bottom"/>
          </w:tcPr>
          <w:p w14:paraId="0000015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0,1 %</w:t>
            </w:r>
          </w:p>
        </w:tc>
        <w:tc>
          <w:tcPr>
            <w:tcW w:w="1869" w:type="dxa"/>
            <w:vAlign w:val="bottom"/>
          </w:tcPr>
          <w:p w14:paraId="0000015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3,8 %</w:t>
            </w:r>
          </w:p>
        </w:tc>
        <w:tc>
          <w:tcPr>
            <w:tcW w:w="1485" w:type="dxa"/>
            <w:vAlign w:val="bottom"/>
          </w:tcPr>
          <w:p w14:paraId="0000015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1.161 €</w:t>
            </w:r>
          </w:p>
        </w:tc>
      </w:tr>
      <w:tr w:rsidR="00031646" w14:paraId="20899A58"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5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2" w:type="dxa"/>
            <w:vAlign w:val="bottom"/>
          </w:tcPr>
          <w:p w14:paraId="00000155"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1984" w:type="dxa"/>
            <w:vAlign w:val="bottom"/>
          </w:tcPr>
          <w:p w14:paraId="0000015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0,1 %</w:t>
            </w:r>
          </w:p>
        </w:tc>
        <w:tc>
          <w:tcPr>
            <w:tcW w:w="1869" w:type="dxa"/>
            <w:vAlign w:val="bottom"/>
          </w:tcPr>
          <w:p w14:paraId="0000015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0,4 %</w:t>
            </w:r>
          </w:p>
        </w:tc>
        <w:tc>
          <w:tcPr>
            <w:tcW w:w="1485" w:type="dxa"/>
            <w:vAlign w:val="bottom"/>
          </w:tcPr>
          <w:p w14:paraId="0000015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2.842 €</w:t>
            </w:r>
          </w:p>
        </w:tc>
      </w:tr>
      <w:tr w:rsidR="00031646" w14:paraId="59F2EB49"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5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Cantabria</w:t>
            </w:r>
          </w:p>
        </w:tc>
        <w:tc>
          <w:tcPr>
            <w:tcW w:w="1702" w:type="dxa"/>
            <w:vAlign w:val="bottom"/>
          </w:tcPr>
          <w:p w14:paraId="0000015A"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984" w:type="dxa"/>
            <w:vAlign w:val="bottom"/>
          </w:tcPr>
          <w:p w14:paraId="0000015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0,1 %</w:t>
            </w:r>
          </w:p>
        </w:tc>
        <w:tc>
          <w:tcPr>
            <w:tcW w:w="1869" w:type="dxa"/>
            <w:vAlign w:val="bottom"/>
          </w:tcPr>
          <w:p w14:paraId="0000015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1,5 %</w:t>
            </w:r>
          </w:p>
        </w:tc>
        <w:tc>
          <w:tcPr>
            <w:tcW w:w="1485" w:type="dxa"/>
            <w:vAlign w:val="bottom"/>
          </w:tcPr>
          <w:p w14:paraId="0000015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1.743 €</w:t>
            </w:r>
          </w:p>
        </w:tc>
      </w:tr>
      <w:tr w:rsidR="00031646" w14:paraId="57393263"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5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15F"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w:t>
            </w:r>
          </w:p>
        </w:tc>
        <w:tc>
          <w:tcPr>
            <w:tcW w:w="1984" w:type="dxa"/>
            <w:vAlign w:val="bottom"/>
          </w:tcPr>
          <w:p w14:paraId="0000016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0,1 %</w:t>
            </w:r>
          </w:p>
        </w:tc>
        <w:tc>
          <w:tcPr>
            <w:tcW w:w="1869" w:type="dxa"/>
            <w:vAlign w:val="bottom"/>
          </w:tcPr>
          <w:p w14:paraId="0000016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-1,2 %</w:t>
            </w:r>
          </w:p>
        </w:tc>
        <w:tc>
          <w:tcPr>
            <w:tcW w:w="1485" w:type="dxa"/>
            <w:vAlign w:val="bottom"/>
          </w:tcPr>
          <w:p w14:paraId="0000016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1.370 €</w:t>
            </w:r>
          </w:p>
        </w:tc>
      </w:tr>
      <w:tr w:rsidR="00031646" w14:paraId="484EE079"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6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Madrid</w:t>
            </w:r>
          </w:p>
        </w:tc>
        <w:tc>
          <w:tcPr>
            <w:tcW w:w="1702" w:type="dxa"/>
            <w:vAlign w:val="bottom"/>
          </w:tcPr>
          <w:p w14:paraId="00000164"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984" w:type="dxa"/>
            <w:vAlign w:val="bottom"/>
          </w:tcPr>
          <w:p w14:paraId="0000016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0,2 %</w:t>
            </w:r>
          </w:p>
        </w:tc>
        <w:tc>
          <w:tcPr>
            <w:tcW w:w="1869" w:type="dxa"/>
            <w:vAlign w:val="bottom"/>
          </w:tcPr>
          <w:p w14:paraId="0000016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2,0 %</w:t>
            </w:r>
          </w:p>
        </w:tc>
        <w:tc>
          <w:tcPr>
            <w:tcW w:w="1485" w:type="dxa"/>
            <w:vAlign w:val="bottom"/>
          </w:tcPr>
          <w:p w14:paraId="0000016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3.111 €</w:t>
            </w:r>
          </w:p>
        </w:tc>
      </w:tr>
      <w:tr w:rsidR="00031646" w14:paraId="15065A00"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6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6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w:t>
            </w:r>
          </w:p>
        </w:tc>
        <w:tc>
          <w:tcPr>
            <w:tcW w:w="1984" w:type="dxa"/>
            <w:vAlign w:val="bottom"/>
          </w:tcPr>
          <w:p w14:paraId="0000016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0,2 %</w:t>
            </w:r>
          </w:p>
        </w:tc>
        <w:tc>
          <w:tcPr>
            <w:tcW w:w="1869" w:type="dxa"/>
            <w:vAlign w:val="bottom"/>
          </w:tcPr>
          <w:p w14:paraId="0000016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-0,8 %</w:t>
            </w:r>
          </w:p>
        </w:tc>
        <w:tc>
          <w:tcPr>
            <w:tcW w:w="1485" w:type="dxa"/>
            <w:vAlign w:val="bottom"/>
          </w:tcPr>
          <w:p w14:paraId="0000016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1.550 €</w:t>
            </w:r>
          </w:p>
        </w:tc>
      </w:tr>
      <w:tr w:rsidR="00031646" w14:paraId="2FB775E3"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6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6E"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w:t>
            </w:r>
          </w:p>
        </w:tc>
        <w:tc>
          <w:tcPr>
            <w:tcW w:w="1984" w:type="dxa"/>
            <w:vAlign w:val="bottom"/>
          </w:tcPr>
          <w:p w14:paraId="0000016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0,5 %</w:t>
            </w:r>
          </w:p>
        </w:tc>
        <w:tc>
          <w:tcPr>
            <w:tcW w:w="1869" w:type="dxa"/>
            <w:vAlign w:val="bottom"/>
          </w:tcPr>
          <w:p w14:paraId="0000017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-1,0 %</w:t>
            </w:r>
          </w:p>
        </w:tc>
        <w:tc>
          <w:tcPr>
            <w:tcW w:w="1485" w:type="dxa"/>
            <w:vAlign w:val="bottom"/>
          </w:tcPr>
          <w:p w14:paraId="0000017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1.250 €</w:t>
            </w:r>
          </w:p>
        </w:tc>
      </w:tr>
      <w:tr w:rsidR="00031646" w14:paraId="2C324EAC"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72" w14:textId="77777777" w:rsidR="00031646" w:rsidRDefault="00867CFF">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1702" w:type="dxa"/>
            <w:vAlign w:val="bottom"/>
          </w:tcPr>
          <w:p w14:paraId="00000173"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1984" w:type="dxa"/>
            <w:vAlign w:val="bottom"/>
          </w:tcPr>
          <w:p w14:paraId="0000017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0,7 %</w:t>
            </w:r>
          </w:p>
        </w:tc>
        <w:tc>
          <w:tcPr>
            <w:tcW w:w="1869" w:type="dxa"/>
            <w:vAlign w:val="bottom"/>
          </w:tcPr>
          <w:p w14:paraId="0000017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0,4 %</w:t>
            </w:r>
          </w:p>
        </w:tc>
        <w:tc>
          <w:tcPr>
            <w:tcW w:w="1485" w:type="dxa"/>
            <w:vAlign w:val="bottom"/>
          </w:tcPr>
          <w:p w14:paraId="0000017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1.102 €</w:t>
            </w:r>
          </w:p>
        </w:tc>
      </w:tr>
      <w:tr w:rsidR="00031646" w14:paraId="2100E1B8"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77"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lastRenderedPageBreak/>
              <w:t>Cataluña</w:t>
            </w:r>
          </w:p>
        </w:tc>
        <w:tc>
          <w:tcPr>
            <w:tcW w:w="1702" w:type="dxa"/>
            <w:vAlign w:val="bottom"/>
          </w:tcPr>
          <w:p w14:paraId="00000178"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w:t>
            </w:r>
          </w:p>
        </w:tc>
        <w:tc>
          <w:tcPr>
            <w:tcW w:w="1984" w:type="dxa"/>
            <w:vAlign w:val="bottom"/>
          </w:tcPr>
          <w:p w14:paraId="0000017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0,8 %</w:t>
            </w:r>
          </w:p>
        </w:tc>
        <w:tc>
          <w:tcPr>
            <w:tcW w:w="1869" w:type="dxa"/>
            <w:vAlign w:val="bottom"/>
          </w:tcPr>
          <w:p w14:paraId="0000017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3,5 %</w:t>
            </w:r>
          </w:p>
        </w:tc>
        <w:tc>
          <w:tcPr>
            <w:tcW w:w="1485" w:type="dxa"/>
            <w:vAlign w:val="bottom"/>
          </w:tcPr>
          <w:p w14:paraId="0000017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2.063 €</w:t>
            </w:r>
          </w:p>
        </w:tc>
      </w:tr>
      <w:tr w:rsidR="00031646" w14:paraId="39E02364"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7C"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País Vasco</w:t>
            </w:r>
          </w:p>
        </w:tc>
        <w:tc>
          <w:tcPr>
            <w:tcW w:w="1702" w:type="dxa"/>
            <w:vAlign w:val="bottom"/>
          </w:tcPr>
          <w:p w14:paraId="0000017D"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Araba - Álava</w:t>
            </w:r>
          </w:p>
        </w:tc>
        <w:tc>
          <w:tcPr>
            <w:tcW w:w="1984" w:type="dxa"/>
            <w:vAlign w:val="bottom"/>
          </w:tcPr>
          <w:p w14:paraId="0000017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1,1 %</w:t>
            </w:r>
          </w:p>
        </w:tc>
        <w:tc>
          <w:tcPr>
            <w:tcW w:w="1869" w:type="dxa"/>
            <w:vAlign w:val="bottom"/>
          </w:tcPr>
          <w:p w14:paraId="0000017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4,4 %</w:t>
            </w:r>
          </w:p>
        </w:tc>
        <w:tc>
          <w:tcPr>
            <w:tcW w:w="1485" w:type="dxa"/>
            <w:vAlign w:val="bottom"/>
          </w:tcPr>
          <w:p w14:paraId="0000018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2.489 €</w:t>
            </w:r>
          </w:p>
        </w:tc>
      </w:tr>
      <w:tr w:rsidR="00031646" w14:paraId="66BA7B1B"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8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Andalucía</w:t>
            </w:r>
          </w:p>
        </w:tc>
        <w:tc>
          <w:tcPr>
            <w:tcW w:w="1702" w:type="dxa"/>
            <w:vAlign w:val="bottom"/>
          </w:tcPr>
          <w:p w14:paraId="00000182"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1984" w:type="dxa"/>
            <w:vAlign w:val="bottom"/>
          </w:tcPr>
          <w:p w14:paraId="0000018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1,4 %</w:t>
            </w:r>
          </w:p>
        </w:tc>
        <w:tc>
          <w:tcPr>
            <w:tcW w:w="1869" w:type="dxa"/>
            <w:vAlign w:val="bottom"/>
          </w:tcPr>
          <w:p w14:paraId="0000018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3,1 %</w:t>
            </w:r>
          </w:p>
        </w:tc>
        <w:tc>
          <w:tcPr>
            <w:tcW w:w="1485" w:type="dxa"/>
            <w:vAlign w:val="bottom"/>
          </w:tcPr>
          <w:p w14:paraId="0000018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2.338 €</w:t>
            </w:r>
          </w:p>
        </w:tc>
      </w:tr>
      <w:tr w:rsidR="00031646" w14:paraId="1B11BB77"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8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00000187"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w:t>
            </w:r>
          </w:p>
        </w:tc>
        <w:tc>
          <w:tcPr>
            <w:tcW w:w="1984" w:type="dxa"/>
            <w:vAlign w:val="bottom"/>
          </w:tcPr>
          <w:p w14:paraId="0000018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1,6 %</w:t>
            </w:r>
          </w:p>
        </w:tc>
        <w:tc>
          <w:tcPr>
            <w:tcW w:w="1869" w:type="dxa"/>
            <w:vAlign w:val="bottom"/>
          </w:tcPr>
          <w:p w14:paraId="0000018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3,8 %</w:t>
            </w:r>
          </w:p>
        </w:tc>
        <w:tc>
          <w:tcPr>
            <w:tcW w:w="1485" w:type="dxa"/>
            <w:vAlign w:val="bottom"/>
          </w:tcPr>
          <w:p w14:paraId="0000018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1.453 €</w:t>
            </w:r>
          </w:p>
        </w:tc>
      </w:tr>
      <w:tr w:rsidR="00031646" w14:paraId="125172FD"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8B"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Aragón</w:t>
            </w:r>
          </w:p>
        </w:tc>
        <w:tc>
          <w:tcPr>
            <w:tcW w:w="1702" w:type="dxa"/>
            <w:vAlign w:val="bottom"/>
          </w:tcPr>
          <w:p w14:paraId="0000018C"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Teruel</w:t>
            </w:r>
          </w:p>
        </w:tc>
        <w:tc>
          <w:tcPr>
            <w:tcW w:w="1984" w:type="dxa"/>
            <w:vAlign w:val="bottom"/>
          </w:tcPr>
          <w:p w14:paraId="0000018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1,7 %</w:t>
            </w:r>
          </w:p>
        </w:tc>
        <w:tc>
          <w:tcPr>
            <w:tcW w:w="1869" w:type="dxa"/>
            <w:vAlign w:val="bottom"/>
          </w:tcPr>
          <w:p w14:paraId="0000018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-3,6 %</w:t>
            </w:r>
          </w:p>
        </w:tc>
        <w:tc>
          <w:tcPr>
            <w:tcW w:w="1485" w:type="dxa"/>
            <w:vAlign w:val="bottom"/>
          </w:tcPr>
          <w:p w14:paraId="0000018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1.111 €</w:t>
            </w:r>
          </w:p>
        </w:tc>
      </w:tr>
      <w:tr w:rsidR="00031646" w14:paraId="59B51492"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90"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9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w:t>
            </w:r>
          </w:p>
        </w:tc>
        <w:tc>
          <w:tcPr>
            <w:tcW w:w="1984" w:type="dxa"/>
            <w:vAlign w:val="bottom"/>
          </w:tcPr>
          <w:p w14:paraId="0000019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2,3 %</w:t>
            </w:r>
          </w:p>
        </w:tc>
        <w:tc>
          <w:tcPr>
            <w:tcW w:w="1869" w:type="dxa"/>
            <w:vAlign w:val="bottom"/>
          </w:tcPr>
          <w:p w14:paraId="0000019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1,5 %</w:t>
            </w:r>
          </w:p>
        </w:tc>
        <w:tc>
          <w:tcPr>
            <w:tcW w:w="1485" w:type="dxa"/>
            <w:vAlign w:val="bottom"/>
          </w:tcPr>
          <w:p w14:paraId="0000019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1.346 €</w:t>
            </w:r>
          </w:p>
        </w:tc>
      </w:tr>
      <w:tr w:rsidR="00031646" w14:paraId="12E31BE1" w14:textId="77777777" w:rsidTr="000316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9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Galicia</w:t>
            </w:r>
          </w:p>
        </w:tc>
        <w:tc>
          <w:tcPr>
            <w:tcW w:w="1702" w:type="dxa"/>
            <w:vAlign w:val="bottom"/>
          </w:tcPr>
          <w:p w14:paraId="00000196"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w:t>
            </w:r>
          </w:p>
        </w:tc>
        <w:tc>
          <w:tcPr>
            <w:tcW w:w="1984" w:type="dxa"/>
            <w:vAlign w:val="bottom"/>
          </w:tcPr>
          <w:p w14:paraId="0000019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3,0 %</w:t>
            </w:r>
          </w:p>
        </w:tc>
        <w:tc>
          <w:tcPr>
            <w:tcW w:w="1869" w:type="dxa"/>
            <w:vAlign w:val="bottom"/>
          </w:tcPr>
          <w:p w14:paraId="0000019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5,6 %</w:t>
            </w:r>
          </w:p>
        </w:tc>
        <w:tc>
          <w:tcPr>
            <w:tcW w:w="1485" w:type="dxa"/>
            <w:vAlign w:val="bottom"/>
          </w:tcPr>
          <w:p w14:paraId="0000019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1.162 €</w:t>
            </w:r>
          </w:p>
        </w:tc>
      </w:tr>
      <w:tr w:rsidR="00031646" w14:paraId="2DB13D5D" w14:textId="77777777" w:rsidTr="00031646">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00019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1702" w:type="dxa"/>
            <w:vAlign w:val="bottom"/>
          </w:tcPr>
          <w:p w14:paraId="0000019B"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Soria</w:t>
            </w:r>
          </w:p>
        </w:tc>
        <w:tc>
          <w:tcPr>
            <w:tcW w:w="1984" w:type="dxa"/>
            <w:vAlign w:val="bottom"/>
          </w:tcPr>
          <w:p w14:paraId="0000019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6,7 %</w:t>
            </w:r>
          </w:p>
        </w:tc>
        <w:tc>
          <w:tcPr>
            <w:tcW w:w="1869" w:type="dxa"/>
            <w:vAlign w:val="bottom"/>
          </w:tcPr>
          <w:p w14:paraId="0000019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-0,1 %</w:t>
            </w:r>
          </w:p>
        </w:tc>
        <w:tc>
          <w:tcPr>
            <w:tcW w:w="1485" w:type="dxa"/>
            <w:vAlign w:val="bottom"/>
          </w:tcPr>
          <w:p w14:paraId="0000019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1.276 €</w:t>
            </w:r>
          </w:p>
        </w:tc>
      </w:tr>
    </w:tbl>
    <w:p w14:paraId="0000019F" w14:textId="77777777" w:rsidR="00031646" w:rsidRDefault="00031646">
      <w:pPr>
        <w:spacing w:line="276" w:lineRule="auto"/>
        <w:ind w:right="-574"/>
        <w:jc w:val="both"/>
        <w:rPr>
          <w:rFonts w:ascii="Open Sans Light" w:eastAsia="Open Sans Light" w:hAnsi="Open Sans Light" w:cs="Open Sans Light"/>
          <w:b/>
          <w:color w:val="303AB2"/>
          <w:sz w:val="28"/>
          <w:szCs w:val="28"/>
        </w:rPr>
      </w:pPr>
    </w:p>
    <w:p w14:paraId="000001A0"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(mar.21 – jun.21)</w:t>
      </w:r>
    </w:p>
    <w:tbl>
      <w:tblPr>
        <w:tblStyle w:val="a1"/>
        <w:tblW w:w="91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4"/>
        <w:gridCol w:w="2162"/>
        <w:gridCol w:w="1872"/>
        <w:gridCol w:w="1900"/>
        <w:gridCol w:w="1509"/>
      </w:tblGrid>
      <w:tr w:rsidR="00031646" w14:paraId="038BDC3A" w14:textId="77777777" w:rsidTr="0003164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center"/>
          </w:tcPr>
          <w:p w14:paraId="000001A1"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Provincia</w:t>
            </w:r>
          </w:p>
        </w:tc>
        <w:tc>
          <w:tcPr>
            <w:tcW w:w="2162" w:type="dxa"/>
            <w:shd w:val="clear" w:color="auto" w:fill="1DBDC5"/>
            <w:vAlign w:val="center"/>
          </w:tcPr>
          <w:p w14:paraId="000001A2" w14:textId="77777777" w:rsidR="00031646" w:rsidRDefault="00867CF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872" w:type="dxa"/>
            <w:shd w:val="clear" w:color="auto" w:fill="1DBDC5"/>
          </w:tcPr>
          <w:p w14:paraId="000001A3"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1A4"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1900" w:type="dxa"/>
            <w:shd w:val="clear" w:color="auto" w:fill="1DBDC5"/>
          </w:tcPr>
          <w:p w14:paraId="000001A5"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509" w:type="dxa"/>
            <w:shd w:val="clear" w:color="auto" w:fill="1DBDC5"/>
          </w:tcPr>
          <w:p w14:paraId="000001A6"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1A7"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r>
      <w:tr w:rsidR="00031646" w14:paraId="278C3C78"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A8" w14:textId="77777777" w:rsidR="00031646" w:rsidRDefault="00867CFF">
            <w:r>
              <w:rPr>
                <w:rFonts w:ascii="Open Sans" w:eastAsia="Open Sans" w:hAnsi="Open Sans" w:cs="Open Sans"/>
                <w:b w:val="0"/>
                <w:sz w:val="22"/>
                <w:szCs w:val="22"/>
              </w:rPr>
              <w:t>Lugo</w:t>
            </w:r>
          </w:p>
        </w:tc>
        <w:tc>
          <w:tcPr>
            <w:tcW w:w="2162" w:type="dxa"/>
            <w:vAlign w:val="bottom"/>
          </w:tcPr>
          <w:p w14:paraId="000001A9"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Lugo capital</w:t>
            </w:r>
          </w:p>
        </w:tc>
        <w:tc>
          <w:tcPr>
            <w:tcW w:w="1872" w:type="dxa"/>
            <w:vAlign w:val="bottom"/>
          </w:tcPr>
          <w:p w14:paraId="000001A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8,2 %</w:t>
            </w:r>
          </w:p>
        </w:tc>
        <w:tc>
          <w:tcPr>
            <w:tcW w:w="1900" w:type="dxa"/>
            <w:vAlign w:val="bottom"/>
          </w:tcPr>
          <w:p w14:paraId="000001A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12,0 %</w:t>
            </w:r>
          </w:p>
        </w:tc>
        <w:tc>
          <w:tcPr>
            <w:tcW w:w="1509" w:type="dxa"/>
            <w:vAlign w:val="bottom"/>
          </w:tcPr>
          <w:p w14:paraId="000001A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1.474 €</w:t>
            </w:r>
          </w:p>
        </w:tc>
      </w:tr>
      <w:tr w:rsidR="00031646" w14:paraId="49F87F31"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AD" w14:textId="77777777" w:rsidR="00031646" w:rsidRDefault="00867CFF">
            <w:r>
              <w:rPr>
                <w:rFonts w:ascii="Open Sans" w:eastAsia="Open Sans" w:hAnsi="Open Sans" w:cs="Open Sans"/>
                <w:b w:val="0"/>
                <w:sz w:val="22"/>
                <w:szCs w:val="22"/>
              </w:rPr>
              <w:t>Castellón</w:t>
            </w:r>
          </w:p>
        </w:tc>
        <w:tc>
          <w:tcPr>
            <w:tcW w:w="2162" w:type="dxa"/>
            <w:vAlign w:val="bottom"/>
          </w:tcPr>
          <w:p w14:paraId="000001AE"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 xml:space="preserve">Castellón de la Plana </w:t>
            </w:r>
          </w:p>
        </w:tc>
        <w:tc>
          <w:tcPr>
            <w:tcW w:w="1872" w:type="dxa"/>
            <w:vAlign w:val="bottom"/>
          </w:tcPr>
          <w:p w14:paraId="000001A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4,2 %</w:t>
            </w:r>
          </w:p>
        </w:tc>
        <w:tc>
          <w:tcPr>
            <w:tcW w:w="1900" w:type="dxa"/>
            <w:vAlign w:val="bottom"/>
          </w:tcPr>
          <w:p w14:paraId="000001B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5,8 %</w:t>
            </w:r>
          </w:p>
        </w:tc>
        <w:tc>
          <w:tcPr>
            <w:tcW w:w="1509" w:type="dxa"/>
            <w:vAlign w:val="bottom"/>
          </w:tcPr>
          <w:p w14:paraId="000001B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1.281 €</w:t>
            </w:r>
          </w:p>
        </w:tc>
      </w:tr>
      <w:tr w:rsidR="00031646" w14:paraId="5D344C19"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B2" w14:textId="77777777" w:rsidR="00031646" w:rsidRDefault="00867CFF">
            <w:r>
              <w:rPr>
                <w:rFonts w:ascii="Open Sans" w:eastAsia="Open Sans" w:hAnsi="Open Sans" w:cs="Open Sans"/>
                <w:b w:val="0"/>
                <w:sz w:val="22"/>
                <w:szCs w:val="22"/>
              </w:rPr>
              <w:t>Soria</w:t>
            </w:r>
          </w:p>
        </w:tc>
        <w:tc>
          <w:tcPr>
            <w:tcW w:w="2162" w:type="dxa"/>
            <w:vAlign w:val="bottom"/>
          </w:tcPr>
          <w:p w14:paraId="000001B3"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Soria capital</w:t>
            </w:r>
          </w:p>
        </w:tc>
        <w:tc>
          <w:tcPr>
            <w:tcW w:w="1872" w:type="dxa"/>
            <w:vAlign w:val="bottom"/>
          </w:tcPr>
          <w:p w14:paraId="000001B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4,1 %</w:t>
            </w:r>
          </w:p>
        </w:tc>
        <w:tc>
          <w:tcPr>
            <w:tcW w:w="1900" w:type="dxa"/>
            <w:vAlign w:val="bottom"/>
          </w:tcPr>
          <w:p w14:paraId="000001B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0,2 %</w:t>
            </w:r>
          </w:p>
        </w:tc>
        <w:tc>
          <w:tcPr>
            <w:tcW w:w="1509" w:type="dxa"/>
            <w:vAlign w:val="bottom"/>
          </w:tcPr>
          <w:p w14:paraId="000001B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1.399 €</w:t>
            </w:r>
          </w:p>
        </w:tc>
      </w:tr>
      <w:tr w:rsidR="00031646" w14:paraId="3A5837FE"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B7" w14:textId="77777777" w:rsidR="00031646" w:rsidRDefault="00867CFF">
            <w:r>
              <w:rPr>
                <w:rFonts w:ascii="Open Sans" w:eastAsia="Open Sans" w:hAnsi="Open Sans" w:cs="Open Sans"/>
                <w:b w:val="0"/>
                <w:sz w:val="22"/>
                <w:szCs w:val="22"/>
              </w:rPr>
              <w:t>Segovia</w:t>
            </w:r>
          </w:p>
        </w:tc>
        <w:tc>
          <w:tcPr>
            <w:tcW w:w="2162" w:type="dxa"/>
            <w:vAlign w:val="bottom"/>
          </w:tcPr>
          <w:p w14:paraId="000001B8"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Segovia capital</w:t>
            </w:r>
          </w:p>
        </w:tc>
        <w:tc>
          <w:tcPr>
            <w:tcW w:w="1872" w:type="dxa"/>
            <w:vAlign w:val="bottom"/>
          </w:tcPr>
          <w:p w14:paraId="000001B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3,8 %</w:t>
            </w:r>
          </w:p>
        </w:tc>
        <w:tc>
          <w:tcPr>
            <w:tcW w:w="1900" w:type="dxa"/>
            <w:vAlign w:val="bottom"/>
          </w:tcPr>
          <w:p w14:paraId="000001B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5,8 %</w:t>
            </w:r>
          </w:p>
        </w:tc>
        <w:tc>
          <w:tcPr>
            <w:tcW w:w="1509" w:type="dxa"/>
            <w:vAlign w:val="bottom"/>
          </w:tcPr>
          <w:p w14:paraId="000001B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1.746 €</w:t>
            </w:r>
          </w:p>
        </w:tc>
      </w:tr>
      <w:tr w:rsidR="00031646" w14:paraId="6568EE1A"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BC" w14:textId="77777777" w:rsidR="00031646" w:rsidRDefault="00867CFF">
            <w:r>
              <w:rPr>
                <w:rFonts w:ascii="Open Sans" w:eastAsia="Open Sans" w:hAnsi="Open Sans" w:cs="Open Sans"/>
                <w:b w:val="0"/>
                <w:sz w:val="22"/>
                <w:szCs w:val="22"/>
              </w:rPr>
              <w:t>Toledo</w:t>
            </w:r>
          </w:p>
        </w:tc>
        <w:tc>
          <w:tcPr>
            <w:tcW w:w="2162" w:type="dxa"/>
            <w:vAlign w:val="bottom"/>
          </w:tcPr>
          <w:p w14:paraId="000001BD"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Toledo capital</w:t>
            </w:r>
          </w:p>
        </w:tc>
        <w:tc>
          <w:tcPr>
            <w:tcW w:w="1872" w:type="dxa"/>
            <w:vAlign w:val="bottom"/>
          </w:tcPr>
          <w:p w14:paraId="000001B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2,9 %</w:t>
            </w:r>
          </w:p>
        </w:tc>
        <w:tc>
          <w:tcPr>
            <w:tcW w:w="1900" w:type="dxa"/>
            <w:vAlign w:val="bottom"/>
          </w:tcPr>
          <w:p w14:paraId="000001B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color w:val="9C0006"/>
                <w:sz w:val="22"/>
                <w:szCs w:val="22"/>
              </w:rPr>
              <w:t>-0,1 %</w:t>
            </w:r>
          </w:p>
        </w:tc>
        <w:tc>
          <w:tcPr>
            <w:tcW w:w="1509" w:type="dxa"/>
            <w:vAlign w:val="bottom"/>
          </w:tcPr>
          <w:p w14:paraId="000001C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1.476 €</w:t>
            </w:r>
          </w:p>
        </w:tc>
      </w:tr>
      <w:tr w:rsidR="00031646" w14:paraId="05834BB1"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C1" w14:textId="77777777" w:rsidR="00031646" w:rsidRDefault="00867CFF">
            <w:r>
              <w:rPr>
                <w:rFonts w:ascii="Open Sans" w:eastAsia="Open Sans" w:hAnsi="Open Sans" w:cs="Open Sans"/>
                <w:b w:val="0"/>
                <w:sz w:val="22"/>
                <w:szCs w:val="22"/>
              </w:rPr>
              <w:t>Cantabria</w:t>
            </w:r>
          </w:p>
        </w:tc>
        <w:tc>
          <w:tcPr>
            <w:tcW w:w="2162" w:type="dxa"/>
            <w:vAlign w:val="bottom"/>
          </w:tcPr>
          <w:p w14:paraId="000001C2"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Santander</w:t>
            </w:r>
          </w:p>
        </w:tc>
        <w:tc>
          <w:tcPr>
            <w:tcW w:w="1872" w:type="dxa"/>
            <w:vAlign w:val="bottom"/>
          </w:tcPr>
          <w:p w14:paraId="000001C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2,6 %</w:t>
            </w:r>
          </w:p>
        </w:tc>
        <w:tc>
          <w:tcPr>
            <w:tcW w:w="1900" w:type="dxa"/>
            <w:vAlign w:val="bottom"/>
          </w:tcPr>
          <w:p w14:paraId="000001C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3,7 %</w:t>
            </w:r>
          </w:p>
        </w:tc>
        <w:tc>
          <w:tcPr>
            <w:tcW w:w="1509" w:type="dxa"/>
            <w:vAlign w:val="bottom"/>
          </w:tcPr>
          <w:p w14:paraId="000001C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2.200 €</w:t>
            </w:r>
          </w:p>
        </w:tc>
      </w:tr>
      <w:tr w:rsidR="00031646" w14:paraId="18FB7C87"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C6" w14:textId="77777777" w:rsidR="00031646" w:rsidRDefault="00867CFF">
            <w:r>
              <w:rPr>
                <w:rFonts w:ascii="Open Sans" w:eastAsia="Open Sans" w:hAnsi="Open Sans" w:cs="Open Sans"/>
                <w:b w:val="0"/>
                <w:sz w:val="22"/>
                <w:szCs w:val="22"/>
              </w:rPr>
              <w:t>Huesca</w:t>
            </w:r>
          </w:p>
        </w:tc>
        <w:tc>
          <w:tcPr>
            <w:tcW w:w="2162" w:type="dxa"/>
            <w:vAlign w:val="bottom"/>
          </w:tcPr>
          <w:p w14:paraId="000001C7"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Huesca capital</w:t>
            </w:r>
          </w:p>
        </w:tc>
        <w:tc>
          <w:tcPr>
            <w:tcW w:w="1872" w:type="dxa"/>
            <w:vAlign w:val="bottom"/>
          </w:tcPr>
          <w:p w14:paraId="000001C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2,5 %</w:t>
            </w:r>
          </w:p>
        </w:tc>
        <w:tc>
          <w:tcPr>
            <w:tcW w:w="1900" w:type="dxa"/>
            <w:vAlign w:val="bottom"/>
          </w:tcPr>
          <w:p w14:paraId="000001C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color w:val="9C0006"/>
                <w:sz w:val="22"/>
                <w:szCs w:val="22"/>
              </w:rPr>
              <w:t>-2,2 %</w:t>
            </w:r>
          </w:p>
        </w:tc>
        <w:tc>
          <w:tcPr>
            <w:tcW w:w="1509" w:type="dxa"/>
            <w:vAlign w:val="bottom"/>
          </w:tcPr>
          <w:p w14:paraId="000001C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1.499 €</w:t>
            </w:r>
          </w:p>
        </w:tc>
      </w:tr>
      <w:tr w:rsidR="00031646" w14:paraId="02E4F581"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CB" w14:textId="77777777" w:rsidR="00031646" w:rsidRDefault="00867CFF">
            <w:r>
              <w:rPr>
                <w:rFonts w:ascii="Open Sans" w:eastAsia="Open Sans" w:hAnsi="Open Sans" w:cs="Open Sans"/>
                <w:b w:val="0"/>
                <w:sz w:val="22"/>
                <w:szCs w:val="22"/>
              </w:rPr>
              <w:t>Ourense</w:t>
            </w:r>
          </w:p>
        </w:tc>
        <w:tc>
          <w:tcPr>
            <w:tcW w:w="2162" w:type="dxa"/>
            <w:vAlign w:val="bottom"/>
          </w:tcPr>
          <w:p w14:paraId="000001CC"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Ourense capital</w:t>
            </w:r>
          </w:p>
        </w:tc>
        <w:tc>
          <w:tcPr>
            <w:tcW w:w="1872" w:type="dxa"/>
            <w:vAlign w:val="bottom"/>
          </w:tcPr>
          <w:p w14:paraId="000001C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2,0 %</w:t>
            </w:r>
          </w:p>
        </w:tc>
        <w:tc>
          <w:tcPr>
            <w:tcW w:w="1900" w:type="dxa"/>
            <w:vAlign w:val="bottom"/>
          </w:tcPr>
          <w:p w14:paraId="000001C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4,0 %</w:t>
            </w:r>
          </w:p>
        </w:tc>
        <w:tc>
          <w:tcPr>
            <w:tcW w:w="1509" w:type="dxa"/>
            <w:vAlign w:val="bottom"/>
          </w:tcPr>
          <w:p w14:paraId="000001C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1.562 €</w:t>
            </w:r>
          </w:p>
        </w:tc>
      </w:tr>
      <w:tr w:rsidR="00031646" w14:paraId="24AAFAA8"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D0" w14:textId="77777777" w:rsidR="00031646" w:rsidRDefault="00867CFF">
            <w:r>
              <w:rPr>
                <w:rFonts w:ascii="Open Sans" w:eastAsia="Open Sans" w:hAnsi="Open Sans" w:cs="Open Sans"/>
                <w:b w:val="0"/>
                <w:sz w:val="22"/>
                <w:szCs w:val="22"/>
              </w:rPr>
              <w:t>La Rioja</w:t>
            </w:r>
          </w:p>
        </w:tc>
        <w:tc>
          <w:tcPr>
            <w:tcW w:w="2162" w:type="dxa"/>
            <w:vAlign w:val="bottom"/>
          </w:tcPr>
          <w:p w14:paraId="000001D1"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Logroño</w:t>
            </w:r>
          </w:p>
        </w:tc>
        <w:tc>
          <w:tcPr>
            <w:tcW w:w="1872" w:type="dxa"/>
            <w:vAlign w:val="bottom"/>
          </w:tcPr>
          <w:p w14:paraId="000001D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1,9 %</w:t>
            </w:r>
          </w:p>
        </w:tc>
        <w:tc>
          <w:tcPr>
            <w:tcW w:w="1900" w:type="dxa"/>
            <w:vAlign w:val="bottom"/>
          </w:tcPr>
          <w:p w14:paraId="000001D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2,4 %</w:t>
            </w:r>
          </w:p>
        </w:tc>
        <w:tc>
          <w:tcPr>
            <w:tcW w:w="1509" w:type="dxa"/>
            <w:vAlign w:val="bottom"/>
          </w:tcPr>
          <w:p w14:paraId="000001D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1.724 €</w:t>
            </w:r>
          </w:p>
        </w:tc>
      </w:tr>
      <w:tr w:rsidR="00031646" w14:paraId="4E5EB9A1"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D5" w14:textId="77777777" w:rsidR="00031646" w:rsidRDefault="00867CFF">
            <w:r>
              <w:rPr>
                <w:rFonts w:ascii="Open Sans" w:eastAsia="Open Sans" w:hAnsi="Open Sans" w:cs="Open Sans"/>
                <w:b w:val="0"/>
                <w:sz w:val="22"/>
                <w:szCs w:val="22"/>
              </w:rPr>
              <w:t>Salamanca</w:t>
            </w:r>
          </w:p>
        </w:tc>
        <w:tc>
          <w:tcPr>
            <w:tcW w:w="2162" w:type="dxa"/>
            <w:vAlign w:val="bottom"/>
          </w:tcPr>
          <w:p w14:paraId="000001D6"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Salamanca capital</w:t>
            </w:r>
          </w:p>
        </w:tc>
        <w:tc>
          <w:tcPr>
            <w:tcW w:w="1872" w:type="dxa"/>
            <w:vAlign w:val="bottom"/>
          </w:tcPr>
          <w:p w14:paraId="000001D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1,7 %</w:t>
            </w:r>
          </w:p>
        </w:tc>
        <w:tc>
          <w:tcPr>
            <w:tcW w:w="1900" w:type="dxa"/>
            <w:vAlign w:val="bottom"/>
          </w:tcPr>
          <w:p w14:paraId="000001D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0,2 %</w:t>
            </w:r>
          </w:p>
        </w:tc>
        <w:tc>
          <w:tcPr>
            <w:tcW w:w="1509" w:type="dxa"/>
            <w:vAlign w:val="bottom"/>
          </w:tcPr>
          <w:p w14:paraId="000001D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1.921 €</w:t>
            </w:r>
          </w:p>
        </w:tc>
      </w:tr>
      <w:tr w:rsidR="00031646" w14:paraId="2304219E"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DA" w14:textId="77777777" w:rsidR="00031646" w:rsidRDefault="00867CFF">
            <w:r>
              <w:rPr>
                <w:rFonts w:ascii="Open Sans" w:eastAsia="Open Sans" w:hAnsi="Open Sans" w:cs="Open Sans"/>
                <w:b w:val="0"/>
                <w:sz w:val="22"/>
                <w:szCs w:val="22"/>
              </w:rPr>
              <w:t>Teruel</w:t>
            </w:r>
          </w:p>
        </w:tc>
        <w:tc>
          <w:tcPr>
            <w:tcW w:w="2162" w:type="dxa"/>
            <w:vAlign w:val="bottom"/>
          </w:tcPr>
          <w:p w14:paraId="000001DB"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Teruel capital</w:t>
            </w:r>
          </w:p>
        </w:tc>
        <w:tc>
          <w:tcPr>
            <w:tcW w:w="1872" w:type="dxa"/>
            <w:vAlign w:val="bottom"/>
          </w:tcPr>
          <w:p w14:paraId="000001D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1,5 %</w:t>
            </w:r>
          </w:p>
        </w:tc>
        <w:tc>
          <w:tcPr>
            <w:tcW w:w="1900" w:type="dxa"/>
            <w:vAlign w:val="bottom"/>
          </w:tcPr>
          <w:p w14:paraId="000001D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color w:val="9C0006"/>
                <w:sz w:val="22"/>
                <w:szCs w:val="22"/>
              </w:rPr>
              <w:t>-5,6 %</w:t>
            </w:r>
          </w:p>
        </w:tc>
        <w:tc>
          <w:tcPr>
            <w:tcW w:w="1509" w:type="dxa"/>
            <w:vAlign w:val="bottom"/>
          </w:tcPr>
          <w:p w14:paraId="000001D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1.315 €</w:t>
            </w:r>
          </w:p>
        </w:tc>
      </w:tr>
      <w:tr w:rsidR="00031646" w14:paraId="708A72DA"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DF" w14:textId="77777777" w:rsidR="00031646" w:rsidRDefault="00867CFF">
            <w:r>
              <w:rPr>
                <w:rFonts w:ascii="Open Sans" w:eastAsia="Open Sans" w:hAnsi="Open Sans" w:cs="Open Sans"/>
                <w:b w:val="0"/>
                <w:sz w:val="22"/>
                <w:szCs w:val="22"/>
              </w:rPr>
              <w:t>Gipuzkoa</w:t>
            </w:r>
          </w:p>
        </w:tc>
        <w:tc>
          <w:tcPr>
            <w:tcW w:w="2162" w:type="dxa"/>
            <w:vAlign w:val="bottom"/>
          </w:tcPr>
          <w:p w14:paraId="000001E0"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Donostia - San Sebastián</w:t>
            </w:r>
          </w:p>
        </w:tc>
        <w:tc>
          <w:tcPr>
            <w:tcW w:w="1872" w:type="dxa"/>
            <w:vAlign w:val="bottom"/>
          </w:tcPr>
          <w:p w14:paraId="000001E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1,4 %</w:t>
            </w:r>
          </w:p>
        </w:tc>
        <w:tc>
          <w:tcPr>
            <w:tcW w:w="1900" w:type="dxa"/>
            <w:vAlign w:val="bottom"/>
          </w:tcPr>
          <w:p w14:paraId="000001E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1,9 %</w:t>
            </w:r>
          </w:p>
        </w:tc>
        <w:tc>
          <w:tcPr>
            <w:tcW w:w="1509" w:type="dxa"/>
            <w:vAlign w:val="bottom"/>
          </w:tcPr>
          <w:p w14:paraId="000001E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5.569 €</w:t>
            </w:r>
          </w:p>
        </w:tc>
      </w:tr>
      <w:tr w:rsidR="00031646" w14:paraId="0A6507D7"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E4" w14:textId="77777777" w:rsidR="00031646" w:rsidRDefault="00867CFF">
            <w:r>
              <w:rPr>
                <w:rFonts w:ascii="Open Sans" w:eastAsia="Open Sans" w:hAnsi="Open Sans" w:cs="Open Sans"/>
                <w:b w:val="0"/>
                <w:sz w:val="22"/>
                <w:szCs w:val="22"/>
              </w:rPr>
              <w:t>Girona</w:t>
            </w:r>
          </w:p>
        </w:tc>
        <w:tc>
          <w:tcPr>
            <w:tcW w:w="2162" w:type="dxa"/>
            <w:vAlign w:val="bottom"/>
          </w:tcPr>
          <w:p w14:paraId="000001E5"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Girona capital</w:t>
            </w:r>
          </w:p>
        </w:tc>
        <w:tc>
          <w:tcPr>
            <w:tcW w:w="1872" w:type="dxa"/>
            <w:vAlign w:val="bottom"/>
          </w:tcPr>
          <w:p w14:paraId="000001E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1,3 %</w:t>
            </w:r>
          </w:p>
        </w:tc>
        <w:tc>
          <w:tcPr>
            <w:tcW w:w="1900" w:type="dxa"/>
            <w:vAlign w:val="bottom"/>
          </w:tcPr>
          <w:p w14:paraId="000001E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0,7 %</w:t>
            </w:r>
          </w:p>
        </w:tc>
        <w:tc>
          <w:tcPr>
            <w:tcW w:w="1509" w:type="dxa"/>
            <w:vAlign w:val="bottom"/>
          </w:tcPr>
          <w:p w14:paraId="000001E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2.346 €</w:t>
            </w:r>
          </w:p>
        </w:tc>
      </w:tr>
      <w:tr w:rsidR="00031646" w14:paraId="60EA7348"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E9" w14:textId="77777777" w:rsidR="00031646" w:rsidRDefault="00867CFF">
            <w:r>
              <w:rPr>
                <w:rFonts w:ascii="Open Sans" w:eastAsia="Open Sans" w:hAnsi="Open Sans" w:cs="Open Sans"/>
                <w:b w:val="0"/>
                <w:sz w:val="22"/>
                <w:szCs w:val="22"/>
              </w:rPr>
              <w:t>Guadalajara</w:t>
            </w:r>
          </w:p>
        </w:tc>
        <w:tc>
          <w:tcPr>
            <w:tcW w:w="2162" w:type="dxa"/>
            <w:vAlign w:val="bottom"/>
          </w:tcPr>
          <w:p w14:paraId="000001EA"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Guadalajara capital</w:t>
            </w:r>
          </w:p>
        </w:tc>
        <w:tc>
          <w:tcPr>
            <w:tcW w:w="1872" w:type="dxa"/>
            <w:vAlign w:val="bottom"/>
          </w:tcPr>
          <w:p w14:paraId="000001E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1,2 %</w:t>
            </w:r>
          </w:p>
        </w:tc>
        <w:tc>
          <w:tcPr>
            <w:tcW w:w="1900" w:type="dxa"/>
            <w:vAlign w:val="bottom"/>
          </w:tcPr>
          <w:p w14:paraId="000001E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3,2 %</w:t>
            </w:r>
          </w:p>
        </w:tc>
        <w:tc>
          <w:tcPr>
            <w:tcW w:w="1509" w:type="dxa"/>
            <w:vAlign w:val="bottom"/>
          </w:tcPr>
          <w:p w14:paraId="000001E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1.459 €</w:t>
            </w:r>
          </w:p>
        </w:tc>
      </w:tr>
      <w:tr w:rsidR="00031646" w14:paraId="1D55897E"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EE" w14:textId="77777777" w:rsidR="00031646" w:rsidRDefault="00867CFF">
            <w:r>
              <w:rPr>
                <w:rFonts w:ascii="Open Sans" w:eastAsia="Open Sans" w:hAnsi="Open Sans" w:cs="Open Sans"/>
                <w:b w:val="0"/>
                <w:sz w:val="22"/>
                <w:szCs w:val="22"/>
              </w:rPr>
              <w:t>Cádiz</w:t>
            </w:r>
          </w:p>
        </w:tc>
        <w:tc>
          <w:tcPr>
            <w:tcW w:w="2162" w:type="dxa"/>
            <w:vAlign w:val="bottom"/>
          </w:tcPr>
          <w:p w14:paraId="000001EF"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Cádiz capital</w:t>
            </w:r>
          </w:p>
        </w:tc>
        <w:tc>
          <w:tcPr>
            <w:tcW w:w="1872" w:type="dxa"/>
            <w:vAlign w:val="bottom"/>
          </w:tcPr>
          <w:p w14:paraId="000001F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1,2 %</w:t>
            </w:r>
          </w:p>
        </w:tc>
        <w:tc>
          <w:tcPr>
            <w:tcW w:w="1900" w:type="dxa"/>
            <w:vAlign w:val="bottom"/>
          </w:tcPr>
          <w:p w14:paraId="000001F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1,4 %</w:t>
            </w:r>
          </w:p>
        </w:tc>
        <w:tc>
          <w:tcPr>
            <w:tcW w:w="1509" w:type="dxa"/>
            <w:vAlign w:val="bottom"/>
          </w:tcPr>
          <w:p w14:paraId="000001F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2.525 €</w:t>
            </w:r>
          </w:p>
        </w:tc>
      </w:tr>
      <w:tr w:rsidR="00031646" w14:paraId="758875AC"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F3" w14:textId="77777777" w:rsidR="00031646" w:rsidRDefault="00867CFF">
            <w:r>
              <w:rPr>
                <w:rFonts w:ascii="Open Sans" w:eastAsia="Open Sans" w:hAnsi="Open Sans" w:cs="Open Sans"/>
                <w:b w:val="0"/>
                <w:sz w:val="22"/>
                <w:szCs w:val="22"/>
              </w:rPr>
              <w:t>Córdoba</w:t>
            </w:r>
          </w:p>
        </w:tc>
        <w:tc>
          <w:tcPr>
            <w:tcW w:w="2162" w:type="dxa"/>
            <w:vAlign w:val="bottom"/>
          </w:tcPr>
          <w:p w14:paraId="000001F4"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Córdoba capital</w:t>
            </w:r>
          </w:p>
        </w:tc>
        <w:tc>
          <w:tcPr>
            <w:tcW w:w="1872" w:type="dxa"/>
            <w:vAlign w:val="bottom"/>
          </w:tcPr>
          <w:p w14:paraId="000001F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1,0 %</w:t>
            </w:r>
          </w:p>
        </w:tc>
        <w:tc>
          <w:tcPr>
            <w:tcW w:w="1900" w:type="dxa"/>
            <w:vAlign w:val="bottom"/>
          </w:tcPr>
          <w:p w14:paraId="000001F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color w:val="9C0006"/>
                <w:sz w:val="22"/>
                <w:szCs w:val="22"/>
              </w:rPr>
              <w:t>-1,0 %</w:t>
            </w:r>
          </w:p>
        </w:tc>
        <w:tc>
          <w:tcPr>
            <w:tcW w:w="1509" w:type="dxa"/>
            <w:vAlign w:val="bottom"/>
          </w:tcPr>
          <w:p w14:paraId="000001F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1.476 €</w:t>
            </w:r>
          </w:p>
        </w:tc>
      </w:tr>
      <w:tr w:rsidR="00031646" w14:paraId="0F172B98"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F8" w14:textId="77777777" w:rsidR="00031646" w:rsidRDefault="00867CFF">
            <w:r>
              <w:rPr>
                <w:rFonts w:ascii="Open Sans" w:eastAsia="Open Sans" w:hAnsi="Open Sans" w:cs="Open Sans"/>
                <w:b w:val="0"/>
                <w:sz w:val="22"/>
                <w:szCs w:val="22"/>
              </w:rPr>
              <w:t>Araba - Álava</w:t>
            </w:r>
          </w:p>
        </w:tc>
        <w:tc>
          <w:tcPr>
            <w:tcW w:w="2162" w:type="dxa"/>
            <w:vAlign w:val="bottom"/>
          </w:tcPr>
          <w:p w14:paraId="000001F9"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Vitoria - Gasteiz</w:t>
            </w:r>
          </w:p>
        </w:tc>
        <w:tc>
          <w:tcPr>
            <w:tcW w:w="1872" w:type="dxa"/>
            <w:vAlign w:val="bottom"/>
          </w:tcPr>
          <w:p w14:paraId="000001F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0,9 %</w:t>
            </w:r>
          </w:p>
        </w:tc>
        <w:tc>
          <w:tcPr>
            <w:tcW w:w="1900" w:type="dxa"/>
            <w:vAlign w:val="bottom"/>
          </w:tcPr>
          <w:p w14:paraId="000001F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4,9 %</w:t>
            </w:r>
          </w:p>
        </w:tc>
        <w:tc>
          <w:tcPr>
            <w:tcW w:w="1509" w:type="dxa"/>
            <w:vAlign w:val="bottom"/>
          </w:tcPr>
          <w:p w14:paraId="000001F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2.657 €</w:t>
            </w:r>
          </w:p>
        </w:tc>
      </w:tr>
      <w:tr w:rsidR="00031646" w14:paraId="06F00D1C"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1FD" w14:textId="77777777" w:rsidR="00031646" w:rsidRDefault="00867CFF">
            <w:r>
              <w:rPr>
                <w:rFonts w:ascii="Open Sans" w:eastAsia="Open Sans" w:hAnsi="Open Sans" w:cs="Open Sans"/>
                <w:b w:val="0"/>
                <w:sz w:val="22"/>
                <w:szCs w:val="22"/>
              </w:rPr>
              <w:t>Valencia</w:t>
            </w:r>
          </w:p>
        </w:tc>
        <w:tc>
          <w:tcPr>
            <w:tcW w:w="2162" w:type="dxa"/>
            <w:vAlign w:val="bottom"/>
          </w:tcPr>
          <w:p w14:paraId="000001FE"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Valencia capital</w:t>
            </w:r>
          </w:p>
        </w:tc>
        <w:tc>
          <w:tcPr>
            <w:tcW w:w="1872" w:type="dxa"/>
            <w:vAlign w:val="bottom"/>
          </w:tcPr>
          <w:p w14:paraId="000001F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0,8 %</w:t>
            </w:r>
          </w:p>
        </w:tc>
        <w:tc>
          <w:tcPr>
            <w:tcW w:w="1900" w:type="dxa"/>
            <w:vAlign w:val="bottom"/>
          </w:tcPr>
          <w:p w14:paraId="0000020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sz w:val="22"/>
                <w:szCs w:val="22"/>
              </w:rPr>
              <w:t>2,9 %</w:t>
            </w:r>
          </w:p>
        </w:tc>
        <w:tc>
          <w:tcPr>
            <w:tcW w:w="1509" w:type="dxa"/>
            <w:vAlign w:val="bottom"/>
          </w:tcPr>
          <w:p w14:paraId="0000020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2.089 €</w:t>
            </w:r>
          </w:p>
        </w:tc>
      </w:tr>
      <w:tr w:rsidR="00031646" w14:paraId="4233A910"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02" w14:textId="77777777" w:rsidR="00031646" w:rsidRDefault="00867CFF">
            <w:r>
              <w:rPr>
                <w:rFonts w:ascii="Open Sans" w:eastAsia="Open Sans" w:hAnsi="Open Sans" w:cs="Open Sans"/>
                <w:b w:val="0"/>
                <w:sz w:val="22"/>
                <w:szCs w:val="22"/>
              </w:rPr>
              <w:t>Illes Balears</w:t>
            </w:r>
          </w:p>
        </w:tc>
        <w:tc>
          <w:tcPr>
            <w:tcW w:w="2162" w:type="dxa"/>
            <w:vAlign w:val="bottom"/>
          </w:tcPr>
          <w:p w14:paraId="00000203"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Palma de Mallorca</w:t>
            </w:r>
          </w:p>
        </w:tc>
        <w:tc>
          <w:tcPr>
            <w:tcW w:w="1872" w:type="dxa"/>
            <w:vAlign w:val="bottom"/>
          </w:tcPr>
          <w:p w14:paraId="0000020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0,6 %</w:t>
            </w:r>
          </w:p>
        </w:tc>
        <w:tc>
          <w:tcPr>
            <w:tcW w:w="1900" w:type="dxa"/>
            <w:vAlign w:val="bottom"/>
          </w:tcPr>
          <w:p w14:paraId="0000020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4,7 %</w:t>
            </w:r>
          </w:p>
        </w:tc>
        <w:tc>
          <w:tcPr>
            <w:tcW w:w="1509" w:type="dxa"/>
            <w:vAlign w:val="bottom"/>
          </w:tcPr>
          <w:p w14:paraId="0000020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3.127 €</w:t>
            </w:r>
          </w:p>
        </w:tc>
      </w:tr>
      <w:tr w:rsidR="00031646" w14:paraId="52E9A600"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07" w14:textId="77777777" w:rsidR="00031646" w:rsidRDefault="00867CFF">
            <w:r>
              <w:rPr>
                <w:rFonts w:ascii="Open Sans" w:eastAsia="Open Sans" w:hAnsi="Open Sans" w:cs="Open Sans"/>
                <w:b w:val="0"/>
                <w:sz w:val="22"/>
                <w:szCs w:val="22"/>
              </w:rPr>
              <w:t>Sevilla</w:t>
            </w:r>
          </w:p>
        </w:tc>
        <w:tc>
          <w:tcPr>
            <w:tcW w:w="2162" w:type="dxa"/>
            <w:vAlign w:val="bottom"/>
          </w:tcPr>
          <w:p w14:paraId="00000208"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Sevilla capital</w:t>
            </w:r>
          </w:p>
        </w:tc>
        <w:tc>
          <w:tcPr>
            <w:tcW w:w="1872" w:type="dxa"/>
            <w:vAlign w:val="bottom"/>
          </w:tcPr>
          <w:p w14:paraId="0000020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0,5 %</w:t>
            </w:r>
          </w:p>
        </w:tc>
        <w:tc>
          <w:tcPr>
            <w:tcW w:w="1900" w:type="dxa"/>
            <w:vAlign w:val="bottom"/>
          </w:tcPr>
          <w:p w14:paraId="0000020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color w:val="9C0006"/>
                <w:sz w:val="22"/>
                <w:szCs w:val="22"/>
              </w:rPr>
              <w:t>-0,8 %</w:t>
            </w:r>
          </w:p>
        </w:tc>
        <w:tc>
          <w:tcPr>
            <w:tcW w:w="1509" w:type="dxa"/>
            <w:vAlign w:val="bottom"/>
          </w:tcPr>
          <w:p w14:paraId="0000020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2.134 €</w:t>
            </w:r>
          </w:p>
        </w:tc>
      </w:tr>
      <w:tr w:rsidR="00031646" w14:paraId="68922A03"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0C" w14:textId="77777777" w:rsidR="00031646" w:rsidRDefault="00867CFF">
            <w:r>
              <w:rPr>
                <w:rFonts w:ascii="Open Sans" w:eastAsia="Open Sans" w:hAnsi="Open Sans" w:cs="Open Sans"/>
                <w:b w:val="0"/>
                <w:sz w:val="22"/>
                <w:szCs w:val="22"/>
              </w:rPr>
              <w:t>Granada</w:t>
            </w:r>
          </w:p>
        </w:tc>
        <w:tc>
          <w:tcPr>
            <w:tcW w:w="2162" w:type="dxa"/>
            <w:vAlign w:val="bottom"/>
          </w:tcPr>
          <w:p w14:paraId="0000020D"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Granada capital</w:t>
            </w:r>
          </w:p>
        </w:tc>
        <w:tc>
          <w:tcPr>
            <w:tcW w:w="1872" w:type="dxa"/>
            <w:vAlign w:val="bottom"/>
          </w:tcPr>
          <w:p w14:paraId="0000020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0,5 %</w:t>
            </w:r>
          </w:p>
        </w:tc>
        <w:tc>
          <w:tcPr>
            <w:tcW w:w="1900" w:type="dxa"/>
            <w:vAlign w:val="bottom"/>
          </w:tcPr>
          <w:p w14:paraId="0000020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color w:val="9C0006"/>
                <w:sz w:val="22"/>
                <w:szCs w:val="22"/>
              </w:rPr>
              <w:t>-0,5 %</w:t>
            </w:r>
          </w:p>
        </w:tc>
        <w:tc>
          <w:tcPr>
            <w:tcW w:w="1509" w:type="dxa"/>
            <w:vAlign w:val="bottom"/>
          </w:tcPr>
          <w:p w14:paraId="0000021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1.913 €</w:t>
            </w:r>
          </w:p>
        </w:tc>
      </w:tr>
      <w:tr w:rsidR="00031646" w14:paraId="4A629107"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11" w14:textId="77777777" w:rsidR="00031646" w:rsidRDefault="00867CFF">
            <w:r>
              <w:rPr>
                <w:rFonts w:ascii="Open Sans" w:eastAsia="Open Sans" w:hAnsi="Open Sans" w:cs="Open Sans"/>
                <w:b w:val="0"/>
                <w:sz w:val="22"/>
                <w:szCs w:val="22"/>
              </w:rPr>
              <w:t>Burgos</w:t>
            </w:r>
          </w:p>
        </w:tc>
        <w:tc>
          <w:tcPr>
            <w:tcW w:w="2162" w:type="dxa"/>
            <w:vAlign w:val="bottom"/>
          </w:tcPr>
          <w:p w14:paraId="00000212"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Burgos capital</w:t>
            </w:r>
          </w:p>
        </w:tc>
        <w:tc>
          <w:tcPr>
            <w:tcW w:w="1872" w:type="dxa"/>
            <w:vAlign w:val="bottom"/>
          </w:tcPr>
          <w:p w14:paraId="0000021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0,4 %</w:t>
            </w:r>
          </w:p>
        </w:tc>
        <w:tc>
          <w:tcPr>
            <w:tcW w:w="1900" w:type="dxa"/>
            <w:vAlign w:val="bottom"/>
          </w:tcPr>
          <w:p w14:paraId="0000021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color w:val="9C0006"/>
                <w:sz w:val="22"/>
                <w:szCs w:val="22"/>
              </w:rPr>
              <w:t>-3,4 %</w:t>
            </w:r>
          </w:p>
        </w:tc>
        <w:tc>
          <w:tcPr>
            <w:tcW w:w="1509" w:type="dxa"/>
            <w:vAlign w:val="bottom"/>
          </w:tcPr>
          <w:p w14:paraId="0000021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1.683 €</w:t>
            </w:r>
          </w:p>
        </w:tc>
      </w:tr>
      <w:tr w:rsidR="00031646" w14:paraId="42628E83"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16" w14:textId="77777777" w:rsidR="00031646" w:rsidRDefault="00867CFF">
            <w:r>
              <w:rPr>
                <w:rFonts w:ascii="Open Sans" w:eastAsia="Open Sans" w:hAnsi="Open Sans" w:cs="Open Sans"/>
                <w:b w:val="0"/>
                <w:sz w:val="22"/>
                <w:szCs w:val="22"/>
              </w:rPr>
              <w:t>Madrid</w:t>
            </w:r>
          </w:p>
        </w:tc>
        <w:tc>
          <w:tcPr>
            <w:tcW w:w="2162" w:type="dxa"/>
            <w:vAlign w:val="bottom"/>
          </w:tcPr>
          <w:p w14:paraId="00000217"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Madrid capital</w:t>
            </w:r>
          </w:p>
        </w:tc>
        <w:tc>
          <w:tcPr>
            <w:tcW w:w="1872" w:type="dxa"/>
            <w:vAlign w:val="bottom"/>
          </w:tcPr>
          <w:p w14:paraId="0000021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0,4 %</w:t>
            </w:r>
          </w:p>
        </w:tc>
        <w:tc>
          <w:tcPr>
            <w:tcW w:w="1900" w:type="dxa"/>
            <w:vAlign w:val="bottom"/>
          </w:tcPr>
          <w:p w14:paraId="0000021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1,4 %</w:t>
            </w:r>
          </w:p>
        </w:tc>
        <w:tc>
          <w:tcPr>
            <w:tcW w:w="1509" w:type="dxa"/>
            <w:vAlign w:val="bottom"/>
          </w:tcPr>
          <w:p w14:paraId="0000021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3.903 €</w:t>
            </w:r>
          </w:p>
        </w:tc>
      </w:tr>
      <w:tr w:rsidR="00031646" w14:paraId="5A0210AE"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1B" w14:textId="77777777" w:rsidR="00031646" w:rsidRDefault="00867CFF">
            <w:r>
              <w:rPr>
                <w:rFonts w:ascii="Open Sans" w:eastAsia="Open Sans" w:hAnsi="Open Sans" w:cs="Open Sans"/>
                <w:b w:val="0"/>
                <w:sz w:val="22"/>
                <w:szCs w:val="22"/>
              </w:rPr>
              <w:t>Bizkaia</w:t>
            </w:r>
          </w:p>
        </w:tc>
        <w:tc>
          <w:tcPr>
            <w:tcW w:w="2162" w:type="dxa"/>
            <w:vAlign w:val="bottom"/>
          </w:tcPr>
          <w:p w14:paraId="0000021C" w14:textId="77777777" w:rsidR="00031646" w:rsidRDefault="00867CFF">
            <w:pP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Bilbao</w:t>
            </w:r>
          </w:p>
        </w:tc>
        <w:tc>
          <w:tcPr>
            <w:tcW w:w="1872" w:type="dxa"/>
            <w:vAlign w:val="bottom"/>
          </w:tcPr>
          <w:p w14:paraId="0000021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pPr>
            <w:r>
              <w:rPr>
                <w:rFonts w:ascii="Open Sans" w:eastAsia="Open Sans" w:hAnsi="Open Sans" w:cs="Open Sans"/>
                <w:sz w:val="22"/>
                <w:szCs w:val="22"/>
              </w:rPr>
              <w:t>0,3 %</w:t>
            </w:r>
          </w:p>
        </w:tc>
        <w:tc>
          <w:tcPr>
            <w:tcW w:w="1900" w:type="dxa"/>
            <w:vAlign w:val="bottom"/>
          </w:tcPr>
          <w:p w14:paraId="0000021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b/>
              </w:rPr>
            </w:pPr>
            <w:r>
              <w:rPr>
                <w:rFonts w:ascii="Open Sans" w:eastAsia="Open Sans" w:hAnsi="Open Sans" w:cs="Open Sans"/>
                <w:color w:val="9C0006"/>
                <w:sz w:val="22"/>
                <w:szCs w:val="22"/>
              </w:rPr>
              <w:t>-0,3 %</w:t>
            </w:r>
          </w:p>
        </w:tc>
        <w:tc>
          <w:tcPr>
            <w:tcW w:w="1509" w:type="dxa"/>
            <w:vAlign w:val="bottom"/>
          </w:tcPr>
          <w:p w14:paraId="0000021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3.368 €</w:t>
            </w:r>
          </w:p>
        </w:tc>
      </w:tr>
      <w:tr w:rsidR="00031646" w14:paraId="1C46BBEE"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20" w14:textId="77777777" w:rsidR="00031646" w:rsidRDefault="00867CFF">
            <w:r>
              <w:rPr>
                <w:rFonts w:ascii="Open Sans" w:eastAsia="Open Sans" w:hAnsi="Open Sans" w:cs="Open Sans"/>
                <w:b w:val="0"/>
                <w:sz w:val="22"/>
                <w:szCs w:val="22"/>
              </w:rPr>
              <w:t>Málaga</w:t>
            </w:r>
          </w:p>
        </w:tc>
        <w:tc>
          <w:tcPr>
            <w:tcW w:w="2162" w:type="dxa"/>
            <w:vAlign w:val="bottom"/>
          </w:tcPr>
          <w:p w14:paraId="00000221" w14:textId="77777777" w:rsidR="00031646" w:rsidRDefault="00867CFF">
            <w:pP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Málaga capital</w:t>
            </w:r>
          </w:p>
        </w:tc>
        <w:tc>
          <w:tcPr>
            <w:tcW w:w="1872" w:type="dxa"/>
            <w:vAlign w:val="bottom"/>
          </w:tcPr>
          <w:p w14:paraId="0000022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pPr>
            <w:r>
              <w:rPr>
                <w:rFonts w:ascii="Open Sans" w:eastAsia="Open Sans" w:hAnsi="Open Sans" w:cs="Open Sans"/>
                <w:sz w:val="22"/>
                <w:szCs w:val="22"/>
              </w:rPr>
              <w:t>0,1 %</w:t>
            </w:r>
          </w:p>
        </w:tc>
        <w:tc>
          <w:tcPr>
            <w:tcW w:w="1900" w:type="dxa"/>
            <w:vAlign w:val="bottom"/>
          </w:tcPr>
          <w:p w14:paraId="0000022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b/>
              </w:rPr>
            </w:pPr>
            <w:r>
              <w:rPr>
                <w:rFonts w:ascii="Open Sans" w:eastAsia="Open Sans" w:hAnsi="Open Sans" w:cs="Open Sans"/>
                <w:sz w:val="22"/>
                <w:szCs w:val="22"/>
              </w:rPr>
              <w:t>0,4 %</w:t>
            </w:r>
          </w:p>
        </w:tc>
        <w:tc>
          <w:tcPr>
            <w:tcW w:w="1509" w:type="dxa"/>
            <w:vAlign w:val="bottom"/>
          </w:tcPr>
          <w:p w14:paraId="0000022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2.374 €</w:t>
            </w:r>
          </w:p>
        </w:tc>
      </w:tr>
      <w:tr w:rsidR="00031646" w14:paraId="60A44F55"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2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 Coruña</w:t>
            </w:r>
          </w:p>
        </w:tc>
        <w:tc>
          <w:tcPr>
            <w:tcW w:w="2162" w:type="dxa"/>
            <w:vAlign w:val="bottom"/>
          </w:tcPr>
          <w:p w14:paraId="00000226"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872" w:type="dxa"/>
            <w:vAlign w:val="bottom"/>
          </w:tcPr>
          <w:p w14:paraId="0000022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0,03 %</w:t>
            </w:r>
          </w:p>
        </w:tc>
        <w:tc>
          <w:tcPr>
            <w:tcW w:w="1900" w:type="dxa"/>
            <w:vAlign w:val="bottom"/>
          </w:tcPr>
          <w:p w14:paraId="0000022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0,2 %</w:t>
            </w:r>
          </w:p>
        </w:tc>
        <w:tc>
          <w:tcPr>
            <w:tcW w:w="1509" w:type="dxa"/>
            <w:vAlign w:val="bottom"/>
          </w:tcPr>
          <w:p w14:paraId="0000022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2.360 €</w:t>
            </w:r>
          </w:p>
        </w:tc>
      </w:tr>
      <w:tr w:rsidR="00031646" w14:paraId="1A8460B9"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2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lastRenderedPageBreak/>
              <w:t>León</w:t>
            </w:r>
          </w:p>
        </w:tc>
        <w:tc>
          <w:tcPr>
            <w:tcW w:w="2162" w:type="dxa"/>
            <w:vAlign w:val="bottom"/>
          </w:tcPr>
          <w:p w14:paraId="0000022B"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872" w:type="dxa"/>
            <w:vAlign w:val="bottom"/>
          </w:tcPr>
          <w:p w14:paraId="0000022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-0,1 %</w:t>
            </w:r>
          </w:p>
        </w:tc>
        <w:tc>
          <w:tcPr>
            <w:tcW w:w="1900" w:type="dxa"/>
            <w:vAlign w:val="bottom"/>
          </w:tcPr>
          <w:p w14:paraId="0000022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-1,8 %</w:t>
            </w:r>
          </w:p>
        </w:tc>
        <w:tc>
          <w:tcPr>
            <w:tcW w:w="1509" w:type="dxa"/>
            <w:vAlign w:val="bottom"/>
          </w:tcPr>
          <w:p w14:paraId="0000022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1.504 €</w:t>
            </w:r>
          </w:p>
        </w:tc>
      </w:tr>
      <w:tr w:rsidR="00031646" w14:paraId="637F61D0"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2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Lleida</w:t>
            </w:r>
          </w:p>
        </w:tc>
        <w:tc>
          <w:tcPr>
            <w:tcW w:w="2162" w:type="dxa"/>
            <w:vAlign w:val="bottom"/>
          </w:tcPr>
          <w:p w14:paraId="00000230"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872" w:type="dxa"/>
            <w:vAlign w:val="bottom"/>
          </w:tcPr>
          <w:p w14:paraId="0000023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-0,2 %</w:t>
            </w:r>
          </w:p>
        </w:tc>
        <w:tc>
          <w:tcPr>
            <w:tcW w:w="1900" w:type="dxa"/>
            <w:vAlign w:val="bottom"/>
          </w:tcPr>
          <w:p w14:paraId="0000023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-4,4 %</w:t>
            </w:r>
          </w:p>
        </w:tc>
        <w:tc>
          <w:tcPr>
            <w:tcW w:w="1509" w:type="dxa"/>
            <w:vAlign w:val="bottom"/>
          </w:tcPr>
          <w:p w14:paraId="0000023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1.178 €</w:t>
            </w:r>
          </w:p>
        </w:tc>
      </w:tr>
      <w:tr w:rsidR="00031646" w14:paraId="28D842C7"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3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Alicante</w:t>
            </w:r>
          </w:p>
        </w:tc>
        <w:tc>
          <w:tcPr>
            <w:tcW w:w="2162" w:type="dxa"/>
            <w:vAlign w:val="bottom"/>
          </w:tcPr>
          <w:p w14:paraId="0000023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872" w:type="dxa"/>
            <w:vAlign w:val="bottom"/>
          </w:tcPr>
          <w:p w14:paraId="0000023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-0,2 %</w:t>
            </w:r>
          </w:p>
        </w:tc>
        <w:tc>
          <w:tcPr>
            <w:tcW w:w="1900" w:type="dxa"/>
            <w:vAlign w:val="bottom"/>
          </w:tcPr>
          <w:p w14:paraId="0000023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-6,0 %</w:t>
            </w:r>
          </w:p>
        </w:tc>
        <w:tc>
          <w:tcPr>
            <w:tcW w:w="1509" w:type="dxa"/>
            <w:vAlign w:val="bottom"/>
          </w:tcPr>
          <w:p w14:paraId="0000023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1.614 €</w:t>
            </w:r>
          </w:p>
        </w:tc>
      </w:tr>
      <w:tr w:rsidR="00031646" w14:paraId="0B869A72"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3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Albacete</w:t>
            </w:r>
          </w:p>
        </w:tc>
        <w:tc>
          <w:tcPr>
            <w:tcW w:w="2162" w:type="dxa"/>
            <w:vAlign w:val="bottom"/>
          </w:tcPr>
          <w:p w14:paraId="0000023A"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872" w:type="dxa"/>
            <w:vAlign w:val="bottom"/>
          </w:tcPr>
          <w:p w14:paraId="0000023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-0,3 %</w:t>
            </w:r>
          </w:p>
        </w:tc>
        <w:tc>
          <w:tcPr>
            <w:tcW w:w="1900" w:type="dxa"/>
            <w:vAlign w:val="bottom"/>
          </w:tcPr>
          <w:p w14:paraId="0000023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-1,6 %</w:t>
            </w:r>
          </w:p>
        </w:tc>
        <w:tc>
          <w:tcPr>
            <w:tcW w:w="1509" w:type="dxa"/>
            <w:vAlign w:val="bottom"/>
          </w:tcPr>
          <w:p w14:paraId="0000023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1.450 €</w:t>
            </w:r>
          </w:p>
        </w:tc>
      </w:tr>
      <w:tr w:rsidR="00031646" w14:paraId="45DFCC33"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3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Valladolid</w:t>
            </w:r>
          </w:p>
        </w:tc>
        <w:tc>
          <w:tcPr>
            <w:tcW w:w="2162" w:type="dxa"/>
            <w:vAlign w:val="bottom"/>
          </w:tcPr>
          <w:p w14:paraId="0000023F"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872" w:type="dxa"/>
            <w:vAlign w:val="bottom"/>
          </w:tcPr>
          <w:p w14:paraId="0000024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-0,3 %</w:t>
            </w:r>
          </w:p>
        </w:tc>
        <w:tc>
          <w:tcPr>
            <w:tcW w:w="1900" w:type="dxa"/>
            <w:vAlign w:val="bottom"/>
          </w:tcPr>
          <w:p w14:paraId="0000024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-0,2 %</w:t>
            </w:r>
          </w:p>
        </w:tc>
        <w:tc>
          <w:tcPr>
            <w:tcW w:w="1509" w:type="dxa"/>
            <w:vAlign w:val="bottom"/>
          </w:tcPr>
          <w:p w14:paraId="0000024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1.720 €</w:t>
            </w:r>
          </w:p>
        </w:tc>
      </w:tr>
      <w:tr w:rsidR="00031646" w14:paraId="35A990A0"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4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Cáceres</w:t>
            </w:r>
          </w:p>
        </w:tc>
        <w:tc>
          <w:tcPr>
            <w:tcW w:w="2162" w:type="dxa"/>
            <w:vAlign w:val="bottom"/>
          </w:tcPr>
          <w:p w14:paraId="00000244"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872" w:type="dxa"/>
            <w:vAlign w:val="bottom"/>
          </w:tcPr>
          <w:p w14:paraId="0000024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-0,3 %</w:t>
            </w:r>
          </w:p>
        </w:tc>
        <w:tc>
          <w:tcPr>
            <w:tcW w:w="1900" w:type="dxa"/>
            <w:vAlign w:val="bottom"/>
          </w:tcPr>
          <w:p w14:paraId="0000024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2,3 %</w:t>
            </w:r>
          </w:p>
        </w:tc>
        <w:tc>
          <w:tcPr>
            <w:tcW w:w="1509" w:type="dxa"/>
            <w:vAlign w:val="bottom"/>
          </w:tcPr>
          <w:p w14:paraId="0000024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1.303 €</w:t>
            </w:r>
          </w:p>
        </w:tc>
      </w:tr>
      <w:tr w:rsidR="00031646" w14:paraId="451E2AA2"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4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Asturias</w:t>
            </w:r>
          </w:p>
        </w:tc>
        <w:tc>
          <w:tcPr>
            <w:tcW w:w="2162" w:type="dxa"/>
            <w:vAlign w:val="bottom"/>
          </w:tcPr>
          <w:p w14:paraId="00000249"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872" w:type="dxa"/>
            <w:vAlign w:val="bottom"/>
          </w:tcPr>
          <w:p w14:paraId="0000024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-0,4 %</w:t>
            </w:r>
          </w:p>
        </w:tc>
        <w:tc>
          <w:tcPr>
            <w:tcW w:w="1900" w:type="dxa"/>
            <w:vAlign w:val="bottom"/>
          </w:tcPr>
          <w:p w14:paraId="0000024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1,3 %</w:t>
            </w:r>
          </w:p>
        </w:tc>
        <w:tc>
          <w:tcPr>
            <w:tcW w:w="1509" w:type="dxa"/>
            <w:vAlign w:val="bottom"/>
          </w:tcPr>
          <w:p w14:paraId="0000024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1.685 €</w:t>
            </w:r>
          </w:p>
        </w:tc>
      </w:tr>
      <w:tr w:rsidR="00031646" w14:paraId="315660E5"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4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62" w:type="dxa"/>
            <w:vAlign w:val="bottom"/>
          </w:tcPr>
          <w:p w14:paraId="0000024E"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872" w:type="dxa"/>
            <w:vAlign w:val="bottom"/>
          </w:tcPr>
          <w:p w14:paraId="0000024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-0,4 %</w:t>
            </w:r>
          </w:p>
        </w:tc>
        <w:tc>
          <w:tcPr>
            <w:tcW w:w="1900" w:type="dxa"/>
            <w:vAlign w:val="bottom"/>
          </w:tcPr>
          <w:p w14:paraId="0000025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-4,3 %</w:t>
            </w:r>
          </w:p>
        </w:tc>
        <w:tc>
          <w:tcPr>
            <w:tcW w:w="1509" w:type="dxa"/>
            <w:vAlign w:val="bottom"/>
          </w:tcPr>
          <w:p w14:paraId="0000025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1.228 €</w:t>
            </w:r>
          </w:p>
        </w:tc>
      </w:tr>
      <w:tr w:rsidR="00031646" w14:paraId="59CFF513"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5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Navarra</w:t>
            </w:r>
          </w:p>
        </w:tc>
        <w:tc>
          <w:tcPr>
            <w:tcW w:w="2162" w:type="dxa"/>
            <w:vAlign w:val="bottom"/>
          </w:tcPr>
          <w:p w14:paraId="00000253"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872" w:type="dxa"/>
            <w:vAlign w:val="bottom"/>
          </w:tcPr>
          <w:p w14:paraId="0000025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-0,5 %</w:t>
            </w:r>
          </w:p>
        </w:tc>
        <w:tc>
          <w:tcPr>
            <w:tcW w:w="1900" w:type="dxa"/>
            <w:vAlign w:val="bottom"/>
          </w:tcPr>
          <w:p w14:paraId="0000025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6,1 %</w:t>
            </w:r>
          </w:p>
        </w:tc>
        <w:tc>
          <w:tcPr>
            <w:tcW w:w="1509" w:type="dxa"/>
            <w:vAlign w:val="bottom"/>
          </w:tcPr>
          <w:p w14:paraId="0000025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2.522 €</w:t>
            </w:r>
          </w:p>
        </w:tc>
      </w:tr>
      <w:tr w:rsidR="00031646" w14:paraId="19F9C979"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57"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Zaragoza</w:t>
            </w:r>
          </w:p>
        </w:tc>
        <w:tc>
          <w:tcPr>
            <w:tcW w:w="2162" w:type="dxa"/>
            <w:vAlign w:val="bottom"/>
          </w:tcPr>
          <w:p w14:paraId="00000258"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872" w:type="dxa"/>
            <w:vAlign w:val="bottom"/>
          </w:tcPr>
          <w:p w14:paraId="0000025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-0,5 %</w:t>
            </w:r>
          </w:p>
        </w:tc>
        <w:tc>
          <w:tcPr>
            <w:tcW w:w="1900" w:type="dxa"/>
            <w:vAlign w:val="bottom"/>
          </w:tcPr>
          <w:p w14:paraId="0000025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0,4 %</w:t>
            </w:r>
          </w:p>
        </w:tc>
        <w:tc>
          <w:tcPr>
            <w:tcW w:w="1509" w:type="dxa"/>
            <w:vAlign w:val="bottom"/>
          </w:tcPr>
          <w:p w14:paraId="0000025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1.832 €</w:t>
            </w:r>
          </w:p>
        </w:tc>
      </w:tr>
      <w:tr w:rsidR="00031646" w14:paraId="1EB2EC31"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5C"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Barcelona</w:t>
            </w:r>
          </w:p>
        </w:tc>
        <w:tc>
          <w:tcPr>
            <w:tcW w:w="2162" w:type="dxa"/>
            <w:vAlign w:val="bottom"/>
          </w:tcPr>
          <w:p w14:paraId="0000025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872" w:type="dxa"/>
            <w:vAlign w:val="bottom"/>
          </w:tcPr>
          <w:p w14:paraId="0000025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-0,6 %</w:t>
            </w:r>
          </w:p>
        </w:tc>
        <w:tc>
          <w:tcPr>
            <w:tcW w:w="1900" w:type="dxa"/>
            <w:vAlign w:val="bottom"/>
          </w:tcPr>
          <w:p w14:paraId="0000025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-3,2 %</w:t>
            </w:r>
          </w:p>
        </w:tc>
        <w:tc>
          <w:tcPr>
            <w:tcW w:w="1509" w:type="dxa"/>
            <w:vAlign w:val="bottom"/>
          </w:tcPr>
          <w:p w14:paraId="0000026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4.378 €</w:t>
            </w:r>
          </w:p>
        </w:tc>
      </w:tr>
      <w:tr w:rsidR="00031646" w14:paraId="511BE758"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6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Cuenca</w:t>
            </w:r>
          </w:p>
        </w:tc>
        <w:tc>
          <w:tcPr>
            <w:tcW w:w="2162" w:type="dxa"/>
            <w:vAlign w:val="bottom"/>
          </w:tcPr>
          <w:p w14:paraId="00000262"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872" w:type="dxa"/>
            <w:vAlign w:val="bottom"/>
          </w:tcPr>
          <w:p w14:paraId="0000026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-0,9 %</w:t>
            </w:r>
          </w:p>
        </w:tc>
        <w:tc>
          <w:tcPr>
            <w:tcW w:w="1900" w:type="dxa"/>
            <w:vAlign w:val="bottom"/>
          </w:tcPr>
          <w:p w14:paraId="0000026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6,0 %</w:t>
            </w:r>
          </w:p>
        </w:tc>
        <w:tc>
          <w:tcPr>
            <w:tcW w:w="1509" w:type="dxa"/>
            <w:vAlign w:val="bottom"/>
          </w:tcPr>
          <w:p w14:paraId="0000026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1.327 €</w:t>
            </w:r>
          </w:p>
        </w:tc>
      </w:tr>
      <w:tr w:rsidR="00031646" w14:paraId="3687091D"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6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Zamora</w:t>
            </w:r>
          </w:p>
        </w:tc>
        <w:tc>
          <w:tcPr>
            <w:tcW w:w="2162" w:type="dxa"/>
            <w:vAlign w:val="bottom"/>
          </w:tcPr>
          <w:p w14:paraId="00000267"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872" w:type="dxa"/>
            <w:vAlign w:val="bottom"/>
          </w:tcPr>
          <w:p w14:paraId="0000026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-1,1 %</w:t>
            </w:r>
          </w:p>
        </w:tc>
        <w:tc>
          <w:tcPr>
            <w:tcW w:w="1900" w:type="dxa"/>
            <w:vAlign w:val="bottom"/>
          </w:tcPr>
          <w:p w14:paraId="0000026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0,2 %</w:t>
            </w:r>
          </w:p>
        </w:tc>
        <w:tc>
          <w:tcPr>
            <w:tcW w:w="1509" w:type="dxa"/>
            <w:vAlign w:val="bottom"/>
          </w:tcPr>
          <w:p w14:paraId="0000026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1.312 €</w:t>
            </w:r>
          </w:p>
        </w:tc>
      </w:tr>
      <w:tr w:rsidR="00031646" w14:paraId="757577D2"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6B"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Palencia</w:t>
            </w:r>
          </w:p>
        </w:tc>
        <w:tc>
          <w:tcPr>
            <w:tcW w:w="2162" w:type="dxa"/>
            <w:vAlign w:val="bottom"/>
          </w:tcPr>
          <w:p w14:paraId="0000026C"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872" w:type="dxa"/>
            <w:vAlign w:val="bottom"/>
          </w:tcPr>
          <w:p w14:paraId="0000026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-1,3 %</w:t>
            </w:r>
          </w:p>
        </w:tc>
        <w:tc>
          <w:tcPr>
            <w:tcW w:w="1900" w:type="dxa"/>
            <w:vAlign w:val="bottom"/>
          </w:tcPr>
          <w:p w14:paraId="0000026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-4,1 %</w:t>
            </w:r>
          </w:p>
        </w:tc>
        <w:tc>
          <w:tcPr>
            <w:tcW w:w="1509" w:type="dxa"/>
            <w:vAlign w:val="bottom"/>
          </w:tcPr>
          <w:p w14:paraId="0000026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1.514 €</w:t>
            </w:r>
          </w:p>
        </w:tc>
      </w:tr>
      <w:tr w:rsidR="00031646" w14:paraId="3682AEC6"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70"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Badajoz</w:t>
            </w:r>
          </w:p>
        </w:tc>
        <w:tc>
          <w:tcPr>
            <w:tcW w:w="2162" w:type="dxa"/>
            <w:vAlign w:val="bottom"/>
          </w:tcPr>
          <w:p w14:paraId="00000271"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872" w:type="dxa"/>
            <w:vAlign w:val="bottom"/>
          </w:tcPr>
          <w:p w14:paraId="0000027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-1,6 %</w:t>
            </w:r>
          </w:p>
        </w:tc>
        <w:tc>
          <w:tcPr>
            <w:tcW w:w="1900" w:type="dxa"/>
            <w:vAlign w:val="bottom"/>
          </w:tcPr>
          <w:p w14:paraId="0000027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4,9 %</w:t>
            </w:r>
          </w:p>
        </w:tc>
        <w:tc>
          <w:tcPr>
            <w:tcW w:w="1509" w:type="dxa"/>
            <w:vAlign w:val="bottom"/>
          </w:tcPr>
          <w:p w14:paraId="0000027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1.379 €</w:t>
            </w:r>
          </w:p>
        </w:tc>
      </w:tr>
      <w:tr w:rsidR="00031646" w14:paraId="4E77A298"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7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Murcia</w:t>
            </w:r>
          </w:p>
        </w:tc>
        <w:tc>
          <w:tcPr>
            <w:tcW w:w="2162" w:type="dxa"/>
            <w:vAlign w:val="bottom"/>
          </w:tcPr>
          <w:p w14:paraId="00000276"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872" w:type="dxa"/>
            <w:vAlign w:val="bottom"/>
          </w:tcPr>
          <w:p w14:paraId="0000027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-1,7 %</w:t>
            </w:r>
          </w:p>
        </w:tc>
        <w:tc>
          <w:tcPr>
            <w:tcW w:w="1900" w:type="dxa"/>
            <w:vAlign w:val="bottom"/>
          </w:tcPr>
          <w:p w14:paraId="0000027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-5,4 %</w:t>
            </w:r>
          </w:p>
        </w:tc>
        <w:tc>
          <w:tcPr>
            <w:tcW w:w="1509" w:type="dxa"/>
            <w:vAlign w:val="bottom"/>
          </w:tcPr>
          <w:p w14:paraId="0000027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1.336 €</w:t>
            </w:r>
          </w:p>
        </w:tc>
      </w:tr>
      <w:tr w:rsidR="00031646" w14:paraId="5EA571B1"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7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Tarragona</w:t>
            </w:r>
          </w:p>
        </w:tc>
        <w:tc>
          <w:tcPr>
            <w:tcW w:w="2162" w:type="dxa"/>
            <w:vAlign w:val="bottom"/>
          </w:tcPr>
          <w:p w14:paraId="0000027B"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872" w:type="dxa"/>
            <w:vAlign w:val="bottom"/>
          </w:tcPr>
          <w:p w14:paraId="0000027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-2,1 %</w:t>
            </w:r>
          </w:p>
        </w:tc>
        <w:tc>
          <w:tcPr>
            <w:tcW w:w="1900" w:type="dxa"/>
            <w:vAlign w:val="bottom"/>
          </w:tcPr>
          <w:p w14:paraId="0000027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0,0 %</w:t>
            </w:r>
          </w:p>
        </w:tc>
        <w:tc>
          <w:tcPr>
            <w:tcW w:w="1509" w:type="dxa"/>
            <w:vAlign w:val="bottom"/>
          </w:tcPr>
          <w:p w14:paraId="0000027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1.674 €</w:t>
            </w:r>
          </w:p>
        </w:tc>
      </w:tr>
      <w:tr w:rsidR="00031646" w14:paraId="0C07704A"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7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Almería</w:t>
            </w:r>
          </w:p>
        </w:tc>
        <w:tc>
          <w:tcPr>
            <w:tcW w:w="2162" w:type="dxa"/>
            <w:vAlign w:val="bottom"/>
          </w:tcPr>
          <w:p w14:paraId="00000280"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872" w:type="dxa"/>
            <w:vAlign w:val="bottom"/>
          </w:tcPr>
          <w:p w14:paraId="0000028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-2,2 %</w:t>
            </w:r>
          </w:p>
        </w:tc>
        <w:tc>
          <w:tcPr>
            <w:tcW w:w="1900" w:type="dxa"/>
            <w:vAlign w:val="bottom"/>
          </w:tcPr>
          <w:p w14:paraId="0000028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-3,1 %</w:t>
            </w:r>
          </w:p>
        </w:tc>
        <w:tc>
          <w:tcPr>
            <w:tcW w:w="1509" w:type="dxa"/>
            <w:vAlign w:val="bottom"/>
          </w:tcPr>
          <w:p w14:paraId="0000028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1.316 €</w:t>
            </w:r>
          </w:p>
        </w:tc>
      </w:tr>
      <w:tr w:rsidR="00031646" w14:paraId="146B8A52"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8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Jaén</w:t>
            </w:r>
          </w:p>
        </w:tc>
        <w:tc>
          <w:tcPr>
            <w:tcW w:w="2162" w:type="dxa"/>
            <w:vAlign w:val="bottom"/>
          </w:tcPr>
          <w:p w14:paraId="0000028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872" w:type="dxa"/>
            <w:vAlign w:val="bottom"/>
          </w:tcPr>
          <w:p w14:paraId="0000028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-2,3 %</w:t>
            </w:r>
          </w:p>
        </w:tc>
        <w:tc>
          <w:tcPr>
            <w:tcW w:w="1900" w:type="dxa"/>
            <w:vAlign w:val="bottom"/>
          </w:tcPr>
          <w:p w14:paraId="0000028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-7,8 %</w:t>
            </w:r>
          </w:p>
        </w:tc>
        <w:tc>
          <w:tcPr>
            <w:tcW w:w="1509" w:type="dxa"/>
            <w:vAlign w:val="bottom"/>
          </w:tcPr>
          <w:p w14:paraId="0000028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1.262 €</w:t>
            </w:r>
          </w:p>
        </w:tc>
      </w:tr>
      <w:tr w:rsidR="00031646" w14:paraId="7CA6318B"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8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62" w:type="dxa"/>
            <w:vAlign w:val="bottom"/>
          </w:tcPr>
          <w:p w14:paraId="0000028A"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872" w:type="dxa"/>
            <w:vAlign w:val="bottom"/>
          </w:tcPr>
          <w:p w14:paraId="0000028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-2,5 %</w:t>
            </w:r>
          </w:p>
        </w:tc>
        <w:tc>
          <w:tcPr>
            <w:tcW w:w="1900" w:type="dxa"/>
            <w:vAlign w:val="bottom"/>
          </w:tcPr>
          <w:p w14:paraId="0000028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-1,7 %</w:t>
            </w:r>
          </w:p>
        </w:tc>
        <w:tc>
          <w:tcPr>
            <w:tcW w:w="1509" w:type="dxa"/>
            <w:vAlign w:val="bottom"/>
          </w:tcPr>
          <w:p w14:paraId="0000028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1.609 €</w:t>
            </w:r>
          </w:p>
        </w:tc>
      </w:tr>
      <w:tr w:rsidR="00031646" w14:paraId="0EC7A5D3"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8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Ávila</w:t>
            </w:r>
          </w:p>
        </w:tc>
        <w:tc>
          <w:tcPr>
            <w:tcW w:w="2162" w:type="dxa"/>
            <w:vAlign w:val="bottom"/>
          </w:tcPr>
          <w:p w14:paraId="0000028F"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872" w:type="dxa"/>
            <w:vAlign w:val="bottom"/>
          </w:tcPr>
          <w:p w14:paraId="0000029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-2,8 %</w:t>
            </w:r>
          </w:p>
        </w:tc>
        <w:tc>
          <w:tcPr>
            <w:tcW w:w="1900" w:type="dxa"/>
            <w:vAlign w:val="bottom"/>
          </w:tcPr>
          <w:p w14:paraId="0000029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-2,6 %</w:t>
            </w:r>
          </w:p>
        </w:tc>
        <w:tc>
          <w:tcPr>
            <w:tcW w:w="1509" w:type="dxa"/>
            <w:vAlign w:val="bottom"/>
          </w:tcPr>
          <w:p w14:paraId="0000029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1.158 €</w:t>
            </w:r>
          </w:p>
        </w:tc>
      </w:tr>
      <w:tr w:rsidR="00031646" w14:paraId="1C313ABD"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9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Huelva</w:t>
            </w:r>
          </w:p>
        </w:tc>
        <w:tc>
          <w:tcPr>
            <w:tcW w:w="2162" w:type="dxa"/>
            <w:vAlign w:val="bottom"/>
          </w:tcPr>
          <w:p w14:paraId="00000294"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872" w:type="dxa"/>
            <w:vAlign w:val="bottom"/>
          </w:tcPr>
          <w:p w14:paraId="0000029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-2,9 %</w:t>
            </w:r>
          </w:p>
        </w:tc>
        <w:tc>
          <w:tcPr>
            <w:tcW w:w="1900" w:type="dxa"/>
            <w:vAlign w:val="bottom"/>
          </w:tcPr>
          <w:p w14:paraId="0000029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-4,5 %</w:t>
            </w:r>
          </w:p>
        </w:tc>
        <w:tc>
          <w:tcPr>
            <w:tcW w:w="1509" w:type="dxa"/>
            <w:vAlign w:val="bottom"/>
          </w:tcPr>
          <w:p w14:paraId="0000029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1.234 €</w:t>
            </w:r>
          </w:p>
        </w:tc>
      </w:tr>
      <w:tr w:rsidR="00031646" w14:paraId="27A72925" w14:textId="77777777" w:rsidTr="0003164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9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Pontevedra</w:t>
            </w:r>
          </w:p>
        </w:tc>
        <w:tc>
          <w:tcPr>
            <w:tcW w:w="2162" w:type="dxa"/>
            <w:vAlign w:val="bottom"/>
          </w:tcPr>
          <w:p w14:paraId="00000299"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872" w:type="dxa"/>
            <w:vAlign w:val="bottom"/>
          </w:tcPr>
          <w:p w14:paraId="0000029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-3,3 %</w:t>
            </w:r>
          </w:p>
        </w:tc>
        <w:tc>
          <w:tcPr>
            <w:tcW w:w="1900" w:type="dxa"/>
            <w:vAlign w:val="bottom"/>
          </w:tcPr>
          <w:p w14:paraId="0000029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0,4 %</w:t>
            </w:r>
          </w:p>
        </w:tc>
        <w:tc>
          <w:tcPr>
            <w:tcW w:w="1509" w:type="dxa"/>
            <w:vAlign w:val="bottom"/>
          </w:tcPr>
          <w:p w14:paraId="0000029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1.777 €</w:t>
            </w:r>
          </w:p>
        </w:tc>
      </w:tr>
      <w:tr w:rsidR="00031646" w14:paraId="52E24B07" w14:textId="77777777" w:rsidTr="00031646">
        <w:trPr>
          <w:trHeight w:val="276"/>
        </w:trPr>
        <w:tc>
          <w:tcPr>
            <w:cnfStyle w:val="001000000000" w:firstRow="0" w:lastRow="0" w:firstColumn="1" w:lastColumn="0" w:oddVBand="0" w:evenVBand="0" w:oddHBand="0" w:evenHBand="0" w:firstRowFirstColumn="0" w:firstRowLastColumn="0" w:lastRowFirstColumn="0" w:lastRowLastColumn="0"/>
            <w:tcW w:w="1724" w:type="dxa"/>
            <w:shd w:val="clear" w:color="auto" w:fill="1DBDC5"/>
            <w:vAlign w:val="bottom"/>
          </w:tcPr>
          <w:p w14:paraId="0000029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Las Palmas</w:t>
            </w:r>
          </w:p>
        </w:tc>
        <w:tc>
          <w:tcPr>
            <w:tcW w:w="2162" w:type="dxa"/>
            <w:vAlign w:val="bottom"/>
          </w:tcPr>
          <w:p w14:paraId="0000029E"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872" w:type="dxa"/>
            <w:vAlign w:val="bottom"/>
          </w:tcPr>
          <w:p w14:paraId="0000029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-4,9 %</w:t>
            </w:r>
          </w:p>
        </w:tc>
        <w:tc>
          <w:tcPr>
            <w:tcW w:w="1900" w:type="dxa"/>
            <w:vAlign w:val="bottom"/>
          </w:tcPr>
          <w:p w14:paraId="000002A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2,6 %</w:t>
            </w:r>
          </w:p>
        </w:tc>
        <w:tc>
          <w:tcPr>
            <w:tcW w:w="1509" w:type="dxa"/>
            <w:vAlign w:val="bottom"/>
          </w:tcPr>
          <w:p w14:paraId="000002A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2.156 €</w:t>
            </w:r>
          </w:p>
        </w:tc>
      </w:tr>
    </w:tbl>
    <w:p w14:paraId="000002A2" w14:textId="77777777" w:rsidR="00031646" w:rsidRDefault="00031646">
      <w:pPr>
        <w:spacing w:line="276" w:lineRule="auto"/>
        <w:ind w:right="-574"/>
        <w:jc w:val="right"/>
        <w:rPr>
          <w:rFonts w:ascii="Open Sans Light" w:eastAsia="Open Sans Light" w:hAnsi="Open Sans Light" w:cs="Open Sans Light"/>
          <w:b/>
          <w:color w:val="303AB2"/>
        </w:rPr>
      </w:pPr>
    </w:p>
    <w:p w14:paraId="000002A3"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4: Distritos de Madrid de mayor a menor incremento trimestral (mar.21 – jun.21)</w:t>
      </w:r>
    </w:p>
    <w:tbl>
      <w:tblPr>
        <w:tblStyle w:val="a2"/>
        <w:tblW w:w="913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19"/>
        <w:gridCol w:w="2524"/>
        <w:gridCol w:w="2198"/>
        <w:gridCol w:w="1890"/>
      </w:tblGrid>
      <w:tr w:rsidR="00031646" w14:paraId="4E653C89" w14:textId="77777777" w:rsidTr="0003164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tcPr>
          <w:p w14:paraId="000002A4"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Distrito</w:t>
            </w:r>
          </w:p>
        </w:tc>
        <w:tc>
          <w:tcPr>
            <w:tcW w:w="2524" w:type="dxa"/>
            <w:shd w:val="clear" w:color="auto" w:fill="1DBDC5"/>
          </w:tcPr>
          <w:p w14:paraId="000002A5"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2A6"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2198" w:type="dxa"/>
            <w:shd w:val="clear" w:color="auto" w:fill="1DBDC5"/>
          </w:tcPr>
          <w:p w14:paraId="000002A7"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890" w:type="dxa"/>
            <w:shd w:val="clear" w:color="auto" w:fill="1DBDC5"/>
          </w:tcPr>
          <w:p w14:paraId="000002A8"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2A9"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r>
      <w:tr w:rsidR="00031646" w14:paraId="1CD02A50"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A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24" w:type="dxa"/>
            <w:vAlign w:val="bottom"/>
          </w:tcPr>
          <w:p w14:paraId="000002A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6,2 %</w:t>
            </w:r>
          </w:p>
        </w:tc>
        <w:tc>
          <w:tcPr>
            <w:tcW w:w="2198" w:type="dxa"/>
            <w:vAlign w:val="bottom"/>
          </w:tcPr>
          <w:p w14:paraId="000002A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1,1 %</w:t>
            </w:r>
          </w:p>
        </w:tc>
        <w:tc>
          <w:tcPr>
            <w:tcW w:w="1890" w:type="dxa"/>
            <w:vAlign w:val="bottom"/>
          </w:tcPr>
          <w:p w14:paraId="000002A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2.519 € </w:t>
            </w:r>
          </w:p>
        </w:tc>
      </w:tr>
      <w:tr w:rsidR="00031646" w14:paraId="78F41108"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A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 Blas</w:t>
            </w:r>
          </w:p>
        </w:tc>
        <w:tc>
          <w:tcPr>
            <w:tcW w:w="2524" w:type="dxa"/>
            <w:vAlign w:val="bottom"/>
          </w:tcPr>
          <w:p w14:paraId="000002A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4,2 %</w:t>
            </w:r>
          </w:p>
        </w:tc>
        <w:tc>
          <w:tcPr>
            <w:tcW w:w="2198" w:type="dxa"/>
            <w:vAlign w:val="bottom"/>
          </w:tcPr>
          <w:p w14:paraId="000002B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8,3 %</w:t>
            </w:r>
          </w:p>
        </w:tc>
        <w:tc>
          <w:tcPr>
            <w:tcW w:w="1890" w:type="dxa"/>
            <w:vAlign w:val="bottom"/>
          </w:tcPr>
          <w:p w14:paraId="000002B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2.886 € </w:t>
            </w:r>
          </w:p>
        </w:tc>
      </w:tr>
      <w:tr w:rsidR="00031646" w14:paraId="463E552B"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B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Usera</w:t>
            </w:r>
          </w:p>
        </w:tc>
        <w:tc>
          <w:tcPr>
            <w:tcW w:w="2524" w:type="dxa"/>
            <w:vAlign w:val="bottom"/>
          </w:tcPr>
          <w:p w14:paraId="000002B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4,2 %</w:t>
            </w:r>
          </w:p>
        </w:tc>
        <w:tc>
          <w:tcPr>
            <w:tcW w:w="2198" w:type="dxa"/>
            <w:vAlign w:val="bottom"/>
          </w:tcPr>
          <w:p w14:paraId="000002B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2,2 %</w:t>
            </w:r>
          </w:p>
        </w:tc>
        <w:tc>
          <w:tcPr>
            <w:tcW w:w="1890" w:type="dxa"/>
            <w:vAlign w:val="bottom"/>
          </w:tcPr>
          <w:p w14:paraId="000002B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2.140 € </w:t>
            </w:r>
          </w:p>
        </w:tc>
      </w:tr>
      <w:tr w:rsidR="00031646" w14:paraId="605636CC"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B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Salamanca</w:t>
            </w:r>
          </w:p>
        </w:tc>
        <w:tc>
          <w:tcPr>
            <w:tcW w:w="2524" w:type="dxa"/>
            <w:vAlign w:val="bottom"/>
          </w:tcPr>
          <w:p w14:paraId="000002B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3,8 %</w:t>
            </w:r>
          </w:p>
        </w:tc>
        <w:tc>
          <w:tcPr>
            <w:tcW w:w="2198" w:type="dxa"/>
            <w:vAlign w:val="bottom"/>
          </w:tcPr>
          <w:p w14:paraId="000002B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3,2 %</w:t>
            </w:r>
          </w:p>
        </w:tc>
        <w:tc>
          <w:tcPr>
            <w:tcW w:w="1890" w:type="dxa"/>
            <w:vAlign w:val="bottom"/>
          </w:tcPr>
          <w:p w14:paraId="000002B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6.385 € </w:t>
            </w:r>
          </w:p>
        </w:tc>
      </w:tr>
      <w:tr w:rsidR="00031646" w14:paraId="66812AB1"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B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Retiro</w:t>
            </w:r>
          </w:p>
        </w:tc>
        <w:tc>
          <w:tcPr>
            <w:tcW w:w="2524" w:type="dxa"/>
            <w:vAlign w:val="bottom"/>
          </w:tcPr>
          <w:p w14:paraId="000002B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3,7 %</w:t>
            </w:r>
          </w:p>
        </w:tc>
        <w:tc>
          <w:tcPr>
            <w:tcW w:w="2198" w:type="dxa"/>
            <w:vAlign w:val="bottom"/>
          </w:tcPr>
          <w:p w14:paraId="000002B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2,2 %</w:t>
            </w:r>
          </w:p>
        </w:tc>
        <w:tc>
          <w:tcPr>
            <w:tcW w:w="1890" w:type="dxa"/>
            <w:vAlign w:val="bottom"/>
          </w:tcPr>
          <w:p w14:paraId="000002B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5.114 € </w:t>
            </w:r>
          </w:p>
        </w:tc>
      </w:tr>
      <w:tr w:rsidR="00031646" w14:paraId="044FA870"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B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Hortaleza</w:t>
            </w:r>
          </w:p>
        </w:tc>
        <w:tc>
          <w:tcPr>
            <w:tcW w:w="2524" w:type="dxa"/>
            <w:vAlign w:val="bottom"/>
          </w:tcPr>
          <w:p w14:paraId="000002B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2,7 %</w:t>
            </w:r>
          </w:p>
        </w:tc>
        <w:tc>
          <w:tcPr>
            <w:tcW w:w="2198" w:type="dxa"/>
            <w:vAlign w:val="bottom"/>
          </w:tcPr>
          <w:p w14:paraId="000002C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5,4 %</w:t>
            </w:r>
          </w:p>
        </w:tc>
        <w:tc>
          <w:tcPr>
            <w:tcW w:w="1890" w:type="dxa"/>
            <w:vAlign w:val="bottom"/>
          </w:tcPr>
          <w:p w14:paraId="000002C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3.978 € </w:t>
            </w:r>
          </w:p>
        </w:tc>
      </w:tr>
      <w:tr w:rsidR="00031646" w14:paraId="7EFD85E2"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C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Latina</w:t>
            </w:r>
          </w:p>
        </w:tc>
        <w:tc>
          <w:tcPr>
            <w:tcW w:w="2524" w:type="dxa"/>
            <w:vAlign w:val="bottom"/>
          </w:tcPr>
          <w:p w14:paraId="000002C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1,8 %</w:t>
            </w:r>
          </w:p>
        </w:tc>
        <w:tc>
          <w:tcPr>
            <w:tcW w:w="2198" w:type="dxa"/>
            <w:vAlign w:val="bottom"/>
          </w:tcPr>
          <w:p w14:paraId="000002C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-1,1 %</w:t>
            </w:r>
          </w:p>
        </w:tc>
        <w:tc>
          <w:tcPr>
            <w:tcW w:w="1890" w:type="dxa"/>
            <w:vAlign w:val="bottom"/>
          </w:tcPr>
          <w:p w14:paraId="000002C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2.440 € </w:t>
            </w:r>
          </w:p>
        </w:tc>
      </w:tr>
      <w:tr w:rsidR="00031646" w14:paraId="5F062DF4"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C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Moratalaz</w:t>
            </w:r>
          </w:p>
        </w:tc>
        <w:tc>
          <w:tcPr>
            <w:tcW w:w="2524" w:type="dxa"/>
            <w:vAlign w:val="bottom"/>
          </w:tcPr>
          <w:p w14:paraId="000002C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1,7 %</w:t>
            </w:r>
          </w:p>
        </w:tc>
        <w:tc>
          <w:tcPr>
            <w:tcW w:w="2198" w:type="dxa"/>
            <w:vAlign w:val="bottom"/>
          </w:tcPr>
          <w:p w14:paraId="000002C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3,0 %</w:t>
            </w:r>
          </w:p>
        </w:tc>
        <w:tc>
          <w:tcPr>
            <w:tcW w:w="1890" w:type="dxa"/>
            <w:vAlign w:val="bottom"/>
          </w:tcPr>
          <w:p w14:paraId="000002C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2.660 € </w:t>
            </w:r>
          </w:p>
        </w:tc>
      </w:tr>
      <w:tr w:rsidR="00031646" w14:paraId="0B1DD76A"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C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24" w:type="dxa"/>
            <w:vAlign w:val="bottom"/>
          </w:tcPr>
          <w:p w14:paraId="000002C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1,6 %</w:t>
            </w:r>
          </w:p>
        </w:tc>
        <w:tc>
          <w:tcPr>
            <w:tcW w:w="2198" w:type="dxa"/>
            <w:vAlign w:val="bottom"/>
          </w:tcPr>
          <w:p w14:paraId="000002C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0,9 %</w:t>
            </w:r>
          </w:p>
        </w:tc>
        <w:tc>
          <w:tcPr>
            <w:tcW w:w="1890" w:type="dxa"/>
            <w:vAlign w:val="bottom"/>
          </w:tcPr>
          <w:p w14:paraId="000002C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2.045 € </w:t>
            </w:r>
          </w:p>
        </w:tc>
      </w:tr>
      <w:tr w:rsidR="00031646" w14:paraId="12DDB4F5"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C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24" w:type="dxa"/>
            <w:vAlign w:val="bottom"/>
          </w:tcPr>
          <w:p w14:paraId="000002C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1,1 %</w:t>
            </w:r>
          </w:p>
        </w:tc>
        <w:tc>
          <w:tcPr>
            <w:tcW w:w="2198" w:type="dxa"/>
            <w:vAlign w:val="bottom"/>
          </w:tcPr>
          <w:p w14:paraId="000002D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1,4 %</w:t>
            </w:r>
          </w:p>
        </w:tc>
        <w:tc>
          <w:tcPr>
            <w:tcW w:w="1890" w:type="dxa"/>
            <w:vAlign w:val="bottom"/>
          </w:tcPr>
          <w:p w14:paraId="000002D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3.321 € </w:t>
            </w:r>
          </w:p>
        </w:tc>
      </w:tr>
      <w:tr w:rsidR="00031646" w14:paraId="5E73DE5D"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D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lastRenderedPageBreak/>
              <w:t>Vicálvaro</w:t>
            </w:r>
          </w:p>
        </w:tc>
        <w:tc>
          <w:tcPr>
            <w:tcW w:w="2524" w:type="dxa"/>
            <w:vAlign w:val="bottom"/>
          </w:tcPr>
          <w:p w14:paraId="000002D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0,8 %</w:t>
            </w:r>
          </w:p>
        </w:tc>
        <w:tc>
          <w:tcPr>
            <w:tcW w:w="2198" w:type="dxa"/>
            <w:vAlign w:val="bottom"/>
          </w:tcPr>
          <w:p w14:paraId="000002D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-3,3 %</w:t>
            </w:r>
          </w:p>
        </w:tc>
        <w:tc>
          <w:tcPr>
            <w:tcW w:w="1890" w:type="dxa"/>
            <w:vAlign w:val="bottom"/>
          </w:tcPr>
          <w:p w14:paraId="000002D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2.522 € </w:t>
            </w:r>
          </w:p>
        </w:tc>
      </w:tr>
      <w:tr w:rsidR="00031646" w14:paraId="1E267AF1"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D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Chamberí</w:t>
            </w:r>
          </w:p>
        </w:tc>
        <w:tc>
          <w:tcPr>
            <w:tcW w:w="2524" w:type="dxa"/>
            <w:vAlign w:val="bottom"/>
          </w:tcPr>
          <w:p w14:paraId="000002D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0,7 %</w:t>
            </w:r>
          </w:p>
        </w:tc>
        <w:tc>
          <w:tcPr>
            <w:tcW w:w="2198" w:type="dxa"/>
            <w:vAlign w:val="bottom"/>
          </w:tcPr>
          <w:p w14:paraId="000002D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-1,7 %</w:t>
            </w:r>
          </w:p>
        </w:tc>
        <w:tc>
          <w:tcPr>
            <w:tcW w:w="1890" w:type="dxa"/>
            <w:vAlign w:val="bottom"/>
          </w:tcPr>
          <w:p w14:paraId="000002D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5.460 € </w:t>
            </w:r>
          </w:p>
        </w:tc>
      </w:tr>
      <w:tr w:rsidR="00031646" w14:paraId="45472B45"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D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Moncloa</w:t>
            </w:r>
          </w:p>
        </w:tc>
        <w:tc>
          <w:tcPr>
            <w:tcW w:w="2524" w:type="dxa"/>
            <w:vAlign w:val="bottom"/>
          </w:tcPr>
          <w:p w14:paraId="000002D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0,7 %</w:t>
            </w:r>
          </w:p>
        </w:tc>
        <w:tc>
          <w:tcPr>
            <w:tcW w:w="2198" w:type="dxa"/>
            <w:vAlign w:val="bottom"/>
          </w:tcPr>
          <w:p w14:paraId="000002D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6,1 %</w:t>
            </w:r>
          </w:p>
        </w:tc>
        <w:tc>
          <w:tcPr>
            <w:tcW w:w="1890" w:type="dxa"/>
            <w:vAlign w:val="bottom"/>
          </w:tcPr>
          <w:p w14:paraId="000002D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4.535 € </w:t>
            </w:r>
          </w:p>
        </w:tc>
      </w:tr>
      <w:tr w:rsidR="00031646" w14:paraId="5653C6FD"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D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Chamartín</w:t>
            </w:r>
          </w:p>
        </w:tc>
        <w:tc>
          <w:tcPr>
            <w:tcW w:w="2524" w:type="dxa"/>
            <w:vAlign w:val="bottom"/>
          </w:tcPr>
          <w:p w14:paraId="000002D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0,7 %</w:t>
            </w:r>
          </w:p>
        </w:tc>
        <w:tc>
          <w:tcPr>
            <w:tcW w:w="2198" w:type="dxa"/>
            <w:vAlign w:val="bottom"/>
          </w:tcPr>
          <w:p w14:paraId="000002E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1,0 %</w:t>
            </w:r>
          </w:p>
        </w:tc>
        <w:tc>
          <w:tcPr>
            <w:tcW w:w="1890" w:type="dxa"/>
            <w:vAlign w:val="bottom"/>
          </w:tcPr>
          <w:p w14:paraId="000002E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5.307 € </w:t>
            </w:r>
          </w:p>
        </w:tc>
      </w:tr>
      <w:tr w:rsidR="00031646" w14:paraId="6705B857"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E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Tetuán</w:t>
            </w:r>
          </w:p>
        </w:tc>
        <w:tc>
          <w:tcPr>
            <w:tcW w:w="2524" w:type="dxa"/>
            <w:vAlign w:val="bottom"/>
          </w:tcPr>
          <w:p w14:paraId="000002E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0,4 %</w:t>
            </w:r>
          </w:p>
        </w:tc>
        <w:tc>
          <w:tcPr>
            <w:tcW w:w="2198" w:type="dxa"/>
            <w:vAlign w:val="bottom"/>
          </w:tcPr>
          <w:p w14:paraId="000002E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-0,4 %</w:t>
            </w:r>
          </w:p>
        </w:tc>
        <w:tc>
          <w:tcPr>
            <w:tcW w:w="1890" w:type="dxa"/>
            <w:vAlign w:val="bottom"/>
          </w:tcPr>
          <w:p w14:paraId="000002E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3.875 € </w:t>
            </w:r>
          </w:p>
        </w:tc>
      </w:tr>
      <w:tr w:rsidR="00031646" w14:paraId="617DD90A"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E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Villaverde</w:t>
            </w:r>
          </w:p>
        </w:tc>
        <w:tc>
          <w:tcPr>
            <w:tcW w:w="2524" w:type="dxa"/>
            <w:vAlign w:val="bottom"/>
          </w:tcPr>
          <w:p w14:paraId="000002E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0,3 %</w:t>
            </w:r>
          </w:p>
        </w:tc>
        <w:tc>
          <w:tcPr>
            <w:tcW w:w="2198" w:type="dxa"/>
            <w:vAlign w:val="bottom"/>
          </w:tcPr>
          <w:p w14:paraId="000002E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-3,2 %</w:t>
            </w:r>
          </w:p>
        </w:tc>
        <w:tc>
          <w:tcPr>
            <w:tcW w:w="1890" w:type="dxa"/>
            <w:vAlign w:val="bottom"/>
          </w:tcPr>
          <w:p w14:paraId="000002E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1.803 € </w:t>
            </w:r>
          </w:p>
        </w:tc>
      </w:tr>
      <w:tr w:rsidR="00031646" w14:paraId="33FC4301"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E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Fuencarral</w:t>
            </w:r>
          </w:p>
        </w:tc>
        <w:tc>
          <w:tcPr>
            <w:tcW w:w="2524" w:type="dxa"/>
            <w:vAlign w:val="bottom"/>
          </w:tcPr>
          <w:p w14:paraId="000002E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0,2 %</w:t>
            </w:r>
          </w:p>
        </w:tc>
        <w:tc>
          <w:tcPr>
            <w:tcW w:w="2198" w:type="dxa"/>
            <w:vAlign w:val="bottom"/>
          </w:tcPr>
          <w:p w14:paraId="000002E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-0,4 %</w:t>
            </w:r>
          </w:p>
        </w:tc>
        <w:tc>
          <w:tcPr>
            <w:tcW w:w="1890" w:type="dxa"/>
            <w:vAlign w:val="bottom"/>
          </w:tcPr>
          <w:p w14:paraId="000002E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3.802 € </w:t>
            </w:r>
          </w:p>
        </w:tc>
      </w:tr>
      <w:tr w:rsidR="00031646" w14:paraId="6FA34631"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E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Arganzuela</w:t>
            </w:r>
          </w:p>
        </w:tc>
        <w:tc>
          <w:tcPr>
            <w:tcW w:w="2524" w:type="dxa"/>
            <w:vAlign w:val="bottom"/>
          </w:tcPr>
          <w:p w14:paraId="000002E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0,2 %</w:t>
            </w:r>
          </w:p>
        </w:tc>
        <w:tc>
          <w:tcPr>
            <w:tcW w:w="2198" w:type="dxa"/>
            <w:vAlign w:val="bottom"/>
          </w:tcPr>
          <w:p w14:paraId="000002F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-0,1 %</w:t>
            </w:r>
          </w:p>
        </w:tc>
        <w:tc>
          <w:tcPr>
            <w:tcW w:w="1890" w:type="dxa"/>
            <w:vAlign w:val="bottom"/>
          </w:tcPr>
          <w:p w14:paraId="000002F1"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4.130 € </w:t>
            </w:r>
          </w:p>
        </w:tc>
      </w:tr>
      <w:tr w:rsidR="00031646" w14:paraId="65C8B4EB"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F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Barajas</w:t>
            </w:r>
          </w:p>
        </w:tc>
        <w:tc>
          <w:tcPr>
            <w:tcW w:w="2524" w:type="dxa"/>
            <w:vAlign w:val="bottom"/>
          </w:tcPr>
          <w:p w14:paraId="000002F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0,1 %</w:t>
            </w:r>
          </w:p>
        </w:tc>
        <w:tc>
          <w:tcPr>
            <w:tcW w:w="2198" w:type="dxa"/>
            <w:vAlign w:val="bottom"/>
          </w:tcPr>
          <w:p w14:paraId="000002F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1,4 %</w:t>
            </w:r>
          </w:p>
        </w:tc>
        <w:tc>
          <w:tcPr>
            <w:tcW w:w="1890" w:type="dxa"/>
            <w:vAlign w:val="bottom"/>
          </w:tcPr>
          <w:p w14:paraId="000002F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3.368 € </w:t>
            </w:r>
          </w:p>
        </w:tc>
      </w:tr>
      <w:tr w:rsidR="00031646" w14:paraId="5FD18398" w14:textId="77777777" w:rsidTr="00031646">
        <w:trPr>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F6"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24" w:type="dxa"/>
            <w:vAlign w:val="bottom"/>
          </w:tcPr>
          <w:p w14:paraId="000002F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-1,3 %</w:t>
            </w:r>
          </w:p>
        </w:tc>
        <w:tc>
          <w:tcPr>
            <w:tcW w:w="2198" w:type="dxa"/>
            <w:vAlign w:val="bottom"/>
          </w:tcPr>
          <w:p w14:paraId="000002F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-0,7 %</w:t>
            </w:r>
          </w:p>
        </w:tc>
        <w:tc>
          <w:tcPr>
            <w:tcW w:w="1890" w:type="dxa"/>
            <w:vAlign w:val="bottom"/>
          </w:tcPr>
          <w:p w14:paraId="000002F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2.286 € </w:t>
            </w:r>
          </w:p>
        </w:tc>
      </w:tr>
      <w:tr w:rsidR="00031646" w14:paraId="03B25176" w14:textId="77777777" w:rsidTr="000316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19" w:type="dxa"/>
            <w:shd w:val="clear" w:color="auto" w:fill="1DBDC5"/>
            <w:vAlign w:val="bottom"/>
          </w:tcPr>
          <w:p w14:paraId="000002F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Centro</w:t>
            </w:r>
          </w:p>
        </w:tc>
        <w:tc>
          <w:tcPr>
            <w:tcW w:w="2524" w:type="dxa"/>
            <w:vAlign w:val="bottom"/>
          </w:tcPr>
          <w:p w14:paraId="000002F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-2,7 %</w:t>
            </w:r>
          </w:p>
        </w:tc>
        <w:tc>
          <w:tcPr>
            <w:tcW w:w="2198" w:type="dxa"/>
            <w:vAlign w:val="bottom"/>
          </w:tcPr>
          <w:p w14:paraId="000002F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-3,8 %</w:t>
            </w:r>
          </w:p>
        </w:tc>
        <w:tc>
          <w:tcPr>
            <w:tcW w:w="1890" w:type="dxa"/>
            <w:vAlign w:val="bottom"/>
          </w:tcPr>
          <w:p w14:paraId="000002FD"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5.141 € </w:t>
            </w:r>
          </w:p>
        </w:tc>
      </w:tr>
    </w:tbl>
    <w:p w14:paraId="000002FE"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5: Distritos de menor a mayor incremento trimestral (mar.21 – jun.21)</w:t>
      </w:r>
    </w:p>
    <w:tbl>
      <w:tblPr>
        <w:tblStyle w:val="a3"/>
        <w:tblW w:w="923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08"/>
        <w:gridCol w:w="2511"/>
        <w:gridCol w:w="2339"/>
        <w:gridCol w:w="1881"/>
      </w:tblGrid>
      <w:tr w:rsidR="00031646" w14:paraId="6AEBDD47" w14:textId="77777777" w:rsidTr="0003164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center"/>
          </w:tcPr>
          <w:p w14:paraId="000002FF"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Distrito</w:t>
            </w:r>
          </w:p>
        </w:tc>
        <w:tc>
          <w:tcPr>
            <w:tcW w:w="2511" w:type="dxa"/>
            <w:shd w:val="clear" w:color="auto" w:fill="1DBDC5"/>
          </w:tcPr>
          <w:p w14:paraId="00000300"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301"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2339" w:type="dxa"/>
            <w:shd w:val="clear" w:color="auto" w:fill="1DBDC5"/>
          </w:tcPr>
          <w:p w14:paraId="00000302"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881" w:type="dxa"/>
            <w:shd w:val="clear" w:color="auto" w:fill="1DBDC5"/>
          </w:tcPr>
          <w:p w14:paraId="00000303"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304"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r>
      <w:tr w:rsidR="00031646" w14:paraId="7594DC95" w14:textId="77777777" w:rsidTr="0003164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0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 Martí</w:t>
            </w:r>
          </w:p>
        </w:tc>
        <w:tc>
          <w:tcPr>
            <w:tcW w:w="2511" w:type="dxa"/>
            <w:vAlign w:val="bottom"/>
          </w:tcPr>
          <w:p w14:paraId="0000030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-4,3 %</w:t>
            </w:r>
          </w:p>
        </w:tc>
        <w:tc>
          <w:tcPr>
            <w:tcW w:w="2339" w:type="dxa"/>
            <w:vAlign w:val="bottom"/>
          </w:tcPr>
          <w:p w14:paraId="0000030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-6,5 %</w:t>
            </w:r>
          </w:p>
        </w:tc>
        <w:tc>
          <w:tcPr>
            <w:tcW w:w="1881" w:type="dxa"/>
            <w:vAlign w:val="bottom"/>
          </w:tcPr>
          <w:p w14:paraId="00000308"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4.047 € </w:t>
            </w:r>
          </w:p>
        </w:tc>
      </w:tr>
      <w:tr w:rsidR="00031646" w14:paraId="6ADF40A1" w14:textId="77777777" w:rsidTr="00031646">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0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511" w:type="dxa"/>
            <w:vAlign w:val="bottom"/>
          </w:tcPr>
          <w:p w14:paraId="0000030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-4,0 %</w:t>
            </w:r>
          </w:p>
        </w:tc>
        <w:tc>
          <w:tcPr>
            <w:tcW w:w="2339" w:type="dxa"/>
            <w:vAlign w:val="bottom"/>
          </w:tcPr>
          <w:p w14:paraId="0000030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-5,7 %</w:t>
            </w:r>
          </w:p>
        </w:tc>
        <w:tc>
          <w:tcPr>
            <w:tcW w:w="1881" w:type="dxa"/>
            <w:vAlign w:val="bottom"/>
          </w:tcPr>
          <w:p w14:paraId="0000030C"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3.532 € </w:t>
            </w:r>
          </w:p>
        </w:tc>
      </w:tr>
      <w:tr w:rsidR="00031646" w14:paraId="11BF4E1D" w14:textId="77777777" w:rsidTr="0003164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0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511" w:type="dxa"/>
            <w:vAlign w:val="bottom"/>
          </w:tcPr>
          <w:p w14:paraId="0000030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-2,7 %</w:t>
            </w:r>
          </w:p>
        </w:tc>
        <w:tc>
          <w:tcPr>
            <w:tcW w:w="2339" w:type="dxa"/>
            <w:vAlign w:val="bottom"/>
          </w:tcPr>
          <w:p w14:paraId="0000030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-3,3 %</w:t>
            </w:r>
          </w:p>
        </w:tc>
        <w:tc>
          <w:tcPr>
            <w:tcW w:w="1881" w:type="dxa"/>
            <w:vAlign w:val="bottom"/>
          </w:tcPr>
          <w:p w14:paraId="00000310"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2.491 € </w:t>
            </w:r>
          </w:p>
        </w:tc>
      </w:tr>
      <w:tr w:rsidR="00031646" w14:paraId="7324581E" w14:textId="77777777" w:rsidTr="00031646">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11" w14:textId="77777777" w:rsidR="00031646" w:rsidRDefault="00867CFF">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511" w:type="dxa"/>
            <w:vAlign w:val="bottom"/>
          </w:tcPr>
          <w:p w14:paraId="0000031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-1,7 %</w:t>
            </w:r>
          </w:p>
        </w:tc>
        <w:tc>
          <w:tcPr>
            <w:tcW w:w="2339" w:type="dxa"/>
            <w:vAlign w:val="bottom"/>
          </w:tcPr>
          <w:p w14:paraId="0000031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1,5 %</w:t>
            </w:r>
          </w:p>
        </w:tc>
        <w:tc>
          <w:tcPr>
            <w:tcW w:w="1881" w:type="dxa"/>
            <w:vAlign w:val="bottom"/>
          </w:tcPr>
          <w:p w14:paraId="00000314"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4.758 € </w:t>
            </w:r>
          </w:p>
        </w:tc>
      </w:tr>
      <w:tr w:rsidR="00031646" w14:paraId="54556FD5" w14:textId="77777777" w:rsidTr="0003164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1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511" w:type="dxa"/>
            <w:vAlign w:val="bottom"/>
          </w:tcPr>
          <w:p w14:paraId="0000031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-1,2 %</w:t>
            </w:r>
          </w:p>
        </w:tc>
        <w:tc>
          <w:tcPr>
            <w:tcW w:w="2339" w:type="dxa"/>
            <w:vAlign w:val="bottom"/>
          </w:tcPr>
          <w:p w14:paraId="0000031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-6,3 %</w:t>
            </w:r>
          </w:p>
        </w:tc>
        <w:tc>
          <w:tcPr>
            <w:tcW w:w="1881" w:type="dxa"/>
            <w:vAlign w:val="bottom"/>
          </w:tcPr>
          <w:p w14:paraId="00000318"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3.174 € </w:t>
            </w:r>
          </w:p>
        </w:tc>
      </w:tr>
      <w:tr w:rsidR="00031646" w14:paraId="6CB01ECF" w14:textId="77777777" w:rsidTr="00031646">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1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Les Corts</w:t>
            </w:r>
          </w:p>
        </w:tc>
        <w:tc>
          <w:tcPr>
            <w:tcW w:w="2511" w:type="dxa"/>
            <w:vAlign w:val="bottom"/>
          </w:tcPr>
          <w:p w14:paraId="0000031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-0,1 %</w:t>
            </w:r>
          </w:p>
        </w:tc>
        <w:tc>
          <w:tcPr>
            <w:tcW w:w="2339" w:type="dxa"/>
            <w:vAlign w:val="bottom"/>
          </w:tcPr>
          <w:p w14:paraId="0000031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-3,8 %</w:t>
            </w:r>
          </w:p>
        </w:tc>
        <w:tc>
          <w:tcPr>
            <w:tcW w:w="1881" w:type="dxa"/>
            <w:vAlign w:val="bottom"/>
          </w:tcPr>
          <w:p w14:paraId="0000031C"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5.269 € </w:t>
            </w:r>
          </w:p>
        </w:tc>
      </w:tr>
      <w:tr w:rsidR="00031646" w14:paraId="3B9AE2A3" w14:textId="77777777" w:rsidTr="0003164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1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511" w:type="dxa"/>
            <w:vAlign w:val="bottom"/>
          </w:tcPr>
          <w:p w14:paraId="0000031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0,4 %</w:t>
            </w:r>
          </w:p>
        </w:tc>
        <w:tc>
          <w:tcPr>
            <w:tcW w:w="2339" w:type="dxa"/>
            <w:vAlign w:val="bottom"/>
          </w:tcPr>
          <w:p w14:paraId="0000031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-2,8 %</w:t>
            </w:r>
          </w:p>
        </w:tc>
        <w:tc>
          <w:tcPr>
            <w:tcW w:w="1881" w:type="dxa"/>
            <w:vAlign w:val="bottom"/>
          </w:tcPr>
          <w:p w14:paraId="00000320"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5.678 € </w:t>
            </w:r>
          </w:p>
        </w:tc>
      </w:tr>
      <w:tr w:rsidR="00031646" w14:paraId="3FF54F5F" w14:textId="77777777" w:rsidTr="00031646">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21"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Gràcia</w:t>
            </w:r>
          </w:p>
        </w:tc>
        <w:tc>
          <w:tcPr>
            <w:tcW w:w="2511" w:type="dxa"/>
            <w:vAlign w:val="bottom"/>
          </w:tcPr>
          <w:p w14:paraId="0000032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1,5 %</w:t>
            </w:r>
          </w:p>
        </w:tc>
        <w:tc>
          <w:tcPr>
            <w:tcW w:w="2339" w:type="dxa"/>
            <w:vAlign w:val="bottom"/>
          </w:tcPr>
          <w:p w14:paraId="0000032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-0,7 %</w:t>
            </w:r>
          </w:p>
        </w:tc>
        <w:tc>
          <w:tcPr>
            <w:tcW w:w="1881" w:type="dxa"/>
            <w:vAlign w:val="bottom"/>
          </w:tcPr>
          <w:p w14:paraId="00000324"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4.460 € </w:t>
            </w:r>
          </w:p>
        </w:tc>
      </w:tr>
      <w:tr w:rsidR="00031646" w14:paraId="40F2C647" w14:textId="77777777" w:rsidTr="0003164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2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 Andreu</w:t>
            </w:r>
          </w:p>
        </w:tc>
        <w:tc>
          <w:tcPr>
            <w:tcW w:w="2511" w:type="dxa"/>
            <w:vAlign w:val="bottom"/>
          </w:tcPr>
          <w:p w14:paraId="0000032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2,5 %</w:t>
            </w:r>
          </w:p>
        </w:tc>
        <w:tc>
          <w:tcPr>
            <w:tcW w:w="2339" w:type="dxa"/>
            <w:vAlign w:val="bottom"/>
          </w:tcPr>
          <w:p w14:paraId="0000032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-3,9 %</w:t>
            </w:r>
          </w:p>
        </w:tc>
        <w:tc>
          <w:tcPr>
            <w:tcW w:w="1881" w:type="dxa"/>
            <w:vAlign w:val="bottom"/>
          </w:tcPr>
          <w:p w14:paraId="00000328"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3.205 € </w:t>
            </w:r>
          </w:p>
        </w:tc>
      </w:tr>
      <w:tr w:rsidR="00031646" w14:paraId="3CAD78AC" w14:textId="77777777" w:rsidTr="00031646">
        <w:trPr>
          <w:trHeight w:val="292"/>
        </w:trPr>
        <w:tc>
          <w:tcPr>
            <w:cnfStyle w:val="001000000000" w:firstRow="0" w:lastRow="0" w:firstColumn="1" w:lastColumn="0" w:oddVBand="0" w:evenVBand="0" w:oddHBand="0" w:evenHBand="0" w:firstRowFirstColumn="0" w:firstRowLastColumn="0" w:lastRowFirstColumn="0" w:lastRowLastColumn="0"/>
            <w:tcW w:w="2508" w:type="dxa"/>
            <w:shd w:val="clear" w:color="auto" w:fill="1DBDC5"/>
            <w:vAlign w:val="bottom"/>
          </w:tcPr>
          <w:p w14:paraId="0000032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Eixample</w:t>
            </w:r>
          </w:p>
        </w:tc>
        <w:tc>
          <w:tcPr>
            <w:tcW w:w="2511" w:type="dxa"/>
            <w:vAlign w:val="bottom"/>
          </w:tcPr>
          <w:p w14:paraId="0000032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3,4 %</w:t>
            </w:r>
          </w:p>
        </w:tc>
        <w:tc>
          <w:tcPr>
            <w:tcW w:w="2339" w:type="dxa"/>
            <w:vAlign w:val="bottom"/>
          </w:tcPr>
          <w:p w14:paraId="0000032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1,7 %</w:t>
            </w:r>
          </w:p>
        </w:tc>
        <w:tc>
          <w:tcPr>
            <w:tcW w:w="1881" w:type="dxa"/>
            <w:vAlign w:val="bottom"/>
          </w:tcPr>
          <w:p w14:paraId="0000032C"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5.274 € </w:t>
            </w:r>
          </w:p>
        </w:tc>
      </w:tr>
    </w:tbl>
    <w:p w14:paraId="0000032D"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6: Los 10 barrios con mayor incremento trimestral en Madrid (mar.21 – jun.21)</w:t>
      </w:r>
    </w:p>
    <w:tbl>
      <w:tblPr>
        <w:tblStyle w:val="a4"/>
        <w:tblW w:w="919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53"/>
        <w:gridCol w:w="2372"/>
        <w:gridCol w:w="1876"/>
        <w:gridCol w:w="1876"/>
        <w:gridCol w:w="1417"/>
      </w:tblGrid>
      <w:tr w:rsidR="00031646" w14:paraId="65FB2105" w14:textId="77777777" w:rsidTr="000316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center"/>
          </w:tcPr>
          <w:p w14:paraId="0000032E"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Distrito</w:t>
            </w:r>
          </w:p>
        </w:tc>
        <w:tc>
          <w:tcPr>
            <w:tcW w:w="2372" w:type="dxa"/>
            <w:shd w:val="clear" w:color="auto" w:fill="1DBDC5"/>
          </w:tcPr>
          <w:p w14:paraId="0000032F"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Barrio</w:t>
            </w:r>
          </w:p>
        </w:tc>
        <w:tc>
          <w:tcPr>
            <w:tcW w:w="1876" w:type="dxa"/>
            <w:shd w:val="clear" w:color="auto" w:fill="1DBDC5"/>
          </w:tcPr>
          <w:p w14:paraId="00000330"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331"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1876" w:type="dxa"/>
            <w:shd w:val="clear" w:color="auto" w:fill="1DBDC5"/>
          </w:tcPr>
          <w:p w14:paraId="00000332"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417" w:type="dxa"/>
            <w:shd w:val="clear" w:color="auto" w:fill="1DBDC5"/>
          </w:tcPr>
          <w:p w14:paraId="00000333"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334"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r>
      <w:tr w:rsidR="00031646" w14:paraId="6E2EA20B" w14:textId="77777777" w:rsidTr="000316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3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Salamanca</w:t>
            </w:r>
          </w:p>
        </w:tc>
        <w:tc>
          <w:tcPr>
            <w:tcW w:w="2372" w:type="dxa"/>
            <w:vAlign w:val="bottom"/>
          </w:tcPr>
          <w:p w14:paraId="00000336"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Castellana</w:t>
            </w:r>
          </w:p>
        </w:tc>
        <w:tc>
          <w:tcPr>
            <w:tcW w:w="1876" w:type="dxa"/>
            <w:vAlign w:val="bottom"/>
          </w:tcPr>
          <w:p w14:paraId="0000033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9,9%</w:t>
            </w:r>
          </w:p>
        </w:tc>
        <w:tc>
          <w:tcPr>
            <w:tcW w:w="1876" w:type="dxa"/>
            <w:vAlign w:val="bottom"/>
          </w:tcPr>
          <w:p w14:paraId="0000033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417" w:type="dxa"/>
            <w:vAlign w:val="bottom"/>
          </w:tcPr>
          <w:p w14:paraId="00000339"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7.500 €</w:t>
            </w:r>
          </w:p>
        </w:tc>
      </w:tr>
      <w:tr w:rsidR="00031646" w14:paraId="0E0B690D" w14:textId="77777777" w:rsidTr="00031646">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3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Latina</w:t>
            </w:r>
          </w:p>
        </w:tc>
        <w:tc>
          <w:tcPr>
            <w:tcW w:w="2372" w:type="dxa"/>
            <w:vAlign w:val="bottom"/>
          </w:tcPr>
          <w:p w14:paraId="0000033B"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Lucero</w:t>
            </w:r>
          </w:p>
        </w:tc>
        <w:tc>
          <w:tcPr>
            <w:tcW w:w="1876" w:type="dxa"/>
            <w:vAlign w:val="bottom"/>
          </w:tcPr>
          <w:p w14:paraId="0000033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7,2%</w:t>
            </w:r>
          </w:p>
        </w:tc>
        <w:tc>
          <w:tcPr>
            <w:tcW w:w="1876" w:type="dxa"/>
            <w:vAlign w:val="bottom"/>
          </w:tcPr>
          <w:p w14:paraId="0000033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417" w:type="dxa"/>
            <w:vAlign w:val="bottom"/>
          </w:tcPr>
          <w:p w14:paraId="0000033E"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2.493 €</w:t>
            </w:r>
          </w:p>
        </w:tc>
      </w:tr>
      <w:tr w:rsidR="00031646" w14:paraId="66C9BE4F" w14:textId="77777777" w:rsidTr="000316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3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Arganzuela</w:t>
            </w:r>
          </w:p>
        </w:tc>
        <w:tc>
          <w:tcPr>
            <w:tcW w:w="2372" w:type="dxa"/>
            <w:vAlign w:val="bottom"/>
          </w:tcPr>
          <w:p w14:paraId="00000340"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Imperial</w:t>
            </w:r>
          </w:p>
        </w:tc>
        <w:tc>
          <w:tcPr>
            <w:tcW w:w="1876" w:type="dxa"/>
            <w:vAlign w:val="bottom"/>
          </w:tcPr>
          <w:p w14:paraId="0000034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7,1%</w:t>
            </w:r>
          </w:p>
        </w:tc>
        <w:tc>
          <w:tcPr>
            <w:tcW w:w="1876" w:type="dxa"/>
            <w:vAlign w:val="bottom"/>
          </w:tcPr>
          <w:p w14:paraId="0000034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w:t>
            </w:r>
          </w:p>
        </w:tc>
        <w:tc>
          <w:tcPr>
            <w:tcW w:w="1417" w:type="dxa"/>
            <w:vAlign w:val="bottom"/>
          </w:tcPr>
          <w:p w14:paraId="0000034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4.436 €</w:t>
            </w:r>
          </w:p>
        </w:tc>
      </w:tr>
      <w:tr w:rsidR="00031646" w14:paraId="6496CB71" w14:textId="77777777" w:rsidTr="00031646">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4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Usera</w:t>
            </w:r>
          </w:p>
        </w:tc>
        <w:tc>
          <w:tcPr>
            <w:tcW w:w="2372" w:type="dxa"/>
            <w:vAlign w:val="bottom"/>
          </w:tcPr>
          <w:p w14:paraId="00000345"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Almendrales</w:t>
            </w:r>
          </w:p>
        </w:tc>
        <w:tc>
          <w:tcPr>
            <w:tcW w:w="1876" w:type="dxa"/>
            <w:vAlign w:val="bottom"/>
          </w:tcPr>
          <w:p w14:paraId="0000034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7,0%</w:t>
            </w:r>
          </w:p>
        </w:tc>
        <w:tc>
          <w:tcPr>
            <w:tcW w:w="1876" w:type="dxa"/>
            <w:vAlign w:val="bottom"/>
          </w:tcPr>
          <w:p w14:paraId="0000034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c>
          <w:tcPr>
            <w:tcW w:w="1417" w:type="dxa"/>
            <w:vAlign w:val="bottom"/>
          </w:tcPr>
          <w:p w14:paraId="0000034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2.428 €</w:t>
            </w:r>
          </w:p>
        </w:tc>
      </w:tr>
      <w:tr w:rsidR="00031646" w14:paraId="080799BA" w14:textId="77777777" w:rsidTr="000316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4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Salamanca</w:t>
            </w:r>
          </w:p>
        </w:tc>
        <w:tc>
          <w:tcPr>
            <w:tcW w:w="2372" w:type="dxa"/>
            <w:vAlign w:val="bottom"/>
          </w:tcPr>
          <w:p w14:paraId="0000034A"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Guindalera</w:t>
            </w:r>
          </w:p>
        </w:tc>
        <w:tc>
          <w:tcPr>
            <w:tcW w:w="1876" w:type="dxa"/>
            <w:vAlign w:val="bottom"/>
          </w:tcPr>
          <w:p w14:paraId="0000034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6,9%</w:t>
            </w:r>
          </w:p>
        </w:tc>
        <w:tc>
          <w:tcPr>
            <w:tcW w:w="1876" w:type="dxa"/>
            <w:vAlign w:val="bottom"/>
          </w:tcPr>
          <w:p w14:paraId="0000034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417" w:type="dxa"/>
            <w:vAlign w:val="bottom"/>
          </w:tcPr>
          <w:p w14:paraId="0000034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4.292 €</w:t>
            </w:r>
          </w:p>
        </w:tc>
      </w:tr>
      <w:tr w:rsidR="00031646" w14:paraId="26A128B9" w14:textId="77777777" w:rsidTr="00031646">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4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372" w:type="dxa"/>
            <w:vAlign w:val="bottom"/>
          </w:tcPr>
          <w:p w14:paraId="0000034F"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Entrevías</w:t>
            </w:r>
          </w:p>
        </w:tc>
        <w:tc>
          <w:tcPr>
            <w:tcW w:w="1876" w:type="dxa"/>
            <w:vAlign w:val="bottom"/>
          </w:tcPr>
          <w:p w14:paraId="0000035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sz w:val="22"/>
                <w:szCs w:val="22"/>
              </w:rPr>
              <w:t>6,3%</w:t>
            </w:r>
          </w:p>
        </w:tc>
        <w:tc>
          <w:tcPr>
            <w:tcW w:w="1876" w:type="dxa"/>
            <w:vAlign w:val="bottom"/>
          </w:tcPr>
          <w:p w14:paraId="0000035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417" w:type="dxa"/>
            <w:vAlign w:val="bottom"/>
          </w:tcPr>
          <w:p w14:paraId="0000035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1.745 €</w:t>
            </w:r>
          </w:p>
        </w:tc>
      </w:tr>
      <w:tr w:rsidR="00031646" w14:paraId="0FA404DF" w14:textId="77777777" w:rsidTr="000316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5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372" w:type="dxa"/>
            <w:vAlign w:val="bottom"/>
          </w:tcPr>
          <w:p w14:paraId="00000354"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Casco Histórico de Vallecas</w:t>
            </w:r>
          </w:p>
        </w:tc>
        <w:tc>
          <w:tcPr>
            <w:tcW w:w="1876" w:type="dxa"/>
            <w:vAlign w:val="bottom"/>
          </w:tcPr>
          <w:p w14:paraId="00000355"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6,1%</w:t>
            </w:r>
          </w:p>
        </w:tc>
        <w:tc>
          <w:tcPr>
            <w:tcW w:w="1876" w:type="dxa"/>
            <w:vAlign w:val="bottom"/>
          </w:tcPr>
          <w:p w14:paraId="0000035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417" w:type="dxa"/>
            <w:vAlign w:val="bottom"/>
          </w:tcPr>
          <w:p w14:paraId="0000035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2.120 €</w:t>
            </w:r>
          </w:p>
        </w:tc>
      </w:tr>
      <w:tr w:rsidR="00031646" w14:paraId="225B9350" w14:textId="77777777" w:rsidTr="00031646">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5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 Blas</w:t>
            </w:r>
          </w:p>
        </w:tc>
        <w:tc>
          <w:tcPr>
            <w:tcW w:w="2372" w:type="dxa"/>
            <w:vAlign w:val="bottom"/>
          </w:tcPr>
          <w:p w14:paraId="00000359"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Rosas - Musas</w:t>
            </w:r>
          </w:p>
        </w:tc>
        <w:tc>
          <w:tcPr>
            <w:tcW w:w="1876" w:type="dxa"/>
            <w:vAlign w:val="bottom"/>
          </w:tcPr>
          <w:p w14:paraId="0000035A"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6,1%</w:t>
            </w:r>
          </w:p>
        </w:tc>
        <w:tc>
          <w:tcPr>
            <w:tcW w:w="1876" w:type="dxa"/>
            <w:vAlign w:val="bottom"/>
          </w:tcPr>
          <w:p w14:paraId="0000035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c>
          <w:tcPr>
            <w:tcW w:w="1417" w:type="dxa"/>
            <w:vAlign w:val="bottom"/>
          </w:tcPr>
          <w:p w14:paraId="0000035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3.355 €</w:t>
            </w:r>
          </w:p>
        </w:tc>
      </w:tr>
      <w:tr w:rsidR="00031646" w14:paraId="2E2F35A9" w14:textId="77777777" w:rsidTr="000316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5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Hortaleza</w:t>
            </w:r>
          </w:p>
        </w:tc>
        <w:tc>
          <w:tcPr>
            <w:tcW w:w="2372" w:type="dxa"/>
            <w:vAlign w:val="bottom"/>
          </w:tcPr>
          <w:p w14:paraId="0000035E"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Canillas</w:t>
            </w:r>
          </w:p>
        </w:tc>
        <w:tc>
          <w:tcPr>
            <w:tcW w:w="1876" w:type="dxa"/>
            <w:vAlign w:val="bottom"/>
          </w:tcPr>
          <w:p w14:paraId="0000035F"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5,5%</w:t>
            </w:r>
          </w:p>
        </w:tc>
        <w:tc>
          <w:tcPr>
            <w:tcW w:w="1876" w:type="dxa"/>
            <w:vAlign w:val="bottom"/>
          </w:tcPr>
          <w:p w14:paraId="0000036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5,2%</w:t>
            </w:r>
          </w:p>
        </w:tc>
        <w:tc>
          <w:tcPr>
            <w:tcW w:w="1417" w:type="dxa"/>
            <w:vAlign w:val="bottom"/>
          </w:tcPr>
          <w:p w14:paraId="0000036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3.670 €</w:t>
            </w:r>
          </w:p>
        </w:tc>
      </w:tr>
      <w:tr w:rsidR="00031646" w14:paraId="642A66D0" w14:textId="77777777" w:rsidTr="00031646">
        <w:trPr>
          <w:trHeight w:val="288"/>
        </w:trPr>
        <w:tc>
          <w:tcPr>
            <w:cnfStyle w:val="001000000000" w:firstRow="0" w:lastRow="0" w:firstColumn="1" w:lastColumn="0" w:oddVBand="0" w:evenVBand="0" w:oddHBand="0" w:evenHBand="0" w:firstRowFirstColumn="0" w:firstRowLastColumn="0" w:lastRowFirstColumn="0" w:lastRowLastColumn="0"/>
            <w:tcW w:w="1653" w:type="dxa"/>
            <w:shd w:val="clear" w:color="auto" w:fill="1DBDC5"/>
            <w:vAlign w:val="bottom"/>
          </w:tcPr>
          <w:p w14:paraId="00000362"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Villaverde</w:t>
            </w:r>
          </w:p>
        </w:tc>
        <w:tc>
          <w:tcPr>
            <w:tcW w:w="2372" w:type="dxa"/>
            <w:vAlign w:val="bottom"/>
          </w:tcPr>
          <w:p w14:paraId="00000363"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Cristóbal de Villaverde</w:t>
            </w:r>
          </w:p>
        </w:tc>
        <w:tc>
          <w:tcPr>
            <w:tcW w:w="1876" w:type="dxa"/>
            <w:vAlign w:val="bottom"/>
          </w:tcPr>
          <w:p w14:paraId="00000364"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5,1%</w:t>
            </w:r>
          </w:p>
        </w:tc>
        <w:tc>
          <w:tcPr>
            <w:tcW w:w="1876" w:type="dxa"/>
            <w:vAlign w:val="bottom"/>
          </w:tcPr>
          <w:p w14:paraId="0000036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c>
          <w:tcPr>
            <w:tcW w:w="1417" w:type="dxa"/>
            <w:vAlign w:val="bottom"/>
          </w:tcPr>
          <w:p w14:paraId="0000036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1.452 €</w:t>
            </w:r>
          </w:p>
        </w:tc>
      </w:tr>
    </w:tbl>
    <w:p w14:paraId="00000367" w14:textId="77777777" w:rsidR="00031646" w:rsidRDefault="00031646">
      <w:pPr>
        <w:spacing w:line="276" w:lineRule="auto"/>
        <w:ind w:right="-574"/>
        <w:jc w:val="right"/>
        <w:rPr>
          <w:rFonts w:ascii="Open Sans Light" w:eastAsia="Open Sans Light" w:hAnsi="Open Sans Light" w:cs="Open Sans Light"/>
          <w:b/>
          <w:color w:val="303AB2"/>
        </w:rPr>
      </w:pPr>
    </w:p>
    <w:p w14:paraId="00000368" w14:textId="77777777" w:rsidR="00031646" w:rsidRDefault="00867CFF">
      <w:pPr>
        <w:pBdr>
          <w:top w:val="nil"/>
          <w:left w:val="nil"/>
          <w:bottom w:val="nil"/>
          <w:right w:val="nil"/>
          <w:between w:val="nil"/>
        </w:pBdr>
        <w:shd w:val="clear" w:color="auto" w:fill="FFFFFF"/>
        <w:spacing w:before="280" w:after="280" w:line="276" w:lineRule="auto"/>
        <w:ind w:right="-574"/>
        <w:rPr>
          <w:rFonts w:ascii="Open Sans" w:eastAsia="Open Sans" w:hAnsi="Open Sans" w:cs="Open Sans"/>
          <w:color w:val="000000"/>
          <w:sz w:val="20"/>
          <w:szCs w:val="20"/>
        </w:rPr>
      </w:pPr>
      <w:r>
        <w:rPr>
          <w:rFonts w:ascii="Open Sans Light" w:eastAsia="Open Sans Light" w:hAnsi="Open Sans Light" w:cs="Open Sans Light"/>
          <w:b/>
          <w:color w:val="303AB2"/>
        </w:rPr>
        <w:t>Tabla 7: Los 10 barrios con mayor descenso trimestral en Barcelona (mar.21 – jun.21)</w:t>
      </w:r>
    </w:p>
    <w:tbl>
      <w:tblPr>
        <w:tblStyle w:val="a5"/>
        <w:tblW w:w="930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14"/>
        <w:gridCol w:w="2355"/>
        <w:gridCol w:w="1941"/>
        <w:gridCol w:w="1879"/>
        <w:gridCol w:w="1511"/>
      </w:tblGrid>
      <w:tr w:rsidR="00031646" w14:paraId="49B73246" w14:textId="77777777" w:rsidTr="0003164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center"/>
          </w:tcPr>
          <w:p w14:paraId="00000369" w14:textId="77777777" w:rsidR="00031646" w:rsidRDefault="00867CFF">
            <w:pPr>
              <w:rPr>
                <w:rFonts w:ascii="Open Sans" w:eastAsia="Open Sans" w:hAnsi="Open Sans" w:cs="Open Sans"/>
                <w:sz w:val="22"/>
                <w:szCs w:val="22"/>
              </w:rPr>
            </w:pPr>
            <w:r>
              <w:rPr>
                <w:rFonts w:ascii="Open Sans" w:eastAsia="Open Sans" w:hAnsi="Open Sans" w:cs="Open Sans"/>
                <w:sz w:val="22"/>
                <w:szCs w:val="22"/>
              </w:rPr>
              <w:t>Distrito</w:t>
            </w:r>
          </w:p>
        </w:tc>
        <w:tc>
          <w:tcPr>
            <w:tcW w:w="2355" w:type="dxa"/>
            <w:shd w:val="clear" w:color="auto" w:fill="1DBDC5"/>
            <w:vAlign w:val="center"/>
          </w:tcPr>
          <w:p w14:paraId="0000036A" w14:textId="77777777" w:rsidR="00031646" w:rsidRDefault="00867CFF">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Barrio</w:t>
            </w:r>
          </w:p>
        </w:tc>
        <w:tc>
          <w:tcPr>
            <w:tcW w:w="1941" w:type="dxa"/>
            <w:shd w:val="clear" w:color="auto" w:fill="1DBDC5"/>
          </w:tcPr>
          <w:p w14:paraId="0000036B"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w:t>
            </w:r>
          </w:p>
          <w:p w14:paraId="0000036C"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trimestral (%)</w:t>
            </w:r>
          </w:p>
        </w:tc>
        <w:tc>
          <w:tcPr>
            <w:tcW w:w="1879" w:type="dxa"/>
            <w:shd w:val="clear" w:color="auto" w:fill="1DBDC5"/>
          </w:tcPr>
          <w:p w14:paraId="0000036D"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511" w:type="dxa"/>
            <w:shd w:val="clear" w:color="auto" w:fill="1DBDC5"/>
          </w:tcPr>
          <w:p w14:paraId="0000036E"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Junio 2021</w:t>
            </w:r>
          </w:p>
          <w:p w14:paraId="0000036F" w14:textId="77777777" w:rsidR="00031646" w:rsidRDefault="00867CFF">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(euros/m²)</w:t>
            </w:r>
          </w:p>
        </w:tc>
      </w:tr>
      <w:tr w:rsidR="00031646" w14:paraId="141072D0" w14:textId="77777777" w:rsidTr="0003164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70"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00000371"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Poblenou</w:t>
            </w:r>
          </w:p>
        </w:tc>
        <w:tc>
          <w:tcPr>
            <w:tcW w:w="1941" w:type="dxa"/>
            <w:vAlign w:val="bottom"/>
          </w:tcPr>
          <w:p w14:paraId="0000037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-6,7%</w:t>
            </w:r>
          </w:p>
        </w:tc>
        <w:tc>
          <w:tcPr>
            <w:tcW w:w="1879" w:type="dxa"/>
            <w:vAlign w:val="bottom"/>
          </w:tcPr>
          <w:p w14:paraId="00000373"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511" w:type="dxa"/>
            <w:vAlign w:val="bottom"/>
          </w:tcPr>
          <w:p w14:paraId="00000374"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4.864 €</w:t>
            </w:r>
          </w:p>
        </w:tc>
      </w:tr>
      <w:tr w:rsidR="00031646" w14:paraId="56113EB2" w14:textId="77777777" w:rsidTr="00031646">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75"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55" w:type="dxa"/>
            <w:vAlign w:val="bottom"/>
          </w:tcPr>
          <w:p w14:paraId="00000376"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El Poble </w:t>
            </w:r>
            <w:proofErr w:type="spellStart"/>
            <w:r>
              <w:rPr>
                <w:rFonts w:ascii="Open Sans" w:eastAsia="Open Sans" w:hAnsi="Open Sans" w:cs="Open Sans"/>
                <w:sz w:val="22"/>
                <w:szCs w:val="22"/>
              </w:rPr>
              <w:t>Sec</w:t>
            </w:r>
            <w:proofErr w:type="spellEnd"/>
            <w:r>
              <w:rPr>
                <w:rFonts w:ascii="Open Sans" w:eastAsia="Open Sans" w:hAnsi="Open Sans" w:cs="Open Sans"/>
                <w:sz w:val="22"/>
                <w:szCs w:val="22"/>
              </w:rPr>
              <w:t xml:space="preserve"> - </w:t>
            </w:r>
            <w:proofErr w:type="spellStart"/>
            <w:r>
              <w:rPr>
                <w:rFonts w:ascii="Open Sans" w:eastAsia="Open Sans" w:hAnsi="Open Sans" w:cs="Open Sans"/>
                <w:sz w:val="22"/>
                <w:szCs w:val="22"/>
              </w:rPr>
              <w:t>Parc</w:t>
            </w:r>
            <w:proofErr w:type="spellEnd"/>
            <w:r>
              <w:rPr>
                <w:rFonts w:ascii="Open Sans" w:eastAsia="Open Sans" w:hAnsi="Open Sans" w:cs="Open Sans"/>
                <w:sz w:val="22"/>
                <w:szCs w:val="22"/>
              </w:rPr>
              <w:t xml:space="preserve"> de Montjuïc</w:t>
            </w:r>
          </w:p>
        </w:tc>
        <w:tc>
          <w:tcPr>
            <w:tcW w:w="1941" w:type="dxa"/>
            <w:vAlign w:val="bottom"/>
          </w:tcPr>
          <w:p w14:paraId="0000037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-5,4%</w:t>
            </w:r>
          </w:p>
        </w:tc>
        <w:tc>
          <w:tcPr>
            <w:tcW w:w="1879" w:type="dxa"/>
            <w:vAlign w:val="bottom"/>
          </w:tcPr>
          <w:p w14:paraId="00000378"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-6,7%</w:t>
            </w:r>
          </w:p>
        </w:tc>
        <w:tc>
          <w:tcPr>
            <w:tcW w:w="1511" w:type="dxa"/>
            <w:vAlign w:val="bottom"/>
          </w:tcPr>
          <w:p w14:paraId="00000379"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3.761 €</w:t>
            </w:r>
          </w:p>
        </w:tc>
      </w:tr>
      <w:tr w:rsidR="00031646" w14:paraId="6E9F2826" w14:textId="77777777" w:rsidTr="0003164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7A"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55" w:type="dxa"/>
            <w:vAlign w:val="bottom"/>
          </w:tcPr>
          <w:p w14:paraId="0000037B"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Sarrià</w:t>
            </w:r>
          </w:p>
        </w:tc>
        <w:tc>
          <w:tcPr>
            <w:tcW w:w="1941" w:type="dxa"/>
            <w:vAlign w:val="bottom"/>
          </w:tcPr>
          <w:p w14:paraId="0000037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-5,4%</w:t>
            </w:r>
          </w:p>
        </w:tc>
        <w:tc>
          <w:tcPr>
            <w:tcW w:w="1879" w:type="dxa"/>
            <w:vAlign w:val="bottom"/>
          </w:tcPr>
          <w:p w14:paraId="0000037D"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-11,6%</w:t>
            </w:r>
          </w:p>
        </w:tc>
        <w:tc>
          <w:tcPr>
            <w:tcW w:w="1511" w:type="dxa"/>
            <w:vAlign w:val="bottom"/>
          </w:tcPr>
          <w:p w14:paraId="0000037E"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5.912 €</w:t>
            </w:r>
          </w:p>
        </w:tc>
      </w:tr>
      <w:tr w:rsidR="00031646" w14:paraId="6AD432D0" w14:textId="77777777" w:rsidTr="00031646">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7F"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355" w:type="dxa"/>
            <w:vAlign w:val="bottom"/>
          </w:tcPr>
          <w:p w14:paraId="00000380"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Vilapicina</w:t>
            </w:r>
            <w:proofErr w:type="spellEnd"/>
            <w:r>
              <w:rPr>
                <w:rFonts w:ascii="Open Sans" w:eastAsia="Open Sans" w:hAnsi="Open Sans" w:cs="Open Sans"/>
                <w:sz w:val="22"/>
                <w:szCs w:val="22"/>
              </w:rPr>
              <w:t xml:space="preserve"> i la Torre </w:t>
            </w:r>
            <w:proofErr w:type="spellStart"/>
            <w:r>
              <w:rPr>
                <w:rFonts w:ascii="Open Sans" w:eastAsia="Open Sans" w:hAnsi="Open Sans" w:cs="Open Sans"/>
                <w:sz w:val="22"/>
                <w:szCs w:val="22"/>
              </w:rPr>
              <w:t>Llobeta</w:t>
            </w:r>
            <w:proofErr w:type="spellEnd"/>
          </w:p>
        </w:tc>
        <w:tc>
          <w:tcPr>
            <w:tcW w:w="1941" w:type="dxa"/>
            <w:vAlign w:val="bottom"/>
          </w:tcPr>
          <w:p w14:paraId="0000038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-4,7%</w:t>
            </w:r>
          </w:p>
        </w:tc>
        <w:tc>
          <w:tcPr>
            <w:tcW w:w="1879" w:type="dxa"/>
            <w:vAlign w:val="bottom"/>
          </w:tcPr>
          <w:p w14:paraId="00000382"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-6,6%</w:t>
            </w:r>
          </w:p>
        </w:tc>
        <w:tc>
          <w:tcPr>
            <w:tcW w:w="1511" w:type="dxa"/>
            <w:vAlign w:val="bottom"/>
          </w:tcPr>
          <w:p w14:paraId="00000383"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3.111 €</w:t>
            </w:r>
          </w:p>
        </w:tc>
      </w:tr>
      <w:tr w:rsidR="00031646" w14:paraId="69AE3CE3" w14:textId="77777777" w:rsidTr="0003164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84"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00000385"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La </w:t>
            </w:r>
            <w:proofErr w:type="spellStart"/>
            <w:r>
              <w:rPr>
                <w:rFonts w:ascii="Open Sans" w:eastAsia="Open Sans" w:hAnsi="Open Sans" w:cs="Open Sans"/>
                <w:sz w:val="22"/>
                <w:szCs w:val="22"/>
              </w:rPr>
              <w:t>Verneda</w:t>
            </w:r>
            <w:proofErr w:type="spellEnd"/>
            <w:r>
              <w:rPr>
                <w:rFonts w:ascii="Open Sans" w:eastAsia="Open Sans" w:hAnsi="Open Sans" w:cs="Open Sans"/>
                <w:sz w:val="22"/>
                <w:szCs w:val="22"/>
              </w:rPr>
              <w:t xml:space="preserve"> i la Pau</w:t>
            </w:r>
          </w:p>
        </w:tc>
        <w:tc>
          <w:tcPr>
            <w:tcW w:w="1941" w:type="dxa"/>
            <w:vAlign w:val="bottom"/>
          </w:tcPr>
          <w:p w14:paraId="00000386"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-4,6%</w:t>
            </w:r>
          </w:p>
        </w:tc>
        <w:tc>
          <w:tcPr>
            <w:tcW w:w="1879" w:type="dxa"/>
            <w:vAlign w:val="bottom"/>
          </w:tcPr>
          <w:p w14:paraId="00000387"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-6,4%</w:t>
            </w:r>
          </w:p>
        </w:tc>
        <w:tc>
          <w:tcPr>
            <w:tcW w:w="1511" w:type="dxa"/>
            <w:vAlign w:val="bottom"/>
          </w:tcPr>
          <w:p w14:paraId="00000388"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2.647 €</w:t>
            </w:r>
          </w:p>
        </w:tc>
      </w:tr>
      <w:tr w:rsidR="00031646" w14:paraId="5C62BCE2" w14:textId="77777777" w:rsidTr="00031646">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89"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55" w:type="dxa"/>
            <w:vAlign w:val="bottom"/>
          </w:tcPr>
          <w:p w14:paraId="0000038A"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La </w:t>
            </w:r>
            <w:proofErr w:type="spellStart"/>
            <w:r>
              <w:rPr>
                <w:rFonts w:ascii="Open Sans" w:eastAsia="Open Sans" w:hAnsi="Open Sans" w:cs="Open Sans"/>
                <w:sz w:val="22"/>
                <w:szCs w:val="22"/>
              </w:rPr>
              <w:t>Bordeta</w:t>
            </w:r>
            <w:proofErr w:type="spellEnd"/>
          </w:p>
        </w:tc>
        <w:tc>
          <w:tcPr>
            <w:tcW w:w="1941" w:type="dxa"/>
            <w:vAlign w:val="bottom"/>
          </w:tcPr>
          <w:p w14:paraId="0000038B"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rFonts w:ascii="Open Sans" w:eastAsia="Open Sans" w:hAnsi="Open Sans" w:cs="Open Sans"/>
                <w:color w:val="9C0006"/>
                <w:sz w:val="22"/>
                <w:szCs w:val="22"/>
              </w:rPr>
              <w:t>-4,5%</w:t>
            </w:r>
          </w:p>
        </w:tc>
        <w:tc>
          <w:tcPr>
            <w:tcW w:w="1879" w:type="dxa"/>
            <w:vAlign w:val="bottom"/>
          </w:tcPr>
          <w:p w14:paraId="0000038C"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-11,5%</w:t>
            </w:r>
          </w:p>
        </w:tc>
        <w:tc>
          <w:tcPr>
            <w:tcW w:w="1511" w:type="dxa"/>
            <w:vAlign w:val="bottom"/>
          </w:tcPr>
          <w:p w14:paraId="0000038D"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3.150 €</w:t>
            </w:r>
          </w:p>
        </w:tc>
      </w:tr>
      <w:tr w:rsidR="00031646" w14:paraId="52F523EF" w14:textId="77777777" w:rsidTr="0003164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8E"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55" w:type="dxa"/>
            <w:vAlign w:val="bottom"/>
          </w:tcPr>
          <w:p w14:paraId="0000038F"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La </w:t>
            </w:r>
            <w:proofErr w:type="spellStart"/>
            <w:r>
              <w:rPr>
                <w:rFonts w:ascii="Open Sans" w:eastAsia="Open Sans" w:hAnsi="Open Sans" w:cs="Open Sans"/>
                <w:sz w:val="22"/>
                <w:szCs w:val="22"/>
              </w:rPr>
              <w:t>Teixonera</w:t>
            </w:r>
            <w:proofErr w:type="spellEnd"/>
          </w:p>
        </w:tc>
        <w:tc>
          <w:tcPr>
            <w:tcW w:w="1941" w:type="dxa"/>
            <w:vAlign w:val="bottom"/>
          </w:tcPr>
          <w:p w14:paraId="00000390"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-4,1%</w:t>
            </w:r>
          </w:p>
        </w:tc>
        <w:tc>
          <w:tcPr>
            <w:tcW w:w="1879" w:type="dxa"/>
            <w:vAlign w:val="bottom"/>
          </w:tcPr>
          <w:p w14:paraId="00000391"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w:t>
            </w:r>
          </w:p>
        </w:tc>
        <w:tc>
          <w:tcPr>
            <w:tcW w:w="1511" w:type="dxa"/>
            <w:vAlign w:val="bottom"/>
          </w:tcPr>
          <w:p w14:paraId="00000392"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3.178 €</w:t>
            </w:r>
          </w:p>
        </w:tc>
      </w:tr>
      <w:tr w:rsidR="00031646" w14:paraId="21706F01" w14:textId="77777777" w:rsidTr="00031646">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93"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Eixample</w:t>
            </w:r>
          </w:p>
        </w:tc>
        <w:tc>
          <w:tcPr>
            <w:tcW w:w="2355" w:type="dxa"/>
            <w:vAlign w:val="bottom"/>
          </w:tcPr>
          <w:p w14:paraId="00000394"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Sagrada </w:t>
            </w:r>
            <w:proofErr w:type="spellStart"/>
            <w:r>
              <w:rPr>
                <w:rFonts w:ascii="Open Sans" w:eastAsia="Open Sans" w:hAnsi="Open Sans" w:cs="Open Sans"/>
                <w:sz w:val="22"/>
                <w:szCs w:val="22"/>
              </w:rPr>
              <w:t>Família</w:t>
            </w:r>
            <w:proofErr w:type="spellEnd"/>
          </w:p>
        </w:tc>
        <w:tc>
          <w:tcPr>
            <w:tcW w:w="1941" w:type="dxa"/>
            <w:vAlign w:val="bottom"/>
          </w:tcPr>
          <w:p w14:paraId="00000395"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-4,0%</w:t>
            </w:r>
          </w:p>
        </w:tc>
        <w:tc>
          <w:tcPr>
            <w:tcW w:w="1879" w:type="dxa"/>
            <w:vAlign w:val="bottom"/>
          </w:tcPr>
          <w:p w14:paraId="00000396"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511" w:type="dxa"/>
            <w:vAlign w:val="bottom"/>
          </w:tcPr>
          <w:p w14:paraId="00000397"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4.259 €</w:t>
            </w:r>
          </w:p>
        </w:tc>
      </w:tr>
      <w:tr w:rsidR="00031646" w14:paraId="715F3168" w14:textId="77777777" w:rsidTr="0003164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98"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55" w:type="dxa"/>
            <w:vAlign w:val="bottom"/>
          </w:tcPr>
          <w:p w14:paraId="00000399" w14:textId="77777777" w:rsidR="00031646" w:rsidRDefault="00867CFF">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Besós i el Maresme</w:t>
            </w:r>
          </w:p>
        </w:tc>
        <w:tc>
          <w:tcPr>
            <w:tcW w:w="1941" w:type="dxa"/>
            <w:vAlign w:val="bottom"/>
          </w:tcPr>
          <w:p w14:paraId="0000039A"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-3,5%</w:t>
            </w:r>
          </w:p>
        </w:tc>
        <w:tc>
          <w:tcPr>
            <w:tcW w:w="1879" w:type="dxa"/>
            <w:vAlign w:val="bottom"/>
          </w:tcPr>
          <w:p w14:paraId="0000039B"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-16,9%</w:t>
            </w:r>
          </w:p>
        </w:tc>
        <w:tc>
          <w:tcPr>
            <w:tcW w:w="1511" w:type="dxa"/>
            <w:vAlign w:val="bottom"/>
          </w:tcPr>
          <w:p w14:paraId="0000039C" w14:textId="77777777" w:rsidR="00031646" w:rsidRDefault="00867CFF">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2.666 €</w:t>
            </w:r>
          </w:p>
        </w:tc>
      </w:tr>
      <w:tr w:rsidR="00031646" w14:paraId="6BF75DE3" w14:textId="77777777" w:rsidTr="00031646">
        <w:trPr>
          <w:trHeight w:val="286"/>
        </w:trPr>
        <w:tc>
          <w:tcPr>
            <w:cnfStyle w:val="001000000000" w:firstRow="0" w:lastRow="0" w:firstColumn="1" w:lastColumn="0" w:oddVBand="0" w:evenVBand="0" w:oddHBand="0" w:evenHBand="0" w:firstRowFirstColumn="0" w:firstRowLastColumn="0" w:lastRowFirstColumn="0" w:lastRowLastColumn="0"/>
            <w:tcW w:w="1614" w:type="dxa"/>
            <w:shd w:val="clear" w:color="auto" w:fill="1DBDC5"/>
            <w:vAlign w:val="bottom"/>
          </w:tcPr>
          <w:p w14:paraId="0000039D" w14:textId="77777777" w:rsidR="00031646" w:rsidRDefault="00867CFF">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55" w:type="dxa"/>
            <w:vAlign w:val="bottom"/>
          </w:tcPr>
          <w:p w14:paraId="0000039E" w14:textId="77777777" w:rsidR="00031646" w:rsidRDefault="00867CFF">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Hostafrancs</w:t>
            </w:r>
            <w:proofErr w:type="spellEnd"/>
          </w:p>
        </w:tc>
        <w:tc>
          <w:tcPr>
            <w:tcW w:w="1941" w:type="dxa"/>
            <w:vAlign w:val="bottom"/>
          </w:tcPr>
          <w:p w14:paraId="0000039F"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-3,3%</w:t>
            </w:r>
          </w:p>
        </w:tc>
        <w:tc>
          <w:tcPr>
            <w:tcW w:w="1879" w:type="dxa"/>
            <w:vAlign w:val="bottom"/>
          </w:tcPr>
          <w:p w14:paraId="000003A0"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1511" w:type="dxa"/>
            <w:vAlign w:val="bottom"/>
          </w:tcPr>
          <w:p w14:paraId="000003A1" w14:textId="77777777" w:rsidR="00031646" w:rsidRDefault="00867CFF">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3.656 €</w:t>
            </w:r>
          </w:p>
        </w:tc>
      </w:tr>
    </w:tbl>
    <w:p w14:paraId="000003A2" w14:textId="77777777" w:rsidR="00031646" w:rsidRDefault="00031646">
      <w:pPr>
        <w:spacing w:line="276" w:lineRule="auto"/>
        <w:ind w:right="-574"/>
        <w:jc w:val="right"/>
        <w:rPr>
          <w:rFonts w:ascii="Open Sans Light" w:eastAsia="Open Sans Light" w:hAnsi="Open Sans Light" w:cs="Open Sans Light"/>
          <w:b/>
          <w:color w:val="303AB2"/>
        </w:rPr>
      </w:pPr>
    </w:p>
    <w:p w14:paraId="2652D267" w14:textId="77777777" w:rsidR="00CE7D09" w:rsidRDefault="00CE7D09" w:rsidP="00CE7D0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25E86F8" w14:textId="77777777" w:rsidR="00CE7D09" w:rsidRDefault="00CE7D09" w:rsidP="00CE7D09">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F6CB1DC" w14:textId="77777777" w:rsidR="00CE7D09" w:rsidRDefault="00CE7D09" w:rsidP="00CE7D09">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57F00FA0" w14:textId="77777777" w:rsidR="00CE7D09" w:rsidRDefault="00CE7D09" w:rsidP="00CE7D09">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2F944AA3" w14:textId="77777777" w:rsidR="00CE7D09" w:rsidRDefault="00546376" w:rsidP="00CE7D09">
      <w:pPr>
        <w:shd w:val="clear" w:color="auto" w:fill="FFFFFF"/>
        <w:spacing w:before="280" w:after="280" w:line="276" w:lineRule="auto"/>
        <w:ind w:right="-716"/>
        <w:jc w:val="both"/>
        <w:rPr>
          <w:rFonts w:ascii="Open Sans" w:eastAsia="Open Sans" w:hAnsi="Open Sans" w:cs="Open Sans"/>
          <w:color w:val="000000"/>
          <w:sz w:val="21"/>
          <w:szCs w:val="21"/>
        </w:rPr>
      </w:pPr>
      <w:hyperlink r:id="rId25">
        <w:r w:rsidR="00CE7D09">
          <w:rPr>
            <w:rFonts w:ascii="Open Sans" w:eastAsia="Open Sans" w:hAnsi="Open Sans" w:cs="Open Sans"/>
            <w:color w:val="0000FF"/>
            <w:sz w:val="22"/>
            <w:szCs w:val="22"/>
            <w:u w:val="single"/>
          </w:rPr>
          <w:t>Más información sobre Fotocasa</w:t>
        </w:r>
      </w:hyperlink>
      <w:r w:rsidR="00CE7D09">
        <w:rPr>
          <w:rFonts w:ascii="Open Sans" w:eastAsia="Open Sans" w:hAnsi="Open Sans" w:cs="Open Sans"/>
          <w:color w:val="000000"/>
          <w:sz w:val="22"/>
          <w:szCs w:val="22"/>
        </w:rPr>
        <w:t xml:space="preserve">. </w:t>
      </w:r>
    </w:p>
    <w:p w14:paraId="67001D10" w14:textId="77777777" w:rsidR="00CE7D09" w:rsidRDefault="00CE7D09" w:rsidP="00CE7D0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A67E474" w14:textId="77777777" w:rsidR="00CE7D09" w:rsidRDefault="00CE7D09" w:rsidP="00CE7D09">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w:t>
      </w:r>
      <w:r>
        <w:rPr>
          <w:rFonts w:ascii="Open Sans" w:eastAsia="Open Sans" w:hAnsi="Open Sans" w:cs="Open Sans"/>
          <w:color w:val="000000"/>
          <w:sz w:val="22"/>
          <w:szCs w:val="22"/>
        </w:rPr>
        <w:lastRenderedPageBreak/>
        <w:t>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4EB3F05C" w14:textId="77777777" w:rsidR="00CE7D09" w:rsidRDefault="00CE7D09" w:rsidP="00CE7D09">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6818D86E" w14:textId="77777777" w:rsidR="00CE7D09" w:rsidRDefault="00CE7D09" w:rsidP="00CE7D09">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1C33DA17" w14:textId="77777777" w:rsidR="00CE7D09" w:rsidRDefault="00CE7D09" w:rsidP="00CE7D09">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31">
        <w:r>
          <w:rPr>
            <w:rFonts w:ascii="Open Sans" w:eastAsia="Open Sans" w:hAnsi="Open Sans" w:cs="Open Sans"/>
            <w:color w:val="1155CC"/>
            <w:sz w:val="22"/>
            <w:szCs w:val="22"/>
            <w:u w:val="single"/>
          </w:rPr>
          <w:t>adevinta.es</w:t>
        </w:r>
      </w:hyperlink>
    </w:p>
    <w:p w14:paraId="0C426DF0" w14:textId="77777777" w:rsidR="00CE7D09" w:rsidRDefault="00CE7D09" w:rsidP="00CE7D09">
      <w:pPr>
        <w:shd w:val="clear" w:color="auto" w:fill="FFFFFF"/>
        <w:spacing w:line="276" w:lineRule="auto"/>
        <w:ind w:right="-716"/>
        <w:jc w:val="both"/>
        <w:rPr>
          <w:rFonts w:ascii="Open Sans" w:eastAsia="Open Sans" w:hAnsi="Open Sans" w:cs="Open Sans"/>
          <w:color w:val="000000"/>
          <w:sz w:val="21"/>
          <w:szCs w:val="21"/>
        </w:rPr>
      </w:pPr>
    </w:p>
    <w:p w14:paraId="6B8051E6" w14:textId="77777777" w:rsidR="00CE7D09" w:rsidRDefault="00CE7D09" w:rsidP="00CE7D09">
      <w:pPr>
        <w:spacing w:line="276" w:lineRule="auto"/>
        <w:ind w:right="-716"/>
        <w:rPr>
          <w:rFonts w:ascii="Open Sans Light" w:eastAsia="Open Sans Light" w:hAnsi="Open Sans Light" w:cs="Open Sans Light"/>
          <w:b/>
          <w:color w:val="303AB2"/>
          <w:sz w:val="22"/>
          <w:szCs w:val="22"/>
        </w:rPr>
      </w:pPr>
    </w:p>
    <w:p w14:paraId="34D2C9DC" w14:textId="1741D6E5" w:rsidR="00CE7D09" w:rsidRDefault="00CE7D09" w:rsidP="00CE7D09">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1596C694" w14:textId="394CF960" w:rsidR="00CE7D09" w:rsidRDefault="00CE7D09" w:rsidP="00CE7D09">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544CE472" w14:textId="77777777" w:rsidR="00CE7D09" w:rsidRDefault="00546376" w:rsidP="00CE7D09">
      <w:pPr>
        <w:shd w:val="clear" w:color="auto" w:fill="FFFFFF"/>
        <w:spacing w:line="276" w:lineRule="auto"/>
        <w:ind w:right="-716"/>
        <w:rPr>
          <w:rFonts w:ascii="Open Sans" w:eastAsia="Open Sans" w:hAnsi="Open Sans" w:cs="Open Sans"/>
          <w:color w:val="0000FF"/>
          <w:sz w:val="19"/>
          <w:szCs w:val="19"/>
          <w:u w:val="single"/>
        </w:rPr>
      </w:pPr>
      <w:hyperlink r:id="rId32">
        <w:r w:rsidR="00CE7D09">
          <w:rPr>
            <w:rFonts w:ascii="Open Sans" w:eastAsia="Open Sans" w:hAnsi="Open Sans" w:cs="Open Sans"/>
            <w:color w:val="0000FF"/>
            <w:sz w:val="19"/>
            <w:szCs w:val="19"/>
            <w:u w:val="single"/>
          </w:rPr>
          <w:t>rtorne@llorenteycuenca.com</w:t>
        </w:r>
      </w:hyperlink>
      <w:r w:rsidR="00CE7D09">
        <w:rPr>
          <w:rFonts w:ascii="Open Sans" w:eastAsia="Open Sans" w:hAnsi="Open Sans" w:cs="Open Sans"/>
          <w:color w:val="0000FF"/>
          <w:sz w:val="19"/>
          <w:szCs w:val="19"/>
        </w:rPr>
        <w:tab/>
      </w:r>
      <w:r w:rsidR="00CE7D09">
        <w:rPr>
          <w:rFonts w:ascii="Open Sans" w:eastAsia="Open Sans" w:hAnsi="Open Sans" w:cs="Open Sans"/>
          <w:color w:val="0000FF"/>
          <w:sz w:val="19"/>
          <w:szCs w:val="19"/>
        </w:rPr>
        <w:tab/>
      </w:r>
      <w:r w:rsidR="00CE7D09">
        <w:rPr>
          <w:rFonts w:ascii="Open Sans" w:eastAsia="Open Sans" w:hAnsi="Open Sans" w:cs="Open Sans"/>
          <w:color w:val="0000FF"/>
          <w:sz w:val="19"/>
          <w:szCs w:val="19"/>
        </w:rPr>
        <w:tab/>
        <w:t xml:space="preserve">                                                  </w:t>
      </w:r>
      <w:hyperlink r:id="rId33">
        <w:r w:rsidR="00CE7D09">
          <w:rPr>
            <w:rFonts w:ascii="Open Sans" w:eastAsia="Open Sans" w:hAnsi="Open Sans" w:cs="Open Sans"/>
            <w:color w:val="0000FF"/>
            <w:sz w:val="19"/>
            <w:szCs w:val="19"/>
            <w:u w:val="single"/>
          </w:rPr>
          <w:t>comunicacion@fotocasa.es</w:t>
        </w:r>
      </w:hyperlink>
    </w:p>
    <w:p w14:paraId="24E4CA99" w14:textId="07BF41C6" w:rsidR="00CE7D09" w:rsidRDefault="00CE7D09" w:rsidP="00CE7D09">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783D199C" w14:textId="77777777" w:rsidR="00CE7D09" w:rsidRDefault="00CE7D09" w:rsidP="00CE7D09">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B0C6131" w14:textId="77777777" w:rsidR="00CE7D09" w:rsidRDefault="00CE7D09" w:rsidP="00CE7D09">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4F987D2" w14:textId="77777777" w:rsidR="00CE7D09" w:rsidRDefault="00546376" w:rsidP="00CE7D09">
      <w:pPr>
        <w:shd w:val="clear" w:color="auto" w:fill="FFFFFF"/>
        <w:ind w:right="-716"/>
        <w:rPr>
          <w:rFonts w:ascii="Open Sans" w:eastAsia="Open Sans" w:hAnsi="Open Sans" w:cs="Open Sans"/>
          <w:color w:val="0000FF"/>
          <w:sz w:val="19"/>
          <w:szCs w:val="19"/>
        </w:rPr>
      </w:pPr>
      <w:hyperlink r:id="rId34">
        <w:r w:rsidR="00CE7D09">
          <w:rPr>
            <w:rFonts w:ascii="Open Sans" w:eastAsia="Open Sans" w:hAnsi="Open Sans" w:cs="Open Sans"/>
            <w:color w:val="0000FF"/>
            <w:sz w:val="19"/>
            <w:szCs w:val="19"/>
            <w:u w:val="single"/>
          </w:rPr>
          <w:t>emerino@llorenteycuenca.com</w:t>
        </w:r>
      </w:hyperlink>
    </w:p>
    <w:p w14:paraId="73DC2FCB" w14:textId="77777777" w:rsidR="00CE7D09" w:rsidRDefault="00CE7D09" w:rsidP="00CE7D09">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61227AE7" w14:textId="77777777" w:rsidR="00CE7D09" w:rsidRDefault="00CE7D09" w:rsidP="00CE7D09">
      <w:pPr>
        <w:shd w:val="clear" w:color="auto" w:fill="FFFFFF"/>
        <w:ind w:right="-716"/>
        <w:rPr>
          <w:rFonts w:ascii="Open Sans" w:eastAsia="Open Sans" w:hAnsi="Open Sans" w:cs="Open Sans"/>
          <w:color w:val="000000"/>
          <w:sz w:val="19"/>
          <w:szCs w:val="19"/>
        </w:rPr>
      </w:pPr>
    </w:p>
    <w:p w14:paraId="02D1C903" w14:textId="77777777" w:rsidR="00CE7D09" w:rsidRDefault="00CE7D09" w:rsidP="00CE7D09">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45192A71" w14:textId="77777777" w:rsidR="00CE7D09" w:rsidRDefault="00546376" w:rsidP="00CE7D09">
      <w:pPr>
        <w:shd w:val="clear" w:color="auto" w:fill="FFFFFF"/>
        <w:ind w:right="-716"/>
        <w:rPr>
          <w:rFonts w:ascii="Open Sans" w:eastAsia="Open Sans" w:hAnsi="Open Sans" w:cs="Open Sans"/>
          <w:color w:val="0000FF"/>
          <w:sz w:val="19"/>
          <w:szCs w:val="19"/>
        </w:rPr>
      </w:pPr>
      <w:hyperlink r:id="rId35">
        <w:r w:rsidR="00CE7D09">
          <w:rPr>
            <w:rFonts w:ascii="Open Sans" w:eastAsia="Open Sans" w:hAnsi="Open Sans" w:cs="Open Sans"/>
            <w:color w:val="0000FF"/>
            <w:sz w:val="19"/>
            <w:szCs w:val="19"/>
            <w:u w:val="single"/>
          </w:rPr>
          <w:t>llazaro@llorenteycuenca.com</w:t>
        </w:r>
      </w:hyperlink>
    </w:p>
    <w:p w14:paraId="717E0D4A" w14:textId="77777777" w:rsidR="00CE7D09" w:rsidRDefault="00CE7D09" w:rsidP="00CE7D09">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000003B0" w14:textId="77777777" w:rsidR="00031646" w:rsidRDefault="00031646" w:rsidP="00CE7D09">
      <w:pPr>
        <w:spacing w:line="276" w:lineRule="auto"/>
        <w:ind w:right="-574"/>
        <w:jc w:val="right"/>
        <w:rPr>
          <w:rFonts w:ascii="Times New Roman" w:eastAsia="Times New Roman" w:hAnsi="Times New Roman" w:cs="Times New Roman"/>
          <w:color w:val="000000"/>
        </w:rPr>
      </w:pPr>
    </w:p>
    <w:sectPr w:rsidR="00031646">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774E"/>
    <w:multiLevelType w:val="multilevel"/>
    <w:tmpl w:val="882A5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46"/>
    <w:rsid w:val="00031646"/>
    <w:rsid w:val="00546376"/>
    <w:rsid w:val="00867CFF"/>
    <w:rsid w:val="00CE7D09"/>
    <w:rsid w:val="00D93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AB38"/>
  <w15:docId w15:val="{EFDEC171-C3DA-4F09-BD80-8AEC7059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867CFF"/>
    <w:rPr>
      <w:color w:val="605E5C"/>
      <w:shd w:val="clear" w:color="auto" w:fill="E1DFDD"/>
    </w:rPr>
  </w:style>
  <w:style w:type="character" w:styleId="Hipervnculovisitado">
    <w:name w:val="FollowedHyperlink"/>
    <w:basedOn w:val="Fuentedeprrafopredeter"/>
    <w:uiPriority w:val="99"/>
    <w:semiHidden/>
    <w:unhideWhenUsed/>
    <w:rsid w:val="00546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fotocasa.es/es/" TargetMode="External"/><Relationship Id="rId21" Type="http://schemas.openxmlformats.org/officeDocument/2006/relationships/hyperlink" Target="https://www.fotocasa.es" TargetMode="External"/><Relationship Id="rId34" Type="http://schemas.openxmlformats.org/officeDocument/2006/relationships/hyperlink" Target="mailto:emerino@llorenteycuenca.com" TargetMode="External"/><Relationship Id="rId7" Type="http://schemas.openxmlformats.org/officeDocument/2006/relationships/hyperlink" Target="https://youtu.be/rxOoUz3LteI" TargetMode="Externa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s://www.fotocasa.es/es/quienes-somos/" TargetMode="External"/><Relationship Id="rId33"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rxOoUz3LteI" TargetMode="External"/><Relationship Id="rId24" Type="http://schemas.openxmlformats.org/officeDocument/2006/relationships/hyperlink" Target="http://prensa.fotocasa.es" TargetMode="External"/><Relationship Id="rId32" Type="http://schemas.openxmlformats.org/officeDocument/2006/relationships/hyperlink" Target="mailto:rtorne@llorenteycuenc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fontTable" Target="fontTable.xml"/><Relationship Id="rId10" Type="http://schemas.openxmlformats.org/officeDocument/2006/relationships/hyperlink" Target="https://www.fotocasa.es" TargetMode="External"/><Relationship Id="rId19" Type="http://schemas.openxmlformats.org/officeDocument/2006/relationships/image" Target="media/image8.png"/><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s://www.fotocasa.es"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llazaro@llorenteycuenca.com" TargetMode="External"/><Relationship Id="rId8" Type="http://schemas.openxmlformats.org/officeDocument/2006/relationships/hyperlink" Target="https://www.fotocasa.es"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1\06-JUNIO\PRENSA%20VENTA%20JUNI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2.8468706290614165E-2"/>
          <c:y val="5.8084914280075443E-2"/>
          <c:w val="0.94885678271547336"/>
          <c:h val="0.6422783165266569"/>
        </c:manualLayout>
      </c:layout>
      <c:barChart>
        <c:barDir val="col"/>
        <c:grouping val="clustered"/>
        <c:varyColors val="0"/>
        <c:ser>
          <c:idx val="0"/>
          <c:order val="0"/>
          <c:tx>
            <c:strRef>
              <c:f>comu!$C$26</c:f>
              <c:strCache>
                <c:ptCount val="1"/>
                <c:pt idx="0">
                  <c:v>  Variación mensual  </c:v>
                </c:pt>
              </c:strCache>
            </c:strRef>
          </c:tx>
          <c:spPr>
            <a:solidFill>
              <a:schemeClr val="accent1"/>
            </a:solidFill>
            <a:ln>
              <a:noFill/>
            </a:ln>
            <a:effectLst/>
          </c:spPr>
          <c:invertIfNegative val="0"/>
          <c:dLbls>
            <c:dLbl>
              <c:idx val="3"/>
              <c:layout>
                <c:manualLayout>
                  <c:x val="-2.6881720430107624E-2"/>
                  <c:y val="1.7699115044247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C4-4C7F-A6C5-3E3354294A64}"/>
                </c:ext>
              </c:extLst>
            </c:dLbl>
            <c:dLbl>
              <c:idx val="5"/>
              <c:layout>
                <c:manualLayout>
                  <c:x val="-1.3440860215053863E-2"/>
                  <c:y val="1.1799410029498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C4-4C7F-A6C5-3E3354294A6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comu!$A$38:$B$43</c:f>
              <c:strCache>
                <c:ptCount val="6"/>
                <c:pt idx="0">
                  <c:v>T2 - 2016</c:v>
                </c:pt>
                <c:pt idx="1">
                  <c:v>T2 - 2017</c:v>
                </c:pt>
                <c:pt idx="2">
                  <c:v>T2 - 2018</c:v>
                </c:pt>
                <c:pt idx="3">
                  <c:v>T2 - 2019</c:v>
                </c:pt>
                <c:pt idx="4">
                  <c:v>T2 - 2020</c:v>
                </c:pt>
                <c:pt idx="5">
                  <c:v>T2 - 2021</c:v>
                </c:pt>
              </c:strCache>
            </c:strRef>
          </c:cat>
          <c:val>
            <c:numRef>
              <c:f>comu!$C$38:$C$43</c:f>
              <c:numCache>
                <c:formatCode>#,##0.0"%"</c:formatCode>
                <c:ptCount val="6"/>
                <c:pt idx="0">
                  <c:v>4.8505935110676468E-2</c:v>
                </c:pt>
                <c:pt idx="1">
                  <c:v>0.84925636931858506</c:v>
                </c:pt>
                <c:pt idx="2">
                  <c:v>0.99181996482611279</c:v>
                </c:pt>
                <c:pt idx="3">
                  <c:v>0.6139</c:v>
                </c:pt>
                <c:pt idx="4">
                  <c:v>-0.23109568106666201</c:v>
                </c:pt>
                <c:pt idx="5">
                  <c:v>-0.49190548651619759</c:v>
                </c:pt>
              </c:numCache>
            </c:numRef>
          </c:val>
          <c:extLst>
            <c:ext xmlns:c16="http://schemas.microsoft.com/office/drawing/2014/chart" uri="{C3380CC4-5D6E-409C-BE32-E72D297353CC}">
              <c16:uniqueId val="{00000000-B5C4-4C7F-A6C5-3E3354294A64}"/>
            </c:ext>
          </c:extLst>
        </c:ser>
        <c:ser>
          <c:idx val="1"/>
          <c:order val="1"/>
          <c:tx>
            <c:strRef>
              <c:f>comu!$D$26</c:f>
              <c:strCache>
                <c:ptCount val="1"/>
                <c:pt idx="0">
                  <c:v>  Variación trimestral </c:v>
                </c:pt>
              </c:strCache>
            </c:strRef>
          </c:tx>
          <c:spPr>
            <a:solidFill>
              <a:srgbClr val="61C2C7"/>
            </a:solidFill>
            <a:ln>
              <a:noFill/>
            </a:ln>
            <a:effectLst/>
          </c:spPr>
          <c:invertIfNegative val="0"/>
          <c:dLbls>
            <c:dLbl>
              <c:idx val="1"/>
              <c:layout>
                <c:manualLayout>
                  <c:x val="-2.3076923076923078E-2"/>
                  <c:y val="-3.77358490566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C4-4C7F-A6C5-3E3354294A64}"/>
                </c:ext>
              </c:extLst>
            </c:dLbl>
            <c:dLbl>
              <c:idx val="3"/>
              <c:layout>
                <c:manualLayout>
                  <c:x val="1.07526881720429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C4-4C7F-A6C5-3E3354294A64}"/>
                </c:ext>
              </c:extLst>
            </c:dLbl>
            <c:dLbl>
              <c:idx val="5"/>
              <c:layout>
                <c:manualLayout>
                  <c:x val="8.0645161290322578E-3"/>
                  <c:y val="-2.359835551529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C4-4C7F-A6C5-3E3354294A64}"/>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0"/>
              </c:ext>
            </c:extLst>
          </c:dLbls>
          <c:cat>
            <c:strRef>
              <c:f>comu!$A$38:$B$43</c:f>
              <c:strCache>
                <c:ptCount val="6"/>
                <c:pt idx="0">
                  <c:v>T2 - 2016</c:v>
                </c:pt>
                <c:pt idx="1">
                  <c:v>T2 - 2017</c:v>
                </c:pt>
                <c:pt idx="2">
                  <c:v>T2 - 2018</c:v>
                </c:pt>
                <c:pt idx="3">
                  <c:v>T2 - 2019</c:v>
                </c:pt>
                <c:pt idx="4">
                  <c:v>T2 - 2020</c:v>
                </c:pt>
                <c:pt idx="5">
                  <c:v>T2 - 2021</c:v>
                </c:pt>
              </c:strCache>
            </c:strRef>
          </c:cat>
          <c:val>
            <c:numRef>
              <c:f>comu!$D$38:$D$43</c:f>
              <c:numCache>
                <c:formatCode>#,##0.0"%"</c:formatCode>
                <c:ptCount val="6"/>
                <c:pt idx="0">
                  <c:v>-0.42480706154588432</c:v>
                </c:pt>
                <c:pt idx="1">
                  <c:v>1.7888681856617961</c:v>
                </c:pt>
                <c:pt idx="2">
                  <c:v>3.0334305077088564</c:v>
                </c:pt>
                <c:pt idx="3">
                  <c:v>0.50309999999999999</c:v>
                </c:pt>
                <c:pt idx="4">
                  <c:v>1.5953663907131377</c:v>
                </c:pt>
                <c:pt idx="5">
                  <c:v>-0.72636800185544859</c:v>
                </c:pt>
              </c:numCache>
            </c:numRef>
          </c:val>
          <c:extLst>
            <c:ext xmlns:c16="http://schemas.microsoft.com/office/drawing/2014/chart" uri="{C3380CC4-5D6E-409C-BE32-E72D297353CC}">
              <c16:uniqueId val="{00000001-B5C4-4C7F-A6C5-3E3354294A64}"/>
            </c:ext>
          </c:extLst>
        </c:ser>
        <c:ser>
          <c:idx val="2"/>
          <c:order val="2"/>
          <c:tx>
            <c:strRef>
              <c:f>comu!$E$26</c:f>
              <c:strCache>
                <c:ptCount val="1"/>
                <c:pt idx="0">
                  <c:v>  Variación interanual </c:v>
                </c:pt>
              </c:strCache>
            </c:strRef>
          </c:tx>
          <c:spPr>
            <a:solidFill>
              <a:sysClr val="window" lastClr="FFFFFF">
                <a:lumMod val="85000"/>
              </a:sysClr>
            </a:solidFill>
            <a:ln>
              <a:noFill/>
            </a:ln>
            <a:effectLst/>
          </c:spPr>
          <c:invertIfNegative val="0"/>
          <c:dLbls>
            <c:dLbl>
              <c:idx val="0"/>
              <c:layout>
                <c:manualLayout>
                  <c:x val="8.21680991089610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C4-4C7F-A6C5-3E3354294A64}"/>
                </c:ext>
              </c:extLst>
            </c:dLbl>
            <c:dLbl>
              <c:idx val="4"/>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C4-4C7F-A6C5-3E3354294A6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comu!$A$38:$B$43</c:f>
              <c:strCache>
                <c:ptCount val="6"/>
                <c:pt idx="0">
                  <c:v>T2 - 2016</c:v>
                </c:pt>
                <c:pt idx="1">
                  <c:v>T2 - 2017</c:v>
                </c:pt>
                <c:pt idx="2">
                  <c:v>T2 - 2018</c:v>
                </c:pt>
                <c:pt idx="3">
                  <c:v>T2 - 2019</c:v>
                </c:pt>
                <c:pt idx="4">
                  <c:v>T2 - 2020</c:v>
                </c:pt>
                <c:pt idx="5">
                  <c:v>T2 - 2021</c:v>
                </c:pt>
              </c:strCache>
            </c:strRef>
          </c:cat>
          <c:val>
            <c:numRef>
              <c:f>comu!$E$38:$E$43</c:f>
              <c:numCache>
                <c:formatCode>#,##0.0"%"</c:formatCode>
                <c:ptCount val="6"/>
                <c:pt idx="0">
                  <c:v>-0.85776079454706888</c:v>
                </c:pt>
                <c:pt idx="1">
                  <c:v>4.4985996298581021</c:v>
                </c:pt>
                <c:pt idx="2">
                  <c:v>6.5788554764288909</c:v>
                </c:pt>
                <c:pt idx="3">
                  <c:v>5.7843990377558496</c:v>
                </c:pt>
                <c:pt idx="4">
                  <c:v>-1.8914307125737828</c:v>
                </c:pt>
                <c:pt idx="5">
                  <c:v>0.51556570794215606</c:v>
                </c:pt>
              </c:numCache>
            </c:numRef>
          </c:val>
          <c:extLst>
            <c:ext xmlns:c16="http://schemas.microsoft.com/office/drawing/2014/chart" uri="{C3380CC4-5D6E-409C-BE32-E72D297353CC}">
              <c16:uniqueId val="{00000004-B5C4-4C7F-A6C5-3E3354294A64}"/>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4.2503053683187672E-2"/>
          <c:y val="0.87245282910144895"/>
          <c:w val="0.85926224347185198"/>
          <c:h val="0.112873902056266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dyk7NfHyA/tvXy1bo4rs43vYQ==">AMUW2mVn4oUcPLW9QZi4ZB1slizp9KMVCcMa9SDRVoMXldQAOQ9SzOeRYR3Yx/vljMK2+t085WI8WU5zR6qpQLtvaBOdVMO5TtPgnM46+vDNju8RXrnN3Vo=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3227</Words>
  <Characters>17751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cp:lastPrinted>2021-07-05T08:11:00Z</cp:lastPrinted>
  <dcterms:created xsi:type="dcterms:W3CDTF">2021-06-23T10:12:00Z</dcterms:created>
  <dcterms:modified xsi:type="dcterms:W3CDTF">2021-07-05T11:59:00Z</dcterms:modified>
</cp:coreProperties>
</file>