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7A5345" w:rsidRDefault="00FA7A27">
      <w:pPr>
        <w:ind w:right="-574"/>
      </w:pPr>
      <w:r>
        <w:rPr>
          <w:noProof/>
        </w:rPr>
        <w:drawing>
          <wp:anchor distT="0" distB="0" distL="114300" distR="114300" simplePos="0" relativeHeight="251658240" behindDoc="0" locked="0" layoutInCell="1" hidden="0" allowOverlap="1">
            <wp:simplePos x="0" y="0"/>
            <wp:positionH relativeFrom="column">
              <wp:posOffset>-1078863</wp:posOffset>
            </wp:positionH>
            <wp:positionV relativeFrom="paragraph">
              <wp:posOffset>-350451</wp:posOffset>
            </wp:positionV>
            <wp:extent cx="7581265" cy="101917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000002" w14:textId="77777777" w:rsidR="007A5345" w:rsidRDefault="007A5345">
      <w:pPr>
        <w:ind w:right="-574"/>
        <w:jc w:val="right"/>
        <w:rPr>
          <w:rFonts w:ascii="National" w:eastAsia="National" w:hAnsi="National" w:cs="National"/>
          <w:color w:val="303AB2"/>
          <w:sz w:val="36"/>
          <w:szCs w:val="36"/>
        </w:rPr>
      </w:pPr>
    </w:p>
    <w:p w14:paraId="00000003" w14:textId="77777777" w:rsidR="007A5345" w:rsidRDefault="007A5345">
      <w:pPr>
        <w:ind w:right="-574"/>
        <w:jc w:val="right"/>
        <w:rPr>
          <w:rFonts w:ascii="National" w:eastAsia="National" w:hAnsi="National" w:cs="National"/>
          <w:color w:val="303AB2"/>
          <w:sz w:val="36"/>
          <w:szCs w:val="36"/>
        </w:rPr>
      </w:pPr>
    </w:p>
    <w:p w14:paraId="00000004" w14:textId="77777777" w:rsidR="007A5345" w:rsidRDefault="007A5345">
      <w:pPr>
        <w:spacing w:line="276" w:lineRule="auto"/>
        <w:ind w:right="-574"/>
        <w:jc w:val="center"/>
        <w:rPr>
          <w:rFonts w:ascii="National" w:eastAsia="National" w:hAnsi="National" w:cs="National"/>
          <w:b/>
          <w:color w:val="1DBDC5"/>
          <w:sz w:val="20"/>
          <w:szCs w:val="20"/>
        </w:rPr>
      </w:pPr>
    </w:p>
    <w:p w14:paraId="00000005" w14:textId="77777777" w:rsidR="007A5345" w:rsidRDefault="00FA7A27">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 xml:space="preserve">ANÁLISIS ALQUILER TURÍSTICO </w:t>
      </w:r>
    </w:p>
    <w:p w14:paraId="00000006" w14:textId="77777777" w:rsidR="007A5345" w:rsidRDefault="00FA7A27">
      <w:pPr>
        <w:ind w:right="-574"/>
        <w:jc w:val="center"/>
        <w:rPr>
          <w:rFonts w:ascii="National" w:eastAsia="National" w:hAnsi="National" w:cs="National"/>
          <w:b/>
          <w:color w:val="303AB2"/>
          <w:sz w:val="54"/>
          <w:szCs w:val="54"/>
        </w:rPr>
      </w:pPr>
      <w:r>
        <w:rPr>
          <w:rFonts w:ascii="National" w:eastAsia="National" w:hAnsi="National" w:cs="National"/>
          <w:b/>
          <w:color w:val="303AB2"/>
          <w:sz w:val="54"/>
          <w:szCs w:val="54"/>
        </w:rPr>
        <w:t>Casi el 40% de los pisos turísticos se mantiene en el alquiler residencial tras un año de pandemia</w:t>
      </w:r>
    </w:p>
    <w:p w14:paraId="00000007" w14:textId="77777777" w:rsidR="007A5345" w:rsidRDefault="007A5345">
      <w:pPr>
        <w:pBdr>
          <w:top w:val="nil"/>
          <w:left w:val="nil"/>
          <w:bottom w:val="nil"/>
          <w:right w:val="nil"/>
          <w:between w:val="nil"/>
        </w:pBdr>
        <w:spacing w:line="276" w:lineRule="auto"/>
        <w:ind w:left="644" w:right="-574"/>
        <w:rPr>
          <w:rFonts w:ascii="Open Sans" w:eastAsia="Open Sans" w:hAnsi="Open Sans" w:cs="Open Sans"/>
          <w:color w:val="000000"/>
          <w:sz w:val="22"/>
          <w:szCs w:val="22"/>
        </w:rPr>
      </w:pPr>
    </w:p>
    <w:p w14:paraId="00000008" w14:textId="77777777" w:rsidR="007A5345" w:rsidRDefault="00FA7A27">
      <w:pPr>
        <w:numPr>
          <w:ilvl w:val="0"/>
          <w:numId w:val="1"/>
        </w:numPr>
        <w:pBdr>
          <w:top w:val="nil"/>
          <w:left w:val="nil"/>
          <w:bottom w:val="nil"/>
          <w:right w:val="nil"/>
          <w:between w:val="nil"/>
        </w:pBdr>
        <w:spacing w:line="276" w:lineRule="auto"/>
        <w:ind w:right="-574" w:hanging="360"/>
        <w:rPr>
          <w:rFonts w:ascii="Open Sans" w:eastAsia="Open Sans" w:hAnsi="Open Sans" w:cs="Open Sans"/>
          <w:color w:val="FF0000"/>
          <w:sz w:val="22"/>
          <w:szCs w:val="22"/>
        </w:rPr>
      </w:pPr>
      <w:r>
        <w:rPr>
          <w:rFonts w:ascii="Open Sans" w:eastAsia="Open Sans" w:hAnsi="Open Sans" w:cs="Open Sans"/>
          <w:sz w:val="22"/>
          <w:szCs w:val="22"/>
        </w:rPr>
        <w:t>De las viviendas que han pasado al alquiler residencial como consecuencia de la pandemia, un 20% lo ha hecho por un periodo limitado de tiempo y un 18% de forma indefinida</w:t>
      </w:r>
    </w:p>
    <w:p w14:paraId="00000009" w14:textId="77777777" w:rsidR="007A5345" w:rsidRDefault="00FA7A27">
      <w:pPr>
        <w:numPr>
          <w:ilvl w:val="0"/>
          <w:numId w:val="1"/>
        </w:numPr>
        <w:pBdr>
          <w:top w:val="nil"/>
          <w:left w:val="nil"/>
          <w:bottom w:val="nil"/>
          <w:right w:val="nil"/>
          <w:between w:val="nil"/>
        </w:pBdr>
        <w:spacing w:line="276" w:lineRule="auto"/>
        <w:ind w:right="-574" w:hanging="360"/>
        <w:rPr>
          <w:rFonts w:ascii="Open Sans" w:eastAsia="Open Sans" w:hAnsi="Open Sans" w:cs="Open Sans"/>
          <w:color w:val="FF0000"/>
          <w:sz w:val="22"/>
          <w:szCs w:val="22"/>
        </w:rPr>
      </w:pPr>
      <w:r>
        <w:rPr>
          <w:rFonts w:ascii="Open Sans" w:eastAsia="Open Sans" w:hAnsi="Open Sans" w:cs="Open Sans"/>
          <w:color w:val="000000"/>
          <w:sz w:val="22"/>
          <w:szCs w:val="22"/>
        </w:rPr>
        <w:t>En septiembre de 2020 el 64% de los propietarios que tenían alguna vivienda destinad</w:t>
      </w:r>
      <w:r>
        <w:rPr>
          <w:rFonts w:ascii="Open Sans" w:eastAsia="Open Sans" w:hAnsi="Open Sans" w:cs="Open Sans"/>
          <w:color w:val="000000"/>
          <w:sz w:val="22"/>
          <w:szCs w:val="22"/>
        </w:rPr>
        <w:t>a a alquiler vacacional en España se había pasado al alquiler residencial</w:t>
      </w:r>
    </w:p>
    <w:p w14:paraId="0000000A" w14:textId="30899528" w:rsidR="007A5345" w:rsidRPr="00113B21" w:rsidRDefault="00FA7A27">
      <w:pPr>
        <w:numPr>
          <w:ilvl w:val="0"/>
          <w:numId w:val="1"/>
        </w:numPr>
        <w:pBdr>
          <w:top w:val="nil"/>
          <w:left w:val="nil"/>
          <w:bottom w:val="nil"/>
          <w:right w:val="nil"/>
          <w:between w:val="nil"/>
        </w:pBdr>
        <w:spacing w:line="276" w:lineRule="auto"/>
        <w:ind w:right="-574" w:hanging="360"/>
        <w:rPr>
          <w:rFonts w:ascii="Open Sans" w:eastAsia="Open Sans" w:hAnsi="Open Sans" w:cs="Open Sans"/>
          <w:color w:val="FF0000"/>
          <w:sz w:val="22"/>
          <w:szCs w:val="22"/>
        </w:rPr>
      </w:pPr>
      <w:r>
        <w:rPr>
          <w:rFonts w:ascii="Open Sans" w:eastAsia="Open Sans" w:hAnsi="Open Sans" w:cs="Open Sans"/>
          <w:color w:val="000000"/>
          <w:sz w:val="22"/>
          <w:szCs w:val="22"/>
        </w:rPr>
        <w:t>El 3,6% de las viviendas que se compran son como inversión para ponerlas en régimen de alquiler vacacional</w:t>
      </w:r>
    </w:p>
    <w:p w14:paraId="292BF4CD" w14:textId="1EE6DF48" w:rsidR="00113B21" w:rsidRPr="00113B21" w:rsidRDefault="008764A9">
      <w:pPr>
        <w:numPr>
          <w:ilvl w:val="0"/>
          <w:numId w:val="1"/>
        </w:numPr>
        <w:pBdr>
          <w:top w:val="nil"/>
          <w:left w:val="nil"/>
          <w:bottom w:val="nil"/>
          <w:right w:val="nil"/>
          <w:between w:val="nil"/>
        </w:pBdr>
        <w:spacing w:line="276" w:lineRule="auto"/>
        <w:ind w:right="-574" w:hanging="360"/>
        <w:rPr>
          <w:rFonts w:ascii="Open Sans" w:eastAsia="Open Sans" w:hAnsi="Open Sans" w:cs="Open Sans"/>
          <w:color w:val="FF0000"/>
          <w:sz w:val="22"/>
          <w:szCs w:val="22"/>
        </w:rPr>
      </w:pPr>
      <w:hyperlink r:id="rId9" w:history="1">
        <w:r w:rsidR="00113B21" w:rsidRPr="008764A9">
          <w:rPr>
            <w:rStyle w:val="Hipervnculo"/>
            <w:rFonts w:ascii="Open Sans" w:eastAsia="Open Sans" w:hAnsi="Open Sans" w:cs="Open Sans"/>
            <w:sz w:val="22"/>
            <w:szCs w:val="22"/>
          </w:rPr>
          <w:t>Aquí se puede ver una valoración en vídeo</w:t>
        </w:r>
      </w:hyperlink>
      <w:r w:rsidR="00113B21">
        <w:rPr>
          <w:rFonts w:ascii="Open Sans" w:eastAsia="Open Sans" w:hAnsi="Open Sans" w:cs="Open Sans"/>
          <w:color w:val="000000"/>
          <w:sz w:val="22"/>
          <w:szCs w:val="22"/>
        </w:rPr>
        <w:t xml:space="preserve"> de los datos de la directora de Estudios </w:t>
      </w:r>
    </w:p>
    <w:p w14:paraId="0224654F" w14:textId="77777777" w:rsidR="00113B21" w:rsidRDefault="00113B21" w:rsidP="00113B21">
      <w:pPr>
        <w:pBdr>
          <w:top w:val="nil"/>
          <w:left w:val="nil"/>
          <w:bottom w:val="nil"/>
          <w:right w:val="nil"/>
          <w:between w:val="nil"/>
        </w:pBdr>
        <w:spacing w:line="276" w:lineRule="auto"/>
        <w:ind w:left="644" w:right="-574"/>
        <w:rPr>
          <w:rFonts w:ascii="Open Sans" w:eastAsia="Open Sans" w:hAnsi="Open Sans" w:cs="Open Sans"/>
          <w:color w:val="FF0000"/>
          <w:sz w:val="22"/>
          <w:szCs w:val="22"/>
        </w:rPr>
      </w:pPr>
    </w:p>
    <w:p w14:paraId="0000000B" w14:textId="77777777" w:rsidR="007A5345" w:rsidRDefault="007A5345">
      <w:pPr>
        <w:pBdr>
          <w:top w:val="nil"/>
          <w:left w:val="nil"/>
          <w:bottom w:val="nil"/>
          <w:right w:val="nil"/>
          <w:between w:val="nil"/>
        </w:pBdr>
        <w:spacing w:line="276" w:lineRule="auto"/>
        <w:ind w:left="644" w:right="-574"/>
        <w:rPr>
          <w:rFonts w:ascii="Open Sans" w:eastAsia="Open Sans" w:hAnsi="Open Sans" w:cs="Open Sans"/>
          <w:color w:val="000000"/>
          <w:sz w:val="22"/>
          <w:szCs w:val="22"/>
        </w:rPr>
      </w:pPr>
    </w:p>
    <w:p w14:paraId="0000000C" w14:textId="6EC48C4E" w:rsidR="007A5345" w:rsidRDefault="00FA7A27">
      <w:pPr>
        <w:spacing w:line="276" w:lineRule="auto"/>
        <w:ind w:right="-574"/>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F53BE9">
        <w:rPr>
          <w:rFonts w:ascii="Open Sans Light" w:eastAsia="Open Sans Light" w:hAnsi="Open Sans Light" w:cs="Open Sans Light"/>
          <w:b/>
          <w:color w:val="303AB2"/>
        </w:rPr>
        <w:t xml:space="preserve"> 21</w:t>
      </w:r>
      <w:r>
        <w:rPr>
          <w:rFonts w:ascii="Open Sans Light" w:eastAsia="Open Sans Light" w:hAnsi="Open Sans Light" w:cs="Open Sans Light"/>
          <w:b/>
          <w:color w:val="303AB2"/>
        </w:rPr>
        <w:t xml:space="preserve"> de julio de 2021</w:t>
      </w:r>
    </w:p>
    <w:p w14:paraId="0000000D"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Tras más de un año de pandemia, un 38% de las viviendas destinadas al alquiler vacacional en la época </w:t>
      </w:r>
      <w:proofErr w:type="spellStart"/>
      <w:r>
        <w:rPr>
          <w:rFonts w:ascii="Open Sans" w:eastAsia="Open Sans" w:hAnsi="Open Sans" w:cs="Open Sans"/>
          <w:color w:val="000000"/>
          <w:sz w:val="22"/>
          <w:szCs w:val="22"/>
        </w:rPr>
        <w:t>precovid</w:t>
      </w:r>
      <w:proofErr w:type="spellEnd"/>
      <w:r>
        <w:rPr>
          <w:rFonts w:ascii="Open Sans" w:eastAsia="Open Sans" w:hAnsi="Open Sans" w:cs="Open Sans"/>
          <w:color w:val="000000"/>
          <w:sz w:val="22"/>
          <w:szCs w:val="22"/>
        </w:rPr>
        <w:t xml:space="preserve"> se mantienen en el residencial, frente al 62% que han vuelto a la modalidad turística. Así se desprende de la segunda edición del estudio de </w:t>
      </w:r>
      <w:hyperlink r:id="rId10">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Impacto de la pandemia en el alquiler vacacional</w:t>
      </w:r>
      <w:r>
        <w:rPr>
          <w:rFonts w:ascii="Open Sans" w:eastAsia="Open Sans" w:hAnsi="Open Sans" w:cs="Open Sans"/>
          <w:color w:val="000000"/>
          <w:sz w:val="22"/>
          <w:szCs w:val="22"/>
        </w:rPr>
        <w:t xml:space="preserve">” realizado por el portal inmobiliario </w:t>
      </w:r>
      <w:hyperlink r:id="rId1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con la intención de analizar el impacto del alquiler t</w:t>
      </w:r>
      <w:r>
        <w:rPr>
          <w:rFonts w:ascii="Open Sans" w:eastAsia="Open Sans" w:hAnsi="Open Sans" w:cs="Open Sans"/>
          <w:color w:val="000000"/>
          <w:sz w:val="22"/>
          <w:szCs w:val="22"/>
        </w:rPr>
        <w:t xml:space="preserve">urístico durante la pandemia. </w:t>
      </w:r>
    </w:p>
    <w:p w14:paraId="0000000E"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De las viviendas turísticas que, como consecuencia de la pandemia, se han pasado al alquiler residencial, </w:t>
      </w:r>
      <w:r>
        <w:rPr>
          <w:rFonts w:ascii="Open Sans" w:eastAsia="Open Sans" w:hAnsi="Open Sans" w:cs="Open Sans"/>
          <w:b/>
          <w:sz w:val="22"/>
          <w:szCs w:val="22"/>
        </w:rPr>
        <w:t>un 20% lo ha hecho por un periodo limitado de tiempo</w:t>
      </w:r>
      <w:r>
        <w:rPr>
          <w:rFonts w:ascii="Open Sans" w:eastAsia="Open Sans" w:hAnsi="Open Sans" w:cs="Open Sans"/>
          <w:sz w:val="22"/>
          <w:szCs w:val="22"/>
        </w:rPr>
        <w:t xml:space="preserve"> y volverán al mercado turístico cuando la situación mejore. Sin em</w:t>
      </w:r>
      <w:r>
        <w:rPr>
          <w:rFonts w:ascii="Open Sans" w:eastAsia="Open Sans" w:hAnsi="Open Sans" w:cs="Open Sans"/>
          <w:sz w:val="22"/>
          <w:szCs w:val="22"/>
        </w:rPr>
        <w:t>bargo,</w:t>
      </w:r>
      <w:r>
        <w:rPr>
          <w:rFonts w:ascii="Open Sans" w:eastAsia="Open Sans" w:hAnsi="Open Sans" w:cs="Open Sans"/>
          <w:b/>
          <w:sz w:val="22"/>
          <w:szCs w:val="22"/>
        </w:rPr>
        <w:t xml:space="preserve"> un 18% se ha pasado al régimen residencial de forma indefinida</w:t>
      </w:r>
      <w:r>
        <w:rPr>
          <w:rFonts w:ascii="Open Sans" w:eastAsia="Open Sans" w:hAnsi="Open Sans" w:cs="Open Sans"/>
          <w:sz w:val="22"/>
          <w:szCs w:val="22"/>
        </w:rPr>
        <w:t xml:space="preserve">. La suma de estos dos últimos grupos es la que proporciona ese porcentaje del 38% de viviendas que actualmente continúa en el alquiler al residencial. </w:t>
      </w:r>
    </w:p>
    <w:p w14:paraId="0000000F" w14:textId="712B6728"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En septiembre de 2020, la primera </w:t>
      </w:r>
      <w:r>
        <w:rPr>
          <w:rFonts w:ascii="Open Sans" w:eastAsia="Open Sans" w:hAnsi="Open Sans" w:cs="Open Sans"/>
          <w:color w:val="000000"/>
          <w:sz w:val="22"/>
          <w:szCs w:val="22"/>
        </w:rPr>
        <w:t>edición del estudio “</w:t>
      </w:r>
      <w:r>
        <w:rPr>
          <w:rFonts w:ascii="Open Sans" w:eastAsia="Open Sans" w:hAnsi="Open Sans" w:cs="Open Sans"/>
          <w:b/>
          <w:color w:val="000000"/>
          <w:sz w:val="22"/>
          <w:szCs w:val="22"/>
        </w:rPr>
        <w:t>Impacto de la pandemia en el alquiler vacacional</w:t>
      </w:r>
      <w:r>
        <w:rPr>
          <w:rFonts w:ascii="Open Sans" w:eastAsia="Open Sans" w:hAnsi="Open Sans" w:cs="Open Sans"/>
          <w:color w:val="000000"/>
          <w:sz w:val="22"/>
          <w:szCs w:val="22"/>
        </w:rPr>
        <w:t xml:space="preserve">” revelaba que un 64% de los propietarios que tenían alguna vivienda destinada a alquiler vacacional en España se había pasado, como consecuencia de la COVID-19, al alquiler residencial. </w:t>
      </w:r>
      <w:r>
        <w:rPr>
          <w:rFonts w:ascii="Open Sans" w:eastAsia="Open Sans" w:hAnsi="Open Sans" w:cs="Open Sans"/>
          <w:color w:val="000000"/>
          <w:sz w:val="22"/>
          <w:szCs w:val="22"/>
        </w:rPr>
        <w:t xml:space="preserve">Medio año después, este porcentaje se ve ligeramente reducido, aunque el número de viviendas que se mantienen en la modalidad residencial continúa siendo significativo. </w:t>
      </w:r>
    </w:p>
    <w:p w14:paraId="2921561B" w14:textId="0C54C069" w:rsidR="00113B21" w:rsidRDefault="00922055">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noProof/>
        </w:rPr>
        <w:drawing>
          <wp:inline distT="0" distB="0" distL="0" distR="0" wp14:anchorId="2A663085" wp14:editId="1A10A01B">
            <wp:extent cx="5756117" cy="3524250"/>
            <wp:effectExtent l="0" t="0" r="0" b="0"/>
            <wp:docPr id="1" name="Imagen 1" descr="Una mujer con un micrófono en la mano&#10;&#10;Descripción generada automáticamente con confianza ba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mujer con un micrófono en la mano&#10;&#10;Descripción generada automáticamente con confianza baja">
                      <a:hlinkClick r:id="rId9"/>
                    </pic:cNvPr>
                    <pic:cNvPicPr/>
                  </pic:nvPicPr>
                  <pic:blipFill>
                    <a:blip r:embed="rId12"/>
                    <a:stretch>
                      <a:fillRect/>
                    </a:stretch>
                  </pic:blipFill>
                  <pic:spPr>
                    <a:xfrm>
                      <a:off x="0" y="0"/>
                      <a:ext cx="5763167" cy="3528566"/>
                    </a:xfrm>
                    <a:prstGeom prst="rect">
                      <a:avLst/>
                    </a:prstGeom>
                  </pic:spPr>
                </pic:pic>
              </a:graphicData>
            </a:graphic>
          </wp:inline>
        </w:drawing>
      </w:r>
    </w:p>
    <w:p w14:paraId="00000010"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“Todavía no detectamos que los niveles de ocupación anteriores a la pandemia se hayan </w:t>
      </w:r>
      <w:r>
        <w:rPr>
          <w:rFonts w:ascii="Open Sans" w:eastAsia="Open Sans" w:hAnsi="Open Sans" w:cs="Open Sans"/>
          <w:sz w:val="22"/>
          <w:szCs w:val="22"/>
        </w:rPr>
        <w:t xml:space="preserve">recuperado. Este mercado, dependiente de la estacionalidad, necesita normalidad en la actividad turística y estabilidad en materia regulatoria, de modo que los propietarios perciban un entorno de seguridad jurídica en este alquiler de vivienda vacacional. </w:t>
      </w:r>
      <w:r>
        <w:rPr>
          <w:rFonts w:ascii="Open Sans" w:eastAsia="Open Sans" w:hAnsi="Open Sans" w:cs="Open Sans"/>
          <w:sz w:val="22"/>
          <w:szCs w:val="22"/>
        </w:rPr>
        <w:t>Las cifras muestran que los particulares aún ven incertidumbre de cara a esta temporada, lo que provoca que un porcentaje significativo todavía se sienta más cómodo en el alquiler de larga duración”, explica María Matos, directora de Estudios y Portavoz de</w:t>
      </w:r>
      <w:r>
        <w:rPr>
          <w:rFonts w:ascii="Open Sans" w:eastAsia="Open Sans" w:hAnsi="Open Sans" w:cs="Open Sans"/>
          <w:sz w:val="22"/>
          <w:szCs w:val="22"/>
        </w:rPr>
        <w:t xml:space="preserve"> </w:t>
      </w:r>
      <w:hyperlink r:id="rId13">
        <w:r>
          <w:rPr>
            <w:rFonts w:ascii="Open Sans" w:eastAsia="Open Sans" w:hAnsi="Open Sans" w:cs="Open Sans"/>
            <w:color w:val="0000FF"/>
            <w:sz w:val="22"/>
            <w:szCs w:val="22"/>
          </w:rPr>
          <w:t>Fotocasa</w:t>
        </w:r>
      </w:hyperlink>
      <w:r>
        <w:rPr>
          <w:rFonts w:ascii="Open Sans" w:eastAsia="Open Sans" w:hAnsi="Open Sans" w:cs="Open Sans"/>
          <w:sz w:val="22"/>
          <w:szCs w:val="22"/>
        </w:rPr>
        <w:t>.</w:t>
      </w:r>
    </w:p>
    <w:p w14:paraId="00000011" w14:textId="474855DB"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sz w:val="22"/>
          <w:szCs w:val="22"/>
        </w:rPr>
        <w:t>Por otra parte, si analizamos la evolución de la compra como inversión destinada al alquiler vacacional, se observa que el porcentaje de compradores que ha destinado una inversión a este tipo de alquiler mantiene porcentajes muy similares a los de años ant</w:t>
      </w:r>
      <w:r>
        <w:rPr>
          <w:rFonts w:ascii="Open Sans" w:eastAsia="Open Sans" w:hAnsi="Open Sans" w:cs="Open Sans"/>
          <w:sz w:val="22"/>
          <w:szCs w:val="22"/>
        </w:rPr>
        <w:t xml:space="preserve">eriores, </w:t>
      </w:r>
      <w:r>
        <w:rPr>
          <w:rFonts w:ascii="Open Sans" w:eastAsia="Open Sans" w:hAnsi="Open Sans" w:cs="Open Sans"/>
          <w:color w:val="000000"/>
          <w:sz w:val="22"/>
          <w:szCs w:val="22"/>
        </w:rPr>
        <w:t xml:space="preserve">3,6% en 2021 frente a un 3,7% 2020. </w:t>
      </w:r>
    </w:p>
    <w:p w14:paraId="3D128607" w14:textId="77777777" w:rsidR="00113B21" w:rsidRDefault="00113B21">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00000012"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Entre los vendedores, también aumenta ligeramente la venta de viviendas destinadas a estancias cortas o vacacionales, pasando de un 2,5 en 2020 a un 2,8 en 2021.</w:t>
      </w:r>
    </w:p>
    <w:p w14:paraId="00000013"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“Para nuestro sector inmobiliario, uno de los va</w:t>
      </w:r>
      <w:r>
        <w:rPr>
          <w:rFonts w:ascii="Open Sans" w:eastAsia="Open Sans" w:hAnsi="Open Sans" w:cs="Open Sans"/>
          <w:sz w:val="22"/>
          <w:szCs w:val="22"/>
        </w:rPr>
        <w:t>lores más cotizados del periodo estival es el alquiler vacacional. Por ello, es responsabilidad tanto de la administración pública como del sector privado trabajar para que se produzca un crecimiento sano, sostenible y de calidad de este tipo de viviendas”</w:t>
      </w:r>
      <w:r>
        <w:rPr>
          <w:rFonts w:ascii="Open Sans" w:eastAsia="Open Sans" w:hAnsi="Open Sans" w:cs="Open Sans"/>
          <w:sz w:val="22"/>
          <w:szCs w:val="22"/>
        </w:rPr>
        <w:t>, comenta la directora de Estudios.</w:t>
      </w:r>
    </w:p>
    <w:p w14:paraId="00000014" w14:textId="77777777" w:rsidR="007A5345" w:rsidRDefault="00FA7A27">
      <w:pPr>
        <w:spacing w:before="240" w:line="276" w:lineRule="auto"/>
        <w:ind w:right="-574"/>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Perfil del arrendador de alquiler turístico en 2021</w:t>
      </w:r>
    </w:p>
    <w:p w14:paraId="00000015"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Si analizamos el perfil del arrendador que opta por el alquiler vacacional en 2021, observamos que se trata de hombres y mujeres con una media de edad de 50 años. En es</w:t>
      </w:r>
      <w:r>
        <w:rPr>
          <w:rFonts w:ascii="Open Sans" w:eastAsia="Open Sans" w:hAnsi="Open Sans" w:cs="Open Sans"/>
          <w:sz w:val="22"/>
          <w:szCs w:val="22"/>
        </w:rPr>
        <w:t>te sentido, conviene destacar que aumenta la edad media del propietario que destina la vivienda para alquiler vacacional y se sitúa en datos cercanos a 2018 (48 años de media). Se observa que ya no es un perfil tan joven como el que se veía en 2020 (44 año</w:t>
      </w:r>
      <w:r>
        <w:rPr>
          <w:rFonts w:ascii="Open Sans" w:eastAsia="Open Sans" w:hAnsi="Open Sans" w:cs="Open Sans"/>
          <w:sz w:val="22"/>
          <w:szCs w:val="22"/>
        </w:rPr>
        <w:t xml:space="preserve">s). </w:t>
      </w:r>
    </w:p>
    <w:p w14:paraId="00000016"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En cuanto a la distribución territorial, el target de alquiler vacacional, que se situaba de una forma muy localizada en Madrid y Andalucía en 2020, ahora se deslocaliza y dispersa por el resto de </w:t>
      </w:r>
      <w:proofErr w:type="gramStart"/>
      <w:r>
        <w:rPr>
          <w:rFonts w:ascii="Open Sans" w:eastAsia="Open Sans" w:hAnsi="Open Sans" w:cs="Open Sans"/>
          <w:sz w:val="22"/>
          <w:szCs w:val="22"/>
        </w:rPr>
        <w:t>comunidades</w:t>
      </w:r>
      <w:proofErr w:type="gramEnd"/>
      <w:r>
        <w:rPr>
          <w:rFonts w:ascii="Open Sans" w:eastAsia="Open Sans" w:hAnsi="Open Sans" w:cs="Open Sans"/>
          <w:sz w:val="22"/>
          <w:szCs w:val="22"/>
        </w:rPr>
        <w:t xml:space="preserve">, ganado proporcionalidad en el País Vasco </w:t>
      </w:r>
      <w:r>
        <w:rPr>
          <w:rFonts w:ascii="Open Sans" w:eastAsia="Open Sans" w:hAnsi="Open Sans" w:cs="Open Sans"/>
          <w:sz w:val="22"/>
          <w:szCs w:val="22"/>
        </w:rPr>
        <w:t>(11% frente al 4,9% en 2020).</w:t>
      </w:r>
    </w:p>
    <w:p w14:paraId="00000017" w14:textId="77777777" w:rsidR="007A5345" w:rsidRDefault="00FA7A27">
      <w:pPr>
        <w:pBdr>
          <w:top w:val="nil"/>
          <w:left w:val="nil"/>
          <w:bottom w:val="nil"/>
          <w:right w:val="nil"/>
          <w:between w:val="nil"/>
        </w:pBdr>
        <w:shd w:val="clear" w:color="auto" w:fill="FFFFFF"/>
        <w:spacing w:before="280" w:after="280" w:line="276" w:lineRule="auto"/>
        <w:ind w:right="-574"/>
        <w:jc w:val="both"/>
        <w:rPr>
          <w:rFonts w:ascii="Open Sans Light" w:eastAsia="Open Sans Light" w:hAnsi="Open Sans Light" w:cs="Open Sans Light"/>
          <w:b/>
          <w:color w:val="303AB2"/>
        </w:rPr>
      </w:pPr>
      <w:r>
        <w:rPr>
          <w:rFonts w:ascii="Open Sans" w:eastAsia="Open Sans" w:hAnsi="Open Sans" w:cs="Open Sans"/>
          <w:sz w:val="22"/>
          <w:szCs w:val="22"/>
        </w:rPr>
        <w:t xml:space="preserve">Por último, respecto a las motivaciones que llevan a optar por el alquiler turístico, la rentabilidad continúa siendo el principal motivador. </w:t>
      </w:r>
    </w:p>
    <w:p w14:paraId="00000018" w14:textId="77777777" w:rsidR="007A5345" w:rsidRDefault="007A5345">
      <w:pPr>
        <w:spacing w:line="276" w:lineRule="auto"/>
        <w:ind w:right="-716"/>
        <w:rPr>
          <w:rFonts w:ascii="Open Sans Light" w:eastAsia="Open Sans Light" w:hAnsi="Open Sans Light" w:cs="Open Sans Light"/>
          <w:b/>
          <w:color w:val="303AB2"/>
        </w:rPr>
      </w:pPr>
    </w:p>
    <w:p w14:paraId="00000019" w14:textId="77777777" w:rsidR="007A5345" w:rsidRDefault="00FA7A27">
      <w:pPr>
        <w:spacing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000001A" w14:textId="77777777" w:rsidR="007A5345" w:rsidRDefault="00FA7A27">
      <w:pPr>
        <w:shd w:val="clear" w:color="auto" w:fill="FFFFFF"/>
        <w:spacing w:before="280" w:after="280" w:line="276" w:lineRule="auto"/>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un informe de referencia sobre la evolución del precio medio de la vivienda en España, tanto en venta como en alquiler.</w:t>
      </w:r>
    </w:p>
    <w:p w14:paraId="0000001B" w14:textId="77777777" w:rsidR="007A5345" w:rsidRDefault="00FA7A27">
      <w:pPr>
        <w:shd w:val="clear" w:color="auto" w:fill="FFFFFF"/>
        <w:spacing w:line="276" w:lineRule="auto"/>
        <w:ind w:right="-716"/>
        <w:jc w:val="both"/>
        <w:rPr>
          <w:rFonts w:ascii="Open Sans" w:eastAsia="Open Sans" w:hAnsi="Open Sans" w:cs="Open Sans"/>
          <w:color w:val="000000"/>
          <w:sz w:val="21"/>
          <w:szCs w:val="21"/>
        </w:rPr>
      </w:pPr>
      <w:r>
        <w:rPr>
          <w:rFonts w:ascii="Open Sans" w:eastAsia="Open Sans" w:hAnsi="Open Sans" w:cs="Open Sans"/>
          <w:color w:val="000000"/>
          <w:sz w:val="21"/>
          <w:szCs w:val="21"/>
        </w:rPr>
        <w:t xml:space="preserve">Toda nuestra información la puedes encontrar en nuestra </w:t>
      </w:r>
      <w:hyperlink r:id="rId15">
        <w:r>
          <w:rPr>
            <w:rFonts w:ascii="Open Sans" w:eastAsia="Open Sans" w:hAnsi="Open Sans" w:cs="Open Sans"/>
            <w:color w:val="0000FF"/>
            <w:sz w:val="21"/>
            <w:szCs w:val="21"/>
            <w:u w:val="single"/>
          </w:rPr>
          <w:t>Sala de Prensa</w:t>
        </w:r>
      </w:hyperlink>
      <w:r>
        <w:rPr>
          <w:rFonts w:ascii="Open Sans" w:eastAsia="Open Sans" w:hAnsi="Open Sans" w:cs="Open Sans"/>
          <w:color w:val="000000"/>
          <w:sz w:val="21"/>
          <w:szCs w:val="21"/>
        </w:rPr>
        <w:t xml:space="preserve">. </w:t>
      </w:r>
    </w:p>
    <w:bookmarkStart w:id="0" w:name="_heading=h.30j0zll" w:colFirst="0" w:colLast="0"/>
    <w:bookmarkEnd w:id="0"/>
    <w:p w14:paraId="0000001C" w14:textId="77777777" w:rsidR="007A5345" w:rsidRDefault="00FA7A27">
      <w:pPr>
        <w:shd w:val="clear" w:color="auto" w:fill="FFFFFF"/>
        <w:spacing w:before="280" w:after="280" w:line="276" w:lineRule="auto"/>
        <w:ind w:right="-716"/>
        <w:jc w:val="both"/>
        <w:rPr>
          <w:rFonts w:ascii="Open Sans" w:eastAsia="Open Sans" w:hAnsi="Open Sans" w:cs="Open Sans"/>
          <w:color w:val="000000"/>
          <w:sz w:val="22"/>
          <w:szCs w:val="22"/>
        </w:rPr>
      </w:pPr>
      <w:r>
        <w:fldChar w:fldCharType="begin"/>
      </w:r>
      <w:r>
        <w:instrText xml:space="preserve"> HYPERLINK "http://www.fotocasa.es/" \h </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w:t>
      </w:r>
      <w:r>
        <w:rPr>
          <w:rFonts w:ascii="Open Sans" w:eastAsia="Open Sans" w:hAnsi="Open Sans" w:cs="Open Sans"/>
          <w:sz w:val="22"/>
          <w:szCs w:val="22"/>
        </w:rPr>
        <w:t xml:space="preserve"> </w:t>
      </w:r>
      <w:r>
        <w:rPr>
          <w:rFonts w:ascii="Open Sans" w:eastAsia="Open Sans" w:hAnsi="Open Sans" w:cs="Open Sans"/>
          <w:color w:val="000000"/>
          <w:sz w:val="22"/>
          <w:szCs w:val="22"/>
        </w:rPr>
        <w:t>a </w:t>
      </w:r>
      <w:proofErr w:type="spellStart"/>
      <w:r>
        <w:fldChar w:fldCharType="begin"/>
      </w:r>
      <w:r>
        <w:instrText xml:space="preserve"> HYPERLINK "https://www.adevinta.com/" \h </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w:t>
      </w:r>
      <w:r>
        <w:rPr>
          <w:rFonts w:ascii="Open Sans" w:eastAsia="Open Sans" w:hAnsi="Open Sans" w:cs="Open Sans"/>
          <w:sz w:val="22"/>
          <w:szCs w:val="22"/>
        </w:rPr>
        <w:t>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w:t>
      </w:r>
      <w:r>
        <w:rPr>
          <w:rFonts w:ascii="Open Sans" w:eastAsia="Open Sans" w:hAnsi="Open Sans" w:cs="Open Sans"/>
          <w:color w:val="000000"/>
          <w:sz w:val="22"/>
          <w:szCs w:val="22"/>
        </w:rPr>
        <w:t>yer</w:t>
      </w:r>
      <w:proofErr w:type="spellEnd"/>
      <w:r>
        <w:rPr>
          <w:rFonts w:ascii="Open Sans" w:eastAsia="Open Sans" w:hAnsi="Open Sans" w:cs="Open Sans"/>
          <w:color w:val="000000"/>
          <w:sz w:val="22"/>
          <w:szCs w:val="22"/>
        </w:rPr>
        <w:t xml:space="preserve">” del sector a nivel mundial. </w:t>
      </w:r>
    </w:p>
    <w:p w14:paraId="0000001D" w14:textId="77777777" w:rsidR="007A5345" w:rsidRDefault="00FA7A27">
      <w:pPr>
        <w:shd w:val="clear" w:color="auto" w:fill="FFFFFF"/>
        <w:spacing w:before="280" w:after="280" w:line="276" w:lineRule="auto"/>
        <w:ind w:right="-716"/>
        <w:jc w:val="both"/>
        <w:rPr>
          <w:rFonts w:ascii="Open Sans" w:eastAsia="Open Sans" w:hAnsi="Open Sans" w:cs="Open Sans"/>
          <w:color w:val="000000"/>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14:paraId="0000001E" w14:textId="77777777" w:rsidR="007A5345" w:rsidRDefault="00FA7A27">
      <w:pPr>
        <w:shd w:val="clear" w:color="auto" w:fill="FFFFFF"/>
        <w:spacing w:before="280" w:after="280" w:line="276" w:lineRule="auto"/>
        <w:ind w:right="-716"/>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0000001F" w14:textId="77777777" w:rsidR="007A5345" w:rsidRDefault="00FA7A27">
      <w:pPr>
        <w:pBdr>
          <w:top w:val="nil"/>
          <w:left w:val="nil"/>
          <w:bottom w:val="nil"/>
          <w:right w:val="nil"/>
          <w:between w:val="nil"/>
        </w:pBdr>
        <w:spacing w:before="143" w:after="20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w:t>
      </w:r>
      <w:proofErr w:type="spellStart"/>
      <w:r>
        <w:rPr>
          <w:rFonts w:ascii="Open Sans" w:eastAsia="Open Sans" w:hAnsi="Open Sans" w:cs="Open Sans"/>
          <w:color w:val="000000"/>
          <w:sz w:val="22"/>
          <w:szCs w:val="22"/>
        </w:rPr>
        <w:t>Spain</w:t>
      </w:r>
      <w:proofErr w:type="spellEnd"/>
      <w:r>
        <w:rPr>
          <w:rFonts w:ascii="Open Sans" w:eastAsia="Open Sans" w:hAnsi="Open Sans" w:cs="Open Sans"/>
          <w:color w:val="000000"/>
          <w:sz w:val="22"/>
          <w:szCs w:val="22"/>
        </w:rPr>
        <w:t xml:space="preserve"> es una compañía líder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18">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color w:val="000000"/>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color w:val="000000"/>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color w:val="000000"/>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w:t>
        </w:r>
        <w:r>
          <w:rPr>
            <w:rFonts w:ascii="Open Sans" w:eastAsia="Open Sans" w:hAnsi="Open Sans" w:cs="Open Sans"/>
            <w:color w:val="1155CC"/>
            <w:sz w:val="22"/>
            <w:szCs w:val="22"/>
            <w:u w:val="single"/>
          </w:rPr>
          <w:t>otos.net</w:t>
        </w:r>
      </w:hyperlink>
      <w:r>
        <w:rPr>
          <w:rFonts w:ascii="Open Sans" w:eastAsia="Open Sans" w:hAnsi="Open Sans" w:cs="Open Sans"/>
          <w:color w:val="000000"/>
          <w:sz w:val="22"/>
          <w:szCs w:val="22"/>
        </w:rPr>
        <w:t>) y compraventa de artículos de segunda mano (</w:t>
      </w:r>
      <w:proofErr w:type="spellStart"/>
      <w:r>
        <w:fldChar w:fldCharType="begin"/>
      </w:r>
      <w:r>
        <w:instrText xml:space="preserve"> HYPERLINK "https://www.milanuncios.com/" \h </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color w:val="000000"/>
          <w:sz w:val="22"/>
          <w:szCs w:val="22"/>
        </w:rPr>
        <w:t>).</w:t>
      </w:r>
    </w:p>
    <w:p w14:paraId="00000020" w14:textId="77777777" w:rsidR="007A5345" w:rsidRDefault="00FA7A27">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w:t>
      </w:r>
      <w:r>
        <w:rPr>
          <w:rFonts w:ascii="Open Sans" w:eastAsia="Open Sans" w:hAnsi="Open Sans" w:cs="Open Sans"/>
          <w:color w:val="000000"/>
          <w:sz w:val="22"/>
          <w:szCs w:val="22"/>
        </w:rPr>
        <w:t>entes de Internet. La sede de la compañía está en Barcelona y cuenta con una plantilla de más de 1.100 empleados comprometidos con fomentar un cambio positivo en el mundo a través de tecnología innovadora, otorgando una nueva oportunidad a quienes la están</w:t>
      </w:r>
      <w:r>
        <w:rPr>
          <w:rFonts w:ascii="Open Sans" w:eastAsia="Open Sans" w:hAnsi="Open Sans" w:cs="Open Sans"/>
          <w:color w:val="000000"/>
          <w:sz w:val="22"/>
          <w:szCs w:val="22"/>
        </w:rPr>
        <w:t xml:space="preserve"> buscando y dando a las cosas una segunda vida.</w:t>
      </w:r>
    </w:p>
    <w:p w14:paraId="00000021" w14:textId="77777777" w:rsidR="007A5345" w:rsidRDefault="00FA7A27">
      <w:pPr>
        <w:pBdr>
          <w:top w:val="nil"/>
          <w:left w:val="nil"/>
          <w:bottom w:val="nil"/>
          <w:right w:val="nil"/>
          <w:between w:val="nil"/>
        </w:pBdr>
        <w:spacing w:after="160"/>
        <w:ind w:right="-716"/>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16 países. El conjunto de sus plataformas locales recibe un promedio de 3.000 millones de visitas cada mes. </w:t>
      </w:r>
    </w:p>
    <w:p w14:paraId="00000022" w14:textId="77777777" w:rsidR="007A5345" w:rsidRDefault="00FA7A27">
      <w:pPr>
        <w:pBdr>
          <w:top w:val="nil"/>
          <w:left w:val="nil"/>
          <w:bottom w:val="nil"/>
          <w:right w:val="nil"/>
          <w:between w:val="nil"/>
        </w:pBdr>
        <w:spacing w:after="160"/>
        <w:ind w:right="-716"/>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Más información en </w:t>
      </w:r>
      <w:hyperlink r:id="rId22">
        <w:r>
          <w:rPr>
            <w:rFonts w:ascii="Open Sans" w:eastAsia="Open Sans" w:hAnsi="Open Sans" w:cs="Open Sans"/>
            <w:color w:val="1155CC"/>
            <w:sz w:val="22"/>
            <w:szCs w:val="22"/>
            <w:u w:val="single"/>
          </w:rPr>
          <w:t>adevin</w:t>
        </w:r>
        <w:r>
          <w:rPr>
            <w:rFonts w:ascii="Open Sans" w:eastAsia="Open Sans" w:hAnsi="Open Sans" w:cs="Open Sans"/>
            <w:color w:val="1155CC"/>
            <w:sz w:val="22"/>
            <w:szCs w:val="22"/>
            <w:u w:val="single"/>
          </w:rPr>
          <w:t>ta.es</w:t>
        </w:r>
      </w:hyperlink>
    </w:p>
    <w:p w14:paraId="00000023" w14:textId="77777777" w:rsidR="007A5345" w:rsidRDefault="007A5345">
      <w:pPr>
        <w:spacing w:line="276" w:lineRule="auto"/>
        <w:ind w:right="-716"/>
        <w:rPr>
          <w:rFonts w:ascii="Open Sans Light" w:eastAsia="Open Sans Light" w:hAnsi="Open Sans Light" w:cs="Open Sans Light"/>
          <w:b/>
          <w:color w:val="303AB2"/>
          <w:sz w:val="22"/>
          <w:szCs w:val="22"/>
        </w:rPr>
      </w:pPr>
    </w:p>
    <w:p w14:paraId="00000024" w14:textId="77777777" w:rsidR="007A5345" w:rsidRDefault="00FA7A27">
      <w:pPr>
        <w:spacing w:line="276" w:lineRule="auto"/>
        <w:ind w:right="-716"/>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t xml:space="preserve">Llorente y Cuenca    </w:t>
      </w:r>
      <w:r>
        <w:rPr>
          <w:rFonts w:ascii="Open Sans Light" w:eastAsia="Open Sans Light" w:hAnsi="Open Sans Light" w:cs="Open Sans Light"/>
          <w:b/>
          <w:color w:val="303AB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rPr>
        <w:t>Departamento Comunicación Fotocasa</w:t>
      </w:r>
    </w:p>
    <w:p w14:paraId="00000025" w14:textId="77777777" w:rsidR="007A5345" w:rsidRDefault="00FA7A27">
      <w:pPr>
        <w:shd w:val="clear" w:color="auto" w:fill="FFFFFF"/>
        <w:spacing w:line="276" w:lineRule="auto"/>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Ramon Torné</w:t>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r>
      <w:r>
        <w:rPr>
          <w:rFonts w:ascii="Open Sans" w:eastAsia="Open Sans" w:hAnsi="Open Sans" w:cs="Open Sans"/>
          <w:b/>
          <w:color w:val="000000"/>
          <w:sz w:val="19"/>
          <w:szCs w:val="19"/>
        </w:rPr>
        <w:tab/>
        <w:t xml:space="preserve">                              Anaïs López </w:t>
      </w:r>
    </w:p>
    <w:p w14:paraId="00000026" w14:textId="77777777" w:rsidR="007A5345" w:rsidRDefault="00FA7A27">
      <w:pPr>
        <w:shd w:val="clear" w:color="auto" w:fill="FFFFFF"/>
        <w:spacing w:line="276" w:lineRule="auto"/>
        <w:ind w:right="-716"/>
        <w:rPr>
          <w:rFonts w:ascii="Open Sans" w:eastAsia="Open Sans" w:hAnsi="Open Sans" w:cs="Open Sans"/>
          <w:color w:val="0000FF"/>
          <w:sz w:val="19"/>
          <w:szCs w:val="19"/>
          <w:u w:val="single"/>
        </w:rPr>
      </w:pPr>
      <w:hyperlink r:id="rId23">
        <w:r>
          <w:rPr>
            <w:rFonts w:ascii="Open Sans" w:eastAsia="Open Sans" w:hAnsi="Open Sans" w:cs="Open Sans"/>
            <w:color w:val="0000FF"/>
            <w:sz w:val="19"/>
            <w:szCs w:val="19"/>
            <w:u w:val="single"/>
          </w:rPr>
          <w:t>rtorne@llorenteycuenca.com</w:t>
        </w:r>
      </w:hyperlink>
      <w:r>
        <w:rPr>
          <w:rFonts w:ascii="Open Sans" w:eastAsia="Open Sans" w:hAnsi="Open Sans" w:cs="Open Sans"/>
          <w:color w:val="0000FF"/>
          <w:sz w:val="19"/>
          <w:szCs w:val="19"/>
        </w:rPr>
        <w:tab/>
      </w:r>
      <w:r>
        <w:rPr>
          <w:rFonts w:ascii="Open Sans" w:eastAsia="Open Sans" w:hAnsi="Open Sans" w:cs="Open Sans"/>
          <w:color w:val="0000FF"/>
          <w:sz w:val="19"/>
          <w:szCs w:val="19"/>
        </w:rPr>
        <w:tab/>
      </w:r>
      <w:r>
        <w:rPr>
          <w:rFonts w:ascii="Open Sans" w:eastAsia="Open Sans" w:hAnsi="Open Sans" w:cs="Open Sans"/>
          <w:color w:val="0000FF"/>
          <w:sz w:val="19"/>
          <w:szCs w:val="19"/>
        </w:rPr>
        <w:tab/>
        <w:t xml:space="preserve">                                                  </w:t>
      </w:r>
      <w:hyperlink r:id="rId24">
        <w:r>
          <w:rPr>
            <w:rFonts w:ascii="Open Sans" w:eastAsia="Open Sans" w:hAnsi="Open Sans" w:cs="Open Sans"/>
            <w:color w:val="0000FF"/>
            <w:sz w:val="19"/>
            <w:szCs w:val="19"/>
            <w:u w:val="single"/>
          </w:rPr>
          <w:t>comunicacion@fotocasa.es</w:t>
        </w:r>
      </w:hyperlink>
    </w:p>
    <w:p w14:paraId="00000027" w14:textId="77777777" w:rsidR="007A5345" w:rsidRDefault="00FA7A27">
      <w:pPr>
        <w:shd w:val="clear" w:color="auto" w:fill="FFFFFF"/>
        <w:spacing w:line="276" w:lineRule="auto"/>
        <w:ind w:right="-716"/>
        <w:rPr>
          <w:rFonts w:ascii="Open Sans" w:eastAsia="Open Sans" w:hAnsi="Open Sans" w:cs="Open Sans"/>
          <w:color w:val="000000"/>
          <w:sz w:val="19"/>
          <w:szCs w:val="19"/>
        </w:rPr>
      </w:pPr>
      <w:r>
        <w:rPr>
          <w:rFonts w:ascii="Open Sans" w:eastAsia="Open Sans" w:hAnsi="Open Sans" w:cs="Open Sans"/>
          <w:color w:val="000000"/>
          <w:sz w:val="19"/>
          <w:szCs w:val="19"/>
        </w:rPr>
        <w:t xml:space="preserve">638 68 19 85      </w:t>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r>
      <w:r>
        <w:rPr>
          <w:rFonts w:ascii="Open Sans" w:eastAsia="Open Sans" w:hAnsi="Open Sans" w:cs="Open Sans"/>
          <w:color w:val="000000"/>
          <w:sz w:val="19"/>
          <w:szCs w:val="19"/>
        </w:rPr>
        <w:tab/>
        <w:t xml:space="preserve">                        </w:t>
      </w:r>
      <w:r>
        <w:rPr>
          <w:rFonts w:ascii="Open Sans" w:eastAsia="Open Sans" w:hAnsi="Open Sans" w:cs="Open Sans"/>
          <w:color w:val="000000"/>
          <w:sz w:val="19"/>
          <w:szCs w:val="19"/>
        </w:rPr>
        <w:t xml:space="preserve">       620 66 29 26</w:t>
      </w:r>
    </w:p>
    <w:p w14:paraId="00000028" w14:textId="77777777" w:rsidR="007A5345" w:rsidRDefault="00FA7A27">
      <w:pPr>
        <w:shd w:val="clear" w:color="auto" w:fill="FFFFFF"/>
        <w:ind w:right="-716"/>
        <w:rPr>
          <w:rFonts w:ascii="Open Sans" w:eastAsia="Open Sans" w:hAnsi="Open Sans" w:cs="Open Sans"/>
          <w:color w:val="0000FF"/>
          <w:sz w:val="19"/>
          <w:szCs w:val="19"/>
          <w:u w:val="single"/>
        </w:rPr>
      </w:pPr>
      <w:r>
        <w:rPr>
          <w:rFonts w:ascii="Arial" w:eastAsia="Arial" w:hAnsi="Arial" w:cs="Arial"/>
          <w:color w:val="222222"/>
          <w:sz w:val="22"/>
          <w:szCs w:val="22"/>
        </w:rPr>
        <w:tab/>
      </w:r>
      <w:r>
        <w:rPr>
          <w:rFonts w:ascii="Arial" w:eastAsia="Arial" w:hAnsi="Arial" w:cs="Arial"/>
          <w:color w:val="222222"/>
          <w:sz w:val="22"/>
          <w:szCs w:val="22"/>
        </w:rPr>
        <w:tab/>
        <w:t xml:space="preserve">                </w:t>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r>
      <w:r>
        <w:rPr>
          <w:rFonts w:ascii="Arial" w:eastAsia="Arial" w:hAnsi="Arial" w:cs="Arial"/>
          <w:color w:val="222222"/>
          <w:sz w:val="22"/>
          <w:szCs w:val="22"/>
        </w:rPr>
        <w:tab/>
        <w:t xml:space="preserve">     </w:t>
      </w:r>
    </w:p>
    <w:p w14:paraId="00000029" w14:textId="77777777" w:rsidR="007A5345" w:rsidRDefault="00FA7A27">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Fanny Merino</w:t>
      </w:r>
    </w:p>
    <w:p w14:paraId="0000002A" w14:textId="77777777" w:rsidR="007A5345" w:rsidRDefault="00FA7A27">
      <w:pPr>
        <w:shd w:val="clear" w:color="auto" w:fill="FFFFFF"/>
        <w:ind w:right="-716"/>
        <w:rPr>
          <w:rFonts w:ascii="Open Sans" w:eastAsia="Open Sans" w:hAnsi="Open Sans" w:cs="Open Sans"/>
          <w:color w:val="0000FF"/>
          <w:sz w:val="19"/>
          <w:szCs w:val="19"/>
        </w:rPr>
      </w:pPr>
      <w:hyperlink r:id="rId25">
        <w:r>
          <w:rPr>
            <w:rFonts w:ascii="Open Sans" w:eastAsia="Open Sans" w:hAnsi="Open Sans" w:cs="Open Sans"/>
            <w:color w:val="0000FF"/>
            <w:sz w:val="19"/>
            <w:szCs w:val="19"/>
            <w:u w:val="single"/>
          </w:rPr>
          <w:t>emerino@llorenteycuenca.com</w:t>
        </w:r>
      </w:hyperlink>
    </w:p>
    <w:p w14:paraId="0000002B" w14:textId="77777777" w:rsidR="007A5345" w:rsidRDefault="00FA7A27">
      <w:pPr>
        <w:shd w:val="clear" w:color="auto" w:fill="FFFFFF"/>
        <w:ind w:right="-716"/>
        <w:rPr>
          <w:rFonts w:ascii="Open Sans" w:eastAsia="Open Sans" w:hAnsi="Open Sans" w:cs="Open Sans"/>
          <w:color w:val="000000"/>
          <w:sz w:val="19"/>
          <w:szCs w:val="19"/>
        </w:rPr>
      </w:pPr>
      <w:r>
        <w:rPr>
          <w:rFonts w:ascii="Open Sans" w:eastAsia="Open Sans" w:hAnsi="Open Sans" w:cs="Open Sans"/>
          <w:color w:val="000000"/>
          <w:sz w:val="19"/>
          <w:szCs w:val="19"/>
        </w:rPr>
        <w:t>663 35 69 75 </w:t>
      </w:r>
    </w:p>
    <w:p w14:paraId="0000002C" w14:textId="77777777" w:rsidR="007A5345" w:rsidRDefault="007A5345">
      <w:pPr>
        <w:shd w:val="clear" w:color="auto" w:fill="FFFFFF"/>
        <w:ind w:right="-716"/>
        <w:rPr>
          <w:rFonts w:ascii="Open Sans" w:eastAsia="Open Sans" w:hAnsi="Open Sans" w:cs="Open Sans"/>
          <w:color w:val="000000"/>
          <w:sz w:val="19"/>
          <w:szCs w:val="19"/>
        </w:rPr>
      </w:pPr>
    </w:p>
    <w:p w14:paraId="0000002D" w14:textId="77777777" w:rsidR="007A5345" w:rsidRDefault="00FA7A27">
      <w:pPr>
        <w:shd w:val="clear" w:color="auto" w:fill="FFFFFF"/>
        <w:ind w:right="-716"/>
        <w:rPr>
          <w:rFonts w:ascii="Open Sans" w:eastAsia="Open Sans" w:hAnsi="Open Sans" w:cs="Open Sans"/>
          <w:b/>
          <w:color w:val="000000"/>
          <w:sz w:val="19"/>
          <w:szCs w:val="19"/>
        </w:rPr>
      </w:pPr>
      <w:r>
        <w:rPr>
          <w:rFonts w:ascii="Open Sans" w:eastAsia="Open Sans" w:hAnsi="Open Sans" w:cs="Open Sans"/>
          <w:b/>
          <w:color w:val="000000"/>
          <w:sz w:val="19"/>
          <w:szCs w:val="19"/>
        </w:rPr>
        <w:t>Laura Lázaro</w:t>
      </w:r>
    </w:p>
    <w:p w14:paraId="0000002E" w14:textId="77777777" w:rsidR="007A5345" w:rsidRDefault="00FA7A27">
      <w:pPr>
        <w:shd w:val="clear" w:color="auto" w:fill="FFFFFF"/>
        <w:ind w:right="-716"/>
        <w:rPr>
          <w:rFonts w:ascii="Open Sans" w:eastAsia="Open Sans" w:hAnsi="Open Sans" w:cs="Open Sans"/>
          <w:color w:val="0000FF"/>
          <w:sz w:val="19"/>
          <w:szCs w:val="19"/>
        </w:rPr>
      </w:pPr>
      <w:hyperlink r:id="rId26">
        <w:r>
          <w:rPr>
            <w:rFonts w:ascii="Open Sans" w:eastAsia="Open Sans" w:hAnsi="Open Sans" w:cs="Open Sans"/>
            <w:color w:val="0000FF"/>
            <w:sz w:val="19"/>
            <w:szCs w:val="19"/>
            <w:u w:val="single"/>
          </w:rPr>
          <w:t>llazaro@llorenteycuenca.com</w:t>
        </w:r>
      </w:hyperlink>
    </w:p>
    <w:p w14:paraId="0000002F" w14:textId="77777777" w:rsidR="007A5345" w:rsidRDefault="00FA7A27">
      <w:pPr>
        <w:shd w:val="clear" w:color="auto" w:fill="FFFFFF"/>
        <w:ind w:right="-716"/>
        <w:rPr>
          <w:rFonts w:ascii="Open Sans" w:eastAsia="Open Sans" w:hAnsi="Open Sans" w:cs="Open Sans"/>
          <w:color w:val="000000"/>
          <w:sz w:val="21"/>
          <w:szCs w:val="21"/>
        </w:rPr>
      </w:pPr>
      <w:r>
        <w:rPr>
          <w:rFonts w:ascii="Open Sans" w:eastAsia="Open Sans" w:hAnsi="Open Sans" w:cs="Open Sans"/>
          <w:color w:val="000000"/>
          <w:sz w:val="19"/>
          <w:szCs w:val="19"/>
        </w:rPr>
        <w:t>685 839 655</w:t>
      </w:r>
    </w:p>
    <w:p w14:paraId="00000030" w14:textId="77777777" w:rsidR="007A5345" w:rsidRDefault="007A5345">
      <w:pPr>
        <w:shd w:val="clear" w:color="auto" w:fill="FFFFFF"/>
        <w:spacing w:line="276" w:lineRule="auto"/>
        <w:ind w:right="-716"/>
        <w:jc w:val="both"/>
        <w:rPr>
          <w:rFonts w:ascii="Open Sans" w:eastAsia="Open Sans" w:hAnsi="Open Sans" w:cs="Open Sans"/>
          <w:color w:val="000000"/>
          <w:sz w:val="21"/>
          <w:szCs w:val="21"/>
        </w:rPr>
      </w:pPr>
    </w:p>
    <w:p w14:paraId="00000031" w14:textId="77777777" w:rsidR="007A5345" w:rsidRDefault="007A5345">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p w14:paraId="00000032" w14:textId="77777777" w:rsidR="007A5345" w:rsidRDefault="007A5345">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p w14:paraId="00000033" w14:textId="77777777" w:rsidR="007A5345" w:rsidRDefault="007A5345">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sectPr w:rsidR="007A5345">
      <w:footerReference w:type="default" r:id="rId27"/>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7ADA4E" w14:textId="77777777" w:rsidR="00FA7A27" w:rsidRDefault="00FA7A27">
      <w:r>
        <w:separator/>
      </w:r>
    </w:p>
  </w:endnote>
  <w:endnote w:type="continuationSeparator" w:id="0">
    <w:p w14:paraId="23A73319" w14:textId="77777777" w:rsidR="00FA7A27" w:rsidRDefault="00FA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34" w14:textId="77777777" w:rsidR="007A5345" w:rsidRDefault="00FA7A27">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simplePos x="0" y="0"/>
          <wp:positionH relativeFrom="column">
            <wp:posOffset>-1068068</wp:posOffset>
          </wp:positionH>
          <wp:positionV relativeFrom="paragraph">
            <wp:posOffset>174608</wp:posOffset>
          </wp:positionV>
          <wp:extent cx="7670550" cy="451315"/>
          <wp:effectExtent l="0" t="0" r="0" b="0"/>
          <wp:wrapSquare wrapText="bothSides" distT="0" distB="0" distL="0" distR="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47802" w14:textId="77777777" w:rsidR="00FA7A27" w:rsidRDefault="00FA7A27">
      <w:r>
        <w:separator/>
      </w:r>
    </w:p>
  </w:footnote>
  <w:footnote w:type="continuationSeparator" w:id="0">
    <w:p w14:paraId="6043C872" w14:textId="77777777" w:rsidR="00FA7A27" w:rsidRDefault="00FA7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5007B"/>
    <w:multiLevelType w:val="multilevel"/>
    <w:tmpl w:val="17B4B848"/>
    <w:lvl w:ilvl="0">
      <w:start w:val="1"/>
      <w:numFmt w:val="bullet"/>
      <w:lvlText w:val="●"/>
      <w:lvlJc w:val="left"/>
      <w:pPr>
        <w:ind w:left="644" w:hanging="358"/>
      </w:pPr>
      <w:rPr>
        <w:rFonts w:ascii="Noto Sans Symbols" w:eastAsia="Noto Sans Symbols" w:hAnsi="Noto Sans Symbols" w:cs="Noto Sans Symbols"/>
        <w:color w:val="000000"/>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345"/>
    <w:rsid w:val="00113B21"/>
    <w:rsid w:val="007A5345"/>
    <w:rsid w:val="008764A9"/>
    <w:rsid w:val="00922055"/>
    <w:rsid w:val="00F53BE9"/>
    <w:rsid w:val="00FA7A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11616"/>
  <w15:docId w15:val="{52F42E9E-BA98-49CC-96AF-DF79FD239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paragraph" w:styleId="Textodeglobo">
    <w:name w:val="Balloon Text"/>
    <w:basedOn w:val="Normal"/>
    <w:link w:val="TextodegloboCar"/>
    <w:uiPriority w:val="99"/>
    <w:semiHidden/>
    <w:unhideWhenUsed/>
    <w:rsid w:val="00C72F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2FE2"/>
    <w:rPr>
      <w:rFonts w:ascii="Segoe UI" w:hAnsi="Segoe UI" w:cs="Segoe UI"/>
      <w:sz w:val="18"/>
      <w:szCs w:val="18"/>
    </w:rPr>
  </w:style>
  <w:style w:type="character" w:styleId="Mencinsinresolver">
    <w:name w:val="Unresolved Mention"/>
    <w:basedOn w:val="Fuentedeprrafopredeter"/>
    <w:uiPriority w:val="99"/>
    <w:semiHidden/>
    <w:unhideWhenUsed/>
    <w:rsid w:val="007C4E4A"/>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delista2-nfasis1">
    <w:name w:val="List Table 2 Accent 1"/>
    <w:basedOn w:val="Tablanormal"/>
    <w:uiPriority w:val="47"/>
    <w:rsid w:val="00C87A22"/>
    <w:pPr>
      <w:spacing w:before="100" w:beforeAutospacing="1" w:afterAutospacing="1"/>
    </w:pPr>
    <w:rPr>
      <w:rFonts w:asciiTheme="minorHAnsi" w:eastAsiaTheme="minorHAnsi" w:hAnsiTheme="minorHAnsi" w:cstheme="minorBidi"/>
      <w:lang w:eastAsia="en-US"/>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suntodelcomentario">
    <w:name w:val="annotation subject"/>
    <w:basedOn w:val="Textocomentario"/>
    <w:next w:val="Textocomentario"/>
    <w:link w:val="AsuntodelcomentarioCar"/>
    <w:uiPriority w:val="99"/>
    <w:semiHidden/>
    <w:unhideWhenUsed/>
    <w:rsid w:val="00C659EE"/>
    <w:rPr>
      <w:b/>
      <w:bCs/>
    </w:rPr>
  </w:style>
  <w:style w:type="character" w:customStyle="1" w:styleId="AsuntodelcomentarioCar">
    <w:name w:val="Asunto del comentario Car"/>
    <w:basedOn w:val="TextocomentarioCar"/>
    <w:link w:val="Asuntodelcomentario"/>
    <w:uiPriority w:val="99"/>
    <w:semiHidden/>
    <w:rsid w:val="00C659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otocasa.es" TargetMode="External"/><Relationship Id="rId18" Type="http://schemas.openxmlformats.org/officeDocument/2006/relationships/hyperlink" Target="https://www.habitaclia.com/" TargetMode="External"/><Relationship Id="rId26" Type="http://schemas.openxmlformats.org/officeDocument/2006/relationships/hyperlink" Target="mailto:llazaro@llorenteycuenca.com" TargetMode="Externa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fotocasa.es/es/" TargetMode="External"/><Relationship Id="rId25" Type="http://schemas.openxmlformats.org/officeDocument/2006/relationships/hyperlink" Target="mailto:emerino@llorenteycuenca.com" TargetMode="Externa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tocasa.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rtorne@llorenteycuenca.com" TargetMode="External"/><Relationship Id="rId28"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youtu.be/XdM37itJ4nQ"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MxcgfV+5dWrf4HP257qmxUBnCQ==">AMUW2mUcF5fk9M9mlxLIueAH7uO8ovm0UTFktisLfUlgsWMmw5pdfVWSJZaRQRmWGaJ/Q8I0iOI6SkC8dUOXw6uJq/xSta3IeWZmJeT1CH8AnH2hlW8ZZe4VYUTW4r9n2BmtY0zkIE+K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1141</Words>
  <Characters>6277</Characters>
  <Application>Microsoft Office Word</Application>
  <DocSecurity>0</DocSecurity>
  <Lines>52</Lines>
  <Paragraphs>14</Paragraphs>
  <ScaleCrop>false</ScaleCrop>
  <Company/>
  <LinksUpToDate>false</LinksUpToDate>
  <CharactersWithSpaces>7404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6</cp:revision>
  <cp:lastPrinted>2021-07-12T09:04:00Z</cp:lastPrinted>
  <dcterms:created xsi:type="dcterms:W3CDTF">2020-03-04T13:12:00Z</dcterms:created>
  <dcterms:modified xsi:type="dcterms:W3CDTF">2021-07-12T09:06:00Z</dcterms:modified>
</cp:coreProperties>
</file>