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EE57D7" w:rsidRDefault="00924841">
      <w:pPr>
        <w:ind w:right="-574"/>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-1078864</wp:posOffset>
            </wp:positionH>
            <wp:positionV relativeFrom="paragraph">
              <wp:posOffset>-350452</wp:posOffset>
            </wp:positionV>
            <wp:extent cx="7581265" cy="101917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EE57D7" w:rsidRDefault="00EE57D7">
      <w:pPr>
        <w:ind w:right="-574"/>
        <w:jc w:val="right"/>
        <w:rPr>
          <w:rFonts w:ascii="National" w:eastAsia="National" w:hAnsi="National" w:cs="National"/>
          <w:color w:val="303AB2"/>
          <w:sz w:val="36"/>
          <w:szCs w:val="36"/>
        </w:rPr>
      </w:pPr>
    </w:p>
    <w:p w14:paraId="00000003" w14:textId="77777777" w:rsidR="00EE57D7" w:rsidRDefault="00EE57D7">
      <w:pPr>
        <w:ind w:right="-574"/>
        <w:jc w:val="right"/>
        <w:rPr>
          <w:rFonts w:ascii="National" w:eastAsia="National" w:hAnsi="National" w:cs="National"/>
          <w:color w:val="303AB2"/>
          <w:sz w:val="36"/>
          <w:szCs w:val="36"/>
        </w:rPr>
      </w:pPr>
    </w:p>
    <w:p w14:paraId="00000004" w14:textId="77777777" w:rsidR="00EE57D7" w:rsidRDefault="00EE57D7">
      <w:pPr>
        <w:ind w:right="-574"/>
        <w:rPr>
          <w:rFonts w:ascii="National" w:eastAsia="National" w:hAnsi="National" w:cs="National"/>
          <w:color w:val="303AB2"/>
          <w:sz w:val="36"/>
          <w:szCs w:val="36"/>
        </w:rPr>
      </w:pPr>
    </w:p>
    <w:p w14:paraId="00000005" w14:textId="77777777" w:rsidR="00EE57D7" w:rsidRDefault="00924841">
      <w:pPr>
        <w:spacing w:line="276" w:lineRule="auto"/>
        <w:ind w:right="-574"/>
        <w:jc w:val="center"/>
        <w:rPr>
          <w:rFonts w:ascii="National" w:eastAsia="National" w:hAnsi="National" w:cs="National"/>
          <w:b/>
          <w:color w:val="1DBDC5"/>
          <w:sz w:val="38"/>
          <w:szCs w:val="38"/>
        </w:rPr>
      </w:pPr>
      <w:r>
        <w:rPr>
          <w:rFonts w:ascii="National" w:eastAsia="National" w:hAnsi="National" w:cs="National"/>
          <w:b/>
          <w:color w:val="1DBDC5"/>
          <w:sz w:val="38"/>
          <w:szCs w:val="38"/>
        </w:rPr>
        <w:t>ANÁLISIS RENTABILIDAD ZONAS COSTERAS</w:t>
      </w:r>
    </w:p>
    <w:p w14:paraId="00000006" w14:textId="77777777" w:rsidR="00EE57D7" w:rsidRDefault="00924841">
      <w:pPr>
        <w:ind w:right="-574"/>
        <w:jc w:val="center"/>
        <w:rPr>
          <w:rFonts w:ascii="National" w:eastAsia="National" w:hAnsi="National" w:cs="National"/>
          <w:b/>
          <w:color w:val="303AB2"/>
          <w:sz w:val="52"/>
          <w:szCs w:val="52"/>
        </w:rPr>
      </w:pPr>
      <w:r>
        <w:rPr>
          <w:rFonts w:ascii="National" w:eastAsia="National" w:hAnsi="National" w:cs="National"/>
          <w:b/>
          <w:color w:val="303AB2"/>
          <w:sz w:val="52"/>
          <w:szCs w:val="52"/>
        </w:rPr>
        <w:t>Gandía, Algeciras y Roquetas de Mar, los municipios de costa más rentables</w:t>
      </w:r>
    </w:p>
    <w:p w14:paraId="00000007" w14:textId="77777777" w:rsidR="00EE57D7" w:rsidRDefault="00EE57D7">
      <w:pPr>
        <w:ind w:right="-574"/>
        <w:jc w:val="center"/>
        <w:rPr>
          <w:rFonts w:ascii="National" w:eastAsia="National" w:hAnsi="National" w:cs="National"/>
          <w:b/>
          <w:color w:val="303AB2"/>
          <w:sz w:val="52"/>
          <w:szCs w:val="52"/>
        </w:rPr>
      </w:pPr>
    </w:p>
    <w:p w14:paraId="00000008" w14:textId="77777777" w:rsidR="00EE57D7" w:rsidRDefault="00924841">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La rentabilidad media en España en junio de 2021 se sitúa actualmente en un 6,7%</w:t>
      </w:r>
    </w:p>
    <w:p w14:paraId="00000009" w14:textId="2E931032" w:rsidR="00EE57D7" w:rsidRDefault="00924841">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Gandía, Algeciras, Roquetas de Mar y Castro-Urdiales son los municipios costeros que ofrecen más rentabilidad en España</w:t>
      </w:r>
    </w:p>
    <w:p w14:paraId="5AE115DE" w14:textId="6C191CBB" w:rsidR="00CB0892" w:rsidRDefault="001D51C1">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hyperlink r:id="rId9" w:history="1">
        <w:r w:rsidR="00CB0892" w:rsidRPr="00CB0892">
          <w:rPr>
            <w:rStyle w:val="Hipervnculo"/>
            <w:rFonts w:ascii="Open Sans" w:eastAsia="Open Sans" w:hAnsi="Open Sans" w:cs="Open Sans"/>
            <w:sz w:val="22"/>
            <w:szCs w:val="22"/>
          </w:rPr>
          <w:t>En este enlace se puede ver un vídeo</w:t>
        </w:r>
      </w:hyperlink>
      <w:r w:rsidR="00CB0892">
        <w:rPr>
          <w:rFonts w:ascii="Open Sans" w:eastAsia="Open Sans" w:hAnsi="Open Sans" w:cs="Open Sans"/>
          <w:color w:val="000000"/>
          <w:sz w:val="22"/>
          <w:szCs w:val="22"/>
        </w:rPr>
        <w:t xml:space="preserve"> de la directora de Estudios valorando los datos</w:t>
      </w:r>
    </w:p>
    <w:p w14:paraId="0000000A" w14:textId="77777777" w:rsidR="00EE57D7" w:rsidRDefault="00EE57D7">
      <w:pPr>
        <w:spacing w:line="276" w:lineRule="auto"/>
        <w:ind w:right="-574"/>
        <w:rPr>
          <w:rFonts w:ascii="Open Sans Light" w:eastAsia="Open Sans Light" w:hAnsi="Open Sans Light" w:cs="Open Sans Light"/>
          <w:b/>
          <w:color w:val="303AB2"/>
        </w:rPr>
      </w:pPr>
    </w:p>
    <w:p w14:paraId="0000000B" w14:textId="22A48EA0" w:rsidR="00EE57D7" w:rsidRDefault="00924841">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w:t>
      </w:r>
      <w:r w:rsidR="005954EF">
        <w:rPr>
          <w:rFonts w:ascii="Open Sans Light" w:eastAsia="Open Sans Light" w:hAnsi="Open Sans Light" w:cs="Open Sans Light"/>
          <w:b/>
          <w:color w:val="303AB2"/>
        </w:rPr>
        <w:t>4</w:t>
      </w:r>
      <w:r>
        <w:rPr>
          <w:rFonts w:ascii="Open Sans Light" w:eastAsia="Open Sans Light" w:hAnsi="Open Sans Light" w:cs="Open Sans Light"/>
          <w:b/>
          <w:color w:val="303AB2"/>
        </w:rPr>
        <w:t xml:space="preserve"> de julio de 2021</w:t>
      </w:r>
    </w:p>
    <w:p w14:paraId="0000000C" w14:textId="77777777" w:rsidR="00EE57D7" w:rsidRDefault="0092484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de la vivienda de costa ha ido aumentando año tras año en España. Cada vez resulta más rentable adquirir una vivienda en propiedad en una zona costera para ponerla en alquiler. Es el caso de Gandía, en Valencia, que se sitúa como el municipio costero con mayor rentabilidad en junio de 2021, con una media de 7,9%, 1,9 puntos más que hace 5 años. Estos datos corresponden al análisis </w:t>
      </w:r>
      <w:r>
        <w:rPr>
          <w:rFonts w:ascii="Open Sans" w:eastAsia="Open Sans" w:hAnsi="Open Sans" w:cs="Open Sans"/>
          <w:b/>
          <w:i/>
          <w:color w:val="000000"/>
          <w:sz w:val="22"/>
          <w:szCs w:val="22"/>
        </w:rPr>
        <w:t>“Rentabilidad en municipios costeros en verano de 2021”</w:t>
      </w:r>
      <w:r>
        <w:rPr>
          <w:rFonts w:ascii="Open Sans" w:eastAsia="Open Sans" w:hAnsi="Open Sans" w:cs="Open Sans"/>
          <w:color w:val="000000"/>
          <w:sz w:val="22"/>
          <w:szCs w:val="22"/>
        </w:rPr>
        <w:t xml:space="preserve"> realizado por el portal inmobiliario </w:t>
      </w:r>
      <w:hyperlink r:id="rId10">
        <w:r>
          <w:rPr>
            <w:rFonts w:ascii="Open Sans" w:eastAsia="Open Sans" w:hAnsi="Open Sans" w:cs="Open Sans"/>
            <w:color w:val="0000FF"/>
            <w:sz w:val="22"/>
            <w:szCs w:val="22"/>
          </w:rPr>
          <w:t>Fotocasa</w:t>
        </w:r>
      </w:hyperlink>
      <w:r>
        <w:rPr>
          <w:rFonts w:ascii="Open Sans" w:eastAsia="Open Sans" w:hAnsi="Open Sans" w:cs="Open Sans"/>
          <w:color w:val="000000"/>
          <w:sz w:val="22"/>
          <w:szCs w:val="22"/>
        </w:rPr>
        <w:t xml:space="preserve">, a partir de los datos de oferta del precio de la vivienda en venta y en alquiler del portal y que sitúa la rentabilidad de España en 6,7% a mitad del año 2021. </w:t>
      </w:r>
    </w:p>
    <w:p w14:paraId="0000000D" w14:textId="77777777" w:rsidR="00EE57D7" w:rsidRDefault="00924841">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extent cx="5510530" cy="2362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677A55" w14:textId="77777777" w:rsidR="007D3B2C" w:rsidRDefault="007D3B2C">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62D3FFF7" wp14:editId="2AF834F4">
            <wp:extent cx="5734050" cy="3495220"/>
            <wp:effectExtent l="0" t="0" r="0" b="0"/>
            <wp:docPr id="1" name="Imagen 1" descr="Interfaz de usuario gráfica, Aplicación, Sitio web&#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Sitio web&#10;&#10;Descripción generada automáticamente">
                      <a:hlinkClick r:id="rId9"/>
                    </pic:cNvPr>
                    <pic:cNvPicPr/>
                  </pic:nvPicPr>
                  <pic:blipFill>
                    <a:blip r:embed="rId12"/>
                    <a:stretch>
                      <a:fillRect/>
                    </a:stretch>
                  </pic:blipFill>
                  <pic:spPr>
                    <a:xfrm>
                      <a:off x="0" y="0"/>
                      <a:ext cx="5740176" cy="3498954"/>
                    </a:xfrm>
                    <a:prstGeom prst="rect">
                      <a:avLst/>
                    </a:prstGeom>
                  </pic:spPr>
                </pic:pic>
              </a:graphicData>
            </a:graphic>
          </wp:inline>
        </w:drawing>
      </w:r>
    </w:p>
    <w:p w14:paraId="586BE542" w14:textId="77777777" w:rsidR="00446F66" w:rsidRDefault="00446F66">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000000E" w14:textId="2755B3C5" w:rsidR="00EE57D7" w:rsidRDefault="0092484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Así, después de Gandía, le sigue el municipio gaditano de Algeciras con 7,4% (con 6</w:t>
      </w:r>
      <w:r w:rsidR="00E779E7">
        <w:rPr>
          <w:rFonts w:ascii="Open Sans" w:eastAsia="Open Sans" w:hAnsi="Open Sans" w:cs="Open Sans"/>
          <w:color w:val="000000"/>
          <w:sz w:val="22"/>
          <w:szCs w:val="22"/>
        </w:rPr>
        <w:t>,6</w:t>
      </w:r>
      <w:r>
        <w:rPr>
          <w:rFonts w:ascii="Open Sans" w:eastAsia="Open Sans" w:hAnsi="Open Sans" w:cs="Open Sans"/>
          <w:color w:val="000000"/>
          <w:sz w:val="22"/>
          <w:szCs w:val="22"/>
        </w:rPr>
        <w:t>% hace 5 años), el almeriense de Roquetas de Mar con 7,2% (con 5,3% hace 5 años), la ciudad cántabra de Castro-Urdiales con 7% (sin datos hace 5 años)</w:t>
      </w:r>
      <w:r w:rsidR="00E779E7">
        <w:rPr>
          <w:rFonts w:ascii="Open Sans" w:eastAsia="Open Sans" w:hAnsi="Open Sans" w:cs="Open Sans"/>
          <w:color w:val="000000"/>
          <w:sz w:val="22"/>
          <w:szCs w:val="22"/>
        </w:rPr>
        <w:t>,</w:t>
      </w:r>
      <w:r>
        <w:rPr>
          <w:rFonts w:ascii="Open Sans" w:eastAsia="Open Sans" w:hAnsi="Open Sans" w:cs="Open Sans"/>
          <w:color w:val="000000"/>
          <w:sz w:val="22"/>
          <w:szCs w:val="22"/>
        </w:rPr>
        <w:t xml:space="preserve"> la murciana ciudad de Cartagena con 6,7% (con 5,5% hace 5 años)</w:t>
      </w:r>
      <w:r w:rsidR="00E779E7">
        <w:rPr>
          <w:rFonts w:ascii="Open Sans" w:eastAsia="Open Sans" w:hAnsi="Open Sans" w:cs="Open Sans"/>
          <w:color w:val="000000"/>
          <w:sz w:val="22"/>
          <w:szCs w:val="22"/>
        </w:rPr>
        <w:t xml:space="preserve"> y la capital de Almería con 6,7% (con 5% hace 5 años) </w:t>
      </w:r>
      <w:r>
        <w:rPr>
          <w:rFonts w:ascii="Open Sans" w:eastAsia="Open Sans" w:hAnsi="Open Sans" w:cs="Open Sans"/>
          <w:color w:val="000000"/>
          <w:sz w:val="22"/>
          <w:szCs w:val="22"/>
        </w:rPr>
        <w:t xml:space="preserve"> se colocan como los </w:t>
      </w:r>
      <w:r w:rsidR="00E779E7">
        <w:rPr>
          <w:rFonts w:ascii="Open Sans" w:eastAsia="Open Sans" w:hAnsi="Open Sans" w:cs="Open Sans"/>
          <w:color w:val="000000"/>
          <w:sz w:val="22"/>
          <w:szCs w:val="22"/>
        </w:rPr>
        <w:t>seis</w:t>
      </w:r>
      <w:r>
        <w:rPr>
          <w:rFonts w:ascii="Open Sans" w:eastAsia="Open Sans" w:hAnsi="Open Sans" w:cs="Open Sans"/>
          <w:color w:val="000000"/>
          <w:sz w:val="22"/>
          <w:szCs w:val="22"/>
        </w:rPr>
        <w:t xml:space="preserve"> municipios costeros que generan </w:t>
      </w:r>
      <w:r w:rsidR="00E779E7">
        <w:rPr>
          <w:rFonts w:ascii="Open Sans" w:eastAsia="Open Sans" w:hAnsi="Open Sans" w:cs="Open Sans"/>
          <w:color w:val="000000"/>
          <w:sz w:val="22"/>
          <w:szCs w:val="22"/>
        </w:rPr>
        <w:t>una rentabilidad igual o superior a la r</w:t>
      </w:r>
      <w:r>
        <w:rPr>
          <w:rFonts w:ascii="Open Sans" w:eastAsia="Open Sans" w:hAnsi="Open Sans" w:cs="Open Sans"/>
          <w:color w:val="000000"/>
          <w:sz w:val="22"/>
          <w:szCs w:val="22"/>
        </w:rPr>
        <w:t xml:space="preserve">entabilidad </w:t>
      </w:r>
      <w:r w:rsidR="00E779E7">
        <w:rPr>
          <w:rFonts w:ascii="Open Sans" w:eastAsia="Open Sans" w:hAnsi="Open Sans" w:cs="Open Sans"/>
          <w:color w:val="000000"/>
          <w:sz w:val="22"/>
          <w:szCs w:val="22"/>
        </w:rPr>
        <w:t>media de España</w:t>
      </w:r>
      <w:r>
        <w:rPr>
          <w:rFonts w:ascii="Open Sans" w:eastAsia="Open Sans" w:hAnsi="Open Sans" w:cs="Open Sans"/>
          <w:color w:val="000000"/>
          <w:sz w:val="22"/>
          <w:szCs w:val="22"/>
        </w:rPr>
        <w:t>.</w:t>
      </w:r>
    </w:p>
    <w:p w14:paraId="0000000F" w14:textId="77777777" w:rsidR="00EE57D7" w:rsidRDefault="00924841">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Open Sans Light" w:eastAsia="Open Sans Light" w:hAnsi="Open Sans Light" w:cs="Open Sans Light"/>
          <w:b/>
          <w:color w:val="303AB2"/>
          <w:sz w:val="28"/>
          <w:szCs w:val="28"/>
        </w:rPr>
        <w:t>Ranking de municipios costeros con mayor rentabilidad en junio 2021</w:t>
      </w:r>
      <w:r>
        <w:rPr>
          <w:rFonts w:ascii="Times New Roman" w:eastAsia="Times New Roman" w:hAnsi="Times New Roman" w:cs="Times New Roman"/>
          <w:noProof/>
          <w:color w:val="000000"/>
        </w:rPr>
        <w:drawing>
          <wp:inline distT="0" distB="0" distL="0" distR="0" wp14:editId="79C57073">
            <wp:extent cx="5762625" cy="24003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9B544E" w14:textId="77777777" w:rsidR="007D3B2C" w:rsidRDefault="007D3B2C">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00000010" w14:textId="45CCEC8A" w:rsidR="00EE57D7" w:rsidRDefault="00924841">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rPr>
      </w:pPr>
      <w:r>
        <w:rPr>
          <w:rFonts w:ascii="Open Sans" w:eastAsia="Open Sans" w:hAnsi="Open Sans" w:cs="Open Sans"/>
          <w:sz w:val="22"/>
          <w:szCs w:val="22"/>
        </w:rPr>
        <w:lastRenderedPageBreak/>
        <w:t xml:space="preserve">“Otro año más se constata que la vivienda no tiene rival como inversión. De hecho, en estos momentos no existe otro producto financiero con una rentabilidad tan alta. Por ello, España se sitúa como uno de los mercados favoritos de los inversores. Tras el impacto de la pandemia estamos detectando una demanda muy activa interesada en comprar para alquilar, y por supuesto, el dato de rentabilidad es un gran aliciente, tanto para grandes inversores como para pequeños particulares que se introducen en el mercado. Además, cada año vemos cómo se van incluyendo más municipios costeros en el ranking de rendimiento”, explica María Matos, directora de Estudios y Portavoz de </w:t>
      </w:r>
      <w:hyperlink r:id="rId14">
        <w:r>
          <w:rPr>
            <w:rFonts w:ascii="Open Sans" w:eastAsia="Open Sans" w:hAnsi="Open Sans" w:cs="Open Sans"/>
            <w:color w:val="0000FF"/>
            <w:sz w:val="22"/>
            <w:szCs w:val="22"/>
          </w:rPr>
          <w:t>Fotocasa</w:t>
        </w:r>
      </w:hyperlink>
      <w:r>
        <w:rPr>
          <w:rFonts w:ascii="Open Sans" w:eastAsia="Open Sans" w:hAnsi="Open Sans" w:cs="Open Sans"/>
          <w:sz w:val="22"/>
          <w:szCs w:val="22"/>
        </w:rPr>
        <w:t>.</w:t>
      </w:r>
    </w:p>
    <w:p w14:paraId="00000011" w14:textId="77777777" w:rsidR="00EE57D7" w:rsidRDefault="00924841">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de la costa con mayor rentabilidad en junio 2021</w:t>
      </w:r>
    </w:p>
    <w:tbl>
      <w:tblPr>
        <w:tblStyle w:val="a"/>
        <w:tblW w:w="918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03"/>
        <w:gridCol w:w="2530"/>
        <w:gridCol w:w="2536"/>
        <w:gridCol w:w="1617"/>
      </w:tblGrid>
      <w:tr w:rsidR="00EE57D7" w14:paraId="144C6D51" w14:textId="77777777" w:rsidTr="00EE57D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503" w:type="dxa"/>
            <w:vAlign w:val="center"/>
          </w:tcPr>
          <w:p w14:paraId="00000012" w14:textId="77777777" w:rsidR="00EE57D7" w:rsidRDefault="00924841">
            <w:pPr>
              <w:rPr>
                <w:rFonts w:ascii="Open Sans" w:eastAsia="Open Sans" w:hAnsi="Open Sans" w:cs="Open Sans"/>
                <w:sz w:val="22"/>
                <w:szCs w:val="22"/>
              </w:rPr>
            </w:pPr>
            <w:r>
              <w:rPr>
                <w:rFonts w:ascii="Open Sans" w:eastAsia="Open Sans" w:hAnsi="Open Sans" w:cs="Open Sans"/>
                <w:sz w:val="22"/>
                <w:szCs w:val="22"/>
              </w:rPr>
              <w:t>CC.AA.</w:t>
            </w:r>
          </w:p>
        </w:tc>
        <w:tc>
          <w:tcPr>
            <w:tcW w:w="2530" w:type="dxa"/>
            <w:vAlign w:val="center"/>
          </w:tcPr>
          <w:p w14:paraId="00000013" w14:textId="77777777" w:rsidR="00EE57D7" w:rsidRDefault="00924841">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Provincia</w:t>
            </w:r>
          </w:p>
        </w:tc>
        <w:tc>
          <w:tcPr>
            <w:tcW w:w="2536" w:type="dxa"/>
            <w:vAlign w:val="center"/>
          </w:tcPr>
          <w:p w14:paraId="00000014" w14:textId="77777777" w:rsidR="00EE57D7" w:rsidRDefault="00924841">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1617" w:type="dxa"/>
            <w:vAlign w:val="center"/>
          </w:tcPr>
          <w:p w14:paraId="00000015" w14:textId="77777777" w:rsidR="00EE57D7" w:rsidRDefault="00924841">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Rentabilidad media</w:t>
            </w:r>
          </w:p>
        </w:tc>
      </w:tr>
      <w:tr w:rsidR="00EE57D7" w14:paraId="530A81F5"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1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530" w:type="dxa"/>
            <w:vAlign w:val="bottom"/>
          </w:tcPr>
          <w:p w14:paraId="0000001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536" w:type="dxa"/>
            <w:vAlign w:val="bottom"/>
          </w:tcPr>
          <w:p w14:paraId="0000001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Gandía</w:t>
            </w:r>
          </w:p>
        </w:tc>
        <w:tc>
          <w:tcPr>
            <w:tcW w:w="1617" w:type="dxa"/>
            <w:vAlign w:val="bottom"/>
          </w:tcPr>
          <w:p w14:paraId="0000001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EE57D7" w14:paraId="5528836C"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1A"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1B"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536" w:type="dxa"/>
            <w:vAlign w:val="bottom"/>
          </w:tcPr>
          <w:p w14:paraId="0000001C"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Algeciras</w:t>
            </w:r>
          </w:p>
        </w:tc>
        <w:tc>
          <w:tcPr>
            <w:tcW w:w="1617" w:type="dxa"/>
            <w:vAlign w:val="bottom"/>
          </w:tcPr>
          <w:p w14:paraId="0000001D"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EE57D7" w14:paraId="0E46A3E6"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1E"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1F"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536" w:type="dxa"/>
            <w:vAlign w:val="bottom"/>
          </w:tcPr>
          <w:p w14:paraId="00000020"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Roquetas de Mar</w:t>
            </w:r>
          </w:p>
        </w:tc>
        <w:tc>
          <w:tcPr>
            <w:tcW w:w="1617" w:type="dxa"/>
            <w:vAlign w:val="bottom"/>
          </w:tcPr>
          <w:p w14:paraId="00000021"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EE57D7" w14:paraId="470A63FA"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22"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Cantabria</w:t>
            </w:r>
          </w:p>
        </w:tc>
        <w:tc>
          <w:tcPr>
            <w:tcW w:w="2530" w:type="dxa"/>
            <w:vAlign w:val="bottom"/>
          </w:tcPr>
          <w:p w14:paraId="00000023"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536" w:type="dxa"/>
            <w:vAlign w:val="bottom"/>
          </w:tcPr>
          <w:p w14:paraId="00000024"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Castro-Urdiales</w:t>
            </w:r>
          </w:p>
        </w:tc>
        <w:tc>
          <w:tcPr>
            <w:tcW w:w="1617" w:type="dxa"/>
            <w:vAlign w:val="bottom"/>
          </w:tcPr>
          <w:p w14:paraId="00000025"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EE57D7" w14:paraId="74AA5B36"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2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530" w:type="dxa"/>
            <w:vAlign w:val="bottom"/>
          </w:tcPr>
          <w:p w14:paraId="0000002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2536" w:type="dxa"/>
            <w:vAlign w:val="bottom"/>
          </w:tcPr>
          <w:p w14:paraId="0000002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617" w:type="dxa"/>
            <w:vAlign w:val="bottom"/>
          </w:tcPr>
          <w:p w14:paraId="0000002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EE57D7" w14:paraId="467A2E50"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2A"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2B"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536" w:type="dxa"/>
            <w:vAlign w:val="bottom"/>
          </w:tcPr>
          <w:p w14:paraId="0000002C"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617" w:type="dxa"/>
            <w:vAlign w:val="bottom"/>
          </w:tcPr>
          <w:p w14:paraId="0000002D"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EE57D7" w14:paraId="584F8B1A"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shd w:val="clear" w:color="auto" w:fill="FFC000"/>
            <w:vAlign w:val="bottom"/>
          </w:tcPr>
          <w:p w14:paraId="0000002E" w14:textId="77777777" w:rsidR="00EE57D7" w:rsidRDefault="00924841">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2530" w:type="dxa"/>
            <w:shd w:val="clear" w:color="auto" w:fill="FFC000"/>
            <w:vAlign w:val="bottom"/>
          </w:tcPr>
          <w:p w14:paraId="0000002F"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España</w:t>
            </w:r>
          </w:p>
        </w:tc>
        <w:tc>
          <w:tcPr>
            <w:tcW w:w="2536" w:type="dxa"/>
            <w:shd w:val="clear" w:color="auto" w:fill="FFC000"/>
            <w:vAlign w:val="bottom"/>
          </w:tcPr>
          <w:p w14:paraId="00000030"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España</w:t>
            </w:r>
          </w:p>
        </w:tc>
        <w:tc>
          <w:tcPr>
            <w:tcW w:w="1617" w:type="dxa"/>
            <w:shd w:val="clear" w:color="auto" w:fill="FFC000"/>
            <w:vAlign w:val="bottom"/>
          </w:tcPr>
          <w:p w14:paraId="00000031"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6,7%</w:t>
            </w:r>
          </w:p>
        </w:tc>
      </w:tr>
      <w:tr w:rsidR="00EE57D7" w14:paraId="7E984EB1"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32"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Canarias</w:t>
            </w:r>
          </w:p>
        </w:tc>
        <w:tc>
          <w:tcPr>
            <w:tcW w:w="2530" w:type="dxa"/>
            <w:vAlign w:val="bottom"/>
          </w:tcPr>
          <w:p w14:paraId="00000033"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536" w:type="dxa"/>
            <w:vAlign w:val="bottom"/>
          </w:tcPr>
          <w:p w14:paraId="00000034"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de la Cruz</w:t>
            </w:r>
          </w:p>
        </w:tc>
        <w:tc>
          <w:tcPr>
            <w:tcW w:w="1617" w:type="dxa"/>
            <w:vAlign w:val="bottom"/>
          </w:tcPr>
          <w:p w14:paraId="00000035"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EE57D7" w14:paraId="340FCBDF"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3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530" w:type="dxa"/>
            <w:vAlign w:val="bottom"/>
          </w:tcPr>
          <w:p w14:paraId="0000003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536" w:type="dxa"/>
            <w:vAlign w:val="bottom"/>
          </w:tcPr>
          <w:p w14:paraId="0000003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617" w:type="dxa"/>
            <w:vAlign w:val="bottom"/>
          </w:tcPr>
          <w:p w14:paraId="0000003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EE57D7" w14:paraId="5D0CEF52"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3A"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530" w:type="dxa"/>
            <w:vAlign w:val="bottom"/>
          </w:tcPr>
          <w:p w14:paraId="0000003B"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536" w:type="dxa"/>
            <w:vAlign w:val="bottom"/>
          </w:tcPr>
          <w:p w14:paraId="0000003C"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617" w:type="dxa"/>
            <w:vAlign w:val="bottom"/>
          </w:tcPr>
          <w:p w14:paraId="0000003D"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EE57D7" w14:paraId="5445F74D"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3E"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Asturias</w:t>
            </w:r>
          </w:p>
        </w:tc>
        <w:tc>
          <w:tcPr>
            <w:tcW w:w="2530" w:type="dxa"/>
            <w:vAlign w:val="bottom"/>
          </w:tcPr>
          <w:p w14:paraId="0000003F"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536" w:type="dxa"/>
            <w:vAlign w:val="bottom"/>
          </w:tcPr>
          <w:p w14:paraId="00000040"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617" w:type="dxa"/>
            <w:vAlign w:val="bottom"/>
          </w:tcPr>
          <w:p w14:paraId="00000041"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EE57D7" w14:paraId="1B2D2F00"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42"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530" w:type="dxa"/>
            <w:vAlign w:val="bottom"/>
          </w:tcPr>
          <w:p w14:paraId="00000043"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536" w:type="dxa"/>
            <w:vAlign w:val="bottom"/>
          </w:tcPr>
          <w:p w14:paraId="00000044"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Torrevieja</w:t>
            </w:r>
          </w:p>
        </w:tc>
        <w:tc>
          <w:tcPr>
            <w:tcW w:w="1617" w:type="dxa"/>
            <w:vAlign w:val="bottom"/>
          </w:tcPr>
          <w:p w14:paraId="00000045"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EE57D7" w14:paraId="2F70C74D"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4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Canarias</w:t>
            </w:r>
          </w:p>
        </w:tc>
        <w:tc>
          <w:tcPr>
            <w:tcW w:w="2530" w:type="dxa"/>
            <w:vAlign w:val="bottom"/>
          </w:tcPr>
          <w:p w14:paraId="0000004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536" w:type="dxa"/>
            <w:vAlign w:val="bottom"/>
          </w:tcPr>
          <w:p w14:paraId="0000004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Arona</w:t>
            </w:r>
          </w:p>
        </w:tc>
        <w:tc>
          <w:tcPr>
            <w:tcW w:w="1617" w:type="dxa"/>
            <w:vAlign w:val="bottom"/>
          </w:tcPr>
          <w:p w14:paraId="0000004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EE57D7" w14:paraId="149AA693"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4A"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4B"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536" w:type="dxa"/>
            <w:vAlign w:val="bottom"/>
          </w:tcPr>
          <w:p w14:paraId="0000004C"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Torremolinos</w:t>
            </w:r>
          </w:p>
        </w:tc>
        <w:tc>
          <w:tcPr>
            <w:tcW w:w="1617" w:type="dxa"/>
            <w:vAlign w:val="bottom"/>
          </w:tcPr>
          <w:p w14:paraId="0000004D"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EE57D7" w14:paraId="0BF50177"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4E"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Asturias</w:t>
            </w:r>
          </w:p>
        </w:tc>
        <w:tc>
          <w:tcPr>
            <w:tcW w:w="2530" w:type="dxa"/>
            <w:vAlign w:val="bottom"/>
          </w:tcPr>
          <w:p w14:paraId="0000004F"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536" w:type="dxa"/>
            <w:vAlign w:val="bottom"/>
          </w:tcPr>
          <w:p w14:paraId="00000050"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Avilés</w:t>
            </w:r>
          </w:p>
        </w:tc>
        <w:tc>
          <w:tcPr>
            <w:tcW w:w="1617" w:type="dxa"/>
            <w:vAlign w:val="bottom"/>
          </w:tcPr>
          <w:p w14:paraId="00000051"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EE57D7" w14:paraId="5145DE36"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52"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530" w:type="dxa"/>
            <w:vAlign w:val="bottom"/>
          </w:tcPr>
          <w:p w14:paraId="00000053"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536" w:type="dxa"/>
            <w:vAlign w:val="bottom"/>
          </w:tcPr>
          <w:p w14:paraId="00000054"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617" w:type="dxa"/>
            <w:vAlign w:val="bottom"/>
          </w:tcPr>
          <w:p w14:paraId="00000055"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EE57D7" w14:paraId="006AAF5D"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5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Cataluña</w:t>
            </w:r>
          </w:p>
        </w:tc>
        <w:tc>
          <w:tcPr>
            <w:tcW w:w="2530" w:type="dxa"/>
            <w:vAlign w:val="bottom"/>
          </w:tcPr>
          <w:p w14:paraId="0000005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536" w:type="dxa"/>
            <w:vAlign w:val="bottom"/>
          </w:tcPr>
          <w:p w14:paraId="0000005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Castelldefels</w:t>
            </w:r>
          </w:p>
        </w:tc>
        <w:tc>
          <w:tcPr>
            <w:tcW w:w="1617" w:type="dxa"/>
            <w:vAlign w:val="bottom"/>
          </w:tcPr>
          <w:p w14:paraId="0000005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EE57D7" w14:paraId="17D62BEC"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5A"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Baleares</w:t>
            </w:r>
          </w:p>
        </w:tc>
        <w:tc>
          <w:tcPr>
            <w:tcW w:w="2530" w:type="dxa"/>
            <w:vAlign w:val="bottom"/>
          </w:tcPr>
          <w:p w14:paraId="0000005B"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536" w:type="dxa"/>
            <w:vAlign w:val="bottom"/>
          </w:tcPr>
          <w:p w14:paraId="0000005C"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Llucmajor</w:t>
            </w:r>
          </w:p>
        </w:tc>
        <w:tc>
          <w:tcPr>
            <w:tcW w:w="1617" w:type="dxa"/>
            <w:vAlign w:val="bottom"/>
          </w:tcPr>
          <w:p w14:paraId="0000005D"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EE57D7" w14:paraId="0E5FCBDD"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5E"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5F"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536" w:type="dxa"/>
            <w:vAlign w:val="bottom"/>
          </w:tcPr>
          <w:p w14:paraId="00000060"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Mijas</w:t>
            </w:r>
          </w:p>
        </w:tc>
        <w:tc>
          <w:tcPr>
            <w:tcW w:w="1617" w:type="dxa"/>
            <w:vAlign w:val="bottom"/>
          </w:tcPr>
          <w:p w14:paraId="00000061"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EE57D7" w14:paraId="0C1C9513" w14:textId="77777777" w:rsidTr="00EE57D7">
        <w:trPr>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62"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2530" w:type="dxa"/>
            <w:vAlign w:val="bottom"/>
          </w:tcPr>
          <w:p w14:paraId="00000063"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536" w:type="dxa"/>
            <w:vAlign w:val="bottom"/>
          </w:tcPr>
          <w:p w14:paraId="00000064"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617" w:type="dxa"/>
            <w:vAlign w:val="bottom"/>
          </w:tcPr>
          <w:p w14:paraId="00000065"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EE57D7" w14:paraId="3F8FA313" w14:textId="77777777" w:rsidTr="00EE57D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03" w:type="dxa"/>
            <w:vAlign w:val="bottom"/>
          </w:tcPr>
          <w:p w14:paraId="00000066"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Cantabria</w:t>
            </w:r>
          </w:p>
        </w:tc>
        <w:tc>
          <w:tcPr>
            <w:tcW w:w="2530" w:type="dxa"/>
            <w:vAlign w:val="bottom"/>
          </w:tcPr>
          <w:p w14:paraId="00000067"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536" w:type="dxa"/>
            <w:vAlign w:val="bottom"/>
          </w:tcPr>
          <w:p w14:paraId="00000068"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617" w:type="dxa"/>
            <w:vAlign w:val="bottom"/>
          </w:tcPr>
          <w:p w14:paraId="00000069"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bl>
    <w:p w14:paraId="0000006B" w14:textId="666E6A5E" w:rsidR="00EE57D7" w:rsidRDefault="0092484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las </w:t>
      </w:r>
      <w:r w:rsidR="00D77610">
        <w:rPr>
          <w:rFonts w:ascii="Open Sans" w:eastAsia="Open Sans" w:hAnsi="Open Sans" w:cs="Open Sans"/>
          <w:color w:val="000000"/>
          <w:sz w:val="22"/>
          <w:szCs w:val="22"/>
        </w:rPr>
        <w:t>seis</w:t>
      </w:r>
      <w:r>
        <w:rPr>
          <w:rFonts w:ascii="Open Sans" w:eastAsia="Open Sans" w:hAnsi="Open Sans" w:cs="Open Sans"/>
          <w:color w:val="000000"/>
          <w:sz w:val="22"/>
          <w:szCs w:val="22"/>
        </w:rPr>
        <w:t xml:space="preserve"> ciudades más rentables en junio de 2021, una de ellas tiene un historial de rentabilidad en los últimos 10 años. Hay que destacar que </w:t>
      </w:r>
      <w:r>
        <w:rPr>
          <w:rFonts w:ascii="Open Sans" w:eastAsia="Open Sans" w:hAnsi="Open Sans" w:cs="Open Sans"/>
          <w:b/>
          <w:color w:val="000000"/>
          <w:sz w:val="22"/>
          <w:szCs w:val="22"/>
        </w:rPr>
        <w:t>Gandía tiene unos antecedentes sólidos de rentabilidad</w:t>
      </w:r>
      <w:r>
        <w:rPr>
          <w:rFonts w:ascii="Open Sans" w:eastAsia="Open Sans" w:hAnsi="Open Sans" w:cs="Open Sans"/>
          <w:color w:val="000000"/>
          <w:sz w:val="22"/>
          <w:szCs w:val="22"/>
        </w:rPr>
        <w:t>, que lo ha llevado a un incremento continuado, del 4,4% de junio de 2011 al 7,9% de junio de 202</w:t>
      </w:r>
      <w:r w:rsidR="00E25D36">
        <w:rPr>
          <w:rFonts w:ascii="Open Sans" w:eastAsia="Open Sans" w:hAnsi="Open Sans" w:cs="Open Sans"/>
          <w:color w:val="000000"/>
          <w:sz w:val="22"/>
          <w:szCs w:val="22"/>
        </w:rPr>
        <w:t>1</w:t>
      </w:r>
      <w:r>
        <w:rPr>
          <w:rFonts w:ascii="Open Sans" w:eastAsia="Open Sans" w:hAnsi="Open Sans" w:cs="Open Sans"/>
          <w:color w:val="000000"/>
          <w:sz w:val="22"/>
          <w:szCs w:val="22"/>
        </w:rPr>
        <w:t>. Por otro lado, el segundo municipio costero más rentable, Algeciras (7,4%), muestra datos muy positivos en la evolución de la rentabilidad desde 2011 (4,7%) hasta 2021 (7,4%).</w:t>
      </w:r>
    </w:p>
    <w:p w14:paraId="0000006C" w14:textId="77777777" w:rsidR="00EE57D7" w:rsidRDefault="00924841">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Los municipios menos rentables </w:t>
      </w:r>
    </w:p>
    <w:p w14:paraId="0000006D" w14:textId="0A061C0E" w:rsidR="00EE57D7" w:rsidRDefault="0092484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otro extremo, ciudades con rentabilidad inferior al 5%, como Donostia - San Sebastián con 3,5% (con 3,8% hace 5 años), Fuengirola con 4,1% (con 5,7% hace 5 años), Barcelona capital con 4,2% (con 5,2% hace 5 años), </w:t>
      </w:r>
      <w:r w:rsidR="00535E4D">
        <w:rPr>
          <w:rFonts w:ascii="Open Sans" w:eastAsia="Open Sans" w:hAnsi="Open Sans" w:cs="Open Sans"/>
          <w:color w:val="000000"/>
          <w:sz w:val="22"/>
          <w:szCs w:val="22"/>
        </w:rPr>
        <w:t>Estepona</w:t>
      </w:r>
      <w:r>
        <w:rPr>
          <w:rFonts w:ascii="Open Sans" w:eastAsia="Open Sans" w:hAnsi="Open Sans" w:cs="Open Sans"/>
          <w:color w:val="000000"/>
          <w:sz w:val="22"/>
          <w:szCs w:val="22"/>
        </w:rPr>
        <w:t xml:space="preserve"> con 4,2%</w:t>
      </w:r>
      <w:r w:rsidR="00535E4D">
        <w:rPr>
          <w:rFonts w:ascii="Open Sans" w:eastAsia="Open Sans" w:hAnsi="Open Sans" w:cs="Open Sans"/>
          <w:color w:val="000000"/>
          <w:sz w:val="22"/>
          <w:szCs w:val="22"/>
        </w:rPr>
        <w:t xml:space="preserve"> (sin datos hace 5 años)</w:t>
      </w:r>
      <w:r>
        <w:rPr>
          <w:rFonts w:ascii="Open Sans" w:eastAsia="Open Sans" w:hAnsi="Open Sans" w:cs="Open Sans"/>
          <w:color w:val="000000"/>
          <w:sz w:val="22"/>
          <w:szCs w:val="22"/>
        </w:rPr>
        <w:t>, Palma de Mallorca con 4,3% (con 6,3% hace 5 años), Sitges con 4,5%, Marbella con 4,7% (con 6% hace 5 años), Benalmádena con 4,8% (con 5,1% hace 5 años) y Benidorm con 4,9% (con 5,2% hace 5 años).</w:t>
      </w:r>
    </w:p>
    <w:p w14:paraId="0000006E" w14:textId="77777777" w:rsidR="00EE57D7" w:rsidRDefault="00924841">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w:eastAsia="Open Sans" w:hAnsi="Open Sans" w:cs="Open Sans"/>
          <w:color w:val="000000"/>
          <w:sz w:val="22"/>
          <w:szCs w:val="22"/>
        </w:rPr>
        <w:t xml:space="preserve"> </w:t>
      </w:r>
      <w:r>
        <w:rPr>
          <w:rFonts w:ascii="Open Sans Light" w:eastAsia="Open Sans Light" w:hAnsi="Open Sans Light" w:cs="Open Sans Light"/>
          <w:b/>
          <w:color w:val="303AB2"/>
          <w:sz w:val="28"/>
          <w:szCs w:val="28"/>
        </w:rPr>
        <w:t>Municipios de la costa con menor rentabilidad en junio 2021</w:t>
      </w:r>
    </w:p>
    <w:tbl>
      <w:tblPr>
        <w:tblStyle w:val="a0"/>
        <w:tblW w:w="920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842"/>
        <w:gridCol w:w="2977"/>
        <w:gridCol w:w="1701"/>
      </w:tblGrid>
      <w:tr w:rsidR="00EE57D7" w14:paraId="046FF5B2" w14:textId="77777777" w:rsidTr="0014003D">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000006F" w14:textId="77777777" w:rsidR="00EE57D7" w:rsidRDefault="00924841">
            <w:pPr>
              <w:rPr>
                <w:rFonts w:ascii="Open Sans" w:eastAsia="Open Sans" w:hAnsi="Open Sans" w:cs="Open Sans"/>
                <w:sz w:val="22"/>
                <w:szCs w:val="22"/>
              </w:rPr>
            </w:pPr>
            <w:r>
              <w:rPr>
                <w:rFonts w:ascii="Open Sans" w:eastAsia="Open Sans" w:hAnsi="Open Sans" w:cs="Open Sans"/>
                <w:sz w:val="22"/>
                <w:szCs w:val="22"/>
              </w:rPr>
              <w:t>CC.AA.</w:t>
            </w:r>
          </w:p>
        </w:tc>
        <w:tc>
          <w:tcPr>
            <w:tcW w:w="1842" w:type="dxa"/>
            <w:vAlign w:val="center"/>
          </w:tcPr>
          <w:p w14:paraId="00000070" w14:textId="77777777" w:rsidR="00EE57D7" w:rsidRDefault="00924841">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Provincia</w:t>
            </w:r>
          </w:p>
        </w:tc>
        <w:tc>
          <w:tcPr>
            <w:tcW w:w="2977" w:type="dxa"/>
            <w:vAlign w:val="center"/>
          </w:tcPr>
          <w:p w14:paraId="00000071" w14:textId="77777777" w:rsidR="00EE57D7" w:rsidRDefault="00924841">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1701" w:type="dxa"/>
            <w:vAlign w:val="center"/>
          </w:tcPr>
          <w:p w14:paraId="00000072" w14:textId="77777777" w:rsidR="00EE57D7" w:rsidRDefault="00924841">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Rentabilidad media</w:t>
            </w:r>
          </w:p>
        </w:tc>
      </w:tr>
      <w:tr w:rsidR="00EE57D7" w14:paraId="56316B1B" w14:textId="77777777" w:rsidTr="001400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73"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País Vasco</w:t>
            </w:r>
          </w:p>
        </w:tc>
        <w:tc>
          <w:tcPr>
            <w:tcW w:w="1842" w:type="dxa"/>
            <w:vAlign w:val="bottom"/>
          </w:tcPr>
          <w:p w14:paraId="00000074"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2977" w:type="dxa"/>
            <w:vAlign w:val="bottom"/>
          </w:tcPr>
          <w:p w14:paraId="00000075"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701" w:type="dxa"/>
            <w:vAlign w:val="bottom"/>
          </w:tcPr>
          <w:p w14:paraId="00000076"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r>
      <w:tr w:rsidR="00EE57D7" w14:paraId="40E6C28D" w14:textId="77777777" w:rsidTr="0014003D">
        <w:trPr>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77"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1842" w:type="dxa"/>
            <w:vAlign w:val="bottom"/>
          </w:tcPr>
          <w:p w14:paraId="00000078"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977" w:type="dxa"/>
            <w:vAlign w:val="bottom"/>
          </w:tcPr>
          <w:p w14:paraId="00000079"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Fuengirola</w:t>
            </w:r>
          </w:p>
        </w:tc>
        <w:tc>
          <w:tcPr>
            <w:tcW w:w="1701" w:type="dxa"/>
            <w:vAlign w:val="bottom"/>
          </w:tcPr>
          <w:p w14:paraId="0000007A"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r>
      <w:tr w:rsidR="00EE57D7" w14:paraId="6FC26998" w14:textId="77777777" w:rsidTr="001400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7B"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Cataluña</w:t>
            </w:r>
          </w:p>
        </w:tc>
        <w:tc>
          <w:tcPr>
            <w:tcW w:w="1842" w:type="dxa"/>
            <w:vAlign w:val="bottom"/>
          </w:tcPr>
          <w:p w14:paraId="0000007C"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977" w:type="dxa"/>
            <w:vAlign w:val="bottom"/>
          </w:tcPr>
          <w:p w14:paraId="0000007D"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701" w:type="dxa"/>
            <w:vAlign w:val="bottom"/>
          </w:tcPr>
          <w:p w14:paraId="0000007E"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r>
      <w:tr w:rsidR="00EE57D7" w14:paraId="1059EC46" w14:textId="77777777" w:rsidTr="0014003D">
        <w:trPr>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7F"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1842" w:type="dxa"/>
            <w:vAlign w:val="bottom"/>
          </w:tcPr>
          <w:p w14:paraId="00000080"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977" w:type="dxa"/>
            <w:vAlign w:val="bottom"/>
          </w:tcPr>
          <w:p w14:paraId="00000081" w14:textId="29DE6ACC" w:rsidR="00EE57D7" w:rsidRDefault="00535E4D" w:rsidP="0014003D">
            <w:pPr>
              <w:ind w:left="720" w:hanging="72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Estepona</w:t>
            </w:r>
          </w:p>
        </w:tc>
        <w:tc>
          <w:tcPr>
            <w:tcW w:w="1701" w:type="dxa"/>
            <w:vAlign w:val="bottom"/>
          </w:tcPr>
          <w:p w14:paraId="00000082"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r>
      <w:tr w:rsidR="00EE57D7" w14:paraId="64C9FD3D" w14:textId="77777777" w:rsidTr="001400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83"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Baleares</w:t>
            </w:r>
          </w:p>
        </w:tc>
        <w:tc>
          <w:tcPr>
            <w:tcW w:w="1842" w:type="dxa"/>
            <w:vAlign w:val="bottom"/>
          </w:tcPr>
          <w:p w14:paraId="00000084"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977" w:type="dxa"/>
            <w:vAlign w:val="bottom"/>
          </w:tcPr>
          <w:p w14:paraId="00000085"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701" w:type="dxa"/>
            <w:vAlign w:val="bottom"/>
          </w:tcPr>
          <w:p w14:paraId="00000086"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EE57D7" w14:paraId="3404F5C3" w14:textId="77777777" w:rsidTr="0014003D">
        <w:trPr>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87"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Cataluña</w:t>
            </w:r>
          </w:p>
        </w:tc>
        <w:tc>
          <w:tcPr>
            <w:tcW w:w="1842" w:type="dxa"/>
            <w:vAlign w:val="bottom"/>
          </w:tcPr>
          <w:p w14:paraId="00000088"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977" w:type="dxa"/>
            <w:vAlign w:val="bottom"/>
          </w:tcPr>
          <w:p w14:paraId="00000089"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Sitges</w:t>
            </w:r>
          </w:p>
        </w:tc>
        <w:tc>
          <w:tcPr>
            <w:tcW w:w="1701" w:type="dxa"/>
            <w:vAlign w:val="bottom"/>
          </w:tcPr>
          <w:p w14:paraId="0000008A"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r>
      <w:tr w:rsidR="00EE57D7" w14:paraId="3D550332" w14:textId="77777777" w:rsidTr="001400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8B"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1842" w:type="dxa"/>
            <w:vAlign w:val="bottom"/>
          </w:tcPr>
          <w:p w14:paraId="0000008C"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977" w:type="dxa"/>
            <w:vAlign w:val="bottom"/>
          </w:tcPr>
          <w:p w14:paraId="0000008D"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Marbella</w:t>
            </w:r>
          </w:p>
        </w:tc>
        <w:tc>
          <w:tcPr>
            <w:tcW w:w="1701" w:type="dxa"/>
            <w:vAlign w:val="bottom"/>
          </w:tcPr>
          <w:p w14:paraId="0000008E"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r>
      <w:tr w:rsidR="00EE57D7" w14:paraId="01686857" w14:textId="77777777" w:rsidTr="0014003D">
        <w:trPr>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8F"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Andalucía</w:t>
            </w:r>
          </w:p>
        </w:tc>
        <w:tc>
          <w:tcPr>
            <w:tcW w:w="1842" w:type="dxa"/>
            <w:vAlign w:val="bottom"/>
          </w:tcPr>
          <w:p w14:paraId="00000090"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977" w:type="dxa"/>
            <w:vAlign w:val="bottom"/>
          </w:tcPr>
          <w:p w14:paraId="00000091" w14:textId="77777777" w:rsidR="00EE57D7" w:rsidRDefault="00924841">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Benalmádena</w:t>
            </w:r>
          </w:p>
        </w:tc>
        <w:tc>
          <w:tcPr>
            <w:tcW w:w="1701" w:type="dxa"/>
            <w:vAlign w:val="bottom"/>
          </w:tcPr>
          <w:p w14:paraId="00000092" w14:textId="77777777" w:rsidR="00EE57D7" w:rsidRDefault="0092484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r>
      <w:tr w:rsidR="00EE57D7" w14:paraId="1D77768C" w14:textId="77777777" w:rsidTr="001400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000093" w14:textId="77777777" w:rsidR="00EE57D7" w:rsidRDefault="00924841">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842" w:type="dxa"/>
            <w:vAlign w:val="bottom"/>
          </w:tcPr>
          <w:p w14:paraId="00000094"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977" w:type="dxa"/>
            <w:vAlign w:val="bottom"/>
          </w:tcPr>
          <w:p w14:paraId="00000095" w14:textId="77777777" w:rsidR="00EE57D7" w:rsidRDefault="00924841">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Benidorm</w:t>
            </w:r>
          </w:p>
        </w:tc>
        <w:tc>
          <w:tcPr>
            <w:tcW w:w="1701" w:type="dxa"/>
            <w:vAlign w:val="bottom"/>
          </w:tcPr>
          <w:p w14:paraId="00000096" w14:textId="77777777" w:rsidR="00EE57D7" w:rsidRDefault="0092484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r>
    </w:tbl>
    <w:p w14:paraId="00000097" w14:textId="77777777" w:rsidR="00EE57D7" w:rsidRDefault="00EE57D7">
      <w:pPr>
        <w:spacing w:line="276" w:lineRule="auto"/>
        <w:ind w:right="-574"/>
        <w:jc w:val="right"/>
        <w:rPr>
          <w:rFonts w:ascii="Open Sans Light" w:eastAsia="Open Sans Light" w:hAnsi="Open Sans Light" w:cs="Open Sans Light"/>
          <w:b/>
          <w:color w:val="303AB2"/>
        </w:rPr>
      </w:pPr>
    </w:p>
    <w:p w14:paraId="00000098" w14:textId="77777777" w:rsidR="00EE57D7" w:rsidRDefault="00EE57D7">
      <w:pPr>
        <w:spacing w:line="276" w:lineRule="auto"/>
        <w:ind w:right="-574"/>
        <w:jc w:val="right"/>
        <w:rPr>
          <w:rFonts w:ascii="Open Sans Light" w:eastAsia="Open Sans Light" w:hAnsi="Open Sans Light" w:cs="Open Sans Light"/>
          <w:b/>
          <w:color w:val="303AB2"/>
        </w:rPr>
      </w:pPr>
    </w:p>
    <w:p w14:paraId="0000009C" w14:textId="342150A8" w:rsidR="00EE57D7" w:rsidRDefault="00EE57D7">
      <w:pPr>
        <w:spacing w:line="276" w:lineRule="auto"/>
        <w:ind w:right="-574"/>
        <w:jc w:val="right"/>
        <w:rPr>
          <w:rFonts w:ascii="Open Sans Light" w:eastAsia="Open Sans Light" w:hAnsi="Open Sans Light" w:cs="Open Sans Light"/>
          <w:b/>
          <w:color w:val="303AB2"/>
        </w:rPr>
      </w:pPr>
    </w:p>
    <w:p w14:paraId="7D201A2A" w14:textId="77777777" w:rsidR="007D3B2C" w:rsidRDefault="007D3B2C">
      <w:pPr>
        <w:spacing w:line="276" w:lineRule="auto"/>
        <w:ind w:right="-574"/>
        <w:jc w:val="right"/>
        <w:rPr>
          <w:rFonts w:ascii="Open Sans Light" w:eastAsia="Open Sans Light" w:hAnsi="Open Sans Light" w:cs="Open Sans Light"/>
          <w:b/>
          <w:color w:val="303AB2"/>
        </w:rPr>
      </w:pPr>
    </w:p>
    <w:p w14:paraId="0000009D" w14:textId="77777777" w:rsidR="00EE57D7" w:rsidRDefault="0092484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9E" w14:textId="77777777" w:rsidR="00EE57D7" w:rsidRDefault="00924841" w:rsidP="0014003D">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p w14:paraId="0000009F" w14:textId="77777777" w:rsidR="00EE57D7" w:rsidRDefault="00924841" w:rsidP="0014003D">
      <w:pPr>
        <w:shd w:val="clear" w:color="auto" w:fill="FFFFFF"/>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16">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bookmarkStart w:id="1" w:name="_heading=h.30j0zll" w:colFirst="0" w:colLast="0"/>
    <w:bookmarkEnd w:id="1"/>
    <w:p w14:paraId="000000A0" w14:textId="77777777" w:rsidR="00EE57D7" w:rsidRDefault="00924841" w:rsidP="0014003D">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proofErr w:type="spellStart"/>
      <w:r w:rsidR="008B6210">
        <w:fldChar w:fldCharType="begin"/>
      </w:r>
      <w:r w:rsidR="008B6210">
        <w:instrText xml:space="preserve"> HYPERLINK "https://www.adevinta.com/" \h </w:instrText>
      </w:r>
      <w:r w:rsidR="008B6210">
        <w:fldChar w:fldCharType="separate"/>
      </w:r>
      <w:r>
        <w:rPr>
          <w:rFonts w:ascii="Open Sans" w:eastAsia="Open Sans" w:hAnsi="Open Sans" w:cs="Open Sans"/>
          <w:color w:val="0000FF"/>
          <w:sz w:val="22"/>
          <w:szCs w:val="22"/>
          <w:u w:val="single"/>
        </w:rPr>
        <w:t>Adevinta</w:t>
      </w:r>
      <w:proofErr w:type="spellEnd"/>
      <w:r w:rsidR="008B6210">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w:t>
      </w:r>
      <w:r>
        <w:rPr>
          <w:rFonts w:ascii="Open Sans" w:eastAsia="Open Sans" w:hAnsi="Open Sans" w:cs="Open Sans"/>
          <w:sz w:val="22"/>
          <w:szCs w:val="22"/>
        </w:rPr>
        <w:t>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000000A1" w14:textId="5398B4FE" w:rsidR="00EE57D7" w:rsidRDefault="001D51C1">
      <w:pPr>
        <w:shd w:val="clear" w:color="auto" w:fill="FFFFFF"/>
        <w:spacing w:before="280" w:after="280" w:line="276" w:lineRule="auto"/>
        <w:ind w:right="-716"/>
        <w:jc w:val="both"/>
        <w:rPr>
          <w:rFonts w:ascii="Open Sans" w:eastAsia="Open Sans" w:hAnsi="Open Sans" w:cs="Open Sans"/>
          <w:color w:val="000000"/>
          <w:sz w:val="22"/>
          <w:szCs w:val="22"/>
        </w:rPr>
      </w:pPr>
      <w:hyperlink r:id="rId17">
        <w:r w:rsidR="00924841">
          <w:rPr>
            <w:rFonts w:ascii="Open Sans" w:eastAsia="Open Sans" w:hAnsi="Open Sans" w:cs="Open Sans"/>
            <w:color w:val="0000FF"/>
            <w:sz w:val="22"/>
            <w:szCs w:val="22"/>
            <w:u w:val="single"/>
          </w:rPr>
          <w:t>Más información sobre Fotocasa</w:t>
        </w:r>
      </w:hyperlink>
      <w:r w:rsidR="00924841">
        <w:rPr>
          <w:rFonts w:ascii="Open Sans" w:eastAsia="Open Sans" w:hAnsi="Open Sans" w:cs="Open Sans"/>
          <w:color w:val="000000"/>
          <w:sz w:val="22"/>
          <w:szCs w:val="22"/>
        </w:rPr>
        <w:t xml:space="preserve">. </w:t>
      </w:r>
    </w:p>
    <w:p w14:paraId="2464584E" w14:textId="77777777" w:rsidR="007D3B2C" w:rsidRDefault="007D3B2C">
      <w:pPr>
        <w:shd w:val="clear" w:color="auto" w:fill="FFFFFF"/>
        <w:spacing w:before="280" w:after="280" w:line="276" w:lineRule="auto"/>
        <w:ind w:right="-716"/>
        <w:jc w:val="both"/>
        <w:rPr>
          <w:rFonts w:ascii="Open Sans" w:eastAsia="Open Sans" w:hAnsi="Open Sans" w:cs="Open Sans"/>
          <w:color w:val="000000"/>
          <w:sz w:val="21"/>
          <w:szCs w:val="21"/>
        </w:rPr>
      </w:pPr>
    </w:p>
    <w:p w14:paraId="000000A2" w14:textId="77777777" w:rsidR="00EE57D7" w:rsidRDefault="0092484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A3" w14:textId="77777777" w:rsidR="00EE57D7" w:rsidRDefault="00924841">
      <w:pPr>
        <w:pBdr>
          <w:top w:val="nil"/>
          <w:left w:val="nil"/>
          <w:bottom w:val="nil"/>
          <w:right w:val="nil"/>
          <w:between w:val="nil"/>
        </w:pBd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compañía líder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color w:val="000000"/>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color w:val="000000"/>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color w:val="000000"/>
          <w:sz w:val="22"/>
          <w:szCs w:val="22"/>
        </w:rPr>
        <w:t>) y compraventa de artículos de segunda mano (</w:t>
      </w:r>
      <w:proofErr w:type="spellStart"/>
      <w:r w:rsidR="008B6210">
        <w:fldChar w:fldCharType="begin"/>
      </w:r>
      <w:r w:rsidR="008B6210">
        <w:instrText xml:space="preserve"> HYPERLINK "https://www.milanuncios.com/" \h </w:instrText>
      </w:r>
      <w:r w:rsidR="008B6210">
        <w:fldChar w:fldCharType="separate"/>
      </w:r>
      <w:r>
        <w:rPr>
          <w:rFonts w:ascii="Open Sans" w:eastAsia="Open Sans" w:hAnsi="Open Sans" w:cs="Open Sans"/>
          <w:color w:val="1155CC"/>
          <w:sz w:val="22"/>
          <w:szCs w:val="22"/>
          <w:u w:val="single"/>
        </w:rPr>
        <w:t>Milanuncios</w:t>
      </w:r>
      <w:proofErr w:type="spellEnd"/>
      <w:r w:rsidR="008B6210">
        <w:rPr>
          <w:rFonts w:ascii="Open Sans" w:eastAsia="Open Sans" w:hAnsi="Open Sans" w:cs="Open Sans"/>
          <w:color w:val="1155CC"/>
          <w:sz w:val="22"/>
          <w:szCs w:val="22"/>
          <w:u w:val="single"/>
        </w:rPr>
        <w:fldChar w:fldCharType="end"/>
      </w:r>
      <w:r>
        <w:rPr>
          <w:rFonts w:ascii="Open Sans" w:eastAsia="Open Sans" w:hAnsi="Open Sans" w:cs="Open Sans"/>
          <w:color w:val="000000"/>
          <w:sz w:val="22"/>
          <w:szCs w:val="22"/>
        </w:rPr>
        <w:t>).</w:t>
      </w:r>
    </w:p>
    <w:p w14:paraId="000000A4" w14:textId="77777777" w:rsidR="00EE57D7" w:rsidRDefault="00924841">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más de 1.100 empleados comprometidos con fomentar un cambio positivo en el mundo a través de tecnología innovadora, otorgando una nueva oportunidad a quienes la están buscando y dando a las cosas una segunda vida.</w:t>
      </w:r>
    </w:p>
    <w:p w14:paraId="000000A5" w14:textId="77777777" w:rsidR="00EE57D7" w:rsidRDefault="00924841">
      <w:pPr>
        <w:pBdr>
          <w:top w:val="nil"/>
          <w:left w:val="nil"/>
          <w:bottom w:val="nil"/>
          <w:right w:val="nil"/>
          <w:between w:val="nil"/>
        </w:pBdr>
        <w:spacing w:after="16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16 países. El conjunto de sus plataformas locales recibe un promedio de 3.000 millones de visitas cada mes. </w:t>
      </w:r>
    </w:p>
    <w:p w14:paraId="000000A6" w14:textId="77777777" w:rsidR="00EE57D7" w:rsidRDefault="00924841">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000000A7" w14:textId="77777777" w:rsidR="00EE57D7" w:rsidRDefault="00EE57D7">
      <w:pPr>
        <w:spacing w:line="276" w:lineRule="auto"/>
        <w:ind w:right="-716"/>
        <w:rPr>
          <w:rFonts w:ascii="Open Sans Light" w:eastAsia="Open Sans Light" w:hAnsi="Open Sans Light" w:cs="Open Sans Light"/>
          <w:b/>
          <w:color w:val="303AB2"/>
          <w:sz w:val="22"/>
          <w:szCs w:val="22"/>
        </w:rPr>
      </w:pPr>
    </w:p>
    <w:p w14:paraId="000000A8" w14:textId="679B05BE" w:rsidR="00EE57D7" w:rsidRDefault="00924841">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A9" w14:textId="77777777" w:rsidR="00EE57D7" w:rsidRDefault="00924841">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AA" w14:textId="77777777" w:rsidR="00EE57D7" w:rsidRDefault="001D51C1">
      <w:pPr>
        <w:shd w:val="clear" w:color="auto" w:fill="FFFFFF"/>
        <w:spacing w:line="276" w:lineRule="auto"/>
        <w:ind w:right="-716"/>
        <w:rPr>
          <w:rFonts w:ascii="Open Sans" w:eastAsia="Open Sans" w:hAnsi="Open Sans" w:cs="Open Sans"/>
          <w:color w:val="0000FF"/>
          <w:sz w:val="19"/>
          <w:szCs w:val="19"/>
          <w:u w:val="single"/>
        </w:rPr>
      </w:pPr>
      <w:hyperlink r:id="rId24">
        <w:r w:rsidR="00924841">
          <w:rPr>
            <w:rFonts w:ascii="Open Sans" w:eastAsia="Open Sans" w:hAnsi="Open Sans" w:cs="Open Sans"/>
            <w:color w:val="0000FF"/>
            <w:sz w:val="19"/>
            <w:szCs w:val="19"/>
            <w:u w:val="single"/>
          </w:rPr>
          <w:t>rtorne@llorenteycuenca.com</w:t>
        </w:r>
      </w:hyperlink>
      <w:r w:rsidR="00924841">
        <w:rPr>
          <w:rFonts w:ascii="Open Sans" w:eastAsia="Open Sans" w:hAnsi="Open Sans" w:cs="Open Sans"/>
          <w:color w:val="0000FF"/>
          <w:sz w:val="19"/>
          <w:szCs w:val="19"/>
        </w:rPr>
        <w:tab/>
      </w:r>
      <w:r w:rsidR="00924841">
        <w:rPr>
          <w:rFonts w:ascii="Open Sans" w:eastAsia="Open Sans" w:hAnsi="Open Sans" w:cs="Open Sans"/>
          <w:color w:val="0000FF"/>
          <w:sz w:val="19"/>
          <w:szCs w:val="19"/>
        </w:rPr>
        <w:tab/>
      </w:r>
      <w:r w:rsidR="00924841">
        <w:rPr>
          <w:rFonts w:ascii="Open Sans" w:eastAsia="Open Sans" w:hAnsi="Open Sans" w:cs="Open Sans"/>
          <w:color w:val="0000FF"/>
          <w:sz w:val="19"/>
          <w:szCs w:val="19"/>
        </w:rPr>
        <w:tab/>
        <w:t xml:space="preserve">                                                  </w:t>
      </w:r>
      <w:hyperlink r:id="rId25">
        <w:r w:rsidR="00924841">
          <w:rPr>
            <w:rFonts w:ascii="Open Sans" w:eastAsia="Open Sans" w:hAnsi="Open Sans" w:cs="Open Sans"/>
            <w:color w:val="0000FF"/>
            <w:sz w:val="19"/>
            <w:szCs w:val="19"/>
            <w:u w:val="single"/>
          </w:rPr>
          <w:t>comunicacion@fotocasa.es</w:t>
        </w:r>
      </w:hyperlink>
    </w:p>
    <w:p w14:paraId="000000AB" w14:textId="0775BB29" w:rsidR="00EE57D7" w:rsidRDefault="00924841">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w:t>
      </w:r>
      <w:r w:rsidR="007D3B2C">
        <w:rPr>
          <w:rFonts w:ascii="Open Sans" w:eastAsia="Open Sans" w:hAnsi="Open Sans" w:cs="Open Sans"/>
          <w:color w:val="000000"/>
          <w:sz w:val="19"/>
          <w:szCs w:val="19"/>
        </w:rPr>
        <w:t xml:space="preserve">               </w:t>
      </w:r>
      <w:r>
        <w:rPr>
          <w:rFonts w:ascii="Open Sans" w:eastAsia="Open Sans" w:hAnsi="Open Sans" w:cs="Open Sans"/>
          <w:color w:val="000000"/>
          <w:sz w:val="19"/>
          <w:szCs w:val="19"/>
        </w:rPr>
        <w:t xml:space="preserve"> 620 66 29 26</w:t>
      </w:r>
    </w:p>
    <w:p w14:paraId="000000AC" w14:textId="77777777" w:rsidR="00EE57D7" w:rsidRDefault="00924841">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AD" w14:textId="77777777" w:rsidR="00EE57D7" w:rsidRDefault="00924841">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AE" w14:textId="77777777" w:rsidR="00EE57D7" w:rsidRDefault="001D51C1">
      <w:pPr>
        <w:shd w:val="clear" w:color="auto" w:fill="FFFFFF"/>
        <w:ind w:right="-716"/>
        <w:rPr>
          <w:rFonts w:ascii="Open Sans" w:eastAsia="Open Sans" w:hAnsi="Open Sans" w:cs="Open Sans"/>
          <w:color w:val="0000FF"/>
          <w:sz w:val="19"/>
          <w:szCs w:val="19"/>
        </w:rPr>
      </w:pPr>
      <w:hyperlink r:id="rId26">
        <w:r w:rsidR="00924841">
          <w:rPr>
            <w:rFonts w:ascii="Open Sans" w:eastAsia="Open Sans" w:hAnsi="Open Sans" w:cs="Open Sans"/>
            <w:color w:val="0000FF"/>
            <w:sz w:val="19"/>
            <w:szCs w:val="19"/>
            <w:u w:val="single"/>
          </w:rPr>
          <w:t>emerino@llorenteycuenca.com</w:t>
        </w:r>
      </w:hyperlink>
    </w:p>
    <w:p w14:paraId="000000AF" w14:textId="77777777" w:rsidR="00EE57D7" w:rsidRDefault="00924841">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B0" w14:textId="77777777" w:rsidR="00EE57D7" w:rsidRDefault="00EE57D7">
      <w:pPr>
        <w:shd w:val="clear" w:color="auto" w:fill="FFFFFF"/>
        <w:ind w:right="-716"/>
        <w:rPr>
          <w:rFonts w:ascii="Open Sans" w:eastAsia="Open Sans" w:hAnsi="Open Sans" w:cs="Open Sans"/>
          <w:color w:val="000000"/>
          <w:sz w:val="19"/>
          <w:szCs w:val="19"/>
        </w:rPr>
      </w:pPr>
    </w:p>
    <w:p w14:paraId="000000B1" w14:textId="77777777" w:rsidR="00EE57D7" w:rsidRDefault="00924841">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B2" w14:textId="77777777" w:rsidR="00EE57D7" w:rsidRDefault="001D51C1">
      <w:pPr>
        <w:shd w:val="clear" w:color="auto" w:fill="FFFFFF"/>
        <w:ind w:right="-716"/>
        <w:rPr>
          <w:rFonts w:ascii="Open Sans" w:eastAsia="Open Sans" w:hAnsi="Open Sans" w:cs="Open Sans"/>
          <w:color w:val="0000FF"/>
          <w:sz w:val="19"/>
          <w:szCs w:val="19"/>
        </w:rPr>
      </w:pPr>
      <w:hyperlink r:id="rId27">
        <w:r w:rsidR="00924841">
          <w:rPr>
            <w:rFonts w:ascii="Open Sans" w:eastAsia="Open Sans" w:hAnsi="Open Sans" w:cs="Open Sans"/>
            <w:color w:val="0000FF"/>
            <w:sz w:val="19"/>
            <w:szCs w:val="19"/>
            <w:u w:val="single"/>
          </w:rPr>
          <w:t>llazaro@llorenteycuenca.com</w:t>
        </w:r>
      </w:hyperlink>
    </w:p>
    <w:p w14:paraId="000000B3" w14:textId="77777777" w:rsidR="00EE57D7" w:rsidRDefault="00924841">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EE57D7">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74B6C" w14:textId="77777777" w:rsidR="001D51C1" w:rsidRDefault="001D51C1">
      <w:r>
        <w:separator/>
      </w:r>
    </w:p>
  </w:endnote>
  <w:endnote w:type="continuationSeparator" w:id="0">
    <w:p w14:paraId="5CDB9FD2" w14:textId="77777777" w:rsidR="001D51C1" w:rsidRDefault="001D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orbel"/>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4" w14:textId="77777777" w:rsidR="00EE57D7" w:rsidRDefault="00924841">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-1068069</wp:posOffset>
          </wp:positionH>
          <wp:positionV relativeFrom="paragraph">
            <wp:posOffset>174608</wp:posOffset>
          </wp:positionV>
          <wp:extent cx="7670550" cy="45131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B0BBE" w14:textId="77777777" w:rsidR="001D51C1" w:rsidRDefault="001D51C1">
      <w:r>
        <w:separator/>
      </w:r>
    </w:p>
  </w:footnote>
  <w:footnote w:type="continuationSeparator" w:id="0">
    <w:p w14:paraId="4FB6E6BB" w14:textId="77777777" w:rsidR="001D51C1" w:rsidRDefault="001D5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8502E6"/>
    <w:multiLevelType w:val="multilevel"/>
    <w:tmpl w:val="D8CA6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D7"/>
    <w:rsid w:val="0014003D"/>
    <w:rsid w:val="001D51C1"/>
    <w:rsid w:val="00446F66"/>
    <w:rsid w:val="00535E4D"/>
    <w:rsid w:val="005954EF"/>
    <w:rsid w:val="007D3B2C"/>
    <w:rsid w:val="008B6210"/>
    <w:rsid w:val="00924841"/>
    <w:rsid w:val="00CB0892"/>
    <w:rsid w:val="00D77610"/>
    <w:rsid w:val="00DD22B5"/>
    <w:rsid w:val="00E25D36"/>
    <w:rsid w:val="00E779E7"/>
    <w:rsid w:val="00EE57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FC82"/>
  <w15:docId w15:val="{A78AE119-9889-42EE-A3C9-50FC4068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rtorne@llorenteycuenca.com"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youtu.be/H1zEl9eZRGM" TargetMode="External"/><Relationship Id="rId14" Type="http://schemas.openxmlformats.org/officeDocument/2006/relationships/hyperlink" Target="https://www.fotocasa.es" TargetMode="External"/><Relationship Id="rId22" Type="http://schemas.openxmlformats.org/officeDocument/2006/relationships/hyperlink" Target="https://motos.coches.net/" TargetMode="External"/><Relationship Id="rId27" Type="http://schemas.openxmlformats.org/officeDocument/2006/relationships/hyperlink" Target="mailto:llazaro@llorenteycuenc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rani\Google%20Drive\PATRI%20Y%20ELENA\001%20CLIENTES\01-SCHIBSTED\04-ESTUDIO%20NdP\VIVIENDA%20COSTAS%20ESPA&#209;A\JUNIO%202021\PRENSA%20RENTABILIDAD%20JUNIO%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ani\Google%20Drive\PATRI%20Y%20ELENA\001%20CLIENTES\01-SCHIBSTED\04-ESTUDIO%20NdP\VIVIENDA%20COSTAS%20ESPA&#209;A\JUNIO%202021\PRENSA%20RENTABILIDAD%20JUNIO%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77975410101235E-2"/>
          <c:y val="0.1269644292537081"/>
          <c:w val="0.82632070209973751"/>
          <c:h val="0.57186502020498486"/>
        </c:manualLayout>
      </c:layout>
      <c:lineChart>
        <c:grouping val="standard"/>
        <c:varyColors val="0"/>
        <c:ser>
          <c:idx val="0"/>
          <c:order val="0"/>
          <c:tx>
            <c:strRef>
              <c:f>MUN!$L$7</c:f>
              <c:strCache>
                <c:ptCount val="1"/>
                <c:pt idx="0">
                  <c:v>Gandía</c:v>
                </c:pt>
              </c:strCache>
            </c:strRef>
          </c:tx>
          <c:spPr>
            <a:ln w="3175" cap="rnd">
              <a:solidFill>
                <a:schemeClr val="accent1"/>
              </a:solidFill>
              <a:round/>
            </a:ln>
            <a:effectLst/>
          </c:spPr>
          <c:marker>
            <c:symbol val="circle"/>
            <c:size val="5"/>
            <c:spPr>
              <a:solidFill>
                <a:schemeClr val="accent1"/>
              </a:solidFill>
              <a:ln w="3175">
                <a:solidFill>
                  <a:schemeClr val="accent1"/>
                </a:solidFill>
              </a:ln>
              <a:effectLst/>
            </c:spPr>
          </c:marker>
          <c:dLbls>
            <c:dLbl>
              <c:idx val="14"/>
              <c:layout>
                <c:manualLayout>
                  <c:x val="1.4583333333333334E-2"/>
                  <c:y val="-6.4164309558392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A0-45AE-8C2C-01995598A58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round/>
                    </a:ln>
                    <a:effectLst/>
                  </c:spPr>
                </c15:leaderLines>
              </c:ext>
            </c:extLst>
          </c:dLbls>
          <c:cat>
            <c:strRef>
              <c:f>MUN!$K$8:$K$22</c:f>
              <c:strCache>
                <c:ptCount val="15"/>
                <c:pt idx="0">
                  <c:v> JUN 2007</c:v>
                </c:pt>
                <c:pt idx="1">
                  <c:v> JUN 2008</c:v>
                </c:pt>
                <c:pt idx="2">
                  <c:v> JUN 2009</c:v>
                </c:pt>
                <c:pt idx="3">
                  <c:v> JUN 2010</c:v>
                </c:pt>
                <c:pt idx="4">
                  <c:v> JUN 2011</c:v>
                </c:pt>
                <c:pt idx="5">
                  <c:v> JUN 2012</c:v>
                </c:pt>
                <c:pt idx="6">
                  <c:v> JUN 2013</c:v>
                </c:pt>
                <c:pt idx="7">
                  <c:v> JUN 2014</c:v>
                </c:pt>
                <c:pt idx="8">
                  <c:v> JUN 2015</c:v>
                </c:pt>
                <c:pt idx="9">
                  <c:v> JUN 2016</c:v>
                </c:pt>
                <c:pt idx="10">
                  <c:v> JUN 2017</c:v>
                </c:pt>
                <c:pt idx="11">
                  <c:v> JUN 2018</c:v>
                </c:pt>
                <c:pt idx="12">
                  <c:v> JUN 2019</c:v>
                </c:pt>
                <c:pt idx="13">
                  <c:v> JUN 2020</c:v>
                </c:pt>
                <c:pt idx="14">
                  <c:v> JUN 2021</c:v>
                </c:pt>
              </c:strCache>
            </c:strRef>
          </c:cat>
          <c:val>
            <c:numRef>
              <c:f>MUN!$L$8:$L$22</c:f>
              <c:numCache>
                <c:formatCode>0.0%</c:formatCode>
                <c:ptCount val="15"/>
                <c:pt idx="1">
                  <c:v>3.8564894187601499E-2</c:v>
                </c:pt>
                <c:pt idx="2">
                  <c:v>4.0092446260091195E-2</c:v>
                </c:pt>
                <c:pt idx="3">
                  <c:v>3.9970467960244664E-2</c:v>
                </c:pt>
                <c:pt idx="4">
                  <c:v>4.3856833696305039E-2</c:v>
                </c:pt>
                <c:pt idx="5">
                  <c:v>4.198585271042888E-2</c:v>
                </c:pt>
                <c:pt idx="6">
                  <c:v>5.2894512299891436E-2</c:v>
                </c:pt>
                <c:pt idx="7">
                  <c:v>5.3538539553477239E-2</c:v>
                </c:pt>
                <c:pt idx="8">
                  <c:v>5.9523834813498364E-2</c:v>
                </c:pt>
                <c:pt idx="9">
                  <c:v>6.0412838939709008E-2</c:v>
                </c:pt>
                <c:pt idx="10">
                  <c:v>6.698230602242404E-2</c:v>
                </c:pt>
                <c:pt idx="11">
                  <c:v>6.0315034774343974E-2</c:v>
                </c:pt>
                <c:pt idx="12">
                  <c:v>6.5474283947703923E-2</c:v>
                </c:pt>
                <c:pt idx="14">
                  <c:v>7.8815966512184185E-2</c:v>
                </c:pt>
              </c:numCache>
            </c:numRef>
          </c:val>
          <c:smooth val="0"/>
          <c:extLst>
            <c:ext xmlns:c16="http://schemas.microsoft.com/office/drawing/2014/chart" uri="{C3380CC4-5D6E-409C-BE32-E72D297353CC}">
              <c16:uniqueId val="{00000001-EFA0-45AE-8C2C-01995598A58A}"/>
            </c:ext>
          </c:extLst>
        </c:ser>
        <c:ser>
          <c:idx val="1"/>
          <c:order val="1"/>
          <c:tx>
            <c:strRef>
              <c:f>MUN!$M$7</c:f>
              <c:strCache>
                <c:ptCount val="1"/>
                <c:pt idx="0">
                  <c:v>Algeciras</c:v>
                </c:pt>
              </c:strCache>
            </c:strRef>
          </c:tx>
          <c:spPr>
            <a:ln w="3175" cap="rnd">
              <a:solidFill>
                <a:schemeClr val="accent5">
                  <a:lumMod val="40000"/>
                  <a:lumOff val="60000"/>
                </a:schemeClr>
              </a:solidFill>
              <a:round/>
            </a:ln>
            <a:effectLst/>
          </c:spPr>
          <c:marker>
            <c:symbol val="circle"/>
            <c:size val="5"/>
            <c:spPr>
              <a:solidFill>
                <a:schemeClr val="accent1">
                  <a:lumMod val="40000"/>
                  <a:lumOff val="60000"/>
                </a:schemeClr>
              </a:solidFill>
              <a:ln w="3175">
                <a:solidFill>
                  <a:schemeClr val="accent5">
                    <a:lumMod val="40000"/>
                    <a:lumOff val="60000"/>
                  </a:schemeClr>
                </a:solidFill>
              </a:ln>
              <a:effectLst/>
            </c:spPr>
          </c:marker>
          <c:dLbls>
            <c:dLbl>
              <c:idx val="14"/>
              <c:layout>
                <c:manualLayout>
                  <c:x val="1.4583333333333334E-2"/>
                  <c:y val="-1.102294252053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A0-45AE-8C2C-01995598A58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accent5">
                          <a:lumMod val="60000"/>
                          <a:lumOff val="40000"/>
                        </a:schemeClr>
                      </a:solidFill>
                      <a:round/>
                    </a:ln>
                    <a:effectLst/>
                  </c:spPr>
                </c15:leaderLines>
              </c:ext>
            </c:extLst>
          </c:dLbls>
          <c:cat>
            <c:strRef>
              <c:f>MUN!$K$8:$K$22</c:f>
              <c:strCache>
                <c:ptCount val="15"/>
                <c:pt idx="0">
                  <c:v> JUN 2007</c:v>
                </c:pt>
                <c:pt idx="1">
                  <c:v> JUN 2008</c:v>
                </c:pt>
                <c:pt idx="2">
                  <c:v> JUN 2009</c:v>
                </c:pt>
                <c:pt idx="3">
                  <c:v> JUN 2010</c:v>
                </c:pt>
                <c:pt idx="4">
                  <c:v> JUN 2011</c:v>
                </c:pt>
                <c:pt idx="5">
                  <c:v> JUN 2012</c:v>
                </c:pt>
                <c:pt idx="6">
                  <c:v> JUN 2013</c:v>
                </c:pt>
                <c:pt idx="7">
                  <c:v> JUN 2014</c:v>
                </c:pt>
                <c:pt idx="8">
                  <c:v> JUN 2015</c:v>
                </c:pt>
                <c:pt idx="9">
                  <c:v> JUN 2016</c:v>
                </c:pt>
                <c:pt idx="10">
                  <c:v> JUN 2017</c:v>
                </c:pt>
                <c:pt idx="11">
                  <c:v> JUN 2018</c:v>
                </c:pt>
                <c:pt idx="12">
                  <c:v> JUN 2019</c:v>
                </c:pt>
                <c:pt idx="13">
                  <c:v> JUN 2020</c:v>
                </c:pt>
                <c:pt idx="14">
                  <c:v> JUN 2021</c:v>
                </c:pt>
              </c:strCache>
            </c:strRef>
          </c:cat>
          <c:val>
            <c:numRef>
              <c:f>MUN!$M$8:$M$22</c:f>
              <c:numCache>
                <c:formatCode>0.0%</c:formatCode>
                <c:ptCount val="15"/>
                <c:pt idx="1">
                  <c:v>4.3006519458870664E-2</c:v>
                </c:pt>
                <c:pt idx="2">
                  <c:v>4.6231713913136914E-2</c:v>
                </c:pt>
                <c:pt idx="3">
                  <c:v>4.5128520775989833E-2</c:v>
                </c:pt>
                <c:pt idx="4">
                  <c:v>4.6954223538445389E-2</c:v>
                </c:pt>
                <c:pt idx="5">
                  <c:v>4.986755325684223E-2</c:v>
                </c:pt>
                <c:pt idx="6">
                  <c:v>5.3243408314866798E-2</c:v>
                </c:pt>
                <c:pt idx="7">
                  <c:v>5.6380217650728932E-2</c:v>
                </c:pt>
                <c:pt idx="8">
                  <c:v>5.9419368699980303E-2</c:v>
                </c:pt>
                <c:pt idx="9">
                  <c:v>6.5644179501007413E-2</c:v>
                </c:pt>
                <c:pt idx="10">
                  <c:v>6.6621567346835664E-2</c:v>
                </c:pt>
                <c:pt idx="11">
                  <c:v>7.4340617826115923E-2</c:v>
                </c:pt>
                <c:pt idx="12">
                  <c:v>7.3657568917162602E-2</c:v>
                </c:pt>
                <c:pt idx="13">
                  <c:v>7.5456038106923126E-2</c:v>
                </c:pt>
                <c:pt idx="14">
                  <c:v>7.4407524828782115E-2</c:v>
                </c:pt>
              </c:numCache>
            </c:numRef>
          </c:val>
          <c:smooth val="0"/>
          <c:extLst>
            <c:ext xmlns:c16="http://schemas.microsoft.com/office/drawing/2014/chart" uri="{C3380CC4-5D6E-409C-BE32-E72D297353CC}">
              <c16:uniqueId val="{00000003-EFA0-45AE-8C2C-01995598A58A}"/>
            </c:ext>
          </c:extLst>
        </c:ser>
        <c:ser>
          <c:idx val="2"/>
          <c:order val="2"/>
          <c:tx>
            <c:strRef>
              <c:f>MUN!$N$7</c:f>
              <c:strCache>
                <c:ptCount val="1"/>
                <c:pt idx="0">
                  <c:v>Roquetas de Mar</c:v>
                </c:pt>
              </c:strCache>
            </c:strRef>
          </c:tx>
          <c:spPr>
            <a:ln w="3175" cap="rnd">
              <a:solidFill>
                <a:srgbClr val="00B0F0"/>
              </a:solidFill>
              <a:round/>
            </a:ln>
            <a:effectLst/>
          </c:spPr>
          <c:marker>
            <c:symbol val="circle"/>
            <c:size val="5"/>
            <c:spPr>
              <a:solidFill>
                <a:srgbClr val="00B0F0"/>
              </a:solidFill>
              <a:ln w="3175">
                <a:solidFill>
                  <a:srgbClr val="00B0F0"/>
                </a:solidFill>
              </a:ln>
              <a:effectLst/>
            </c:spPr>
          </c:marker>
          <c:dLbls>
            <c:dLbl>
              <c:idx val="14"/>
              <c:layout>
                <c:manualLayout>
                  <c:x val="1.4583333333333334E-2"/>
                  <c:y val="6.5335813605823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A0-45AE-8C2C-01995598A58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B0F0"/>
                      </a:solidFill>
                      <a:round/>
                    </a:ln>
                    <a:effectLst/>
                  </c:spPr>
                </c15:leaderLines>
              </c:ext>
            </c:extLst>
          </c:dLbls>
          <c:cat>
            <c:strRef>
              <c:f>MUN!$K$8:$K$22</c:f>
              <c:strCache>
                <c:ptCount val="15"/>
                <c:pt idx="0">
                  <c:v> JUN 2007</c:v>
                </c:pt>
                <c:pt idx="1">
                  <c:v> JUN 2008</c:v>
                </c:pt>
                <c:pt idx="2">
                  <c:v> JUN 2009</c:v>
                </c:pt>
                <c:pt idx="3">
                  <c:v> JUN 2010</c:v>
                </c:pt>
                <c:pt idx="4">
                  <c:v> JUN 2011</c:v>
                </c:pt>
                <c:pt idx="5">
                  <c:v> JUN 2012</c:v>
                </c:pt>
                <c:pt idx="6">
                  <c:v> JUN 2013</c:v>
                </c:pt>
                <c:pt idx="7">
                  <c:v> JUN 2014</c:v>
                </c:pt>
                <c:pt idx="8">
                  <c:v> JUN 2015</c:v>
                </c:pt>
                <c:pt idx="9">
                  <c:v> JUN 2016</c:v>
                </c:pt>
                <c:pt idx="10">
                  <c:v> JUN 2017</c:v>
                </c:pt>
                <c:pt idx="11">
                  <c:v> JUN 2018</c:v>
                </c:pt>
                <c:pt idx="12">
                  <c:v> JUN 2019</c:v>
                </c:pt>
                <c:pt idx="13">
                  <c:v> JUN 2020</c:v>
                </c:pt>
                <c:pt idx="14">
                  <c:v> JUN 2021</c:v>
                </c:pt>
              </c:strCache>
            </c:strRef>
          </c:cat>
          <c:val>
            <c:numRef>
              <c:f>MUN!$N$8:$N$22</c:f>
              <c:numCache>
                <c:formatCode>0.0%</c:formatCode>
                <c:ptCount val="15"/>
                <c:pt idx="0">
                  <c:v>4.3143933540184615E-2</c:v>
                </c:pt>
                <c:pt idx="1">
                  <c:v>4.1816870712423987E-2</c:v>
                </c:pt>
                <c:pt idx="2">
                  <c:v>4.0591714958592991E-2</c:v>
                </c:pt>
                <c:pt idx="3">
                  <c:v>4.0006469021710296E-2</c:v>
                </c:pt>
                <c:pt idx="4">
                  <c:v>4.0987604256875525E-2</c:v>
                </c:pt>
                <c:pt idx="5">
                  <c:v>3.9769700322154662E-2</c:v>
                </c:pt>
                <c:pt idx="6">
                  <c:v>4.1013256111092432E-2</c:v>
                </c:pt>
                <c:pt idx="7">
                  <c:v>4.1089756201441535E-2</c:v>
                </c:pt>
                <c:pt idx="8">
                  <c:v>4.8432587571852072E-2</c:v>
                </c:pt>
                <c:pt idx="9">
                  <c:v>5.3267908124438462E-2</c:v>
                </c:pt>
                <c:pt idx="10">
                  <c:v>5.9174682936470893E-2</c:v>
                </c:pt>
                <c:pt idx="11">
                  <c:v>6.4055335995269816E-2</c:v>
                </c:pt>
                <c:pt idx="12">
                  <c:v>6.5566940430185267E-2</c:v>
                </c:pt>
                <c:pt idx="13">
                  <c:v>5.6813259466976719E-2</c:v>
                </c:pt>
                <c:pt idx="14">
                  <c:v>7.2092128633048772E-2</c:v>
                </c:pt>
              </c:numCache>
            </c:numRef>
          </c:val>
          <c:smooth val="0"/>
          <c:extLst>
            <c:ext xmlns:c16="http://schemas.microsoft.com/office/drawing/2014/chart" uri="{C3380CC4-5D6E-409C-BE32-E72D297353CC}">
              <c16:uniqueId val="{00000005-EFA0-45AE-8C2C-01995598A58A}"/>
            </c:ext>
          </c:extLst>
        </c:ser>
        <c:dLbls>
          <c:showLegendKey val="0"/>
          <c:showVal val="0"/>
          <c:showCatName val="0"/>
          <c:showSerName val="0"/>
          <c:showPercent val="0"/>
          <c:showBubbleSize val="0"/>
        </c:dLbls>
        <c:marker val="1"/>
        <c:smooth val="0"/>
        <c:axId val="1353230816"/>
        <c:axId val="544434736"/>
      </c:lineChart>
      <c:catAx>
        <c:axId val="1353230816"/>
        <c:scaling>
          <c:orientation val="minMax"/>
        </c:scaling>
        <c:delete val="0"/>
        <c:axPos val="b"/>
        <c:numFmt formatCode="General" sourceLinked="1"/>
        <c:majorTickMark val="cross"/>
        <c:minorTickMark val="none"/>
        <c:tickLblPos val="nextTo"/>
        <c:spPr>
          <a:noFill/>
          <a:ln w="9525" cap="sq" cmpd="dbl" algn="ctr">
            <a:solidFill>
              <a:schemeClr val="tx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544434736"/>
        <c:crosses val="autoZero"/>
        <c:auto val="1"/>
        <c:lblAlgn val="ctr"/>
        <c:lblOffset val="100"/>
        <c:noMultiLvlLbl val="0"/>
      </c:catAx>
      <c:valAx>
        <c:axId val="544434736"/>
        <c:scaling>
          <c:orientation val="minMax"/>
          <c:max val="8.0000000000000016E-2"/>
          <c:min val="2.0000000000000004E-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353230816"/>
        <c:crosses val="autoZero"/>
        <c:crossBetween val="midCat"/>
        <c:majorUnit val="1.0000000000000002E-2"/>
        <c:minorUnit val="5.000000000000001E-3"/>
      </c:valAx>
      <c:spPr>
        <a:noFill/>
        <a:ln>
          <a:noFill/>
        </a:ln>
        <a:effectLst/>
      </c:spPr>
    </c:plotArea>
    <c:legend>
      <c:legendPos val="b"/>
      <c:layout>
        <c:manualLayout>
          <c:xMode val="edge"/>
          <c:yMode val="edge"/>
          <c:x val="0.14053788200493578"/>
          <c:y val="0.9036201231343739"/>
          <c:w val="0.69669241857289987"/>
          <c:h val="5.777983036000981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RENTABILIDAD JUNIO 2021.xlsx]Hoja3!TablaDinámica1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lumMod val="20000"/>
              <a:lumOff val="80000"/>
            </a:schemeClr>
          </a:solidFill>
          <a:ln>
            <a:noFill/>
          </a:ln>
          <a:effectLst/>
        </c:spPr>
      </c:pivotFmt>
      <c:pivotFmt>
        <c:idx val="4"/>
        <c:spPr>
          <a:solidFill>
            <a:schemeClr val="accent1">
              <a:lumMod val="20000"/>
              <a:lumOff val="80000"/>
            </a:schemeClr>
          </a:solidFill>
          <a:ln>
            <a:noFill/>
          </a:ln>
          <a:effectLst/>
        </c:spPr>
      </c:pivotFmt>
      <c:pivotFmt>
        <c:idx val="5"/>
        <c:spPr>
          <a:solidFill>
            <a:schemeClr val="accent1">
              <a:lumMod val="20000"/>
              <a:lumOff val="80000"/>
            </a:schemeClr>
          </a:solidFill>
          <a:ln>
            <a:noFill/>
          </a:ln>
          <a:effectLst/>
        </c:spPr>
      </c:pivotFmt>
      <c:pivotFmt>
        <c:idx val="6"/>
        <c:spPr>
          <a:solidFill>
            <a:schemeClr val="accent1">
              <a:lumMod val="20000"/>
              <a:lumOff val="80000"/>
            </a:schemeClr>
          </a:solidFill>
          <a:ln>
            <a:noFill/>
          </a:ln>
          <a:effectLst/>
        </c:spPr>
      </c:pivotFmt>
      <c:pivotFmt>
        <c:idx val="7"/>
        <c:spPr>
          <a:solidFill>
            <a:schemeClr val="accent1">
              <a:lumMod val="20000"/>
              <a:lumOff val="80000"/>
            </a:schemeClr>
          </a:solidFill>
          <a:ln>
            <a:noFill/>
          </a:ln>
          <a:effectLst/>
        </c:spPr>
      </c:pivotFmt>
      <c:pivotFmt>
        <c:idx val="8"/>
        <c:spPr>
          <a:solidFill>
            <a:schemeClr val="accent1">
              <a:lumMod val="20000"/>
              <a:lumOff val="80000"/>
            </a:schemeClr>
          </a:solidFill>
          <a:ln>
            <a:noFill/>
          </a:ln>
          <a:effectLst/>
        </c:spPr>
      </c:pivotFmt>
      <c:pivotFmt>
        <c:idx val="9"/>
        <c:spPr>
          <a:solidFill>
            <a:schemeClr val="accent1">
              <a:lumMod val="20000"/>
              <a:lumOff val="80000"/>
            </a:schemeClr>
          </a:solidFill>
          <a:ln>
            <a:noFill/>
          </a:ln>
          <a:effectLst/>
        </c:spPr>
      </c:pivotFmt>
      <c:pivotFmt>
        <c:idx val="10"/>
        <c:spPr>
          <a:solidFill>
            <a:schemeClr val="accent1">
              <a:lumMod val="20000"/>
              <a:lumOff val="80000"/>
            </a:schemeClr>
          </a:solidFill>
          <a:ln>
            <a:noFill/>
          </a:ln>
          <a:effectLst/>
        </c:spPr>
      </c:pivotFmt>
      <c:pivotFmt>
        <c:idx val="11"/>
        <c:spPr>
          <a:solidFill>
            <a:schemeClr val="accent1">
              <a:lumMod val="20000"/>
              <a:lumOff val="80000"/>
            </a:schemeClr>
          </a:solidFill>
          <a:ln>
            <a:noFill/>
          </a:ln>
          <a:effectLst/>
        </c:spPr>
      </c:pivotFmt>
      <c:pivotFmt>
        <c:idx val="12"/>
        <c:spPr>
          <a:solidFill>
            <a:schemeClr val="accent1">
              <a:lumMod val="20000"/>
              <a:lumOff val="80000"/>
            </a:schemeClr>
          </a:solidFill>
          <a:ln>
            <a:noFill/>
          </a:ln>
          <a:effectLst/>
        </c:spPr>
      </c:pivotFmt>
      <c:pivotFmt>
        <c:idx val="13"/>
        <c:spPr>
          <a:solidFill>
            <a:schemeClr val="accent1">
              <a:lumMod val="20000"/>
              <a:lumOff val="80000"/>
            </a:schemeClr>
          </a:solidFill>
          <a:ln>
            <a:noFill/>
          </a:ln>
          <a:effectLst/>
        </c:spPr>
      </c:pivotFmt>
      <c:pivotFmt>
        <c:idx val="14"/>
        <c:spPr>
          <a:solidFill>
            <a:schemeClr val="accent1">
              <a:lumMod val="20000"/>
              <a:lumOff val="80000"/>
            </a:schemeClr>
          </a:solidFill>
          <a:ln>
            <a:noFill/>
          </a:ln>
          <a:effectLst/>
        </c:spPr>
      </c:pivotFmt>
      <c:pivotFmt>
        <c:idx val="15"/>
        <c:spPr>
          <a:solidFill>
            <a:schemeClr val="accent1">
              <a:lumMod val="20000"/>
              <a:lumOff val="80000"/>
            </a:schemeClr>
          </a:solidFill>
          <a:ln>
            <a:noFill/>
          </a:ln>
          <a:effectLst/>
        </c:spPr>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lumMod val="20000"/>
              <a:lumOff val="80000"/>
            </a:schemeClr>
          </a:solidFill>
          <a:ln>
            <a:noFill/>
          </a:ln>
          <a:effectLst/>
        </c:spPr>
      </c:pivotFmt>
      <c:pivotFmt>
        <c:idx val="18"/>
        <c:spPr>
          <a:solidFill>
            <a:schemeClr val="accent1">
              <a:lumMod val="20000"/>
              <a:lumOff val="80000"/>
            </a:schemeClr>
          </a:solidFill>
          <a:ln>
            <a:noFill/>
          </a:ln>
          <a:effectLst/>
        </c:spPr>
      </c:pivotFmt>
      <c:pivotFmt>
        <c:idx val="19"/>
        <c:spPr>
          <a:solidFill>
            <a:schemeClr val="accent1">
              <a:lumMod val="20000"/>
              <a:lumOff val="80000"/>
            </a:schemeClr>
          </a:solidFill>
          <a:ln>
            <a:noFill/>
          </a:ln>
          <a:effectLst/>
        </c:spPr>
      </c:pivotFmt>
      <c:pivotFmt>
        <c:idx val="20"/>
        <c:spPr>
          <a:solidFill>
            <a:schemeClr val="accent1">
              <a:lumMod val="20000"/>
              <a:lumOff val="80000"/>
            </a:schemeClr>
          </a:solidFill>
          <a:ln>
            <a:noFill/>
          </a:ln>
          <a:effectLst/>
        </c:spPr>
      </c:pivotFmt>
      <c:pivotFmt>
        <c:idx val="21"/>
        <c:spPr>
          <a:solidFill>
            <a:schemeClr val="accent1">
              <a:lumMod val="20000"/>
              <a:lumOff val="80000"/>
            </a:schemeClr>
          </a:solidFill>
          <a:ln>
            <a:noFill/>
          </a:ln>
          <a:effectLst/>
        </c:spPr>
      </c:pivotFmt>
      <c:pivotFmt>
        <c:idx val="22"/>
        <c:spPr>
          <a:solidFill>
            <a:schemeClr val="accent1">
              <a:lumMod val="20000"/>
              <a:lumOff val="80000"/>
            </a:schemeClr>
          </a:solidFill>
          <a:ln>
            <a:noFill/>
          </a:ln>
          <a:effectLst/>
        </c:spPr>
      </c:pivotFmt>
      <c:pivotFmt>
        <c:idx val="23"/>
        <c:spPr>
          <a:solidFill>
            <a:schemeClr val="accent1">
              <a:lumMod val="20000"/>
              <a:lumOff val="80000"/>
            </a:schemeClr>
          </a:solidFill>
          <a:ln>
            <a:noFill/>
          </a:ln>
          <a:effectLst/>
        </c:spPr>
      </c:pivotFmt>
      <c:pivotFmt>
        <c:idx val="24"/>
        <c:spPr>
          <a:solidFill>
            <a:schemeClr val="accent1">
              <a:lumMod val="20000"/>
              <a:lumOff val="80000"/>
            </a:schemeClr>
          </a:solidFill>
          <a:ln>
            <a:noFill/>
          </a:ln>
          <a:effectLst/>
        </c:spPr>
      </c:pivotFmt>
      <c:pivotFmt>
        <c:idx val="25"/>
        <c:spPr>
          <a:solidFill>
            <a:schemeClr val="accent1">
              <a:lumMod val="20000"/>
              <a:lumOff val="80000"/>
            </a:schemeClr>
          </a:solidFill>
          <a:ln>
            <a:noFill/>
          </a:ln>
          <a:effectLst/>
        </c:spPr>
      </c:pivotFmt>
      <c:pivotFmt>
        <c:idx val="26"/>
        <c:spPr>
          <a:solidFill>
            <a:schemeClr val="accent1">
              <a:lumMod val="20000"/>
              <a:lumOff val="80000"/>
            </a:schemeClr>
          </a:solidFill>
          <a:ln>
            <a:noFill/>
          </a:ln>
          <a:effectLst/>
        </c:spPr>
      </c:pivotFmt>
      <c:pivotFmt>
        <c:idx val="27"/>
        <c:spPr>
          <a:solidFill>
            <a:schemeClr val="accent1">
              <a:lumMod val="20000"/>
              <a:lumOff val="80000"/>
            </a:schemeClr>
          </a:solidFill>
          <a:ln>
            <a:noFill/>
          </a:ln>
          <a:effectLst/>
        </c:spPr>
      </c:pivotFmt>
      <c:pivotFmt>
        <c:idx val="28"/>
        <c:spPr>
          <a:solidFill>
            <a:schemeClr val="accent1">
              <a:lumMod val="20000"/>
              <a:lumOff val="80000"/>
            </a:schemeClr>
          </a:solidFill>
          <a:ln>
            <a:noFill/>
          </a:ln>
          <a:effectLst/>
        </c:spPr>
      </c:pivotFmt>
      <c:pivotFmt>
        <c:idx val="29"/>
        <c:spPr>
          <a:solidFill>
            <a:schemeClr val="accent1">
              <a:lumMod val="20000"/>
              <a:lumOff val="80000"/>
            </a:schemeClr>
          </a:solidFill>
          <a:ln>
            <a:noFill/>
          </a:ln>
          <a:effectLst/>
        </c:spPr>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lumMod val="20000"/>
              <a:lumOff val="80000"/>
            </a:schemeClr>
          </a:solidFill>
          <a:ln>
            <a:noFill/>
          </a:ln>
          <a:effectLst/>
        </c:spPr>
      </c:pivotFmt>
      <c:pivotFmt>
        <c:idx val="32"/>
        <c:spPr>
          <a:solidFill>
            <a:schemeClr val="accent1">
              <a:lumMod val="20000"/>
              <a:lumOff val="80000"/>
            </a:schemeClr>
          </a:solidFill>
          <a:ln>
            <a:noFill/>
          </a:ln>
          <a:effectLst/>
        </c:spPr>
      </c:pivotFmt>
      <c:pivotFmt>
        <c:idx val="33"/>
        <c:spPr>
          <a:solidFill>
            <a:schemeClr val="accent1">
              <a:lumMod val="20000"/>
              <a:lumOff val="80000"/>
            </a:schemeClr>
          </a:solidFill>
          <a:ln>
            <a:noFill/>
          </a:ln>
          <a:effectLst/>
        </c:spPr>
      </c:pivotFmt>
      <c:pivotFmt>
        <c:idx val="34"/>
        <c:spPr>
          <a:solidFill>
            <a:schemeClr val="accent1">
              <a:lumMod val="20000"/>
              <a:lumOff val="80000"/>
            </a:schemeClr>
          </a:solidFill>
          <a:ln>
            <a:noFill/>
          </a:ln>
          <a:effectLst/>
        </c:spPr>
      </c:pivotFmt>
      <c:pivotFmt>
        <c:idx val="35"/>
        <c:spPr>
          <a:solidFill>
            <a:schemeClr val="accent1">
              <a:lumMod val="20000"/>
              <a:lumOff val="80000"/>
            </a:schemeClr>
          </a:solidFill>
          <a:ln>
            <a:noFill/>
          </a:ln>
          <a:effectLst/>
        </c:spPr>
      </c:pivotFmt>
      <c:pivotFmt>
        <c:idx val="36"/>
        <c:spPr>
          <a:solidFill>
            <a:schemeClr val="accent1">
              <a:lumMod val="20000"/>
              <a:lumOff val="80000"/>
            </a:schemeClr>
          </a:solidFill>
          <a:ln>
            <a:noFill/>
          </a:ln>
          <a:effectLst/>
        </c:spPr>
      </c:pivotFmt>
      <c:pivotFmt>
        <c:idx val="37"/>
        <c:spPr>
          <a:solidFill>
            <a:schemeClr val="accent1">
              <a:lumMod val="20000"/>
              <a:lumOff val="80000"/>
            </a:schemeClr>
          </a:solidFill>
          <a:ln>
            <a:noFill/>
          </a:ln>
          <a:effectLst/>
        </c:spPr>
      </c:pivotFmt>
      <c:pivotFmt>
        <c:idx val="38"/>
        <c:spPr>
          <a:solidFill>
            <a:schemeClr val="accent1">
              <a:lumMod val="20000"/>
              <a:lumOff val="80000"/>
            </a:schemeClr>
          </a:solidFill>
          <a:ln>
            <a:noFill/>
          </a:ln>
          <a:effectLst/>
        </c:spPr>
      </c:pivotFmt>
      <c:pivotFmt>
        <c:idx val="39"/>
        <c:spPr>
          <a:solidFill>
            <a:schemeClr val="accent1">
              <a:lumMod val="20000"/>
              <a:lumOff val="80000"/>
            </a:schemeClr>
          </a:solidFill>
          <a:ln>
            <a:noFill/>
          </a:ln>
          <a:effectLst/>
        </c:spPr>
      </c:pivotFmt>
      <c:pivotFmt>
        <c:idx val="40"/>
        <c:spPr>
          <a:solidFill>
            <a:schemeClr val="accent1">
              <a:lumMod val="20000"/>
              <a:lumOff val="80000"/>
            </a:schemeClr>
          </a:solidFill>
          <a:ln>
            <a:noFill/>
          </a:ln>
          <a:effectLst/>
        </c:spPr>
      </c:pivotFmt>
      <c:pivotFmt>
        <c:idx val="41"/>
        <c:spPr>
          <a:solidFill>
            <a:schemeClr val="accent1">
              <a:lumMod val="20000"/>
              <a:lumOff val="80000"/>
            </a:schemeClr>
          </a:solidFill>
          <a:ln>
            <a:noFill/>
          </a:ln>
          <a:effectLst/>
        </c:spPr>
      </c:pivotFmt>
      <c:pivotFmt>
        <c:idx val="42"/>
        <c:spPr>
          <a:solidFill>
            <a:schemeClr val="accent1">
              <a:lumMod val="20000"/>
              <a:lumOff val="80000"/>
            </a:schemeClr>
          </a:solidFill>
          <a:ln>
            <a:noFill/>
          </a:ln>
          <a:effectLst/>
        </c:spPr>
      </c:pivotFmt>
      <c:pivotFmt>
        <c:idx val="43"/>
        <c:spPr>
          <a:solidFill>
            <a:schemeClr val="accent1">
              <a:lumMod val="20000"/>
              <a:lumOff val="80000"/>
            </a:schemeClr>
          </a:solidFill>
          <a:ln>
            <a:noFill/>
          </a:ln>
          <a:effectLst/>
        </c:spPr>
      </c:pivotFmt>
    </c:pivotFmts>
    <c:plotArea>
      <c:layout>
        <c:manualLayout>
          <c:layoutTarget val="inner"/>
          <c:xMode val="edge"/>
          <c:yMode val="edge"/>
          <c:x val="4.0706808637893221E-2"/>
          <c:y val="4.7311843979965788E-2"/>
          <c:w val="0.93483451701345299"/>
          <c:h val="0.5971409137547411"/>
        </c:manualLayout>
      </c:layout>
      <c:barChart>
        <c:barDir val="col"/>
        <c:grouping val="clustered"/>
        <c:varyColors val="0"/>
        <c:ser>
          <c:idx val="0"/>
          <c:order val="0"/>
          <c:tx>
            <c:strRef>
              <c:f>Hoja3!$B$3</c:f>
              <c:strCache>
                <c:ptCount val="1"/>
                <c:pt idx="0">
                  <c:v>Total</c:v>
                </c:pt>
              </c:strCache>
            </c:strRef>
          </c:tx>
          <c:spPr>
            <a:solidFill>
              <a:schemeClr val="accent1"/>
            </a:solidFill>
            <a:ln>
              <a:noFill/>
            </a:ln>
            <a:effectLst/>
          </c:spPr>
          <c:invertIfNegative val="0"/>
          <c:dPt>
            <c:idx val="7"/>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83B7-4414-89B0-7F0E9FBB6486}"/>
              </c:ext>
            </c:extLst>
          </c:dPt>
          <c:dPt>
            <c:idx val="8"/>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83B7-4414-89B0-7F0E9FBB6486}"/>
              </c:ext>
            </c:extLst>
          </c:dPt>
          <c:dPt>
            <c:idx val="9"/>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83B7-4414-89B0-7F0E9FBB6486}"/>
              </c:ext>
            </c:extLst>
          </c:dPt>
          <c:dPt>
            <c:idx val="1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7-83B7-4414-89B0-7F0E9FBB6486}"/>
              </c:ext>
            </c:extLst>
          </c:dPt>
          <c:dPt>
            <c:idx val="1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9-83B7-4414-89B0-7F0E9FBB6486}"/>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B-83B7-4414-89B0-7F0E9FBB6486}"/>
              </c:ext>
            </c:extLst>
          </c:dPt>
          <c:dPt>
            <c:idx val="1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D-83B7-4414-89B0-7F0E9FBB6486}"/>
              </c:ext>
            </c:extLst>
          </c:dPt>
          <c:dPt>
            <c:idx val="1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F-83B7-4414-89B0-7F0E9FBB6486}"/>
              </c:ext>
            </c:extLst>
          </c:dPt>
          <c:dPt>
            <c:idx val="15"/>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1-83B7-4414-89B0-7F0E9FBB6486}"/>
              </c:ext>
            </c:extLst>
          </c:dPt>
          <c:dPt>
            <c:idx val="16"/>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3-83B7-4414-89B0-7F0E9FBB6486}"/>
              </c:ext>
            </c:extLst>
          </c:dPt>
          <c:dPt>
            <c:idx val="17"/>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5-83B7-4414-89B0-7F0E9FBB6486}"/>
              </c:ext>
            </c:extLst>
          </c:dPt>
          <c:dPt>
            <c:idx val="18"/>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7-83B7-4414-89B0-7F0E9FBB6486}"/>
              </c:ext>
            </c:extLst>
          </c:dPt>
          <c:dPt>
            <c:idx val="19"/>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83B7-4414-89B0-7F0E9FBB64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Hoja3!$A$4:$A$18</c:f>
              <c:strCache>
                <c:ptCount val="15"/>
                <c:pt idx="0">
                  <c:v>Gandía</c:v>
                </c:pt>
                <c:pt idx="1">
                  <c:v>Algeciras</c:v>
                </c:pt>
                <c:pt idx="2">
                  <c:v>Roquetas de Mar</c:v>
                </c:pt>
                <c:pt idx="3">
                  <c:v>Castro-Urdiales</c:v>
                </c:pt>
                <c:pt idx="4">
                  <c:v>Cartagena</c:v>
                </c:pt>
                <c:pt idx="5">
                  <c:v>Almería capital</c:v>
                </c:pt>
                <c:pt idx="6">
                  <c:v>España</c:v>
                </c:pt>
                <c:pt idx="7">
                  <c:v>Puerto de la Cruz</c:v>
                </c:pt>
                <c:pt idx="8">
                  <c:v>Alicante / Alacant</c:v>
                </c:pt>
                <c:pt idx="9">
                  <c:v>Elche / Elx</c:v>
                </c:pt>
                <c:pt idx="10">
                  <c:v>Gijón</c:v>
                </c:pt>
                <c:pt idx="11">
                  <c:v>Torrevieja</c:v>
                </c:pt>
                <c:pt idx="12">
                  <c:v>Arona</c:v>
                </c:pt>
                <c:pt idx="13">
                  <c:v>Torremolinos</c:v>
                </c:pt>
                <c:pt idx="14">
                  <c:v>Avilés</c:v>
                </c:pt>
              </c:strCache>
            </c:strRef>
          </c:cat>
          <c:val>
            <c:numRef>
              <c:f>Hoja3!$B$4:$B$18</c:f>
              <c:numCache>
                <c:formatCode>0.0%</c:formatCode>
                <c:ptCount val="15"/>
                <c:pt idx="0">
                  <c:v>7.8815966512184185E-2</c:v>
                </c:pt>
                <c:pt idx="1">
                  <c:v>7.4407524828782115E-2</c:v>
                </c:pt>
                <c:pt idx="2">
                  <c:v>7.2092128633048772E-2</c:v>
                </c:pt>
                <c:pt idx="3">
                  <c:v>6.9885912073690271E-2</c:v>
                </c:pt>
                <c:pt idx="4">
                  <c:v>6.7423338599941957E-2</c:v>
                </c:pt>
                <c:pt idx="5">
                  <c:v>6.7219481792823541E-2</c:v>
                </c:pt>
                <c:pt idx="6">
                  <c:v>6.6520471717649063E-2</c:v>
                </c:pt>
                <c:pt idx="7">
                  <c:v>6.277622976377252E-2</c:v>
                </c:pt>
                <c:pt idx="8">
                  <c:v>6.0143109376452009E-2</c:v>
                </c:pt>
                <c:pt idx="9">
                  <c:v>5.9527629013549209E-2</c:v>
                </c:pt>
                <c:pt idx="10">
                  <c:v>5.9389803989743133E-2</c:v>
                </c:pt>
                <c:pt idx="11">
                  <c:v>5.822396819766703E-2</c:v>
                </c:pt>
                <c:pt idx="12">
                  <c:v>5.7251908396946556E-2</c:v>
                </c:pt>
                <c:pt idx="13">
                  <c:v>5.6189655247096737E-2</c:v>
                </c:pt>
                <c:pt idx="14">
                  <c:v>5.5621544132705307E-2</c:v>
                </c:pt>
              </c:numCache>
            </c:numRef>
          </c:val>
          <c:extLst>
            <c:ext xmlns:c16="http://schemas.microsoft.com/office/drawing/2014/chart" uri="{C3380CC4-5D6E-409C-BE32-E72D297353CC}">
              <c16:uniqueId val="{0000001A-83B7-4414-89B0-7F0E9FBB6486}"/>
            </c:ext>
          </c:extLst>
        </c:ser>
        <c:dLbls>
          <c:showLegendKey val="0"/>
          <c:showVal val="0"/>
          <c:showCatName val="0"/>
          <c:showSerName val="0"/>
          <c:showPercent val="0"/>
          <c:showBubbleSize val="0"/>
        </c:dLbls>
        <c:gapWidth val="100"/>
        <c:overlap val="100"/>
        <c:axId val="2061531263"/>
        <c:axId val="2061530847"/>
      </c:barChart>
      <c:catAx>
        <c:axId val="206153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1530847"/>
        <c:crosses val="autoZero"/>
        <c:auto val="1"/>
        <c:lblAlgn val="ctr"/>
        <c:lblOffset val="100"/>
        <c:noMultiLvlLbl val="0"/>
      </c:catAx>
      <c:valAx>
        <c:axId val="2061530847"/>
        <c:scaling>
          <c:orientation val="minMax"/>
        </c:scaling>
        <c:delete val="1"/>
        <c:axPos val="l"/>
        <c:numFmt formatCode="0.0%" sourceLinked="1"/>
        <c:majorTickMark val="none"/>
        <c:minorTickMark val="none"/>
        <c:tickLblPos val="nextTo"/>
        <c:crossAx val="2061531263"/>
        <c:crosses val="autoZero"/>
        <c:crossBetween val="between"/>
        <c:majorUnit val="2.0000000000000004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BYXB8L/p2RVulpjCyGSenuestw==">AMUW2mWo9gXtGlm72BVF/VPf3al3GL4IIvXxKzq1JXwZdHK2p/77dXvORg+riKgkxhzLVB1m5ocYmUiHmlH9w0orXvBHAXdTIQINIYAMM0u2faKwNxQXGCXIBwskhBlOaQ7UIrhO9wq8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1184</Words>
  <Characters>6515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Patricia Ranilla Checa</cp:lastModifiedBy>
  <cp:revision>2</cp:revision>
  <cp:lastPrinted>2021-07-12T06:28:00Z</cp:lastPrinted>
  <dcterms:created xsi:type="dcterms:W3CDTF">2021-07-12T11:45:00Z</dcterms:created>
  <dcterms:modified xsi:type="dcterms:W3CDTF">2021-07-12T11:45:00Z</dcterms:modified>
</cp:coreProperties>
</file>