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2F68661B"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91359C">
        <w:rPr>
          <w:rFonts w:ascii="National" w:hAnsi="National"/>
          <w:b/>
          <w:bCs/>
          <w:iCs/>
          <w:color w:val="1DBDC5"/>
          <w:sz w:val="30"/>
          <w:lang w:val="es-ES"/>
        </w:rPr>
        <w:t>ACUMULATIVO PRECIO DE LA VIVIENDA</w:t>
      </w:r>
      <w:r>
        <w:rPr>
          <w:rFonts w:ascii="National" w:hAnsi="National"/>
          <w:b/>
          <w:bCs/>
          <w:iCs/>
          <w:color w:val="1DBDC5"/>
          <w:sz w:val="30"/>
          <w:lang w:val="es-ES"/>
        </w:rPr>
        <w:t xml:space="preserve"> EN ESPAÑA</w:t>
      </w:r>
    </w:p>
    <w:p w14:paraId="7733F82C" w14:textId="1F715D88" w:rsidR="005E2F87" w:rsidRDefault="005E2F87" w:rsidP="00170702">
      <w:pPr>
        <w:pStyle w:val="Prrafodelista"/>
        <w:spacing w:line="276" w:lineRule="auto"/>
        <w:ind w:left="284" w:right="-574"/>
        <w:jc w:val="center"/>
        <w:rPr>
          <w:rFonts w:ascii="National" w:hAnsi="National"/>
          <w:b/>
          <w:bCs/>
          <w:iCs/>
          <w:color w:val="303AB2"/>
          <w:sz w:val="56"/>
          <w:szCs w:val="144"/>
          <w:lang w:val="es-ES"/>
        </w:rPr>
      </w:pPr>
      <w:r>
        <w:rPr>
          <w:rFonts w:ascii="National" w:hAnsi="National"/>
          <w:b/>
          <w:bCs/>
          <w:iCs/>
          <w:color w:val="303AB2"/>
          <w:sz w:val="56"/>
          <w:szCs w:val="144"/>
          <w:lang w:val="es-ES"/>
        </w:rPr>
        <w:t>Hace 15 años se pagaba 225.000 € por un piso en España y ahora se paga 150.600 €</w:t>
      </w:r>
    </w:p>
    <w:p w14:paraId="4B9D3214" w14:textId="7EEB693F" w:rsidR="005F6A96" w:rsidRDefault="005F6A96" w:rsidP="007D3B4D">
      <w:pPr>
        <w:pStyle w:val="Prrafodelista"/>
        <w:spacing w:line="276" w:lineRule="auto"/>
        <w:ind w:left="284" w:right="-574"/>
        <w:jc w:val="center"/>
        <w:rPr>
          <w:rFonts w:ascii="Open Sans" w:hAnsi="Open Sans" w:cs="Open Sans"/>
          <w:sz w:val="22"/>
          <w:szCs w:val="22"/>
        </w:rPr>
      </w:pPr>
    </w:p>
    <w:p w14:paraId="24F504B1" w14:textId="2BE293EC" w:rsidR="005E2F87" w:rsidRDefault="005E2F87" w:rsidP="000A6146">
      <w:pPr>
        <w:pStyle w:val="Prrafodelista"/>
        <w:numPr>
          <w:ilvl w:val="0"/>
          <w:numId w:val="8"/>
        </w:numPr>
        <w:spacing w:line="276" w:lineRule="auto"/>
        <w:ind w:left="284" w:right="-574"/>
        <w:jc w:val="both"/>
        <w:rPr>
          <w:rFonts w:ascii="Open Sans" w:hAnsi="Open Sans" w:cs="Open Sans"/>
          <w:color w:val="303AB2"/>
          <w:sz w:val="22"/>
          <w:szCs w:val="22"/>
        </w:rPr>
      </w:pPr>
      <w:r w:rsidRPr="005E2F87">
        <w:rPr>
          <w:rFonts w:ascii="Open Sans" w:hAnsi="Open Sans" w:cs="Open Sans"/>
          <w:color w:val="303AB2"/>
          <w:sz w:val="22"/>
          <w:szCs w:val="22"/>
        </w:rPr>
        <w:t>El precio de la vivienda ha subido un 16% en los últimos 5 años y ha caído un -14% en los últimos 10 años</w:t>
      </w:r>
    </w:p>
    <w:p w14:paraId="376D667E" w14:textId="57E68CA7" w:rsidR="00ED419C" w:rsidRPr="00011CB7" w:rsidRDefault="000C053A" w:rsidP="009E08E6">
      <w:pPr>
        <w:pStyle w:val="Prrafodelista"/>
        <w:numPr>
          <w:ilvl w:val="0"/>
          <w:numId w:val="8"/>
        </w:numPr>
        <w:spacing w:line="276" w:lineRule="auto"/>
        <w:ind w:left="284" w:right="-574"/>
        <w:jc w:val="both"/>
        <w:rPr>
          <w:rFonts w:ascii="Open Sans" w:hAnsi="Open Sans" w:cs="Open Sans"/>
          <w:color w:val="303AB2"/>
          <w:sz w:val="22"/>
          <w:szCs w:val="22"/>
        </w:rPr>
      </w:pPr>
      <w:r w:rsidRPr="000C053A">
        <w:rPr>
          <w:rFonts w:ascii="Open Sans" w:hAnsi="Open Sans" w:cs="Open Sans"/>
          <w:color w:val="303AB2"/>
          <w:sz w:val="22"/>
          <w:szCs w:val="22"/>
        </w:rPr>
        <w:t xml:space="preserve">Extremadura </w:t>
      </w:r>
      <w:r w:rsidR="0092690F" w:rsidRPr="00011CB7">
        <w:rPr>
          <w:rFonts w:ascii="Open Sans" w:hAnsi="Open Sans" w:cs="Open Sans"/>
          <w:color w:val="303AB2"/>
          <w:sz w:val="22"/>
          <w:szCs w:val="22"/>
        </w:rPr>
        <w:t>es la comunidad con mayor incremento acumulativo respecto al año 20</w:t>
      </w:r>
      <w:r>
        <w:rPr>
          <w:rFonts w:ascii="Open Sans" w:hAnsi="Open Sans" w:cs="Open Sans"/>
          <w:color w:val="303AB2"/>
          <w:sz w:val="22"/>
          <w:szCs w:val="22"/>
        </w:rPr>
        <w:t>20</w:t>
      </w:r>
      <w:r w:rsidR="0092690F" w:rsidRPr="00011CB7">
        <w:rPr>
          <w:rFonts w:ascii="Open Sans" w:hAnsi="Open Sans" w:cs="Open Sans"/>
          <w:color w:val="303AB2"/>
          <w:sz w:val="22"/>
          <w:szCs w:val="22"/>
        </w:rPr>
        <w:t xml:space="preserve"> (1 año) y su valor apenas ha llegado al </w:t>
      </w:r>
      <w:r>
        <w:rPr>
          <w:rFonts w:ascii="Open Sans" w:hAnsi="Open Sans" w:cs="Open Sans"/>
          <w:color w:val="303AB2"/>
          <w:sz w:val="22"/>
          <w:szCs w:val="22"/>
        </w:rPr>
        <w:t>4</w:t>
      </w:r>
      <w:r w:rsidR="0092690F" w:rsidRPr="00011CB7">
        <w:rPr>
          <w:rFonts w:ascii="Open Sans" w:hAnsi="Open Sans" w:cs="Open Sans"/>
          <w:color w:val="303AB2"/>
          <w:sz w:val="22"/>
          <w:szCs w:val="22"/>
        </w:rPr>
        <w:t xml:space="preserve">% </w:t>
      </w:r>
    </w:p>
    <w:p w14:paraId="6BBB7167" w14:textId="5E8EF63D" w:rsidR="00CB6EB1" w:rsidRPr="00011CB7" w:rsidRDefault="00ED419C" w:rsidP="009E08E6">
      <w:pPr>
        <w:pStyle w:val="Prrafodelista"/>
        <w:numPr>
          <w:ilvl w:val="0"/>
          <w:numId w:val="8"/>
        </w:numPr>
        <w:spacing w:line="276" w:lineRule="auto"/>
        <w:ind w:left="284" w:right="-574"/>
        <w:jc w:val="both"/>
        <w:rPr>
          <w:rFonts w:ascii="Open Sans" w:hAnsi="Open Sans" w:cs="Open Sans"/>
          <w:color w:val="303AB2"/>
          <w:sz w:val="22"/>
          <w:szCs w:val="22"/>
        </w:rPr>
      </w:pPr>
      <w:r w:rsidRPr="00011CB7">
        <w:rPr>
          <w:rFonts w:ascii="Open Sans" w:hAnsi="Open Sans" w:cs="Open Sans"/>
          <w:color w:val="303AB2"/>
          <w:sz w:val="22"/>
          <w:szCs w:val="22"/>
        </w:rPr>
        <w:t>Los más</w:t>
      </w:r>
      <w:r w:rsidR="00CB6EB1" w:rsidRPr="00011CB7">
        <w:rPr>
          <w:rFonts w:ascii="Open Sans" w:hAnsi="Open Sans" w:cs="Open Sans"/>
          <w:color w:val="303AB2"/>
          <w:sz w:val="22"/>
          <w:szCs w:val="22"/>
        </w:rPr>
        <w:t xml:space="preserve"> </w:t>
      </w:r>
      <w:r w:rsidR="00227100" w:rsidRPr="00011CB7">
        <w:rPr>
          <w:rFonts w:ascii="Open Sans" w:hAnsi="Open Sans" w:cs="Open Sans"/>
          <w:color w:val="303AB2"/>
          <w:sz w:val="22"/>
          <w:szCs w:val="22"/>
        </w:rPr>
        <w:t>perjudicados</w:t>
      </w:r>
      <w:r w:rsidR="00CB6EB1" w:rsidRPr="00011CB7">
        <w:rPr>
          <w:rFonts w:ascii="Open Sans" w:hAnsi="Open Sans" w:cs="Open Sans"/>
          <w:color w:val="303AB2"/>
          <w:sz w:val="22"/>
          <w:szCs w:val="22"/>
        </w:rPr>
        <w:t xml:space="preserve"> </w:t>
      </w:r>
      <w:r w:rsidRPr="00011CB7">
        <w:rPr>
          <w:rFonts w:ascii="Open Sans" w:hAnsi="Open Sans" w:cs="Open Sans"/>
          <w:color w:val="303AB2"/>
          <w:sz w:val="22"/>
          <w:szCs w:val="22"/>
        </w:rPr>
        <w:t xml:space="preserve">por </w:t>
      </w:r>
      <w:r w:rsidR="00B63DBE" w:rsidRPr="00011CB7">
        <w:rPr>
          <w:rFonts w:ascii="Open Sans" w:hAnsi="Open Sans" w:cs="Open Sans"/>
          <w:color w:val="303AB2"/>
          <w:sz w:val="22"/>
          <w:szCs w:val="22"/>
        </w:rPr>
        <w:t xml:space="preserve">el </w:t>
      </w:r>
      <w:r w:rsidR="00227100" w:rsidRPr="00011CB7">
        <w:rPr>
          <w:rFonts w:ascii="Open Sans" w:hAnsi="Open Sans" w:cs="Open Sans"/>
          <w:color w:val="303AB2"/>
          <w:sz w:val="22"/>
          <w:szCs w:val="22"/>
        </w:rPr>
        <w:t>incremento</w:t>
      </w:r>
      <w:r w:rsidRPr="00011CB7">
        <w:rPr>
          <w:rFonts w:ascii="Open Sans" w:hAnsi="Open Sans" w:cs="Open Sans"/>
          <w:color w:val="303AB2"/>
          <w:sz w:val="22"/>
          <w:szCs w:val="22"/>
        </w:rPr>
        <w:t xml:space="preserve"> </w:t>
      </w:r>
      <w:r w:rsidR="00B63DBE" w:rsidRPr="00011CB7">
        <w:rPr>
          <w:rFonts w:ascii="Open Sans" w:hAnsi="Open Sans" w:cs="Open Sans"/>
          <w:color w:val="303AB2"/>
          <w:sz w:val="22"/>
          <w:szCs w:val="22"/>
        </w:rPr>
        <w:t xml:space="preserve">del precio de </w:t>
      </w:r>
      <w:r w:rsidR="00227100" w:rsidRPr="00011CB7">
        <w:rPr>
          <w:rFonts w:ascii="Open Sans" w:hAnsi="Open Sans" w:cs="Open Sans"/>
          <w:color w:val="303AB2"/>
          <w:sz w:val="22"/>
          <w:szCs w:val="22"/>
        </w:rPr>
        <w:t xml:space="preserve">la vivienda en </w:t>
      </w:r>
      <w:r w:rsidR="00B63DBE" w:rsidRPr="00011CB7">
        <w:rPr>
          <w:rFonts w:ascii="Open Sans" w:hAnsi="Open Sans" w:cs="Open Sans"/>
          <w:color w:val="303AB2"/>
          <w:sz w:val="22"/>
          <w:szCs w:val="22"/>
        </w:rPr>
        <w:t xml:space="preserve">venta </w:t>
      </w:r>
      <w:r w:rsidRPr="00011CB7">
        <w:rPr>
          <w:rFonts w:ascii="Open Sans" w:hAnsi="Open Sans" w:cs="Open Sans"/>
          <w:color w:val="303AB2"/>
          <w:sz w:val="22"/>
          <w:szCs w:val="22"/>
        </w:rPr>
        <w:t xml:space="preserve">son los </w:t>
      </w:r>
      <w:r w:rsidR="004D0E4B" w:rsidRPr="00011CB7">
        <w:rPr>
          <w:rFonts w:ascii="Open Sans" w:hAnsi="Open Sans" w:cs="Open Sans"/>
          <w:color w:val="303AB2"/>
          <w:sz w:val="22"/>
          <w:szCs w:val="22"/>
        </w:rPr>
        <w:t xml:space="preserve">residentes </w:t>
      </w:r>
      <w:r w:rsidR="004372BE" w:rsidRPr="00011CB7">
        <w:rPr>
          <w:rFonts w:ascii="Open Sans" w:hAnsi="Open Sans" w:cs="Open Sans"/>
          <w:color w:val="303AB2"/>
          <w:sz w:val="22"/>
          <w:szCs w:val="22"/>
        </w:rPr>
        <w:t>de</w:t>
      </w:r>
      <w:r w:rsidRPr="00011CB7">
        <w:rPr>
          <w:rFonts w:ascii="Open Sans" w:hAnsi="Open Sans" w:cs="Open Sans"/>
          <w:color w:val="303AB2"/>
          <w:sz w:val="22"/>
          <w:szCs w:val="22"/>
        </w:rPr>
        <w:t xml:space="preserve"> </w:t>
      </w:r>
      <w:r w:rsidR="00227100" w:rsidRPr="00011CB7">
        <w:rPr>
          <w:rFonts w:ascii="Open Sans" w:hAnsi="Open Sans" w:cs="Open Sans"/>
          <w:color w:val="303AB2"/>
          <w:sz w:val="22"/>
          <w:szCs w:val="22"/>
        </w:rPr>
        <w:t>Palma de Mallorca</w:t>
      </w:r>
      <w:r w:rsidR="00022A98" w:rsidRPr="00011CB7">
        <w:rPr>
          <w:rFonts w:ascii="Open Sans" w:hAnsi="Open Sans" w:cs="Open Sans"/>
          <w:color w:val="303AB2"/>
          <w:sz w:val="22"/>
          <w:szCs w:val="22"/>
        </w:rPr>
        <w:t xml:space="preserve"> (</w:t>
      </w:r>
      <w:r w:rsidR="000C053A">
        <w:rPr>
          <w:rFonts w:ascii="Open Sans" w:hAnsi="Open Sans" w:cs="Open Sans"/>
          <w:color w:val="303AB2"/>
          <w:sz w:val="22"/>
          <w:szCs w:val="22"/>
        </w:rPr>
        <w:t>60</w:t>
      </w:r>
      <w:r w:rsidRPr="00011CB7">
        <w:rPr>
          <w:rFonts w:ascii="Open Sans" w:hAnsi="Open Sans" w:cs="Open Sans"/>
          <w:color w:val="303AB2"/>
          <w:sz w:val="22"/>
          <w:szCs w:val="22"/>
        </w:rPr>
        <w:t>%</w:t>
      </w:r>
      <w:r w:rsidR="00022A98" w:rsidRPr="00011CB7">
        <w:rPr>
          <w:rFonts w:ascii="Open Sans" w:hAnsi="Open Sans" w:cs="Open Sans"/>
          <w:color w:val="303AB2"/>
          <w:sz w:val="22"/>
          <w:szCs w:val="22"/>
        </w:rPr>
        <w:t>)</w:t>
      </w:r>
    </w:p>
    <w:p w14:paraId="2215ADD6" w14:textId="77777777" w:rsidR="00F65A5B" w:rsidRPr="00491040" w:rsidRDefault="00F65A5B" w:rsidP="005E255E">
      <w:pPr>
        <w:pStyle w:val="Prrafodelista"/>
        <w:spacing w:line="276" w:lineRule="auto"/>
        <w:ind w:left="284" w:right="-574"/>
        <w:rPr>
          <w:rFonts w:ascii="Open Sans Light" w:hAnsi="Open Sans Light" w:cs="Open Sans Light"/>
          <w:b/>
          <w:iCs/>
          <w:color w:val="303AB2"/>
          <w:szCs w:val="20"/>
          <w:lang w:val="es-ES"/>
        </w:rPr>
      </w:pPr>
    </w:p>
    <w:p w14:paraId="591FA1E5" w14:textId="716412D1" w:rsidR="002A35C0" w:rsidRPr="00491040" w:rsidRDefault="002D35EA" w:rsidP="00BF134A">
      <w:pPr>
        <w:pStyle w:val="Prrafodelista"/>
        <w:spacing w:line="276" w:lineRule="auto"/>
        <w:ind w:left="0" w:right="-574"/>
        <w:rPr>
          <w:rFonts w:ascii="Open Sans Light" w:hAnsi="Open Sans Light" w:cs="Open Sans Light"/>
          <w:b/>
          <w:iCs/>
          <w:color w:val="303AB2"/>
          <w:sz w:val="22"/>
          <w:szCs w:val="22"/>
          <w:lang w:val="es-ES"/>
        </w:rPr>
      </w:pPr>
      <w:r w:rsidRPr="00491040">
        <w:rPr>
          <w:rFonts w:ascii="Open Sans Light" w:hAnsi="Open Sans Light" w:cs="Open Sans Light"/>
          <w:b/>
          <w:iCs/>
          <w:color w:val="303AB2"/>
          <w:sz w:val="22"/>
          <w:szCs w:val="22"/>
          <w:lang w:val="es-ES"/>
        </w:rPr>
        <w:t>Madrid</w:t>
      </w:r>
      <w:r w:rsidR="00753088" w:rsidRPr="00491040">
        <w:rPr>
          <w:rFonts w:ascii="Open Sans Light" w:hAnsi="Open Sans Light" w:cs="Open Sans Light"/>
          <w:b/>
          <w:iCs/>
          <w:color w:val="303AB2"/>
          <w:sz w:val="22"/>
          <w:szCs w:val="22"/>
          <w:lang w:val="es-ES"/>
        </w:rPr>
        <w:t xml:space="preserve">, </w:t>
      </w:r>
      <w:r w:rsidR="00495FB5" w:rsidRPr="00491040">
        <w:rPr>
          <w:rFonts w:ascii="Open Sans Light" w:hAnsi="Open Sans Light" w:cs="Open Sans Light"/>
          <w:b/>
          <w:iCs/>
          <w:color w:val="303AB2"/>
          <w:sz w:val="22"/>
          <w:szCs w:val="22"/>
          <w:lang w:val="es-ES"/>
        </w:rPr>
        <w:t>19</w:t>
      </w:r>
      <w:r w:rsidR="00A70933" w:rsidRPr="00491040">
        <w:rPr>
          <w:rFonts w:ascii="Open Sans Light" w:hAnsi="Open Sans Light" w:cs="Open Sans Light"/>
          <w:b/>
          <w:iCs/>
          <w:color w:val="303AB2"/>
          <w:sz w:val="22"/>
          <w:szCs w:val="22"/>
          <w:lang w:val="es-ES"/>
        </w:rPr>
        <w:t xml:space="preserve"> de </w:t>
      </w:r>
      <w:r w:rsidR="00495FB5" w:rsidRPr="00491040">
        <w:rPr>
          <w:rFonts w:ascii="Open Sans Light" w:hAnsi="Open Sans Light" w:cs="Open Sans Light"/>
          <w:b/>
          <w:iCs/>
          <w:color w:val="303AB2"/>
          <w:sz w:val="22"/>
          <w:szCs w:val="22"/>
          <w:lang w:val="es-ES"/>
        </w:rPr>
        <w:t>a</w:t>
      </w:r>
      <w:r w:rsidR="00495FB5" w:rsidRPr="00011CB7">
        <w:rPr>
          <w:rFonts w:ascii="Open Sans Light" w:hAnsi="Open Sans Light" w:cs="Open Sans Light"/>
          <w:b/>
          <w:iCs/>
          <w:color w:val="303AB2"/>
          <w:sz w:val="22"/>
          <w:szCs w:val="22"/>
          <w:lang w:val="es-ES"/>
        </w:rPr>
        <w:t>gos</w:t>
      </w:r>
      <w:r w:rsidR="00495FB5" w:rsidRPr="00491040">
        <w:rPr>
          <w:rFonts w:ascii="Open Sans Light" w:hAnsi="Open Sans Light" w:cs="Open Sans Light"/>
          <w:b/>
          <w:iCs/>
          <w:color w:val="303AB2"/>
          <w:sz w:val="22"/>
          <w:szCs w:val="22"/>
          <w:lang w:val="es-ES"/>
        </w:rPr>
        <w:t xml:space="preserve">to </w:t>
      </w:r>
      <w:r w:rsidR="002A35C0" w:rsidRPr="00491040">
        <w:rPr>
          <w:rFonts w:ascii="Open Sans Light" w:hAnsi="Open Sans Light" w:cs="Open Sans Light"/>
          <w:b/>
          <w:iCs/>
          <w:color w:val="303AB2"/>
          <w:sz w:val="22"/>
          <w:szCs w:val="22"/>
          <w:lang w:val="es-ES"/>
        </w:rPr>
        <w:t>de 20</w:t>
      </w:r>
      <w:r w:rsidR="007937D5" w:rsidRPr="00491040">
        <w:rPr>
          <w:rFonts w:ascii="Open Sans Light" w:hAnsi="Open Sans Light" w:cs="Open Sans Light"/>
          <w:b/>
          <w:iCs/>
          <w:color w:val="303AB2"/>
          <w:sz w:val="22"/>
          <w:szCs w:val="22"/>
          <w:lang w:val="es-ES"/>
        </w:rPr>
        <w:t>2</w:t>
      </w:r>
      <w:r w:rsidR="00C31EC9" w:rsidRPr="00491040">
        <w:rPr>
          <w:rFonts w:ascii="Open Sans Light" w:hAnsi="Open Sans Light" w:cs="Open Sans Light"/>
          <w:b/>
          <w:iCs/>
          <w:color w:val="303AB2"/>
          <w:sz w:val="22"/>
          <w:szCs w:val="22"/>
          <w:lang w:val="es-ES"/>
        </w:rPr>
        <w:t>1</w:t>
      </w:r>
    </w:p>
    <w:p w14:paraId="32D1BEA4" w14:textId="0FFFAFD2" w:rsidR="00833BF4" w:rsidRDefault="00A36820" w:rsidP="00BD2FBF">
      <w:pPr>
        <w:pStyle w:val="NormalWeb"/>
        <w:shd w:val="clear" w:color="auto" w:fill="FFFFFF"/>
        <w:spacing w:after="225" w:line="276" w:lineRule="auto"/>
        <w:ind w:right="-574"/>
        <w:jc w:val="both"/>
        <w:rPr>
          <w:color w:val="000000"/>
        </w:rPr>
      </w:pPr>
      <w:r>
        <w:rPr>
          <w:rFonts w:ascii="Open Sans" w:hAnsi="Open Sans" w:cs="Open Sans"/>
          <w:color w:val="000000"/>
          <w:sz w:val="22"/>
          <w:szCs w:val="22"/>
        </w:rPr>
        <w:t xml:space="preserve">El precio acumulativo de la vivienda en </w:t>
      </w:r>
      <w:r w:rsidR="00B231C2">
        <w:rPr>
          <w:rFonts w:ascii="Open Sans" w:hAnsi="Open Sans" w:cs="Open Sans"/>
          <w:color w:val="000000"/>
          <w:sz w:val="22"/>
          <w:szCs w:val="22"/>
        </w:rPr>
        <w:t>venta</w:t>
      </w:r>
      <w:r>
        <w:rPr>
          <w:rFonts w:ascii="Open Sans" w:hAnsi="Open Sans" w:cs="Open Sans"/>
          <w:color w:val="000000"/>
          <w:sz w:val="22"/>
          <w:szCs w:val="22"/>
        </w:rPr>
        <w:t xml:space="preserve"> </w:t>
      </w:r>
      <w:r w:rsidR="004D0E4B" w:rsidRPr="008D20D0">
        <w:rPr>
          <w:rFonts w:ascii="Open Sans" w:hAnsi="Open Sans" w:cs="Open Sans"/>
          <w:color w:val="0D0D0D" w:themeColor="text1" w:themeTint="F2"/>
          <w:sz w:val="22"/>
          <w:szCs w:val="22"/>
        </w:rPr>
        <w:t xml:space="preserve">ha </w:t>
      </w:r>
      <w:r w:rsidR="00504F5F">
        <w:rPr>
          <w:rFonts w:ascii="Open Sans" w:hAnsi="Open Sans" w:cs="Open Sans"/>
          <w:color w:val="0D0D0D" w:themeColor="text1" w:themeTint="F2"/>
          <w:sz w:val="22"/>
          <w:szCs w:val="22"/>
        </w:rPr>
        <w:t>subido</w:t>
      </w:r>
      <w:r w:rsidRPr="008D20D0">
        <w:rPr>
          <w:rFonts w:ascii="Open Sans" w:hAnsi="Open Sans" w:cs="Open Sans"/>
          <w:color w:val="0D0D0D" w:themeColor="text1" w:themeTint="F2"/>
          <w:sz w:val="22"/>
          <w:szCs w:val="22"/>
        </w:rPr>
        <w:t xml:space="preserve"> en </w:t>
      </w:r>
      <w:r>
        <w:rPr>
          <w:rFonts w:ascii="Open Sans" w:hAnsi="Open Sans" w:cs="Open Sans"/>
          <w:color w:val="000000"/>
          <w:sz w:val="22"/>
          <w:szCs w:val="22"/>
        </w:rPr>
        <w:t xml:space="preserve">España un </w:t>
      </w:r>
      <w:r w:rsidR="00504F5F">
        <w:rPr>
          <w:rFonts w:ascii="Open Sans" w:hAnsi="Open Sans" w:cs="Open Sans"/>
          <w:color w:val="000000"/>
          <w:sz w:val="22"/>
          <w:szCs w:val="22"/>
        </w:rPr>
        <w:t>16</w:t>
      </w:r>
      <w:r>
        <w:rPr>
          <w:rFonts w:ascii="Open Sans" w:hAnsi="Open Sans" w:cs="Open Sans"/>
          <w:color w:val="000000"/>
          <w:sz w:val="22"/>
          <w:szCs w:val="22"/>
        </w:rPr>
        <w:t xml:space="preserve">% </w:t>
      </w:r>
      <w:r w:rsidR="00C31EC9">
        <w:rPr>
          <w:rFonts w:ascii="Open Sans" w:hAnsi="Open Sans" w:cs="Open Sans"/>
          <w:color w:val="000000"/>
          <w:sz w:val="22"/>
          <w:szCs w:val="22"/>
        </w:rPr>
        <w:t xml:space="preserve">en </w:t>
      </w:r>
      <w:r w:rsidR="00504F5F">
        <w:rPr>
          <w:rFonts w:ascii="Open Sans" w:hAnsi="Open Sans" w:cs="Open Sans"/>
          <w:color w:val="000000"/>
          <w:sz w:val="22"/>
          <w:szCs w:val="22"/>
        </w:rPr>
        <w:t>5</w:t>
      </w:r>
      <w:r w:rsidR="00C31EC9">
        <w:rPr>
          <w:rFonts w:ascii="Open Sans" w:hAnsi="Open Sans" w:cs="Open Sans"/>
          <w:color w:val="000000"/>
          <w:sz w:val="22"/>
          <w:szCs w:val="22"/>
        </w:rPr>
        <w:t xml:space="preserve"> años y</w:t>
      </w:r>
      <w:r w:rsidR="002D672F">
        <w:rPr>
          <w:rFonts w:ascii="Open Sans" w:hAnsi="Open Sans" w:cs="Open Sans"/>
          <w:color w:val="000000"/>
          <w:sz w:val="22"/>
          <w:szCs w:val="22"/>
        </w:rPr>
        <w:t xml:space="preserve"> ha caído </w:t>
      </w:r>
      <w:r w:rsidR="00C31EC9">
        <w:rPr>
          <w:rFonts w:ascii="Open Sans" w:hAnsi="Open Sans" w:cs="Open Sans"/>
          <w:color w:val="000000"/>
          <w:sz w:val="22"/>
          <w:szCs w:val="22"/>
        </w:rPr>
        <w:t xml:space="preserve">un </w:t>
      </w:r>
      <w:r w:rsidR="00B63DBE">
        <w:rPr>
          <w:rFonts w:ascii="Open Sans" w:hAnsi="Open Sans" w:cs="Open Sans"/>
          <w:color w:val="000000"/>
          <w:sz w:val="22"/>
          <w:szCs w:val="22"/>
        </w:rPr>
        <w:t>-</w:t>
      </w:r>
      <w:r w:rsidR="002D672F">
        <w:rPr>
          <w:rFonts w:ascii="Open Sans" w:hAnsi="Open Sans" w:cs="Open Sans"/>
          <w:color w:val="000000"/>
          <w:sz w:val="22"/>
          <w:szCs w:val="22"/>
        </w:rPr>
        <w:t>1</w:t>
      </w:r>
      <w:r w:rsidR="00491040">
        <w:rPr>
          <w:rFonts w:ascii="Open Sans" w:hAnsi="Open Sans" w:cs="Open Sans"/>
          <w:color w:val="000000"/>
          <w:sz w:val="22"/>
          <w:szCs w:val="22"/>
        </w:rPr>
        <w:t>4</w:t>
      </w:r>
      <w:r w:rsidR="00C31EC9">
        <w:rPr>
          <w:rFonts w:ascii="Open Sans" w:hAnsi="Open Sans" w:cs="Open Sans"/>
          <w:color w:val="000000"/>
          <w:sz w:val="22"/>
          <w:szCs w:val="22"/>
        </w:rPr>
        <w:t>% en 1</w:t>
      </w:r>
      <w:r w:rsidR="002D672F">
        <w:rPr>
          <w:rFonts w:ascii="Open Sans" w:hAnsi="Open Sans" w:cs="Open Sans"/>
          <w:color w:val="000000"/>
          <w:sz w:val="22"/>
          <w:szCs w:val="22"/>
        </w:rPr>
        <w:t>0</w:t>
      </w:r>
      <w:r w:rsidR="00C31EC9">
        <w:rPr>
          <w:rFonts w:ascii="Open Sans" w:hAnsi="Open Sans" w:cs="Open Sans"/>
          <w:color w:val="000000"/>
          <w:sz w:val="22"/>
          <w:szCs w:val="22"/>
        </w:rPr>
        <w:t xml:space="preserve"> años</w:t>
      </w:r>
      <w:r w:rsidR="00833BF4">
        <w:rPr>
          <w:rFonts w:ascii="Open Sans" w:hAnsi="Open Sans" w:cs="Open Sans"/>
          <w:color w:val="000000"/>
          <w:sz w:val="22"/>
          <w:szCs w:val="22"/>
        </w:rPr>
        <w:t>,</w:t>
      </w:r>
      <w:r w:rsidR="00C31EC9">
        <w:rPr>
          <w:rFonts w:ascii="Open Sans" w:hAnsi="Open Sans" w:cs="Open Sans"/>
          <w:color w:val="000000"/>
          <w:sz w:val="22"/>
          <w:szCs w:val="22"/>
        </w:rPr>
        <w:t xml:space="preserve"> </w:t>
      </w:r>
      <w:r w:rsidR="002D672F">
        <w:rPr>
          <w:rFonts w:ascii="Open Sans" w:hAnsi="Open Sans" w:cs="Open Sans"/>
          <w:color w:val="000000"/>
          <w:sz w:val="22"/>
          <w:szCs w:val="22"/>
        </w:rPr>
        <w:t>sin embargo,</w:t>
      </w:r>
      <w:r w:rsidR="00C31EC9">
        <w:rPr>
          <w:rFonts w:ascii="Open Sans" w:hAnsi="Open Sans" w:cs="Open Sans"/>
          <w:color w:val="000000"/>
          <w:sz w:val="22"/>
          <w:szCs w:val="22"/>
        </w:rPr>
        <w:t xml:space="preserve"> el </w:t>
      </w:r>
      <w:r w:rsidR="002D672F">
        <w:rPr>
          <w:rFonts w:ascii="Open Sans" w:hAnsi="Open Sans" w:cs="Open Sans"/>
          <w:color w:val="000000"/>
          <w:sz w:val="22"/>
          <w:szCs w:val="22"/>
        </w:rPr>
        <w:t>valor</w:t>
      </w:r>
      <w:r w:rsidR="00C31EC9">
        <w:rPr>
          <w:rFonts w:ascii="Open Sans" w:hAnsi="Open Sans" w:cs="Open Sans"/>
          <w:color w:val="000000"/>
          <w:sz w:val="22"/>
          <w:szCs w:val="22"/>
        </w:rPr>
        <w:t xml:space="preserve"> de hace un año apenas ha </w:t>
      </w:r>
      <w:r w:rsidR="00B63DBE">
        <w:rPr>
          <w:rFonts w:ascii="Open Sans" w:hAnsi="Open Sans" w:cs="Open Sans"/>
          <w:color w:val="000000"/>
          <w:sz w:val="22"/>
          <w:szCs w:val="22"/>
        </w:rPr>
        <w:t>caído</w:t>
      </w:r>
      <w:r w:rsidR="00C31EC9">
        <w:rPr>
          <w:rFonts w:ascii="Open Sans" w:hAnsi="Open Sans" w:cs="Open Sans"/>
          <w:color w:val="000000"/>
          <w:sz w:val="22"/>
          <w:szCs w:val="22"/>
        </w:rPr>
        <w:t xml:space="preserve"> un </w:t>
      </w:r>
      <w:r w:rsidR="00F47061">
        <w:rPr>
          <w:rFonts w:ascii="Open Sans" w:hAnsi="Open Sans" w:cs="Open Sans"/>
          <w:color w:val="000000"/>
          <w:sz w:val="22"/>
          <w:szCs w:val="22"/>
        </w:rPr>
        <w:t>1</w:t>
      </w:r>
      <w:r w:rsidR="00C31EC9">
        <w:rPr>
          <w:rFonts w:ascii="Open Sans" w:hAnsi="Open Sans" w:cs="Open Sans"/>
          <w:color w:val="000000"/>
          <w:sz w:val="22"/>
          <w:szCs w:val="22"/>
        </w:rPr>
        <w:t>%</w:t>
      </w:r>
      <w:r w:rsidR="002D672F">
        <w:rPr>
          <w:rFonts w:ascii="Open Sans" w:hAnsi="Open Sans" w:cs="Open Sans"/>
          <w:color w:val="000000"/>
          <w:sz w:val="22"/>
          <w:szCs w:val="22"/>
        </w:rPr>
        <w:t>,</w:t>
      </w:r>
      <w:r w:rsidR="00833BF4">
        <w:rPr>
          <w:rFonts w:ascii="Open Sans" w:hAnsi="Open Sans" w:cs="Open Sans"/>
          <w:color w:val="000000"/>
          <w:sz w:val="22"/>
          <w:szCs w:val="22"/>
        </w:rPr>
        <w:t xml:space="preserve"> </w:t>
      </w:r>
      <w:r w:rsidRPr="008376CF">
        <w:rPr>
          <w:rFonts w:ascii="Open Sans" w:hAnsi="Open Sans" w:cs="Open Sans"/>
          <w:color w:val="000000"/>
          <w:sz w:val="22"/>
          <w:szCs w:val="22"/>
        </w:rPr>
        <w:t>según el estudio</w:t>
      </w:r>
      <w:r w:rsidR="00F47061">
        <w:rPr>
          <w:rFonts w:ascii="Open Sans" w:hAnsi="Open Sans" w:cs="Open Sans"/>
          <w:color w:val="000000"/>
          <w:sz w:val="22"/>
          <w:szCs w:val="22"/>
        </w:rPr>
        <w:t xml:space="preserve"> a mitad de año de</w:t>
      </w:r>
      <w:r w:rsidRPr="008376CF">
        <w:rPr>
          <w:rFonts w:ascii="Open Sans" w:hAnsi="Open Sans" w:cs="Open Sans"/>
          <w:color w:val="000000"/>
          <w:sz w:val="22"/>
          <w:szCs w:val="22"/>
        </w:rPr>
        <w:t xml:space="preserve"> </w:t>
      </w:r>
      <w:r w:rsidRPr="008376CF">
        <w:rPr>
          <w:rFonts w:ascii="Open Sans" w:hAnsi="Open Sans" w:cs="Open Sans"/>
          <w:b/>
          <w:bCs/>
          <w:color w:val="000000"/>
          <w:sz w:val="22"/>
          <w:szCs w:val="22"/>
        </w:rPr>
        <w:t>“</w:t>
      </w:r>
      <w:r>
        <w:rPr>
          <w:rFonts w:ascii="Open Sans" w:hAnsi="Open Sans" w:cs="Open Sans"/>
          <w:b/>
          <w:bCs/>
          <w:i/>
          <w:iCs/>
          <w:color w:val="000000"/>
          <w:sz w:val="22"/>
          <w:szCs w:val="22"/>
        </w:rPr>
        <w:t>Variación acumulativa de la vivienda</w:t>
      </w:r>
      <w:r w:rsidR="007F702A">
        <w:rPr>
          <w:rFonts w:ascii="Open Sans" w:hAnsi="Open Sans" w:cs="Open Sans"/>
          <w:b/>
          <w:bCs/>
          <w:i/>
          <w:iCs/>
          <w:color w:val="000000"/>
          <w:sz w:val="22"/>
          <w:szCs w:val="22"/>
        </w:rPr>
        <w:t xml:space="preserve"> en España</w:t>
      </w:r>
      <w:r w:rsidR="00F47061">
        <w:rPr>
          <w:rFonts w:ascii="Open Sans" w:hAnsi="Open Sans" w:cs="Open Sans"/>
          <w:b/>
          <w:bCs/>
          <w:i/>
          <w:iCs/>
          <w:color w:val="000000"/>
          <w:sz w:val="22"/>
          <w:szCs w:val="22"/>
        </w:rPr>
        <w:t xml:space="preserve"> en 2021</w:t>
      </w:r>
      <w:r>
        <w:rPr>
          <w:rFonts w:ascii="Open Sans" w:hAnsi="Open Sans" w:cs="Open Sans"/>
          <w:b/>
          <w:bCs/>
          <w:i/>
          <w:iCs/>
          <w:color w:val="000000"/>
          <w:sz w:val="22"/>
          <w:szCs w:val="22"/>
        </w:rPr>
        <w:t>”</w:t>
      </w:r>
      <w:r w:rsidR="00C31EC9">
        <w:rPr>
          <w:rFonts w:ascii="Open Sans" w:hAnsi="Open Sans" w:cs="Open Sans"/>
          <w:b/>
          <w:bCs/>
          <w:i/>
          <w:iCs/>
          <w:color w:val="000000"/>
          <w:sz w:val="22"/>
          <w:szCs w:val="22"/>
        </w:rPr>
        <w:t>,</w:t>
      </w:r>
      <w:r>
        <w:rPr>
          <w:rFonts w:ascii="Open Sans" w:hAnsi="Open Sans" w:cs="Open Sans"/>
          <w:b/>
          <w:bCs/>
          <w:i/>
          <w:iCs/>
          <w:color w:val="000000"/>
          <w:sz w:val="22"/>
          <w:szCs w:val="22"/>
        </w:rPr>
        <w:t xml:space="preserve"> </w:t>
      </w:r>
      <w:r>
        <w:rPr>
          <w:rFonts w:ascii="Open Sans" w:hAnsi="Open Sans" w:cs="Open Sans"/>
          <w:color w:val="000000"/>
          <w:sz w:val="22"/>
          <w:szCs w:val="22"/>
        </w:rPr>
        <w:t>basado en</w:t>
      </w:r>
      <w:r w:rsidRPr="008376CF">
        <w:rPr>
          <w:rFonts w:ascii="Open Sans" w:hAnsi="Open Sans" w:cs="Open Sans"/>
          <w:color w:val="000000"/>
          <w:sz w:val="22"/>
          <w:szCs w:val="22"/>
        </w:rPr>
        <w:t xml:space="preserve"> los </w:t>
      </w:r>
      <w:r w:rsidR="00C31EC9">
        <w:rPr>
          <w:rFonts w:ascii="Open Sans" w:hAnsi="Open Sans" w:cs="Open Sans"/>
          <w:color w:val="000000"/>
          <w:sz w:val="22"/>
          <w:szCs w:val="22"/>
        </w:rPr>
        <w:t xml:space="preserve">precios de la vivienda en </w:t>
      </w:r>
      <w:r w:rsidR="00B231C2">
        <w:rPr>
          <w:rFonts w:ascii="Open Sans" w:hAnsi="Open Sans" w:cs="Open Sans"/>
          <w:color w:val="000000"/>
          <w:sz w:val="22"/>
          <w:szCs w:val="22"/>
        </w:rPr>
        <w:t>venta</w:t>
      </w:r>
      <w:r w:rsidRPr="008376CF">
        <w:rPr>
          <w:rFonts w:ascii="Open Sans" w:hAnsi="Open Sans" w:cs="Open Sans"/>
          <w:color w:val="000000"/>
          <w:sz w:val="22"/>
          <w:szCs w:val="22"/>
        </w:rPr>
        <w:t xml:space="preserve"> </w:t>
      </w:r>
      <w:r>
        <w:rPr>
          <w:rFonts w:ascii="Open Sans" w:hAnsi="Open Sans" w:cs="Open Sans"/>
          <w:color w:val="000000"/>
          <w:sz w:val="22"/>
          <w:szCs w:val="22"/>
        </w:rPr>
        <w:t>d</w:t>
      </w:r>
      <w:r w:rsidR="009309B9">
        <w:rPr>
          <w:rFonts w:ascii="Open Sans" w:hAnsi="Open Sans" w:cs="Open Sans"/>
          <w:color w:val="000000"/>
          <w:sz w:val="22"/>
          <w:szCs w:val="22"/>
        </w:rPr>
        <w:t xml:space="preserve">el mes de </w:t>
      </w:r>
      <w:r w:rsidR="00F47061">
        <w:rPr>
          <w:rFonts w:ascii="Open Sans" w:hAnsi="Open Sans" w:cs="Open Sans"/>
          <w:color w:val="000000"/>
          <w:sz w:val="22"/>
          <w:szCs w:val="22"/>
        </w:rPr>
        <w:t>junio</w:t>
      </w:r>
      <w:r>
        <w:rPr>
          <w:rFonts w:ascii="Open Sans" w:hAnsi="Open Sans" w:cs="Open Sans"/>
          <w:color w:val="000000"/>
          <w:sz w:val="22"/>
          <w:szCs w:val="22"/>
        </w:rPr>
        <w:t xml:space="preserve"> </w:t>
      </w:r>
      <w:r w:rsidR="009309B9">
        <w:rPr>
          <w:rFonts w:ascii="Open Sans" w:hAnsi="Open Sans" w:cs="Open Sans"/>
          <w:color w:val="000000"/>
          <w:sz w:val="22"/>
          <w:szCs w:val="22"/>
        </w:rPr>
        <w:t>de los últimos 1</w:t>
      </w:r>
      <w:r w:rsidR="00B63DBE">
        <w:rPr>
          <w:rFonts w:ascii="Open Sans" w:hAnsi="Open Sans" w:cs="Open Sans"/>
          <w:color w:val="000000"/>
          <w:sz w:val="22"/>
          <w:szCs w:val="22"/>
        </w:rPr>
        <w:t>5</w:t>
      </w:r>
      <w:r w:rsidR="009309B9">
        <w:rPr>
          <w:rFonts w:ascii="Open Sans" w:hAnsi="Open Sans" w:cs="Open Sans"/>
          <w:color w:val="000000"/>
          <w:sz w:val="22"/>
          <w:szCs w:val="22"/>
        </w:rPr>
        <w:t xml:space="preserve"> años del </w:t>
      </w:r>
      <w:r w:rsidRPr="008376CF">
        <w:rPr>
          <w:rFonts w:ascii="Open Sans" w:hAnsi="Open Sans" w:cs="Open Sans"/>
          <w:color w:val="000000"/>
          <w:sz w:val="22"/>
          <w:szCs w:val="22"/>
        </w:rPr>
        <w:t xml:space="preserve">Índice Inmobiliario </w:t>
      </w:r>
      <w:hyperlink r:id="rId10" w:history="1">
        <w:r w:rsidRPr="008376CF">
          <w:rPr>
            <w:rStyle w:val="Hipervnculo"/>
            <w:rFonts w:ascii="Open Sans" w:hAnsi="Open Sans" w:cs="Open Sans"/>
            <w:sz w:val="22"/>
            <w:szCs w:val="22"/>
          </w:rPr>
          <w:t>Fotocasa</w:t>
        </w:r>
      </w:hyperlink>
      <w:r w:rsidR="001651B5">
        <w:rPr>
          <w:rStyle w:val="Hipervnculo"/>
          <w:rFonts w:ascii="Open Sans" w:hAnsi="Open Sans" w:cs="Open Sans"/>
          <w:sz w:val="22"/>
          <w:szCs w:val="22"/>
        </w:rPr>
        <w:t>.</w:t>
      </w:r>
      <w:r w:rsidR="001651B5" w:rsidRPr="001651B5">
        <w:rPr>
          <w:color w:val="000000"/>
        </w:rPr>
        <w:t xml:space="preserve"> </w:t>
      </w:r>
    </w:p>
    <w:p w14:paraId="7B938E6A" w14:textId="68448ADB" w:rsidR="00583D8D" w:rsidRDefault="00CE47E3" w:rsidP="00583D8D">
      <w:pPr>
        <w:pStyle w:val="NormalWeb"/>
        <w:shd w:val="clear" w:color="auto" w:fill="FFFFFF"/>
        <w:spacing w:after="225" w:line="276" w:lineRule="auto"/>
        <w:ind w:right="-574"/>
        <w:jc w:val="center"/>
        <w:rPr>
          <w:color w:val="000000"/>
        </w:rPr>
      </w:pPr>
      <w:r>
        <w:rPr>
          <w:rFonts w:ascii="National" w:hAnsi="National"/>
          <w:b/>
          <w:bCs/>
          <w:iCs/>
          <w:color w:val="303AB2"/>
          <w:sz w:val="28"/>
          <w:szCs w:val="160"/>
        </w:rPr>
        <w:t>Variación acumulativa</w:t>
      </w:r>
      <w:r w:rsidR="00833BF4">
        <w:rPr>
          <w:rFonts w:ascii="National" w:hAnsi="National"/>
          <w:b/>
          <w:bCs/>
          <w:iCs/>
          <w:color w:val="303AB2"/>
          <w:sz w:val="28"/>
          <w:szCs w:val="160"/>
        </w:rPr>
        <w:t xml:space="preserve"> (%) por </w:t>
      </w:r>
      <w:r>
        <w:rPr>
          <w:rFonts w:ascii="National" w:hAnsi="National"/>
          <w:b/>
          <w:bCs/>
          <w:iCs/>
          <w:color w:val="303AB2"/>
          <w:sz w:val="28"/>
          <w:szCs w:val="160"/>
        </w:rPr>
        <w:t xml:space="preserve">años </w:t>
      </w:r>
      <w:r w:rsidR="0037410B">
        <w:rPr>
          <w:rFonts w:ascii="National" w:hAnsi="National"/>
          <w:b/>
          <w:bCs/>
          <w:iCs/>
          <w:color w:val="303AB2"/>
          <w:sz w:val="28"/>
          <w:szCs w:val="160"/>
        </w:rPr>
        <w:t>en España</w:t>
      </w:r>
      <w:r w:rsidR="00497F29" w:rsidRPr="00497F29">
        <w:rPr>
          <w:noProof/>
        </w:rPr>
        <w:t xml:space="preserve"> </w:t>
      </w:r>
      <w:r w:rsidR="00F47061">
        <w:rPr>
          <w:noProof/>
        </w:rPr>
        <w:drawing>
          <wp:inline distT="0" distB="0" distL="0" distR="0" wp14:anchorId="288FE8AC" wp14:editId="7E8BEE12">
            <wp:extent cx="4448175" cy="2409825"/>
            <wp:effectExtent l="0" t="0" r="0" b="0"/>
            <wp:docPr id="1" name="Gráfico 1">
              <a:extLst xmlns:a="http://schemas.openxmlformats.org/drawingml/2006/main">
                <a:ext uri="{FF2B5EF4-FFF2-40B4-BE49-F238E27FC236}">
                  <a16:creationId xmlns:a16="http://schemas.microsoft.com/office/drawing/2014/main" id="{D914368D-93BE-4BB9-8027-2AA886413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31D63B" w14:textId="15FAC5C9" w:rsidR="00583D8D" w:rsidRDefault="00FB61E9" w:rsidP="00583D8D">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lastRenderedPageBreak/>
        <w:t>CCAA con p</w:t>
      </w:r>
      <w:r w:rsidR="00583D8D" w:rsidRPr="00D82713">
        <w:rPr>
          <w:rFonts w:ascii="National" w:hAnsi="National"/>
          <w:b/>
          <w:bCs/>
          <w:iCs/>
          <w:color w:val="303AB2"/>
          <w:sz w:val="28"/>
          <w:szCs w:val="160"/>
          <w:lang w:val="es-ES"/>
        </w:rPr>
        <w:t xml:space="preserve">orcentajes (%) </w:t>
      </w:r>
      <w:r w:rsidR="00583D8D">
        <w:rPr>
          <w:rFonts w:ascii="National" w:hAnsi="National"/>
          <w:b/>
          <w:bCs/>
          <w:iCs/>
          <w:color w:val="303AB2"/>
          <w:sz w:val="28"/>
          <w:szCs w:val="160"/>
          <w:lang w:val="es-ES"/>
        </w:rPr>
        <w:t>acumulativo</w:t>
      </w:r>
      <w:r w:rsidR="00014CED">
        <w:rPr>
          <w:rFonts w:ascii="National" w:hAnsi="National"/>
          <w:b/>
          <w:bCs/>
          <w:iCs/>
          <w:color w:val="303AB2"/>
          <w:sz w:val="28"/>
          <w:szCs w:val="160"/>
          <w:lang w:val="es-ES"/>
        </w:rPr>
        <w:t xml:space="preserve"> </w:t>
      </w:r>
      <w:r w:rsidR="00583D8D">
        <w:rPr>
          <w:rFonts w:ascii="National" w:hAnsi="National"/>
          <w:b/>
          <w:bCs/>
          <w:iCs/>
          <w:color w:val="303AB2"/>
          <w:sz w:val="28"/>
          <w:szCs w:val="160"/>
          <w:lang w:val="es-ES"/>
        </w:rPr>
        <w:t xml:space="preserve"> </w:t>
      </w:r>
    </w:p>
    <w:p w14:paraId="7AF4375F" w14:textId="77777777" w:rsidR="00583D8D" w:rsidRDefault="00583D8D" w:rsidP="00583D8D">
      <w:pPr>
        <w:pStyle w:val="Prrafodelista"/>
        <w:spacing w:line="276" w:lineRule="auto"/>
        <w:ind w:left="0" w:right="-574"/>
        <w:jc w:val="center"/>
        <w:rPr>
          <w:rFonts w:ascii="National" w:hAnsi="National"/>
          <w:b/>
          <w:bCs/>
          <w:iCs/>
          <w:color w:val="303AB2"/>
          <w:sz w:val="30"/>
          <w:szCs w:val="180"/>
          <w:lang w:val="es-ES"/>
        </w:rPr>
      </w:pPr>
    </w:p>
    <w:tbl>
      <w:tblPr>
        <w:tblW w:w="898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935"/>
        <w:gridCol w:w="1828"/>
        <w:gridCol w:w="1828"/>
        <w:gridCol w:w="1714"/>
        <w:gridCol w:w="1677"/>
      </w:tblGrid>
      <w:tr w:rsidR="002A62A4" w:rsidRPr="002A62A4" w14:paraId="20F3689B" w14:textId="77777777" w:rsidTr="002A62A4">
        <w:trPr>
          <w:trHeight w:val="738"/>
        </w:trPr>
        <w:tc>
          <w:tcPr>
            <w:tcW w:w="1935" w:type="dxa"/>
            <w:shd w:val="clear" w:color="auto" w:fill="ACB9CA"/>
            <w:vAlign w:val="center"/>
            <w:hideMark/>
          </w:tcPr>
          <w:p w14:paraId="05FD4295" w14:textId="77777777" w:rsidR="002A62A4" w:rsidRPr="00C45CC5" w:rsidRDefault="002A62A4" w:rsidP="006E1AA8">
            <w:pPr>
              <w:rPr>
                <w:rFonts w:ascii="Open Sans" w:eastAsia="Times New Roman" w:hAnsi="Open Sans" w:cs="Open Sans"/>
                <w:color w:val="000000" w:themeColor="text1"/>
                <w:sz w:val="20"/>
                <w:szCs w:val="20"/>
                <w:lang w:val="es-ES" w:eastAsia="es-ES"/>
              </w:rPr>
            </w:pPr>
            <w:r w:rsidRPr="00C45CC5">
              <w:rPr>
                <w:rFonts w:ascii="Open Sans" w:eastAsia="Times New Roman" w:hAnsi="Open Sans" w:cs="Open Sans"/>
                <w:color w:val="000000" w:themeColor="text1"/>
                <w:sz w:val="20"/>
                <w:szCs w:val="20"/>
                <w:lang w:val="es-ES" w:eastAsia="es-ES"/>
              </w:rPr>
              <w:t>CCAA</w:t>
            </w:r>
          </w:p>
        </w:tc>
        <w:tc>
          <w:tcPr>
            <w:tcW w:w="1828" w:type="dxa"/>
            <w:shd w:val="clear" w:color="auto" w:fill="ACB9CA"/>
          </w:tcPr>
          <w:p w14:paraId="0FE4DDE8" w14:textId="2EB0636E" w:rsidR="002A62A4" w:rsidRPr="00C45CC5" w:rsidRDefault="002A62A4" w:rsidP="006E1AA8">
            <w:pPr>
              <w:jc w:val="center"/>
              <w:rPr>
                <w:rFonts w:ascii="Open Sans" w:hAnsi="Open Sans" w:cs="Open Sans"/>
                <w:color w:val="0D0D0D" w:themeColor="text1" w:themeTint="F2"/>
                <w:sz w:val="20"/>
                <w:szCs w:val="20"/>
              </w:rPr>
            </w:pPr>
            <w:r w:rsidRPr="00C45CC5">
              <w:rPr>
                <w:rFonts w:ascii="Open Sans" w:hAnsi="Open Sans" w:cs="Open Sans"/>
                <w:color w:val="0D0D0D" w:themeColor="text1" w:themeTint="F2"/>
                <w:sz w:val="20"/>
                <w:szCs w:val="20"/>
              </w:rPr>
              <w:t xml:space="preserve">(%) Acumulativo      15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w:t>
            </w:r>
            <w:r w:rsidR="00C45CC5" w:rsidRPr="00C45CC5">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 xml:space="preserve"> vs 200</w:t>
            </w:r>
            <w:r w:rsidR="00C45CC5">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828" w:type="dxa"/>
            <w:shd w:val="clear" w:color="auto" w:fill="ACB9CA"/>
            <w:vAlign w:val="center"/>
            <w:hideMark/>
          </w:tcPr>
          <w:p w14:paraId="5FF00666" w14:textId="09269E47" w:rsidR="002A62A4" w:rsidRPr="00C45CC5" w:rsidRDefault="002A62A4" w:rsidP="006E1AA8">
            <w:pPr>
              <w:jc w:val="center"/>
              <w:rPr>
                <w:rFonts w:ascii="Open Sans" w:eastAsia="Times New Roman" w:hAnsi="Open Sans" w:cs="Open Sans"/>
                <w:color w:val="0D0D0D" w:themeColor="text1" w:themeTint="F2"/>
                <w:sz w:val="20"/>
                <w:szCs w:val="20"/>
                <w:lang w:val="es-ES" w:eastAsia="es-ES"/>
              </w:rPr>
            </w:pPr>
            <w:r w:rsidRPr="00C45CC5">
              <w:rPr>
                <w:rFonts w:ascii="Open Sans" w:hAnsi="Open Sans" w:cs="Open Sans"/>
                <w:color w:val="0D0D0D" w:themeColor="text1" w:themeTint="F2"/>
                <w:sz w:val="20"/>
                <w:szCs w:val="20"/>
              </w:rPr>
              <w:t xml:space="preserve">(%) Acumulativo      10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w:t>
            </w:r>
            <w:r w:rsidR="00C45CC5" w:rsidRPr="00C45CC5">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 xml:space="preserve"> vs 201</w:t>
            </w:r>
            <w:r w:rsidR="00C45CC5">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w:t>
            </w:r>
          </w:p>
        </w:tc>
        <w:tc>
          <w:tcPr>
            <w:tcW w:w="1714" w:type="dxa"/>
            <w:shd w:val="clear" w:color="auto" w:fill="ACB9CA"/>
            <w:vAlign w:val="center"/>
            <w:hideMark/>
          </w:tcPr>
          <w:p w14:paraId="163260B5" w14:textId="7B34EB9A" w:rsidR="002A62A4" w:rsidRPr="00C45CC5" w:rsidRDefault="002A62A4" w:rsidP="006E1AA8">
            <w:pPr>
              <w:jc w:val="center"/>
              <w:rPr>
                <w:rFonts w:ascii="Open Sans" w:eastAsia="Times New Roman" w:hAnsi="Open Sans" w:cs="Open Sans"/>
                <w:color w:val="0D0D0D" w:themeColor="text1" w:themeTint="F2"/>
                <w:sz w:val="20"/>
                <w:szCs w:val="20"/>
                <w:lang w:val="es-ES" w:eastAsia="es-ES"/>
              </w:rPr>
            </w:pPr>
            <w:r w:rsidRPr="00C45CC5">
              <w:rPr>
                <w:rFonts w:ascii="Open Sans" w:hAnsi="Open Sans" w:cs="Open Sans"/>
                <w:color w:val="0D0D0D" w:themeColor="text1" w:themeTint="F2"/>
                <w:sz w:val="20"/>
                <w:szCs w:val="20"/>
              </w:rPr>
              <w:t xml:space="preserve">(%) Acumulativo      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w:t>
            </w:r>
            <w:r w:rsidR="00C45CC5" w:rsidRPr="00C45CC5">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 xml:space="preserve"> vs 201</w:t>
            </w:r>
            <w:r w:rsidR="00C45CC5">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677" w:type="dxa"/>
            <w:shd w:val="clear" w:color="auto" w:fill="ACB9CA" w:themeFill="text2" w:themeFillTint="66"/>
            <w:vAlign w:val="center"/>
          </w:tcPr>
          <w:p w14:paraId="25B4B794" w14:textId="30C2351A" w:rsidR="002A62A4" w:rsidRPr="00C45CC5" w:rsidRDefault="002A62A4" w:rsidP="006E1AA8">
            <w:pPr>
              <w:jc w:val="center"/>
              <w:rPr>
                <w:rFonts w:ascii="Open Sans" w:hAnsi="Open Sans" w:cs="Open Sans"/>
                <w:color w:val="0D0D0D" w:themeColor="text1" w:themeTint="F2"/>
                <w:sz w:val="20"/>
                <w:szCs w:val="20"/>
              </w:rPr>
            </w:pPr>
            <w:r w:rsidRPr="00C45CC5">
              <w:rPr>
                <w:rFonts w:ascii="Open Sans" w:hAnsi="Open Sans" w:cs="Open Sans"/>
                <w:color w:val="0D0D0D" w:themeColor="text1" w:themeTint="F2"/>
                <w:sz w:val="20"/>
                <w:szCs w:val="20"/>
              </w:rPr>
              <w:t xml:space="preserve">(%) Acumulativo      1 año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w:t>
            </w:r>
            <w:r w:rsidR="00C45CC5" w:rsidRPr="00C45CC5">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 xml:space="preserve"> vs 20</w:t>
            </w:r>
            <w:r w:rsidR="00C45CC5">
              <w:rPr>
                <w:rFonts w:ascii="Open Sans" w:hAnsi="Open Sans" w:cs="Open Sans"/>
                <w:color w:val="0D0D0D" w:themeColor="text1" w:themeTint="F2"/>
                <w:sz w:val="20"/>
                <w:szCs w:val="20"/>
              </w:rPr>
              <w:t>20</w:t>
            </w:r>
            <w:r w:rsidRPr="00C45CC5">
              <w:rPr>
                <w:rFonts w:ascii="Open Sans" w:hAnsi="Open Sans" w:cs="Open Sans"/>
                <w:color w:val="0D0D0D" w:themeColor="text1" w:themeTint="F2"/>
                <w:sz w:val="20"/>
                <w:szCs w:val="20"/>
              </w:rPr>
              <w:t>)</w:t>
            </w:r>
          </w:p>
        </w:tc>
      </w:tr>
      <w:tr w:rsidR="00C45CC5" w:rsidRPr="002A62A4" w14:paraId="3075E1D6" w14:textId="77777777" w:rsidTr="007B45F9">
        <w:trPr>
          <w:trHeight w:val="215"/>
        </w:trPr>
        <w:tc>
          <w:tcPr>
            <w:tcW w:w="1935" w:type="dxa"/>
            <w:shd w:val="clear" w:color="auto" w:fill="auto"/>
            <w:vAlign w:val="bottom"/>
            <w:hideMark/>
          </w:tcPr>
          <w:p w14:paraId="3500D2DC" w14:textId="48DEF358"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Andalucía</w:t>
            </w:r>
          </w:p>
        </w:tc>
        <w:tc>
          <w:tcPr>
            <w:tcW w:w="1828" w:type="dxa"/>
            <w:vAlign w:val="bottom"/>
          </w:tcPr>
          <w:p w14:paraId="5C821D6C" w14:textId="1A9EF05F"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-28%</w:t>
            </w:r>
          </w:p>
        </w:tc>
        <w:tc>
          <w:tcPr>
            <w:tcW w:w="1828" w:type="dxa"/>
            <w:shd w:val="clear" w:color="auto" w:fill="auto"/>
            <w:vAlign w:val="bottom"/>
            <w:hideMark/>
          </w:tcPr>
          <w:p w14:paraId="7BA5FF82" w14:textId="418F9D29"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-11%</w:t>
            </w:r>
          </w:p>
        </w:tc>
        <w:tc>
          <w:tcPr>
            <w:tcW w:w="1714" w:type="dxa"/>
            <w:shd w:val="clear" w:color="auto" w:fill="auto"/>
            <w:vAlign w:val="bottom"/>
            <w:hideMark/>
          </w:tcPr>
          <w:p w14:paraId="2A482A45" w14:textId="6551F5C5"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16%</w:t>
            </w:r>
          </w:p>
        </w:tc>
        <w:tc>
          <w:tcPr>
            <w:tcW w:w="1677" w:type="dxa"/>
            <w:vAlign w:val="bottom"/>
          </w:tcPr>
          <w:p w14:paraId="2D8A5F47" w14:textId="216A3E33"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w:t>
            </w:r>
          </w:p>
        </w:tc>
      </w:tr>
      <w:tr w:rsidR="00C45CC5" w:rsidRPr="002A62A4" w14:paraId="3700186F" w14:textId="77777777" w:rsidTr="007B45F9">
        <w:trPr>
          <w:trHeight w:val="215"/>
        </w:trPr>
        <w:tc>
          <w:tcPr>
            <w:tcW w:w="1935" w:type="dxa"/>
            <w:shd w:val="clear" w:color="auto" w:fill="auto"/>
            <w:vAlign w:val="bottom"/>
            <w:hideMark/>
          </w:tcPr>
          <w:p w14:paraId="3565ADAD" w14:textId="6E652721"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Aragón</w:t>
            </w:r>
          </w:p>
        </w:tc>
        <w:tc>
          <w:tcPr>
            <w:tcW w:w="1828" w:type="dxa"/>
            <w:vAlign w:val="bottom"/>
          </w:tcPr>
          <w:p w14:paraId="1AD3D9F0" w14:textId="68D64E50"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-49%</w:t>
            </w:r>
          </w:p>
        </w:tc>
        <w:tc>
          <w:tcPr>
            <w:tcW w:w="1828" w:type="dxa"/>
            <w:shd w:val="clear" w:color="auto" w:fill="auto"/>
            <w:vAlign w:val="bottom"/>
            <w:hideMark/>
          </w:tcPr>
          <w:p w14:paraId="18C4A502" w14:textId="5ED4F470"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-30%</w:t>
            </w:r>
          </w:p>
        </w:tc>
        <w:tc>
          <w:tcPr>
            <w:tcW w:w="1714" w:type="dxa"/>
            <w:shd w:val="clear" w:color="auto" w:fill="auto"/>
            <w:vAlign w:val="bottom"/>
            <w:hideMark/>
          </w:tcPr>
          <w:p w14:paraId="4AFB0B6D" w14:textId="18A6B3E0"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w:t>
            </w:r>
          </w:p>
        </w:tc>
        <w:tc>
          <w:tcPr>
            <w:tcW w:w="1677" w:type="dxa"/>
            <w:vAlign w:val="bottom"/>
          </w:tcPr>
          <w:p w14:paraId="1BF23C4D" w14:textId="53123C62"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-1%</w:t>
            </w:r>
          </w:p>
        </w:tc>
      </w:tr>
      <w:tr w:rsidR="00C45CC5" w:rsidRPr="002A62A4" w14:paraId="7E636DC1" w14:textId="77777777" w:rsidTr="007B45F9">
        <w:trPr>
          <w:trHeight w:val="215"/>
        </w:trPr>
        <w:tc>
          <w:tcPr>
            <w:tcW w:w="1935" w:type="dxa"/>
            <w:shd w:val="clear" w:color="auto" w:fill="auto"/>
            <w:vAlign w:val="bottom"/>
            <w:hideMark/>
          </w:tcPr>
          <w:p w14:paraId="19B63896" w14:textId="0A26E751"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Asturias</w:t>
            </w:r>
          </w:p>
        </w:tc>
        <w:tc>
          <w:tcPr>
            <w:tcW w:w="1828" w:type="dxa"/>
            <w:vAlign w:val="bottom"/>
          </w:tcPr>
          <w:p w14:paraId="12CB77BF" w14:textId="0078C60D"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-39%</w:t>
            </w:r>
          </w:p>
        </w:tc>
        <w:tc>
          <w:tcPr>
            <w:tcW w:w="1828" w:type="dxa"/>
            <w:shd w:val="clear" w:color="auto" w:fill="auto"/>
            <w:vAlign w:val="bottom"/>
            <w:hideMark/>
          </w:tcPr>
          <w:p w14:paraId="7EA5994C" w14:textId="5F0C3A33"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-29%</w:t>
            </w:r>
          </w:p>
        </w:tc>
        <w:tc>
          <w:tcPr>
            <w:tcW w:w="1714" w:type="dxa"/>
            <w:shd w:val="clear" w:color="auto" w:fill="auto"/>
            <w:vAlign w:val="bottom"/>
            <w:hideMark/>
          </w:tcPr>
          <w:p w14:paraId="31F6EB67" w14:textId="6B5434C8"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w:t>
            </w:r>
          </w:p>
        </w:tc>
        <w:tc>
          <w:tcPr>
            <w:tcW w:w="1677" w:type="dxa"/>
            <w:vAlign w:val="bottom"/>
          </w:tcPr>
          <w:p w14:paraId="68B18C62" w14:textId="11B3E85E"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-1%</w:t>
            </w:r>
          </w:p>
        </w:tc>
      </w:tr>
      <w:tr w:rsidR="00C45CC5" w:rsidRPr="002A62A4" w14:paraId="69512D6F" w14:textId="77777777" w:rsidTr="007B45F9">
        <w:trPr>
          <w:trHeight w:val="215"/>
        </w:trPr>
        <w:tc>
          <w:tcPr>
            <w:tcW w:w="1935" w:type="dxa"/>
            <w:shd w:val="clear" w:color="auto" w:fill="auto"/>
            <w:vAlign w:val="bottom"/>
            <w:hideMark/>
          </w:tcPr>
          <w:p w14:paraId="4776835E" w14:textId="2D0CACB8"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Baleares</w:t>
            </w:r>
          </w:p>
        </w:tc>
        <w:tc>
          <w:tcPr>
            <w:tcW w:w="1828" w:type="dxa"/>
            <w:vAlign w:val="bottom"/>
          </w:tcPr>
          <w:p w14:paraId="5B5FFB52" w14:textId="3FDA064E" w:rsidR="00C45CC5" w:rsidRPr="002A62A4" w:rsidRDefault="00C45CC5" w:rsidP="00C45CC5">
            <w:pPr>
              <w:jc w:val="center"/>
              <w:rPr>
                <w:rFonts w:ascii="Open Sans" w:hAnsi="Open Sans" w:cs="Open Sans"/>
                <w:color w:val="000000"/>
                <w:sz w:val="22"/>
                <w:szCs w:val="22"/>
              </w:rPr>
            </w:pPr>
            <w:r>
              <w:rPr>
                <w:rFonts w:ascii="Open Sans" w:hAnsi="Open Sans" w:cs="Open Sans"/>
                <w:color w:val="000000"/>
                <w:sz w:val="22"/>
                <w:szCs w:val="22"/>
              </w:rPr>
              <w:t>6%</w:t>
            </w:r>
          </w:p>
        </w:tc>
        <w:tc>
          <w:tcPr>
            <w:tcW w:w="1828" w:type="dxa"/>
            <w:shd w:val="clear" w:color="auto" w:fill="auto"/>
            <w:vAlign w:val="bottom"/>
            <w:hideMark/>
          </w:tcPr>
          <w:p w14:paraId="289A8989" w14:textId="27F160B9"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25%</w:t>
            </w:r>
          </w:p>
        </w:tc>
        <w:tc>
          <w:tcPr>
            <w:tcW w:w="1714" w:type="dxa"/>
            <w:shd w:val="clear" w:color="auto" w:fill="auto"/>
            <w:vAlign w:val="bottom"/>
            <w:hideMark/>
          </w:tcPr>
          <w:p w14:paraId="4B9B252F" w14:textId="2C2B25C1"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51%</w:t>
            </w:r>
          </w:p>
        </w:tc>
        <w:tc>
          <w:tcPr>
            <w:tcW w:w="1677" w:type="dxa"/>
            <w:vAlign w:val="bottom"/>
          </w:tcPr>
          <w:p w14:paraId="19EE62CE" w14:textId="4B047768"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3%</w:t>
            </w:r>
          </w:p>
        </w:tc>
      </w:tr>
      <w:tr w:rsidR="00C45CC5" w:rsidRPr="002A62A4" w14:paraId="266AA6AA" w14:textId="77777777" w:rsidTr="007B45F9">
        <w:trPr>
          <w:trHeight w:val="215"/>
        </w:trPr>
        <w:tc>
          <w:tcPr>
            <w:tcW w:w="1935" w:type="dxa"/>
            <w:shd w:val="clear" w:color="auto" w:fill="auto"/>
            <w:vAlign w:val="bottom"/>
            <w:hideMark/>
          </w:tcPr>
          <w:p w14:paraId="6A48E8CB" w14:textId="075A2CEA"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Canarias</w:t>
            </w:r>
          </w:p>
        </w:tc>
        <w:tc>
          <w:tcPr>
            <w:tcW w:w="1828" w:type="dxa"/>
            <w:vAlign w:val="bottom"/>
          </w:tcPr>
          <w:p w14:paraId="0F882C21" w14:textId="26DF77FD"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-12%</w:t>
            </w:r>
          </w:p>
        </w:tc>
        <w:tc>
          <w:tcPr>
            <w:tcW w:w="1828" w:type="dxa"/>
            <w:shd w:val="clear" w:color="auto" w:fill="auto"/>
            <w:vAlign w:val="bottom"/>
            <w:hideMark/>
          </w:tcPr>
          <w:p w14:paraId="0A179C0D" w14:textId="4D5AAEC0"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w:t>
            </w:r>
          </w:p>
        </w:tc>
        <w:tc>
          <w:tcPr>
            <w:tcW w:w="1714" w:type="dxa"/>
            <w:shd w:val="clear" w:color="auto" w:fill="auto"/>
            <w:vAlign w:val="bottom"/>
            <w:hideMark/>
          </w:tcPr>
          <w:p w14:paraId="46CA4C34" w14:textId="29B83A2E"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31%</w:t>
            </w:r>
          </w:p>
        </w:tc>
        <w:tc>
          <w:tcPr>
            <w:tcW w:w="1677" w:type="dxa"/>
            <w:vAlign w:val="bottom"/>
          </w:tcPr>
          <w:p w14:paraId="59DA4A8B" w14:textId="6997C74A"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0%</w:t>
            </w:r>
          </w:p>
        </w:tc>
      </w:tr>
      <w:tr w:rsidR="00C45CC5" w:rsidRPr="002A62A4" w14:paraId="67809EBD" w14:textId="77777777" w:rsidTr="007B45F9">
        <w:trPr>
          <w:trHeight w:val="215"/>
        </w:trPr>
        <w:tc>
          <w:tcPr>
            <w:tcW w:w="1935" w:type="dxa"/>
            <w:shd w:val="clear" w:color="auto" w:fill="auto"/>
            <w:vAlign w:val="bottom"/>
            <w:hideMark/>
          </w:tcPr>
          <w:p w14:paraId="64889E5F" w14:textId="3D44D8F4"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Cantabria</w:t>
            </w:r>
          </w:p>
        </w:tc>
        <w:tc>
          <w:tcPr>
            <w:tcW w:w="1828" w:type="dxa"/>
            <w:vAlign w:val="bottom"/>
          </w:tcPr>
          <w:p w14:paraId="1B8379E4" w14:textId="733FCF75"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-34%</w:t>
            </w:r>
          </w:p>
        </w:tc>
        <w:tc>
          <w:tcPr>
            <w:tcW w:w="1828" w:type="dxa"/>
            <w:shd w:val="clear" w:color="auto" w:fill="auto"/>
            <w:vAlign w:val="bottom"/>
            <w:hideMark/>
          </w:tcPr>
          <w:p w14:paraId="6830A1D0" w14:textId="05F7708A"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-27%</w:t>
            </w:r>
          </w:p>
        </w:tc>
        <w:tc>
          <w:tcPr>
            <w:tcW w:w="1714" w:type="dxa"/>
            <w:shd w:val="clear" w:color="auto" w:fill="auto"/>
            <w:vAlign w:val="bottom"/>
            <w:hideMark/>
          </w:tcPr>
          <w:p w14:paraId="2CBC99B5" w14:textId="5A75BEC1"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w:t>
            </w:r>
          </w:p>
        </w:tc>
        <w:tc>
          <w:tcPr>
            <w:tcW w:w="1677" w:type="dxa"/>
            <w:vAlign w:val="bottom"/>
          </w:tcPr>
          <w:p w14:paraId="5A6172DE" w14:textId="61DB7235"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w:t>
            </w:r>
          </w:p>
        </w:tc>
      </w:tr>
      <w:tr w:rsidR="00C45CC5" w:rsidRPr="002A62A4" w14:paraId="142FBBF1" w14:textId="77777777" w:rsidTr="007B45F9">
        <w:trPr>
          <w:trHeight w:val="215"/>
        </w:trPr>
        <w:tc>
          <w:tcPr>
            <w:tcW w:w="1935" w:type="dxa"/>
            <w:shd w:val="clear" w:color="auto" w:fill="auto"/>
            <w:vAlign w:val="bottom"/>
            <w:hideMark/>
          </w:tcPr>
          <w:p w14:paraId="4C56AEAC" w14:textId="691AB16E"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 y León</w:t>
            </w:r>
          </w:p>
        </w:tc>
        <w:tc>
          <w:tcPr>
            <w:tcW w:w="1828" w:type="dxa"/>
            <w:vAlign w:val="bottom"/>
          </w:tcPr>
          <w:p w14:paraId="63121874" w14:textId="6FE5D7FD"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-30%</w:t>
            </w:r>
          </w:p>
        </w:tc>
        <w:tc>
          <w:tcPr>
            <w:tcW w:w="1828" w:type="dxa"/>
            <w:shd w:val="clear" w:color="auto" w:fill="auto"/>
            <w:vAlign w:val="bottom"/>
            <w:hideMark/>
          </w:tcPr>
          <w:p w14:paraId="3477D98C" w14:textId="7EC5038E"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-23%</w:t>
            </w:r>
          </w:p>
        </w:tc>
        <w:tc>
          <w:tcPr>
            <w:tcW w:w="1714" w:type="dxa"/>
            <w:shd w:val="clear" w:color="auto" w:fill="auto"/>
            <w:vAlign w:val="bottom"/>
            <w:hideMark/>
          </w:tcPr>
          <w:p w14:paraId="74E19A43" w14:textId="46515A3B"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0%</w:t>
            </w:r>
          </w:p>
        </w:tc>
        <w:tc>
          <w:tcPr>
            <w:tcW w:w="1677" w:type="dxa"/>
            <w:vAlign w:val="bottom"/>
          </w:tcPr>
          <w:p w14:paraId="0DE7E458" w14:textId="14E0EDFE"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0%</w:t>
            </w:r>
          </w:p>
        </w:tc>
      </w:tr>
      <w:tr w:rsidR="00C45CC5" w:rsidRPr="002A62A4" w14:paraId="31B42FEE" w14:textId="77777777" w:rsidTr="007B45F9">
        <w:trPr>
          <w:trHeight w:val="215"/>
        </w:trPr>
        <w:tc>
          <w:tcPr>
            <w:tcW w:w="1935" w:type="dxa"/>
            <w:shd w:val="clear" w:color="auto" w:fill="auto"/>
            <w:vAlign w:val="bottom"/>
            <w:hideMark/>
          </w:tcPr>
          <w:p w14:paraId="0649DA55" w14:textId="1C635DFF"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Castilla-La Mancha</w:t>
            </w:r>
          </w:p>
        </w:tc>
        <w:tc>
          <w:tcPr>
            <w:tcW w:w="1828" w:type="dxa"/>
            <w:vAlign w:val="bottom"/>
          </w:tcPr>
          <w:p w14:paraId="003B6615" w14:textId="4F3BBF99"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-40%</w:t>
            </w:r>
          </w:p>
        </w:tc>
        <w:tc>
          <w:tcPr>
            <w:tcW w:w="1828" w:type="dxa"/>
            <w:shd w:val="clear" w:color="auto" w:fill="auto"/>
            <w:vAlign w:val="bottom"/>
            <w:hideMark/>
          </w:tcPr>
          <w:p w14:paraId="5A4990D2" w14:textId="1AE85385"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-31%</w:t>
            </w:r>
          </w:p>
        </w:tc>
        <w:tc>
          <w:tcPr>
            <w:tcW w:w="1714" w:type="dxa"/>
            <w:shd w:val="clear" w:color="auto" w:fill="auto"/>
            <w:vAlign w:val="bottom"/>
            <w:hideMark/>
          </w:tcPr>
          <w:p w14:paraId="5345ACFE" w14:textId="61C9B7D6"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w:t>
            </w:r>
          </w:p>
        </w:tc>
        <w:tc>
          <w:tcPr>
            <w:tcW w:w="1677" w:type="dxa"/>
            <w:vAlign w:val="bottom"/>
          </w:tcPr>
          <w:p w14:paraId="330A6AE9" w14:textId="65E5A4DA"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-3%</w:t>
            </w:r>
          </w:p>
        </w:tc>
      </w:tr>
      <w:tr w:rsidR="00C45CC5" w:rsidRPr="002A62A4" w14:paraId="090F9AF7" w14:textId="77777777" w:rsidTr="007B45F9">
        <w:trPr>
          <w:trHeight w:val="215"/>
        </w:trPr>
        <w:tc>
          <w:tcPr>
            <w:tcW w:w="1935" w:type="dxa"/>
            <w:shd w:val="clear" w:color="auto" w:fill="auto"/>
            <w:vAlign w:val="bottom"/>
            <w:hideMark/>
          </w:tcPr>
          <w:p w14:paraId="689F9BA5" w14:textId="15B0FD6C"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Cataluña</w:t>
            </w:r>
          </w:p>
        </w:tc>
        <w:tc>
          <w:tcPr>
            <w:tcW w:w="1828" w:type="dxa"/>
            <w:vAlign w:val="bottom"/>
          </w:tcPr>
          <w:p w14:paraId="6C4D503D" w14:textId="296E5E1E"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-30%</w:t>
            </w:r>
          </w:p>
        </w:tc>
        <w:tc>
          <w:tcPr>
            <w:tcW w:w="1828" w:type="dxa"/>
            <w:shd w:val="clear" w:color="auto" w:fill="auto"/>
            <w:vAlign w:val="bottom"/>
            <w:hideMark/>
          </w:tcPr>
          <w:p w14:paraId="4E22EF25" w14:textId="249D37FC"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-11%</w:t>
            </w:r>
          </w:p>
        </w:tc>
        <w:tc>
          <w:tcPr>
            <w:tcW w:w="1714" w:type="dxa"/>
            <w:shd w:val="clear" w:color="auto" w:fill="auto"/>
            <w:vAlign w:val="bottom"/>
            <w:hideMark/>
          </w:tcPr>
          <w:p w14:paraId="2D3D2EFE" w14:textId="5950C5B7"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26%</w:t>
            </w:r>
          </w:p>
        </w:tc>
        <w:tc>
          <w:tcPr>
            <w:tcW w:w="1677" w:type="dxa"/>
            <w:vAlign w:val="bottom"/>
          </w:tcPr>
          <w:p w14:paraId="1F4083DE" w14:textId="3030D401"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w:t>
            </w:r>
          </w:p>
        </w:tc>
      </w:tr>
      <w:tr w:rsidR="00C45CC5" w:rsidRPr="002A62A4" w14:paraId="44BC40D9" w14:textId="77777777" w:rsidTr="007B45F9">
        <w:trPr>
          <w:trHeight w:val="215"/>
        </w:trPr>
        <w:tc>
          <w:tcPr>
            <w:tcW w:w="1935" w:type="dxa"/>
            <w:shd w:val="clear" w:color="auto" w:fill="auto"/>
            <w:vAlign w:val="bottom"/>
            <w:hideMark/>
          </w:tcPr>
          <w:p w14:paraId="36B8BBDD" w14:textId="371F5231"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Comunitat Valenciana</w:t>
            </w:r>
          </w:p>
        </w:tc>
        <w:tc>
          <w:tcPr>
            <w:tcW w:w="1828" w:type="dxa"/>
            <w:vAlign w:val="bottom"/>
          </w:tcPr>
          <w:p w14:paraId="07277F45" w14:textId="6B5A740D"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-37%</w:t>
            </w:r>
          </w:p>
        </w:tc>
        <w:tc>
          <w:tcPr>
            <w:tcW w:w="1828" w:type="dxa"/>
            <w:shd w:val="clear" w:color="auto" w:fill="auto"/>
            <w:vAlign w:val="bottom"/>
            <w:hideMark/>
          </w:tcPr>
          <w:p w14:paraId="680BE7B9" w14:textId="448F7B4A"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-17%</w:t>
            </w:r>
          </w:p>
        </w:tc>
        <w:tc>
          <w:tcPr>
            <w:tcW w:w="1714" w:type="dxa"/>
            <w:shd w:val="clear" w:color="auto" w:fill="auto"/>
            <w:vAlign w:val="bottom"/>
            <w:hideMark/>
          </w:tcPr>
          <w:p w14:paraId="2BC58744" w14:textId="0AABCE75"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11%</w:t>
            </w:r>
          </w:p>
        </w:tc>
        <w:tc>
          <w:tcPr>
            <w:tcW w:w="1677" w:type="dxa"/>
            <w:vAlign w:val="bottom"/>
          </w:tcPr>
          <w:p w14:paraId="53E2F420" w14:textId="5B41037C"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0%</w:t>
            </w:r>
          </w:p>
        </w:tc>
      </w:tr>
      <w:tr w:rsidR="00C45CC5" w:rsidRPr="002A62A4" w14:paraId="65914DEE" w14:textId="77777777" w:rsidTr="007B45F9">
        <w:trPr>
          <w:trHeight w:val="215"/>
        </w:trPr>
        <w:tc>
          <w:tcPr>
            <w:tcW w:w="1935" w:type="dxa"/>
            <w:shd w:val="clear" w:color="auto" w:fill="auto"/>
            <w:vAlign w:val="bottom"/>
            <w:hideMark/>
          </w:tcPr>
          <w:p w14:paraId="05109AC7" w14:textId="03840F8B"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Extremadura</w:t>
            </w:r>
          </w:p>
        </w:tc>
        <w:tc>
          <w:tcPr>
            <w:tcW w:w="1828" w:type="dxa"/>
            <w:vAlign w:val="bottom"/>
          </w:tcPr>
          <w:p w14:paraId="661DFB07" w14:textId="0413116A"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-22%</w:t>
            </w:r>
          </w:p>
        </w:tc>
        <w:tc>
          <w:tcPr>
            <w:tcW w:w="1828" w:type="dxa"/>
            <w:shd w:val="clear" w:color="auto" w:fill="auto"/>
            <w:vAlign w:val="bottom"/>
            <w:hideMark/>
          </w:tcPr>
          <w:p w14:paraId="690E84E1" w14:textId="27E1D31A"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-25%</w:t>
            </w:r>
          </w:p>
        </w:tc>
        <w:tc>
          <w:tcPr>
            <w:tcW w:w="1714" w:type="dxa"/>
            <w:shd w:val="clear" w:color="auto" w:fill="auto"/>
            <w:vAlign w:val="bottom"/>
            <w:hideMark/>
          </w:tcPr>
          <w:p w14:paraId="6D0C9B9B" w14:textId="5E138470"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w:t>
            </w:r>
          </w:p>
        </w:tc>
        <w:tc>
          <w:tcPr>
            <w:tcW w:w="1677" w:type="dxa"/>
            <w:vAlign w:val="bottom"/>
          </w:tcPr>
          <w:p w14:paraId="17BA6A6B" w14:textId="1EF0B11C"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4%</w:t>
            </w:r>
          </w:p>
        </w:tc>
      </w:tr>
      <w:tr w:rsidR="00C45CC5" w:rsidRPr="002A62A4" w14:paraId="5B3065F0" w14:textId="77777777" w:rsidTr="007B45F9">
        <w:trPr>
          <w:trHeight w:val="215"/>
        </w:trPr>
        <w:tc>
          <w:tcPr>
            <w:tcW w:w="1935" w:type="dxa"/>
            <w:shd w:val="clear" w:color="auto" w:fill="auto"/>
            <w:vAlign w:val="bottom"/>
            <w:hideMark/>
          </w:tcPr>
          <w:p w14:paraId="1267931B" w14:textId="61302B05"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Galicia</w:t>
            </w:r>
          </w:p>
        </w:tc>
        <w:tc>
          <w:tcPr>
            <w:tcW w:w="1828" w:type="dxa"/>
            <w:vAlign w:val="bottom"/>
          </w:tcPr>
          <w:p w14:paraId="174FBDCE" w14:textId="0310AC63"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828" w:type="dxa"/>
            <w:shd w:val="clear" w:color="auto" w:fill="auto"/>
            <w:vAlign w:val="bottom"/>
            <w:hideMark/>
          </w:tcPr>
          <w:p w14:paraId="2A833F03" w14:textId="18283377"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-19%</w:t>
            </w:r>
          </w:p>
        </w:tc>
        <w:tc>
          <w:tcPr>
            <w:tcW w:w="1714" w:type="dxa"/>
            <w:shd w:val="clear" w:color="auto" w:fill="auto"/>
            <w:vAlign w:val="bottom"/>
            <w:hideMark/>
          </w:tcPr>
          <w:p w14:paraId="08152584" w14:textId="323E668D"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w:t>
            </w:r>
          </w:p>
        </w:tc>
        <w:tc>
          <w:tcPr>
            <w:tcW w:w="1677" w:type="dxa"/>
            <w:vAlign w:val="bottom"/>
          </w:tcPr>
          <w:p w14:paraId="2E4D011C" w14:textId="20F550FA"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w:t>
            </w:r>
          </w:p>
        </w:tc>
      </w:tr>
      <w:tr w:rsidR="00C45CC5" w:rsidRPr="002A62A4" w14:paraId="60F7897D" w14:textId="77777777" w:rsidTr="007B45F9">
        <w:trPr>
          <w:trHeight w:val="215"/>
        </w:trPr>
        <w:tc>
          <w:tcPr>
            <w:tcW w:w="1935" w:type="dxa"/>
            <w:shd w:val="clear" w:color="auto" w:fill="auto"/>
            <w:vAlign w:val="bottom"/>
            <w:hideMark/>
          </w:tcPr>
          <w:p w14:paraId="6AC38F10" w14:textId="67631671"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La Rioja</w:t>
            </w:r>
          </w:p>
        </w:tc>
        <w:tc>
          <w:tcPr>
            <w:tcW w:w="1828" w:type="dxa"/>
            <w:vAlign w:val="bottom"/>
          </w:tcPr>
          <w:p w14:paraId="24BC8FB2" w14:textId="1DAECAF6"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-43%</w:t>
            </w:r>
          </w:p>
        </w:tc>
        <w:tc>
          <w:tcPr>
            <w:tcW w:w="1828" w:type="dxa"/>
            <w:shd w:val="clear" w:color="auto" w:fill="auto"/>
            <w:vAlign w:val="bottom"/>
            <w:hideMark/>
          </w:tcPr>
          <w:p w14:paraId="6B5441B6" w14:textId="69993B5C"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-28%</w:t>
            </w:r>
          </w:p>
        </w:tc>
        <w:tc>
          <w:tcPr>
            <w:tcW w:w="1714" w:type="dxa"/>
            <w:shd w:val="clear" w:color="auto" w:fill="auto"/>
            <w:vAlign w:val="bottom"/>
            <w:hideMark/>
          </w:tcPr>
          <w:p w14:paraId="1A69C859" w14:textId="79414A13"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12%</w:t>
            </w:r>
          </w:p>
        </w:tc>
        <w:tc>
          <w:tcPr>
            <w:tcW w:w="1677" w:type="dxa"/>
            <w:vAlign w:val="bottom"/>
          </w:tcPr>
          <w:p w14:paraId="6737C117" w14:textId="66B19AC7"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w:t>
            </w:r>
          </w:p>
        </w:tc>
      </w:tr>
      <w:tr w:rsidR="00C45CC5" w:rsidRPr="002A62A4" w14:paraId="69CFB4F8" w14:textId="77777777" w:rsidTr="007B45F9">
        <w:trPr>
          <w:trHeight w:val="215"/>
        </w:trPr>
        <w:tc>
          <w:tcPr>
            <w:tcW w:w="1935" w:type="dxa"/>
            <w:shd w:val="clear" w:color="auto" w:fill="auto"/>
            <w:vAlign w:val="bottom"/>
            <w:hideMark/>
          </w:tcPr>
          <w:p w14:paraId="13625D19" w14:textId="232D374A"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Madrid</w:t>
            </w:r>
          </w:p>
        </w:tc>
        <w:tc>
          <w:tcPr>
            <w:tcW w:w="1828" w:type="dxa"/>
            <w:vAlign w:val="bottom"/>
          </w:tcPr>
          <w:p w14:paraId="13896C5A" w14:textId="7AE9EEB6"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-22%</w:t>
            </w:r>
          </w:p>
        </w:tc>
        <w:tc>
          <w:tcPr>
            <w:tcW w:w="1828" w:type="dxa"/>
            <w:shd w:val="clear" w:color="auto" w:fill="auto"/>
            <w:vAlign w:val="bottom"/>
            <w:hideMark/>
          </w:tcPr>
          <w:p w14:paraId="3F9A5602" w14:textId="3A0218D0"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w:t>
            </w:r>
          </w:p>
        </w:tc>
        <w:tc>
          <w:tcPr>
            <w:tcW w:w="1714" w:type="dxa"/>
            <w:shd w:val="clear" w:color="auto" w:fill="auto"/>
            <w:vAlign w:val="bottom"/>
            <w:hideMark/>
          </w:tcPr>
          <w:p w14:paraId="1EE260F9" w14:textId="002401E4"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38%</w:t>
            </w:r>
          </w:p>
        </w:tc>
        <w:tc>
          <w:tcPr>
            <w:tcW w:w="1677" w:type="dxa"/>
            <w:vAlign w:val="bottom"/>
          </w:tcPr>
          <w:p w14:paraId="6DAEE68E" w14:textId="5EB0810B"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w:t>
            </w:r>
          </w:p>
        </w:tc>
      </w:tr>
      <w:tr w:rsidR="00C45CC5" w:rsidRPr="002A62A4" w14:paraId="34BB975D" w14:textId="77777777" w:rsidTr="007B45F9">
        <w:trPr>
          <w:trHeight w:val="215"/>
        </w:trPr>
        <w:tc>
          <w:tcPr>
            <w:tcW w:w="1935" w:type="dxa"/>
            <w:shd w:val="clear" w:color="auto" w:fill="auto"/>
            <w:vAlign w:val="bottom"/>
            <w:hideMark/>
          </w:tcPr>
          <w:p w14:paraId="605E70C6" w14:textId="066B4E5A"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Navarra</w:t>
            </w:r>
          </w:p>
        </w:tc>
        <w:tc>
          <w:tcPr>
            <w:tcW w:w="1828" w:type="dxa"/>
            <w:vAlign w:val="bottom"/>
          </w:tcPr>
          <w:p w14:paraId="3613A8C3" w14:textId="010AE972"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-50%</w:t>
            </w:r>
          </w:p>
        </w:tc>
        <w:tc>
          <w:tcPr>
            <w:tcW w:w="1828" w:type="dxa"/>
            <w:shd w:val="clear" w:color="auto" w:fill="auto"/>
            <w:vAlign w:val="bottom"/>
            <w:hideMark/>
          </w:tcPr>
          <w:p w14:paraId="22193E3D" w14:textId="15F084E5"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-32%</w:t>
            </w:r>
          </w:p>
        </w:tc>
        <w:tc>
          <w:tcPr>
            <w:tcW w:w="1714" w:type="dxa"/>
            <w:shd w:val="clear" w:color="auto" w:fill="auto"/>
            <w:vAlign w:val="bottom"/>
            <w:hideMark/>
          </w:tcPr>
          <w:p w14:paraId="3D7569A0" w14:textId="3D877513"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w:t>
            </w:r>
          </w:p>
        </w:tc>
        <w:tc>
          <w:tcPr>
            <w:tcW w:w="1677" w:type="dxa"/>
            <w:vAlign w:val="bottom"/>
          </w:tcPr>
          <w:p w14:paraId="5C61F331" w14:textId="5D898E46"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-6%</w:t>
            </w:r>
          </w:p>
        </w:tc>
      </w:tr>
      <w:tr w:rsidR="00C45CC5" w:rsidRPr="002A62A4" w14:paraId="72C7FC36" w14:textId="77777777" w:rsidTr="007B45F9">
        <w:trPr>
          <w:trHeight w:val="215"/>
        </w:trPr>
        <w:tc>
          <w:tcPr>
            <w:tcW w:w="1935" w:type="dxa"/>
            <w:shd w:val="clear" w:color="auto" w:fill="auto"/>
            <w:vAlign w:val="bottom"/>
            <w:hideMark/>
          </w:tcPr>
          <w:p w14:paraId="1BAA883B" w14:textId="4D2B0508"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País Vasco</w:t>
            </w:r>
          </w:p>
        </w:tc>
        <w:tc>
          <w:tcPr>
            <w:tcW w:w="1828" w:type="dxa"/>
            <w:vAlign w:val="bottom"/>
          </w:tcPr>
          <w:p w14:paraId="06143399" w14:textId="5E827180"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-33%</w:t>
            </w:r>
          </w:p>
        </w:tc>
        <w:tc>
          <w:tcPr>
            <w:tcW w:w="1828" w:type="dxa"/>
            <w:shd w:val="clear" w:color="auto" w:fill="auto"/>
            <w:vAlign w:val="bottom"/>
            <w:hideMark/>
          </w:tcPr>
          <w:p w14:paraId="7838F0CF" w14:textId="074EAD0C"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-21%</w:t>
            </w:r>
          </w:p>
        </w:tc>
        <w:tc>
          <w:tcPr>
            <w:tcW w:w="1714" w:type="dxa"/>
            <w:shd w:val="clear" w:color="auto" w:fill="auto"/>
            <w:vAlign w:val="bottom"/>
            <w:hideMark/>
          </w:tcPr>
          <w:p w14:paraId="3B7B29F0" w14:textId="7CD80F41"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w:t>
            </w:r>
          </w:p>
        </w:tc>
        <w:tc>
          <w:tcPr>
            <w:tcW w:w="1677" w:type="dxa"/>
            <w:vAlign w:val="bottom"/>
          </w:tcPr>
          <w:p w14:paraId="7F04B606" w14:textId="0B929AEB"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w:t>
            </w:r>
          </w:p>
        </w:tc>
      </w:tr>
      <w:tr w:rsidR="00C45CC5" w:rsidRPr="002A62A4" w14:paraId="0BA5E7C4" w14:textId="77777777" w:rsidTr="007B45F9">
        <w:trPr>
          <w:trHeight w:val="215"/>
        </w:trPr>
        <w:tc>
          <w:tcPr>
            <w:tcW w:w="1935" w:type="dxa"/>
            <w:shd w:val="clear" w:color="auto" w:fill="auto"/>
            <w:vAlign w:val="bottom"/>
            <w:hideMark/>
          </w:tcPr>
          <w:p w14:paraId="7D23A384" w14:textId="1C8057A9" w:rsidR="00C45CC5" w:rsidRPr="002A62A4" w:rsidRDefault="00C45CC5" w:rsidP="00C45CC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Región de Murcia</w:t>
            </w:r>
          </w:p>
        </w:tc>
        <w:tc>
          <w:tcPr>
            <w:tcW w:w="1828" w:type="dxa"/>
            <w:vAlign w:val="bottom"/>
          </w:tcPr>
          <w:p w14:paraId="7C7823FB" w14:textId="512F5638" w:rsidR="00C45CC5" w:rsidRPr="002A62A4" w:rsidRDefault="00C45CC5" w:rsidP="00C45CC5">
            <w:pPr>
              <w:jc w:val="center"/>
              <w:rPr>
                <w:rFonts w:ascii="Open Sans" w:hAnsi="Open Sans" w:cs="Open Sans"/>
                <w:color w:val="000000"/>
                <w:sz w:val="22"/>
                <w:szCs w:val="22"/>
              </w:rPr>
            </w:pPr>
            <w:r>
              <w:rPr>
                <w:rFonts w:ascii="Open Sans" w:hAnsi="Open Sans" w:cs="Open Sans"/>
                <w:color w:val="9C0006"/>
                <w:sz w:val="22"/>
                <w:szCs w:val="22"/>
              </w:rPr>
              <w:t>-49%</w:t>
            </w:r>
          </w:p>
        </w:tc>
        <w:tc>
          <w:tcPr>
            <w:tcW w:w="1828" w:type="dxa"/>
            <w:shd w:val="clear" w:color="auto" w:fill="auto"/>
            <w:vAlign w:val="bottom"/>
            <w:hideMark/>
          </w:tcPr>
          <w:p w14:paraId="5B45018D" w14:textId="7268D719"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-30%</w:t>
            </w:r>
          </w:p>
        </w:tc>
        <w:tc>
          <w:tcPr>
            <w:tcW w:w="1714" w:type="dxa"/>
            <w:shd w:val="clear" w:color="auto" w:fill="auto"/>
            <w:vAlign w:val="bottom"/>
            <w:hideMark/>
          </w:tcPr>
          <w:p w14:paraId="01596F25" w14:textId="10119A2A" w:rsidR="00C45CC5" w:rsidRPr="002A62A4"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w:t>
            </w:r>
          </w:p>
        </w:tc>
        <w:tc>
          <w:tcPr>
            <w:tcW w:w="1677" w:type="dxa"/>
            <w:vAlign w:val="bottom"/>
          </w:tcPr>
          <w:p w14:paraId="5F0987A7" w14:textId="465841AF" w:rsidR="00C45CC5" w:rsidRPr="002A62A4" w:rsidRDefault="00C45CC5" w:rsidP="00C45CC5">
            <w:pPr>
              <w:jc w:val="center"/>
              <w:rPr>
                <w:rFonts w:ascii="Open Sans" w:eastAsia="Times New Roman" w:hAnsi="Open Sans" w:cs="Open Sans"/>
                <w:color w:val="FF0000"/>
                <w:sz w:val="22"/>
                <w:szCs w:val="22"/>
                <w:lang w:val="es-ES" w:eastAsia="es-ES"/>
              </w:rPr>
            </w:pPr>
            <w:r>
              <w:rPr>
                <w:rFonts w:ascii="Open Sans" w:hAnsi="Open Sans" w:cs="Open Sans"/>
                <w:color w:val="9C0006"/>
                <w:sz w:val="22"/>
                <w:szCs w:val="22"/>
              </w:rPr>
              <w:t>-4%</w:t>
            </w:r>
          </w:p>
        </w:tc>
      </w:tr>
      <w:tr w:rsidR="00C45CC5" w:rsidRPr="002A62A4" w14:paraId="656E1A7D" w14:textId="77777777" w:rsidTr="007B45F9">
        <w:trPr>
          <w:trHeight w:val="215"/>
        </w:trPr>
        <w:tc>
          <w:tcPr>
            <w:tcW w:w="1935" w:type="dxa"/>
            <w:shd w:val="clear" w:color="auto" w:fill="ACB9CA" w:themeFill="text2" w:themeFillTint="66"/>
            <w:vAlign w:val="bottom"/>
            <w:hideMark/>
          </w:tcPr>
          <w:p w14:paraId="76B8FDD3" w14:textId="29431E45"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España</w:t>
            </w:r>
          </w:p>
        </w:tc>
        <w:tc>
          <w:tcPr>
            <w:tcW w:w="1828" w:type="dxa"/>
            <w:shd w:val="clear" w:color="auto" w:fill="ACB9CA" w:themeFill="text2" w:themeFillTint="66"/>
            <w:vAlign w:val="bottom"/>
          </w:tcPr>
          <w:p w14:paraId="09086AF0" w14:textId="60A29A17" w:rsidR="00C45CC5" w:rsidRPr="002A62A4" w:rsidRDefault="00C45CC5" w:rsidP="00C45CC5">
            <w:pPr>
              <w:jc w:val="center"/>
              <w:rPr>
                <w:rFonts w:ascii="Open Sans" w:hAnsi="Open Sans" w:cs="Open Sans"/>
                <w:b/>
                <w:bCs/>
                <w:color w:val="000000"/>
                <w:sz w:val="22"/>
                <w:szCs w:val="22"/>
              </w:rPr>
            </w:pPr>
            <w:r>
              <w:rPr>
                <w:rFonts w:ascii="Open Sans" w:hAnsi="Open Sans" w:cs="Open Sans"/>
                <w:color w:val="9C0006"/>
                <w:sz w:val="22"/>
                <w:szCs w:val="22"/>
              </w:rPr>
              <w:t>-33%</w:t>
            </w:r>
          </w:p>
        </w:tc>
        <w:tc>
          <w:tcPr>
            <w:tcW w:w="1828" w:type="dxa"/>
            <w:shd w:val="clear" w:color="auto" w:fill="ACB9CA" w:themeFill="text2" w:themeFillTint="66"/>
            <w:vAlign w:val="bottom"/>
            <w:hideMark/>
          </w:tcPr>
          <w:p w14:paraId="31EE8DA0" w14:textId="309B882F" w:rsidR="00C45CC5" w:rsidRPr="002A62A4" w:rsidRDefault="00C45CC5" w:rsidP="00C45CC5">
            <w:pPr>
              <w:jc w:val="center"/>
              <w:rPr>
                <w:rFonts w:ascii="Open Sans" w:eastAsia="Times New Roman" w:hAnsi="Open Sans" w:cs="Open Sans"/>
                <w:b/>
                <w:bCs/>
                <w:color w:val="000000"/>
                <w:sz w:val="22"/>
                <w:szCs w:val="22"/>
                <w:lang w:val="es-ES" w:eastAsia="es-ES"/>
              </w:rPr>
            </w:pPr>
            <w:r>
              <w:rPr>
                <w:rFonts w:ascii="Open Sans" w:hAnsi="Open Sans" w:cs="Open Sans"/>
                <w:color w:val="9C0006"/>
                <w:sz w:val="22"/>
                <w:szCs w:val="22"/>
              </w:rPr>
              <w:t>-14%</w:t>
            </w:r>
          </w:p>
        </w:tc>
        <w:tc>
          <w:tcPr>
            <w:tcW w:w="1714" w:type="dxa"/>
            <w:shd w:val="clear" w:color="auto" w:fill="ACB9CA" w:themeFill="text2" w:themeFillTint="66"/>
            <w:vAlign w:val="bottom"/>
            <w:hideMark/>
          </w:tcPr>
          <w:p w14:paraId="27BC0446" w14:textId="5B2C1A27" w:rsidR="00C45CC5" w:rsidRPr="002A62A4" w:rsidRDefault="00C45CC5" w:rsidP="00C45CC5">
            <w:pPr>
              <w:jc w:val="center"/>
              <w:rPr>
                <w:rFonts w:ascii="Open Sans" w:eastAsia="Times New Roman" w:hAnsi="Open Sans" w:cs="Open Sans"/>
                <w:b/>
                <w:bCs/>
                <w:color w:val="000000"/>
                <w:sz w:val="22"/>
                <w:szCs w:val="22"/>
                <w:lang w:val="es-ES" w:eastAsia="es-ES"/>
              </w:rPr>
            </w:pPr>
            <w:r>
              <w:rPr>
                <w:rFonts w:ascii="Open Sans" w:hAnsi="Open Sans" w:cs="Open Sans"/>
                <w:color w:val="000000"/>
                <w:sz w:val="22"/>
                <w:szCs w:val="22"/>
              </w:rPr>
              <w:t>16%</w:t>
            </w:r>
          </w:p>
        </w:tc>
        <w:tc>
          <w:tcPr>
            <w:tcW w:w="1677" w:type="dxa"/>
            <w:shd w:val="clear" w:color="auto" w:fill="ACB9CA" w:themeFill="text2" w:themeFillTint="66"/>
            <w:vAlign w:val="bottom"/>
          </w:tcPr>
          <w:p w14:paraId="72FCC067" w14:textId="43668344" w:rsidR="00C45CC5" w:rsidRPr="002A62A4" w:rsidRDefault="00C45CC5" w:rsidP="00C45CC5">
            <w:pPr>
              <w:jc w:val="center"/>
              <w:rPr>
                <w:rFonts w:ascii="Open Sans" w:eastAsia="Times New Roman" w:hAnsi="Open Sans" w:cs="Open Sans"/>
                <w:b/>
                <w:bCs/>
                <w:color w:val="FF0000"/>
                <w:sz w:val="22"/>
                <w:szCs w:val="22"/>
                <w:lang w:val="es-ES" w:eastAsia="es-ES"/>
              </w:rPr>
            </w:pPr>
            <w:r>
              <w:rPr>
                <w:rFonts w:ascii="Open Sans" w:hAnsi="Open Sans" w:cs="Open Sans"/>
                <w:color w:val="000000"/>
                <w:sz w:val="22"/>
                <w:szCs w:val="22"/>
              </w:rPr>
              <w:t>1%</w:t>
            </w:r>
          </w:p>
        </w:tc>
      </w:tr>
    </w:tbl>
    <w:p w14:paraId="60CE6595" w14:textId="4F87AA6E" w:rsidR="00EF48E8" w:rsidRPr="00EF48E8" w:rsidRDefault="00EF48E8" w:rsidP="00E07AE5">
      <w:pPr>
        <w:pStyle w:val="NormalWeb"/>
        <w:shd w:val="clear" w:color="auto" w:fill="FFFFFF"/>
        <w:spacing w:after="225" w:line="276" w:lineRule="auto"/>
        <w:ind w:right="-574"/>
        <w:jc w:val="both"/>
        <w:rPr>
          <w:rFonts w:ascii="Open Sans" w:hAnsi="Open Sans" w:cs="Open Sans"/>
          <w:color w:val="0000FF"/>
          <w:sz w:val="22"/>
          <w:szCs w:val="22"/>
          <w:u w:val="single"/>
        </w:rPr>
      </w:pPr>
      <w:bookmarkStart w:id="0" w:name="_Hlk46655914"/>
      <w:r>
        <w:rPr>
          <w:rFonts w:ascii="Open Sans" w:hAnsi="Open Sans" w:cs="Open Sans"/>
          <w:color w:val="000000" w:themeColor="text1"/>
          <w:sz w:val="22"/>
          <w:szCs w:val="22"/>
        </w:rPr>
        <w:t xml:space="preserve">“El precio de la vivienda de segunda mano ha ido fluctuando mucho durante los últimos 15 años. Desde que alcanzó el precio máximo, en abril de 2007, el precio actualmente se encuentra un 36% por debajo. No obstante, aunque el precio de la vivienda de segunda mano aún está muy lejos de los precios de la burbuja inmobiliaria ha incrementado el precio en los últimos 5 años y lo ha hecho una media de un 16%. En estos momentos, el precio se encuentra bastante estable y no vamos a ver grandes subidas ni bajadas de precio durante 2021”, explica María Matos, directora de Estudios y Portavoz de </w:t>
      </w:r>
      <w:hyperlink r:id="rId12" w:history="1">
        <w:r w:rsidRPr="008376CF">
          <w:rPr>
            <w:rStyle w:val="Hipervnculo"/>
            <w:rFonts w:ascii="Open Sans" w:hAnsi="Open Sans" w:cs="Open Sans"/>
            <w:sz w:val="22"/>
            <w:szCs w:val="22"/>
          </w:rPr>
          <w:t>Fotocasa</w:t>
        </w:r>
      </w:hyperlink>
      <w:r>
        <w:rPr>
          <w:rStyle w:val="Hipervnculo"/>
          <w:rFonts w:ascii="Open Sans" w:hAnsi="Open Sans" w:cs="Open Sans"/>
          <w:sz w:val="22"/>
          <w:szCs w:val="22"/>
        </w:rPr>
        <w:t>.</w:t>
      </w:r>
    </w:p>
    <w:p w14:paraId="19970716" w14:textId="22A22211" w:rsidR="00E07AE5" w:rsidRDefault="00E07AE5" w:rsidP="00E07AE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themeColor="text1"/>
          <w:sz w:val="22"/>
          <w:szCs w:val="22"/>
        </w:rPr>
        <w:t>A</w:t>
      </w:r>
      <w:r w:rsidRPr="008D1286">
        <w:rPr>
          <w:rFonts w:ascii="Open Sans" w:hAnsi="Open Sans" w:cs="Open Sans"/>
          <w:color w:val="000000" w:themeColor="text1"/>
          <w:sz w:val="22"/>
          <w:szCs w:val="22"/>
        </w:rPr>
        <w:t>nalizando los</w:t>
      </w:r>
      <w:r>
        <w:rPr>
          <w:rFonts w:ascii="Open Sans" w:hAnsi="Open Sans" w:cs="Open Sans"/>
          <w:color w:val="000000" w:themeColor="text1"/>
          <w:sz w:val="22"/>
          <w:szCs w:val="22"/>
        </w:rPr>
        <w:t xml:space="preserve"> precios que se pagaban por una vivienda </w:t>
      </w:r>
      <w:r w:rsidR="00291B1B">
        <w:rPr>
          <w:rFonts w:ascii="Open Sans" w:hAnsi="Open Sans" w:cs="Open Sans"/>
          <w:color w:val="000000" w:themeColor="text1"/>
          <w:sz w:val="22"/>
          <w:szCs w:val="22"/>
        </w:rPr>
        <w:t>en venta hace 5 años (</w:t>
      </w:r>
      <w:r>
        <w:rPr>
          <w:rFonts w:ascii="Open Sans" w:hAnsi="Open Sans" w:cs="Open Sans"/>
          <w:color w:val="000000" w:themeColor="text1"/>
          <w:sz w:val="22"/>
          <w:szCs w:val="22"/>
        </w:rPr>
        <w:t>en 201</w:t>
      </w:r>
      <w:r w:rsidR="00291B1B">
        <w:rPr>
          <w:rFonts w:ascii="Open Sans" w:hAnsi="Open Sans" w:cs="Open Sans"/>
          <w:color w:val="000000" w:themeColor="text1"/>
          <w:sz w:val="22"/>
          <w:szCs w:val="22"/>
        </w:rPr>
        <w:t>6)</w:t>
      </w:r>
      <w:r>
        <w:rPr>
          <w:rFonts w:ascii="Open Sans" w:hAnsi="Open Sans" w:cs="Open Sans"/>
          <w:color w:val="000000" w:themeColor="text1"/>
          <w:sz w:val="22"/>
          <w:szCs w:val="22"/>
        </w:rPr>
        <w:t>,</w:t>
      </w:r>
      <w:r w:rsidRPr="008D1286">
        <w:rPr>
          <w:rFonts w:ascii="Open Sans" w:hAnsi="Open Sans" w:cs="Open Sans"/>
          <w:color w:val="000000" w:themeColor="text1"/>
          <w:sz w:val="22"/>
          <w:szCs w:val="22"/>
        </w:rPr>
        <w:t xml:space="preserve"> </w:t>
      </w:r>
      <w:r w:rsidRPr="008D1286">
        <w:rPr>
          <w:rFonts w:ascii="Open Sans" w:hAnsi="Open Sans" w:cs="Open Sans"/>
          <w:b/>
          <w:bCs/>
          <w:color w:val="000000" w:themeColor="text1"/>
          <w:sz w:val="22"/>
          <w:szCs w:val="22"/>
        </w:rPr>
        <w:t xml:space="preserve">el precio medio del metro cuadrado de la vivienda </w:t>
      </w:r>
      <w:r>
        <w:rPr>
          <w:rFonts w:ascii="Open Sans" w:hAnsi="Open Sans" w:cs="Open Sans"/>
          <w:b/>
          <w:bCs/>
          <w:color w:val="000000" w:themeColor="text1"/>
          <w:sz w:val="22"/>
          <w:szCs w:val="22"/>
        </w:rPr>
        <w:t xml:space="preserve">se ha incrementado </w:t>
      </w:r>
      <w:r w:rsidRPr="008D1286">
        <w:rPr>
          <w:rFonts w:ascii="Open Sans" w:hAnsi="Open Sans" w:cs="Open Sans"/>
          <w:b/>
          <w:bCs/>
          <w:color w:val="000000" w:themeColor="text1"/>
          <w:sz w:val="22"/>
          <w:szCs w:val="22"/>
        </w:rPr>
        <w:t xml:space="preserve">un </w:t>
      </w:r>
      <w:r>
        <w:rPr>
          <w:rFonts w:ascii="Open Sans" w:hAnsi="Open Sans" w:cs="Open Sans"/>
          <w:b/>
          <w:bCs/>
          <w:color w:val="000000" w:themeColor="text1"/>
          <w:sz w:val="22"/>
          <w:szCs w:val="22"/>
        </w:rPr>
        <w:t>16</w:t>
      </w:r>
      <w:r w:rsidRPr="008D1286">
        <w:rPr>
          <w:rFonts w:ascii="Open Sans" w:hAnsi="Open Sans" w:cs="Open Sans"/>
          <w:b/>
          <w:bCs/>
          <w:color w:val="000000" w:themeColor="text1"/>
          <w:sz w:val="22"/>
          <w:szCs w:val="22"/>
        </w:rPr>
        <w:t>% en España</w:t>
      </w:r>
      <w:r>
        <w:rPr>
          <w:rFonts w:ascii="Open Sans" w:hAnsi="Open Sans" w:cs="Open Sans"/>
          <w:b/>
          <w:bCs/>
          <w:color w:val="000000" w:themeColor="text1"/>
          <w:sz w:val="22"/>
          <w:szCs w:val="22"/>
        </w:rPr>
        <w:t xml:space="preserve"> </w:t>
      </w:r>
      <w:r w:rsidRPr="005C5838">
        <w:rPr>
          <w:rFonts w:ascii="Open Sans" w:hAnsi="Open Sans" w:cs="Open Sans"/>
          <w:color w:val="000000" w:themeColor="text1"/>
          <w:sz w:val="22"/>
          <w:szCs w:val="22"/>
        </w:rPr>
        <w:t xml:space="preserve">(de </w:t>
      </w:r>
      <w:r>
        <w:rPr>
          <w:rFonts w:ascii="Open Sans" w:hAnsi="Open Sans" w:cs="Open Sans"/>
          <w:color w:val="000000" w:themeColor="text1"/>
          <w:sz w:val="22"/>
          <w:szCs w:val="22"/>
        </w:rPr>
        <w:t>1.6</w:t>
      </w:r>
      <w:r w:rsidR="00291B1B">
        <w:rPr>
          <w:rFonts w:ascii="Open Sans" w:hAnsi="Open Sans" w:cs="Open Sans"/>
          <w:color w:val="000000" w:themeColor="text1"/>
          <w:sz w:val="22"/>
          <w:szCs w:val="22"/>
        </w:rPr>
        <w:t>21</w:t>
      </w:r>
      <w:r>
        <w:rPr>
          <w:rFonts w:ascii="Open Sans" w:hAnsi="Open Sans" w:cs="Open Sans"/>
          <w:color w:val="000000" w:themeColor="text1"/>
          <w:sz w:val="22"/>
          <w:szCs w:val="22"/>
        </w:rPr>
        <w:t xml:space="preserve"> </w:t>
      </w:r>
      <w:r w:rsidRPr="005C5838">
        <w:rPr>
          <w:rFonts w:ascii="Open Sans" w:hAnsi="Open Sans" w:cs="Open Sans"/>
          <w:color w:val="000000" w:themeColor="text1"/>
          <w:sz w:val="22"/>
          <w:szCs w:val="22"/>
        </w:rPr>
        <w:t>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w:t>
      </w:r>
      <w:r>
        <w:rPr>
          <w:rFonts w:ascii="Open Sans" w:hAnsi="Open Sans" w:cs="Open Sans"/>
          <w:color w:val="000000" w:themeColor="text1"/>
          <w:sz w:val="22"/>
          <w:szCs w:val="22"/>
        </w:rPr>
        <w:t xml:space="preserve"> </w:t>
      </w:r>
      <w:r w:rsidR="00291B1B">
        <w:rPr>
          <w:rFonts w:ascii="Open Sans" w:hAnsi="Open Sans" w:cs="Open Sans"/>
          <w:color w:val="000000" w:themeColor="text1"/>
          <w:sz w:val="22"/>
          <w:szCs w:val="22"/>
        </w:rPr>
        <w:t>junio</w:t>
      </w:r>
      <w:r>
        <w:rPr>
          <w:rFonts w:ascii="Open Sans" w:hAnsi="Open Sans" w:cs="Open Sans"/>
          <w:color w:val="000000" w:themeColor="text1"/>
          <w:sz w:val="22"/>
          <w:szCs w:val="22"/>
        </w:rPr>
        <w:t xml:space="preserve"> de</w:t>
      </w:r>
      <w:r w:rsidRPr="005C5838">
        <w:rPr>
          <w:rFonts w:ascii="Open Sans" w:hAnsi="Open Sans" w:cs="Open Sans"/>
          <w:color w:val="000000" w:themeColor="text1"/>
          <w:sz w:val="22"/>
          <w:szCs w:val="22"/>
        </w:rPr>
        <w:t xml:space="preserve"> 201</w:t>
      </w:r>
      <w:r w:rsidR="00291B1B">
        <w:rPr>
          <w:rFonts w:ascii="Open Sans" w:hAnsi="Open Sans" w:cs="Open Sans"/>
          <w:color w:val="000000" w:themeColor="text1"/>
          <w:sz w:val="22"/>
          <w:szCs w:val="22"/>
        </w:rPr>
        <w:t>6</w:t>
      </w:r>
      <w:r>
        <w:rPr>
          <w:rFonts w:ascii="Open Sans" w:hAnsi="Open Sans" w:cs="Open Sans"/>
          <w:color w:val="000000" w:themeColor="text1"/>
          <w:sz w:val="22"/>
          <w:szCs w:val="22"/>
        </w:rPr>
        <w:t>,</w:t>
      </w:r>
      <w:r w:rsidRPr="005C5838">
        <w:rPr>
          <w:rFonts w:ascii="Open Sans" w:hAnsi="Open Sans" w:cs="Open Sans"/>
          <w:color w:val="000000" w:themeColor="text1"/>
          <w:sz w:val="22"/>
          <w:szCs w:val="22"/>
        </w:rPr>
        <w:t xml:space="preserve"> a </w:t>
      </w:r>
      <w:r>
        <w:rPr>
          <w:rFonts w:ascii="Open Sans" w:hAnsi="Open Sans" w:cs="Open Sans"/>
          <w:color w:val="000000" w:themeColor="text1"/>
          <w:sz w:val="22"/>
          <w:szCs w:val="22"/>
        </w:rPr>
        <w:t>los 1.8</w:t>
      </w:r>
      <w:r w:rsidR="00291B1B">
        <w:rPr>
          <w:rFonts w:ascii="Open Sans" w:hAnsi="Open Sans" w:cs="Open Sans"/>
          <w:color w:val="000000" w:themeColor="text1"/>
          <w:sz w:val="22"/>
          <w:szCs w:val="22"/>
        </w:rPr>
        <w:t>83</w:t>
      </w:r>
      <w:r w:rsidRPr="005C5838">
        <w:rPr>
          <w:rFonts w:ascii="Open Sans" w:hAnsi="Open Sans" w:cs="Open Sans"/>
          <w:color w:val="000000" w:themeColor="text1"/>
          <w:sz w:val="22"/>
          <w:szCs w:val="22"/>
        </w:rPr>
        <w:t xml:space="preserve"> 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 </w:t>
      </w:r>
      <w:r w:rsidR="00291B1B">
        <w:rPr>
          <w:rFonts w:ascii="Open Sans" w:hAnsi="Open Sans" w:cs="Open Sans"/>
          <w:color w:val="000000" w:themeColor="text1"/>
          <w:sz w:val="22"/>
          <w:szCs w:val="22"/>
        </w:rPr>
        <w:t>junio</w:t>
      </w:r>
      <w:r>
        <w:rPr>
          <w:rFonts w:ascii="Open Sans" w:hAnsi="Open Sans" w:cs="Open Sans"/>
          <w:color w:val="000000" w:themeColor="text1"/>
          <w:sz w:val="22"/>
          <w:szCs w:val="22"/>
        </w:rPr>
        <w:t xml:space="preserve"> </w:t>
      </w:r>
      <w:r w:rsidRPr="005C5838">
        <w:rPr>
          <w:rFonts w:ascii="Open Sans" w:hAnsi="Open Sans" w:cs="Open Sans"/>
          <w:color w:val="000000" w:themeColor="text1"/>
          <w:sz w:val="22"/>
          <w:szCs w:val="22"/>
        </w:rPr>
        <w:t>de 20</w:t>
      </w:r>
      <w:r>
        <w:rPr>
          <w:rFonts w:ascii="Open Sans" w:hAnsi="Open Sans" w:cs="Open Sans"/>
          <w:color w:val="000000" w:themeColor="text1"/>
          <w:sz w:val="22"/>
          <w:szCs w:val="22"/>
        </w:rPr>
        <w:t>2</w:t>
      </w:r>
      <w:r w:rsidR="00291B1B">
        <w:rPr>
          <w:rFonts w:ascii="Open Sans" w:hAnsi="Open Sans" w:cs="Open Sans"/>
          <w:color w:val="000000" w:themeColor="text1"/>
          <w:sz w:val="22"/>
          <w:szCs w:val="22"/>
        </w:rPr>
        <w:t>1</w:t>
      </w:r>
      <w:r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r>
        <w:rPr>
          <w:rFonts w:ascii="Open Sans" w:hAnsi="Open Sans" w:cs="Open Sans"/>
          <w:color w:val="000000"/>
          <w:sz w:val="22"/>
          <w:szCs w:val="22"/>
        </w:rPr>
        <w:t>Así, los españoles</w:t>
      </w:r>
      <w:r w:rsidR="00C37BEA">
        <w:rPr>
          <w:rFonts w:ascii="Open Sans" w:hAnsi="Open Sans" w:cs="Open Sans"/>
          <w:color w:val="000000"/>
          <w:sz w:val="22"/>
          <w:szCs w:val="22"/>
        </w:rPr>
        <w:t xml:space="preserve"> de</w:t>
      </w:r>
      <w:r>
        <w:rPr>
          <w:rFonts w:ascii="Open Sans" w:hAnsi="Open Sans" w:cs="Open Sans"/>
          <w:color w:val="000000"/>
          <w:sz w:val="22"/>
          <w:szCs w:val="22"/>
        </w:rPr>
        <w:t xml:space="preserve"> hace 5 años (</w:t>
      </w:r>
      <w:r w:rsidR="00FE31CB">
        <w:rPr>
          <w:rFonts w:ascii="Open Sans" w:hAnsi="Open Sans" w:cs="Open Sans"/>
          <w:color w:val="000000"/>
          <w:sz w:val="22"/>
          <w:szCs w:val="22"/>
        </w:rPr>
        <w:t xml:space="preserve">en </w:t>
      </w:r>
      <w:r>
        <w:rPr>
          <w:rFonts w:ascii="Open Sans" w:hAnsi="Open Sans" w:cs="Open Sans"/>
          <w:color w:val="000000"/>
          <w:sz w:val="22"/>
          <w:szCs w:val="22"/>
        </w:rPr>
        <w:t>201</w:t>
      </w:r>
      <w:r w:rsidR="00C37BEA">
        <w:rPr>
          <w:rFonts w:ascii="Open Sans" w:hAnsi="Open Sans" w:cs="Open Sans"/>
          <w:color w:val="000000"/>
          <w:sz w:val="22"/>
          <w:szCs w:val="22"/>
        </w:rPr>
        <w:t>6</w:t>
      </w:r>
      <w:r>
        <w:rPr>
          <w:rFonts w:ascii="Open Sans" w:hAnsi="Open Sans" w:cs="Open Sans"/>
          <w:color w:val="000000"/>
          <w:sz w:val="22"/>
          <w:szCs w:val="22"/>
        </w:rPr>
        <w:t xml:space="preserve">) debían pagar por la </w:t>
      </w:r>
      <w:r w:rsidR="00C37BEA">
        <w:rPr>
          <w:rFonts w:ascii="Open Sans" w:hAnsi="Open Sans" w:cs="Open Sans"/>
          <w:color w:val="000000"/>
          <w:sz w:val="22"/>
          <w:szCs w:val="22"/>
        </w:rPr>
        <w:t>compra</w:t>
      </w:r>
      <w:r w:rsidRPr="008376CF">
        <w:rPr>
          <w:rFonts w:ascii="Open Sans" w:hAnsi="Open Sans" w:cs="Open Sans"/>
          <w:color w:val="000000"/>
          <w:sz w:val="22"/>
          <w:szCs w:val="22"/>
        </w:rPr>
        <w:t xml:space="preserve"> </w:t>
      </w:r>
      <w:r>
        <w:rPr>
          <w:rFonts w:ascii="Open Sans" w:hAnsi="Open Sans" w:cs="Open Sans"/>
          <w:color w:val="000000"/>
          <w:sz w:val="22"/>
          <w:szCs w:val="22"/>
        </w:rPr>
        <w:t>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129.</w:t>
      </w:r>
      <w:r w:rsidR="00C37BEA">
        <w:rPr>
          <w:rFonts w:ascii="Open Sans" w:hAnsi="Open Sans" w:cs="Open Sans"/>
          <w:color w:val="000000"/>
          <w:sz w:val="22"/>
          <w:szCs w:val="22"/>
        </w:rPr>
        <w:t>680</w:t>
      </w:r>
      <w:r>
        <w:rPr>
          <w:rFonts w:ascii="Open Sans" w:hAnsi="Open Sans" w:cs="Open Sans"/>
          <w:color w:val="000000"/>
          <w:sz w:val="22"/>
          <w:szCs w:val="22"/>
        </w:rPr>
        <w:t xml:space="preserve"> euros, frente a los 150.</w:t>
      </w:r>
      <w:r w:rsidR="00C37BEA">
        <w:rPr>
          <w:rFonts w:ascii="Open Sans" w:hAnsi="Open Sans" w:cs="Open Sans"/>
          <w:color w:val="000000"/>
          <w:sz w:val="22"/>
          <w:szCs w:val="22"/>
        </w:rPr>
        <w:t>666</w:t>
      </w:r>
      <w:r>
        <w:rPr>
          <w:rFonts w:ascii="Open Sans" w:hAnsi="Open Sans" w:cs="Open Sans"/>
          <w:color w:val="000000"/>
          <w:sz w:val="22"/>
          <w:szCs w:val="22"/>
        </w:rPr>
        <w:t xml:space="preserve"> euros que se paga como media en España en</w:t>
      </w:r>
      <w:r w:rsidR="00C37BEA">
        <w:rPr>
          <w:rFonts w:ascii="Open Sans" w:hAnsi="Open Sans" w:cs="Open Sans"/>
          <w:color w:val="000000"/>
          <w:sz w:val="22"/>
          <w:szCs w:val="22"/>
        </w:rPr>
        <w:t xml:space="preserve"> junio de</w:t>
      </w:r>
      <w:r>
        <w:rPr>
          <w:rFonts w:ascii="Open Sans" w:hAnsi="Open Sans" w:cs="Open Sans"/>
          <w:color w:val="000000"/>
          <w:sz w:val="22"/>
          <w:szCs w:val="22"/>
        </w:rPr>
        <w:t xml:space="preserve"> 202</w:t>
      </w:r>
      <w:r w:rsidR="00C37BEA">
        <w:rPr>
          <w:rFonts w:ascii="Open Sans" w:hAnsi="Open Sans" w:cs="Open Sans"/>
          <w:color w:val="000000"/>
          <w:sz w:val="22"/>
          <w:szCs w:val="22"/>
        </w:rPr>
        <w:t>1</w:t>
      </w:r>
      <w:r>
        <w:rPr>
          <w:rFonts w:ascii="Open Sans" w:hAnsi="Open Sans" w:cs="Open Sans"/>
          <w:color w:val="000000"/>
          <w:sz w:val="22"/>
          <w:szCs w:val="22"/>
        </w:rPr>
        <w:t xml:space="preserve">. </w:t>
      </w:r>
    </w:p>
    <w:p w14:paraId="4101B36D" w14:textId="77777777" w:rsidR="00EF48E8" w:rsidRDefault="00EF48E8" w:rsidP="00E07AE5">
      <w:pPr>
        <w:pStyle w:val="NormalWeb"/>
        <w:shd w:val="clear" w:color="auto" w:fill="FFFFFF"/>
        <w:spacing w:after="225" w:line="276" w:lineRule="auto"/>
        <w:ind w:right="-574"/>
        <w:jc w:val="both"/>
        <w:rPr>
          <w:rFonts w:ascii="Open Sans" w:hAnsi="Open Sans" w:cs="Open Sans"/>
          <w:color w:val="000000"/>
          <w:sz w:val="22"/>
          <w:szCs w:val="22"/>
        </w:rPr>
      </w:pPr>
    </w:p>
    <w:p w14:paraId="462BFCA9" w14:textId="5DCD3F3C" w:rsidR="00E07AE5" w:rsidRDefault="00E07AE5" w:rsidP="00E07AE5">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lastRenderedPageBreak/>
        <w:t>Precio medio de una vivienda de 80 m</w:t>
      </w:r>
      <w:r w:rsidRPr="00E07AE5">
        <w:rPr>
          <w:rFonts w:ascii="National" w:hAnsi="National"/>
          <w:b/>
          <w:bCs/>
          <w:iCs/>
          <w:color w:val="303AB2"/>
          <w:sz w:val="28"/>
          <w:szCs w:val="160"/>
          <w:vertAlign w:val="superscript"/>
          <w:lang w:val="es-ES"/>
        </w:rPr>
        <w:t>2</w:t>
      </w:r>
      <w:r>
        <w:rPr>
          <w:rFonts w:ascii="National" w:hAnsi="National"/>
          <w:b/>
          <w:bCs/>
          <w:iCs/>
          <w:color w:val="303AB2"/>
          <w:sz w:val="28"/>
          <w:szCs w:val="160"/>
          <w:lang w:val="es-ES"/>
        </w:rPr>
        <w:t xml:space="preserve"> por CCAA</w:t>
      </w:r>
    </w:p>
    <w:p w14:paraId="2088AE5F" w14:textId="77777777" w:rsidR="00E07AE5" w:rsidRDefault="00E07AE5" w:rsidP="00E07AE5">
      <w:pPr>
        <w:pStyle w:val="Prrafodelista"/>
        <w:spacing w:line="276" w:lineRule="auto"/>
        <w:ind w:left="0" w:right="-574"/>
        <w:jc w:val="center"/>
        <w:rPr>
          <w:rFonts w:ascii="National" w:hAnsi="National"/>
          <w:b/>
          <w:bCs/>
          <w:iCs/>
          <w:color w:val="303AB2"/>
          <w:sz w:val="30"/>
          <w:szCs w:val="180"/>
          <w:lang w:val="es-ES"/>
        </w:rPr>
      </w:pPr>
    </w:p>
    <w:tbl>
      <w:tblPr>
        <w:tblW w:w="920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550"/>
        <w:gridCol w:w="2126"/>
        <w:gridCol w:w="1843"/>
        <w:gridCol w:w="1842"/>
        <w:gridCol w:w="1843"/>
      </w:tblGrid>
      <w:tr w:rsidR="00E07AE5" w:rsidRPr="00C45CC5" w14:paraId="451908B5" w14:textId="77777777" w:rsidTr="00C45CC5">
        <w:trPr>
          <w:trHeight w:val="738"/>
        </w:trPr>
        <w:tc>
          <w:tcPr>
            <w:tcW w:w="1550" w:type="dxa"/>
            <w:shd w:val="clear" w:color="auto" w:fill="ACB9CA"/>
            <w:vAlign w:val="center"/>
            <w:hideMark/>
          </w:tcPr>
          <w:p w14:paraId="36963739" w14:textId="77777777" w:rsidR="00E07AE5" w:rsidRPr="00C45CC5" w:rsidRDefault="00E07AE5" w:rsidP="00E07AE5">
            <w:pPr>
              <w:rPr>
                <w:rFonts w:ascii="Open Sans" w:eastAsia="Times New Roman" w:hAnsi="Open Sans" w:cs="Open Sans"/>
                <w:color w:val="000000" w:themeColor="text1"/>
                <w:sz w:val="22"/>
                <w:szCs w:val="22"/>
                <w:lang w:val="es-ES" w:eastAsia="es-ES"/>
              </w:rPr>
            </w:pPr>
            <w:r w:rsidRPr="00C45CC5">
              <w:rPr>
                <w:rFonts w:ascii="Open Sans" w:eastAsia="Times New Roman" w:hAnsi="Open Sans" w:cs="Open Sans"/>
                <w:color w:val="000000" w:themeColor="text1"/>
                <w:sz w:val="22"/>
                <w:szCs w:val="22"/>
                <w:lang w:val="es-ES" w:eastAsia="es-ES"/>
              </w:rPr>
              <w:t>CCAA</w:t>
            </w:r>
          </w:p>
        </w:tc>
        <w:tc>
          <w:tcPr>
            <w:tcW w:w="2126" w:type="dxa"/>
            <w:shd w:val="clear" w:color="auto" w:fill="ACB9CA"/>
          </w:tcPr>
          <w:p w14:paraId="3BD14ED6" w14:textId="379A275D" w:rsidR="00E07AE5" w:rsidRPr="00C45CC5" w:rsidRDefault="00E07AE5" w:rsidP="00E07AE5">
            <w:pPr>
              <w:jc w:val="center"/>
              <w:rPr>
                <w:rFonts w:ascii="Open Sans" w:hAnsi="Open Sans" w:cs="Open Sans"/>
                <w:color w:val="0D0D0D" w:themeColor="text1" w:themeTint="F2"/>
                <w:sz w:val="22"/>
                <w:szCs w:val="22"/>
              </w:rPr>
            </w:pPr>
            <w:r w:rsidRPr="00C45CC5">
              <w:rPr>
                <w:rFonts w:ascii="Open Sans" w:hAnsi="Open Sans" w:cs="Open Sans"/>
                <w:color w:val="0D0D0D" w:themeColor="text1" w:themeTint="F2"/>
                <w:sz w:val="22"/>
                <w:szCs w:val="22"/>
              </w:rPr>
              <w:t>Precio de una vivienda de 80 m</w:t>
            </w:r>
            <w:r w:rsidRPr="00C45CC5">
              <w:rPr>
                <w:rFonts w:ascii="Open Sans" w:hAnsi="Open Sans" w:cs="Open Sans"/>
                <w:color w:val="0D0D0D" w:themeColor="text1" w:themeTint="F2"/>
                <w:sz w:val="22"/>
                <w:szCs w:val="22"/>
                <w:vertAlign w:val="superscript"/>
              </w:rPr>
              <w:t>2</w:t>
            </w:r>
            <w:r w:rsidRPr="00C45CC5">
              <w:rPr>
                <w:rFonts w:ascii="Open Sans" w:hAnsi="Open Sans" w:cs="Open Sans"/>
                <w:color w:val="0D0D0D" w:themeColor="text1" w:themeTint="F2"/>
                <w:sz w:val="22"/>
                <w:szCs w:val="22"/>
              </w:rPr>
              <w:t xml:space="preserve"> en 200</w:t>
            </w:r>
            <w:r w:rsidR="00C45CC5" w:rsidRPr="00C45CC5">
              <w:rPr>
                <w:rFonts w:ascii="Open Sans" w:hAnsi="Open Sans" w:cs="Open Sans"/>
                <w:color w:val="0D0D0D" w:themeColor="text1" w:themeTint="F2"/>
                <w:sz w:val="22"/>
                <w:szCs w:val="22"/>
              </w:rPr>
              <w:t>6</w:t>
            </w:r>
          </w:p>
        </w:tc>
        <w:tc>
          <w:tcPr>
            <w:tcW w:w="1843" w:type="dxa"/>
            <w:shd w:val="clear" w:color="auto" w:fill="ACB9CA"/>
            <w:vAlign w:val="center"/>
            <w:hideMark/>
          </w:tcPr>
          <w:p w14:paraId="67CA4C5E" w14:textId="7CEB56E8" w:rsidR="00E07AE5" w:rsidRPr="00C45CC5" w:rsidRDefault="00E07AE5" w:rsidP="00E07AE5">
            <w:pPr>
              <w:jc w:val="center"/>
              <w:rPr>
                <w:rFonts w:ascii="Open Sans" w:eastAsia="Times New Roman" w:hAnsi="Open Sans" w:cs="Open Sans"/>
                <w:color w:val="0D0D0D" w:themeColor="text1" w:themeTint="F2"/>
                <w:sz w:val="22"/>
                <w:szCs w:val="22"/>
                <w:lang w:val="es-ES" w:eastAsia="es-ES"/>
              </w:rPr>
            </w:pPr>
            <w:r w:rsidRPr="00C45CC5">
              <w:rPr>
                <w:rFonts w:ascii="Open Sans" w:hAnsi="Open Sans" w:cs="Open Sans"/>
                <w:color w:val="0D0D0D" w:themeColor="text1" w:themeTint="F2"/>
                <w:sz w:val="22"/>
                <w:szCs w:val="22"/>
              </w:rPr>
              <w:t>Precio de una vivienda de 80 m</w:t>
            </w:r>
            <w:r w:rsidRPr="00C45CC5">
              <w:rPr>
                <w:rFonts w:ascii="Open Sans" w:hAnsi="Open Sans" w:cs="Open Sans"/>
                <w:color w:val="0D0D0D" w:themeColor="text1" w:themeTint="F2"/>
                <w:sz w:val="22"/>
                <w:szCs w:val="22"/>
                <w:vertAlign w:val="superscript"/>
              </w:rPr>
              <w:t>2</w:t>
            </w:r>
            <w:r w:rsidRPr="00C45CC5">
              <w:rPr>
                <w:rFonts w:ascii="Open Sans" w:hAnsi="Open Sans" w:cs="Open Sans"/>
                <w:color w:val="0D0D0D" w:themeColor="text1" w:themeTint="F2"/>
                <w:sz w:val="22"/>
                <w:szCs w:val="22"/>
              </w:rPr>
              <w:t xml:space="preserve"> en 201</w:t>
            </w:r>
            <w:r w:rsidR="00C45CC5" w:rsidRPr="00C45CC5">
              <w:rPr>
                <w:rFonts w:ascii="Open Sans" w:hAnsi="Open Sans" w:cs="Open Sans"/>
                <w:color w:val="0D0D0D" w:themeColor="text1" w:themeTint="F2"/>
                <w:sz w:val="22"/>
                <w:szCs w:val="22"/>
              </w:rPr>
              <w:t>1</w:t>
            </w:r>
          </w:p>
        </w:tc>
        <w:tc>
          <w:tcPr>
            <w:tcW w:w="1842" w:type="dxa"/>
            <w:shd w:val="clear" w:color="auto" w:fill="ACB9CA"/>
            <w:hideMark/>
          </w:tcPr>
          <w:p w14:paraId="56E0B02D" w14:textId="0F3DC7BA" w:rsidR="00E07AE5" w:rsidRPr="00C45CC5" w:rsidRDefault="00E07AE5" w:rsidP="00E07AE5">
            <w:pPr>
              <w:jc w:val="center"/>
              <w:rPr>
                <w:rFonts w:ascii="Open Sans" w:eastAsia="Times New Roman" w:hAnsi="Open Sans" w:cs="Open Sans"/>
                <w:color w:val="0D0D0D" w:themeColor="text1" w:themeTint="F2"/>
                <w:sz w:val="22"/>
                <w:szCs w:val="22"/>
                <w:lang w:val="es-ES" w:eastAsia="es-ES"/>
              </w:rPr>
            </w:pPr>
            <w:r w:rsidRPr="00C45CC5">
              <w:rPr>
                <w:rFonts w:ascii="Open Sans" w:hAnsi="Open Sans" w:cs="Open Sans"/>
                <w:color w:val="0D0D0D" w:themeColor="text1" w:themeTint="F2"/>
                <w:sz w:val="22"/>
                <w:szCs w:val="22"/>
              </w:rPr>
              <w:t>Precio de una vivienda de 80 m</w:t>
            </w:r>
            <w:r w:rsidRPr="00C45CC5">
              <w:rPr>
                <w:rFonts w:ascii="Open Sans" w:hAnsi="Open Sans" w:cs="Open Sans"/>
                <w:color w:val="0D0D0D" w:themeColor="text1" w:themeTint="F2"/>
                <w:sz w:val="22"/>
                <w:szCs w:val="22"/>
                <w:vertAlign w:val="superscript"/>
              </w:rPr>
              <w:t>2</w:t>
            </w:r>
            <w:r w:rsidRPr="00C45CC5">
              <w:rPr>
                <w:rFonts w:ascii="Open Sans" w:hAnsi="Open Sans" w:cs="Open Sans"/>
                <w:color w:val="0D0D0D" w:themeColor="text1" w:themeTint="F2"/>
                <w:sz w:val="22"/>
                <w:szCs w:val="22"/>
              </w:rPr>
              <w:t xml:space="preserve"> en 201</w:t>
            </w:r>
            <w:r w:rsidR="00C45CC5" w:rsidRPr="00C45CC5">
              <w:rPr>
                <w:rFonts w:ascii="Open Sans" w:hAnsi="Open Sans" w:cs="Open Sans"/>
                <w:color w:val="0D0D0D" w:themeColor="text1" w:themeTint="F2"/>
                <w:sz w:val="22"/>
                <w:szCs w:val="22"/>
              </w:rPr>
              <w:t>6</w:t>
            </w:r>
          </w:p>
        </w:tc>
        <w:tc>
          <w:tcPr>
            <w:tcW w:w="1843" w:type="dxa"/>
            <w:shd w:val="clear" w:color="auto" w:fill="ACB9CA" w:themeFill="text2" w:themeFillTint="66"/>
          </w:tcPr>
          <w:p w14:paraId="04D39C1F" w14:textId="0B4F40EE" w:rsidR="00E07AE5" w:rsidRPr="00C45CC5" w:rsidRDefault="00E07AE5" w:rsidP="00E07AE5">
            <w:pPr>
              <w:jc w:val="center"/>
              <w:rPr>
                <w:rFonts w:ascii="Open Sans" w:hAnsi="Open Sans" w:cs="Open Sans"/>
                <w:color w:val="0D0D0D" w:themeColor="text1" w:themeTint="F2"/>
                <w:sz w:val="22"/>
                <w:szCs w:val="22"/>
              </w:rPr>
            </w:pPr>
            <w:r w:rsidRPr="00C45CC5">
              <w:rPr>
                <w:rFonts w:ascii="Open Sans" w:hAnsi="Open Sans" w:cs="Open Sans"/>
                <w:color w:val="0D0D0D" w:themeColor="text1" w:themeTint="F2"/>
                <w:sz w:val="22"/>
                <w:szCs w:val="22"/>
              </w:rPr>
              <w:t>Precio de una vivienda de 80 m</w:t>
            </w:r>
            <w:r w:rsidRPr="00C45CC5">
              <w:rPr>
                <w:rFonts w:ascii="Open Sans" w:hAnsi="Open Sans" w:cs="Open Sans"/>
                <w:color w:val="0D0D0D" w:themeColor="text1" w:themeTint="F2"/>
                <w:sz w:val="22"/>
                <w:szCs w:val="22"/>
                <w:vertAlign w:val="superscript"/>
              </w:rPr>
              <w:t>2</w:t>
            </w:r>
            <w:r w:rsidRPr="00C45CC5">
              <w:rPr>
                <w:rFonts w:ascii="Open Sans" w:hAnsi="Open Sans" w:cs="Open Sans"/>
                <w:color w:val="0D0D0D" w:themeColor="text1" w:themeTint="F2"/>
                <w:sz w:val="22"/>
                <w:szCs w:val="22"/>
              </w:rPr>
              <w:t xml:space="preserve"> en 202</w:t>
            </w:r>
            <w:r w:rsidR="00C45CC5" w:rsidRPr="00C45CC5">
              <w:rPr>
                <w:rFonts w:ascii="Open Sans" w:hAnsi="Open Sans" w:cs="Open Sans"/>
                <w:color w:val="0D0D0D" w:themeColor="text1" w:themeTint="F2"/>
                <w:sz w:val="22"/>
                <w:szCs w:val="22"/>
              </w:rPr>
              <w:t>1</w:t>
            </w:r>
          </w:p>
        </w:tc>
      </w:tr>
      <w:tr w:rsidR="00C45CC5" w:rsidRPr="00C45CC5" w14:paraId="5333774B" w14:textId="77777777" w:rsidTr="00C45CC5">
        <w:trPr>
          <w:trHeight w:val="215"/>
        </w:trPr>
        <w:tc>
          <w:tcPr>
            <w:tcW w:w="1550" w:type="dxa"/>
            <w:shd w:val="clear" w:color="auto" w:fill="auto"/>
            <w:vAlign w:val="bottom"/>
            <w:hideMark/>
          </w:tcPr>
          <w:p w14:paraId="6C6FF17A"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Andalucía</w:t>
            </w:r>
          </w:p>
        </w:tc>
        <w:tc>
          <w:tcPr>
            <w:tcW w:w="2126" w:type="dxa"/>
            <w:vAlign w:val="bottom"/>
          </w:tcPr>
          <w:p w14:paraId="1D8FBA7A" w14:textId="32E01573"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185.360 € </w:t>
            </w:r>
          </w:p>
        </w:tc>
        <w:tc>
          <w:tcPr>
            <w:tcW w:w="1843" w:type="dxa"/>
            <w:shd w:val="clear" w:color="auto" w:fill="auto"/>
            <w:vAlign w:val="bottom"/>
            <w:hideMark/>
          </w:tcPr>
          <w:p w14:paraId="2DF19630" w14:textId="77FDC470"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149.203 € </w:t>
            </w:r>
          </w:p>
        </w:tc>
        <w:tc>
          <w:tcPr>
            <w:tcW w:w="1842" w:type="dxa"/>
            <w:shd w:val="clear" w:color="auto" w:fill="auto"/>
            <w:vAlign w:val="bottom"/>
            <w:hideMark/>
          </w:tcPr>
          <w:p w14:paraId="281B8E4C" w14:textId="2D47612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115.360 € </w:t>
            </w:r>
          </w:p>
        </w:tc>
        <w:tc>
          <w:tcPr>
            <w:tcW w:w="1843" w:type="dxa"/>
            <w:vAlign w:val="bottom"/>
          </w:tcPr>
          <w:p w14:paraId="442ED1CD" w14:textId="1EBC2E72"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133.304 €</w:t>
            </w:r>
          </w:p>
        </w:tc>
      </w:tr>
      <w:tr w:rsidR="00C45CC5" w:rsidRPr="00C45CC5" w14:paraId="1CCD86AE" w14:textId="77777777" w:rsidTr="00C45CC5">
        <w:trPr>
          <w:trHeight w:val="215"/>
        </w:trPr>
        <w:tc>
          <w:tcPr>
            <w:tcW w:w="1550" w:type="dxa"/>
            <w:shd w:val="clear" w:color="auto" w:fill="auto"/>
            <w:vAlign w:val="bottom"/>
            <w:hideMark/>
          </w:tcPr>
          <w:p w14:paraId="78745F92"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Aragón</w:t>
            </w:r>
          </w:p>
        </w:tc>
        <w:tc>
          <w:tcPr>
            <w:tcW w:w="2126" w:type="dxa"/>
            <w:vAlign w:val="bottom"/>
          </w:tcPr>
          <w:p w14:paraId="23835063" w14:textId="203B69C1"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243.520 € </w:t>
            </w:r>
          </w:p>
        </w:tc>
        <w:tc>
          <w:tcPr>
            <w:tcW w:w="1843" w:type="dxa"/>
            <w:shd w:val="clear" w:color="auto" w:fill="auto"/>
            <w:vAlign w:val="bottom"/>
            <w:hideMark/>
          </w:tcPr>
          <w:p w14:paraId="7FAFB29D" w14:textId="28D5C8BA"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176.552 € </w:t>
            </w:r>
          </w:p>
        </w:tc>
        <w:tc>
          <w:tcPr>
            <w:tcW w:w="1842" w:type="dxa"/>
            <w:shd w:val="clear" w:color="auto" w:fill="auto"/>
            <w:vAlign w:val="bottom"/>
            <w:hideMark/>
          </w:tcPr>
          <w:p w14:paraId="12642A46" w14:textId="1FCEB71B"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119.200 € </w:t>
            </w:r>
          </w:p>
        </w:tc>
        <w:tc>
          <w:tcPr>
            <w:tcW w:w="1843" w:type="dxa"/>
            <w:vAlign w:val="bottom"/>
          </w:tcPr>
          <w:p w14:paraId="27B66F03" w14:textId="41EB2810"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124.306 €</w:t>
            </w:r>
          </w:p>
        </w:tc>
      </w:tr>
      <w:tr w:rsidR="00C45CC5" w:rsidRPr="00C45CC5" w14:paraId="462E1270" w14:textId="77777777" w:rsidTr="00C45CC5">
        <w:trPr>
          <w:trHeight w:val="215"/>
        </w:trPr>
        <w:tc>
          <w:tcPr>
            <w:tcW w:w="1550" w:type="dxa"/>
            <w:shd w:val="clear" w:color="auto" w:fill="auto"/>
            <w:vAlign w:val="bottom"/>
            <w:hideMark/>
          </w:tcPr>
          <w:p w14:paraId="13B48AB8"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Asturias</w:t>
            </w:r>
          </w:p>
        </w:tc>
        <w:tc>
          <w:tcPr>
            <w:tcW w:w="2126" w:type="dxa"/>
            <w:vAlign w:val="bottom"/>
          </w:tcPr>
          <w:p w14:paraId="103A6F97" w14:textId="52046B19"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206.000 € </w:t>
            </w:r>
          </w:p>
        </w:tc>
        <w:tc>
          <w:tcPr>
            <w:tcW w:w="1843" w:type="dxa"/>
            <w:shd w:val="clear" w:color="auto" w:fill="auto"/>
            <w:vAlign w:val="bottom"/>
            <w:hideMark/>
          </w:tcPr>
          <w:p w14:paraId="2CD7B6EB" w14:textId="67606652"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176.197 € </w:t>
            </w:r>
          </w:p>
        </w:tc>
        <w:tc>
          <w:tcPr>
            <w:tcW w:w="1842" w:type="dxa"/>
            <w:shd w:val="clear" w:color="auto" w:fill="auto"/>
            <w:vAlign w:val="bottom"/>
            <w:hideMark/>
          </w:tcPr>
          <w:p w14:paraId="6A911EA6" w14:textId="24505BC9"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126.640 € </w:t>
            </w:r>
          </w:p>
        </w:tc>
        <w:tc>
          <w:tcPr>
            <w:tcW w:w="1843" w:type="dxa"/>
            <w:vAlign w:val="bottom"/>
          </w:tcPr>
          <w:p w14:paraId="5C51B8DE" w14:textId="66F25D55"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125.614 €</w:t>
            </w:r>
          </w:p>
        </w:tc>
      </w:tr>
      <w:tr w:rsidR="00C45CC5" w:rsidRPr="00C45CC5" w14:paraId="65610436" w14:textId="77777777" w:rsidTr="00C45CC5">
        <w:trPr>
          <w:trHeight w:val="215"/>
        </w:trPr>
        <w:tc>
          <w:tcPr>
            <w:tcW w:w="1550" w:type="dxa"/>
            <w:shd w:val="clear" w:color="auto" w:fill="auto"/>
            <w:vAlign w:val="bottom"/>
            <w:hideMark/>
          </w:tcPr>
          <w:p w14:paraId="70861AD7"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Baleares</w:t>
            </w:r>
          </w:p>
        </w:tc>
        <w:tc>
          <w:tcPr>
            <w:tcW w:w="2126" w:type="dxa"/>
            <w:vAlign w:val="bottom"/>
          </w:tcPr>
          <w:p w14:paraId="63C0A73C" w14:textId="46EE9D84"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214.160 € </w:t>
            </w:r>
          </w:p>
        </w:tc>
        <w:tc>
          <w:tcPr>
            <w:tcW w:w="1843" w:type="dxa"/>
            <w:shd w:val="clear" w:color="auto" w:fill="auto"/>
            <w:vAlign w:val="bottom"/>
            <w:hideMark/>
          </w:tcPr>
          <w:p w14:paraId="70DC8FD2" w14:textId="497C1E75"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182.345 € </w:t>
            </w:r>
          </w:p>
        </w:tc>
        <w:tc>
          <w:tcPr>
            <w:tcW w:w="1842" w:type="dxa"/>
            <w:shd w:val="clear" w:color="auto" w:fill="auto"/>
            <w:vAlign w:val="bottom"/>
            <w:hideMark/>
          </w:tcPr>
          <w:p w14:paraId="58866220" w14:textId="2CF5F8E7"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151.200 € </w:t>
            </w:r>
          </w:p>
        </w:tc>
        <w:tc>
          <w:tcPr>
            <w:tcW w:w="1843" w:type="dxa"/>
            <w:vAlign w:val="bottom"/>
          </w:tcPr>
          <w:p w14:paraId="366F42C3" w14:textId="690480F9"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227.835 €</w:t>
            </w:r>
          </w:p>
        </w:tc>
      </w:tr>
      <w:tr w:rsidR="00C45CC5" w:rsidRPr="00C45CC5" w14:paraId="56D7D3C8" w14:textId="77777777" w:rsidTr="00C45CC5">
        <w:trPr>
          <w:trHeight w:val="215"/>
        </w:trPr>
        <w:tc>
          <w:tcPr>
            <w:tcW w:w="1550" w:type="dxa"/>
            <w:shd w:val="clear" w:color="auto" w:fill="auto"/>
            <w:vAlign w:val="bottom"/>
            <w:hideMark/>
          </w:tcPr>
          <w:p w14:paraId="55EB6F7F"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Canarias</w:t>
            </w:r>
          </w:p>
        </w:tc>
        <w:tc>
          <w:tcPr>
            <w:tcW w:w="2126" w:type="dxa"/>
            <w:vAlign w:val="bottom"/>
          </w:tcPr>
          <w:p w14:paraId="442139D9" w14:textId="34E77755"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161.040 € </w:t>
            </w:r>
          </w:p>
        </w:tc>
        <w:tc>
          <w:tcPr>
            <w:tcW w:w="1843" w:type="dxa"/>
            <w:shd w:val="clear" w:color="auto" w:fill="auto"/>
            <w:vAlign w:val="bottom"/>
            <w:hideMark/>
          </w:tcPr>
          <w:p w14:paraId="49B50416" w14:textId="71CB99FE"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140.378 € </w:t>
            </w:r>
          </w:p>
        </w:tc>
        <w:tc>
          <w:tcPr>
            <w:tcW w:w="1842" w:type="dxa"/>
            <w:shd w:val="clear" w:color="auto" w:fill="auto"/>
            <w:vAlign w:val="bottom"/>
            <w:hideMark/>
          </w:tcPr>
          <w:p w14:paraId="406A9A0E" w14:textId="5EA004BA"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108.480 € </w:t>
            </w:r>
          </w:p>
        </w:tc>
        <w:tc>
          <w:tcPr>
            <w:tcW w:w="1843" w:type="dxa"/>
            <w:vAlign w:val="bottom"/>
          </w:tcPr>
          <w:p w14:paraId="54A4F1A9" w14:textId="3B33369E"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141.774 €</w:t>
            </w:r>
          </w:p>
        </w:tc>
      </w:tr>
      <w:tr w:rsidR="00C45CC5" w:rsidRPr="00C45CC5" w14:paraId="7204ECC6" w14:textId="77777777" w:rsidTr="00C45CC5">
        <w:trPr>
          <w:trHeight w:val="215"/>
        </w:trPr>
        <w:tc>
          <w:tcPr>
            <w:tcW w:w="1550" w:type="dxa"/>
            <w:shd w:val="clear" w:color="auto" w:fill="auto"/>
            <w:vAlign w:val="bottom"/>
            <w:hideMark/>
          </w:tcPr>
          <w:p w14:paraId="30E4955F"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Cantabria</w:t>
            </w:r>
          </w:p>
        </w:tc>
        <w:tc>
          <w:tcPr>
            <w:tcW w:w="2126" w:type="dxa"/>
            <w:vAlign w:val="bottom"/>
          </w:tcPr>
          <w:p w14:paraId="4C431EB3" w14:textId="775BBC91"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211.360 € </w:t>
            </w:r>
          </w:p>
        </w:tc>
        <w:tc>
          <w:tcPr>
            <w:tcW w:w="1843" w:type="dxa"/>
            <w:shd w:val="clear" w:color="auto" w:fill="auto"/>
            <w:vAlign w:val="bottom"/>
            <w:hideMark/>
          </w:tcPr>
          <w:p w14:paraId="45FD93EA" w14:textId="5029FADE"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192.034 € </w:t>
            </w:r>
          </w:p>
        </w:tc>
        <w:tc>
          <w:tcPr>
            <w:tcW w:w="1842" w:type="dxa"/>
            <w:shd w:val="clear" w:color="auto" w:fill="auto"/>
            <w:vAlign w:val="bottom"/>
            <w:hideMark/>
          </w:tcPr>
          <w:p w14:paraId="2C205E83" w14:textId="4601726C"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133.680 € </w:t>
            </w:r>
          </w:p>
        </w:tc>
        <w:tc>
          <w:tcPr>
            <w:tcW w:w="1843" w:type="dxa"/>
            <w:vAlign w:val="bottom"/>
          </w:tcPr>
          <w:p w14:paraId="70D68DA5" w14:textId="79165435"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139.411 €</w:t>
            </w:r>
          </w:p>
        </w:tc>
      </w:tr>
      <w:tr w:rsidR="00C45CC5" w:rsidRPr="00C45CC5" w14:paraId="5B9F66E9" w14:textId="77777777" w:rsidTr="00C45CC5">
        <w:trPr>
          <w:trHeight w:val="215"/>
        </w:trPr>
        <w:tc>
          <w:tcPr>
            <w:tcW w:w="1550" w:type="dxa"/>
            <w:shd w:val="clear" w:color="auto" w:fill="auto"/>
            <w:vAlign w:val="bottom"/>
            <w:hideMark/>
          </w:tcPr>
          <w:p w14:paraId="41FC4F42"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Castilla y León</w:t>
            </w:r>
          </w:p>
        </w:tc>
        <w:tc>
          <w:tcPr>
            <w:tcW w:w="2126" w:type="dxa"/>
            <w:vAlign w:val="bottom"/>
          </w:tcPr>
          <w:p w14:paraId="07795D0A" w14:textId="0604955F"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163.040 € </w:t>
            </w:r>
          </w:p>
        </w:tc>
        <w:tc>
          <w:tcPr>
            <w:tcW w:w="1843" w:type="dxa"/>
            <w:shd w:val="clear" w:color="auto" w:fill="auto"/>
            <w:vAlign w:val="bottom"/>
            <w:hideMark/>
          </w:tcPr>
          <w:p w14:paraId="55F2F5BD" w14:textId="3A43494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148.353 € </w:t>
            </w:r>
          </w:p>
        </w:tc>
        <w:tc>
          <w:tcPr>
            <w:tcW w:w="1842" w:type="dxa"/>
            <w:shd w:val="clear" w:color="auto" w:fill="auto"/>
            <w:vAlign w:val="bottom"/>
            <w:hideMark/>
          </w:tcPr>
          <w:p w14:paraId="64CA3AD6" w14:textId="2FC6DC3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114.880 € </w:t>
            </w:r>
          </w:p>
        </w:tc>
        <w:tc>
          <w:tcPr>
            <w:tcW w:w="1843" w:type="dxa"/>
            <w:vAlign w:val="bottom"/>
          </w:tcPr>
          <w:p w14:paraId="3D400227" w14:textId="4548BB11"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114.782 €</w:t>
            </w:r>
          </w:p>
        </w:tc>
      </w:tr>
      <w:tr w:rsidR="00C45CC5" w:rsidRPr="00C45CC5" w14:paraId="29AD29F1" w14:textId="77777777" w:rsidTr="00C45CC5">
        <w:trPr>
          <w:trHeight w:val="215"/>
        </w:trPr>
        <w:tc>
          <w:tcPr>
            <w:tcW w:w="1550" w:type="dxa"/>
            <w:shd w:val="clear" w:color="auto" w:fill="auto"/>
            <w:vAlign w:val="bottom"/>
            <w:hideMark/>
          </w:tcPr>
          <w:p w14:paraId="0D3BE332"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Castilla-La Mancha</w:t>
            </w:r>
          </w:p>
        </w:tc>
        <w:tc>
          <w:tcPr>
            <w:tcW w:w="2126" w:type="dxa"/>
            <w:vAlign w:val="bottom"/>
          </w:tcPr>
          <w:p w14:paraId="4D87B3E1" w14:textId="2168CDC7"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147.520 € </w:t>
            </w:r>
          </w:p>
        </w:tc>
        <w:tc>
          <w:tcPr>
            <w:tcW w:w="1843" w:type="dxa"/>
            <w:shd w:val="clear" w:color="auto" w:fill="auto"/>
            <w:vAlign w:val="bottom"/>
            <w:hideMark/>
          </w:tcPr>
          <w:p w14:paraId="6A0C99D9" w14:textId="5A2738C4"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128.105 € </w:t>
            </w:r>
          </w:p>
        </w:tc>
        <w:tc>
          <w:tcPr>
            <w:tcW w:w="1842" w:type="dxa"/>
            <w:shd w:val="clear" w:color="auto" w:fill="auto"/>
            <w:vAlign w:val="bottom"/>
            <w:hideMark/>
          </w:tcPr>
          <w:p w14:paraId="0077153E" w14:textId="46FD76A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81.840 € </w:t>
            </w:r>
          </w:p>
        </w:tc>
        <w:tc>
          <w:tcPr>
            <w:tcW w:w="1843" w:type="dxa"/>
            <w:vAlign w:val="bottom"/>
          </w:tcPr>
          <w:p w14:paraId="7376A537" w14:textId="53A046E5"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88.611 €</w:t>
            </w:r>
          </w:p>
        </w:tc>
      </w:tr>
      <w:tr w:rsidR="00C45CC5" w:rsidRPr="00C45CC5" w14:paraId="20546BEE" w14:textId="77777777" w:rsidTr="00C45CC5">
        <w:trPr>
          <w:trHeight w:val="215"/>
        </w:trPr>
        <w:tc>
          <w:tcPr>
            <w:tcW w:w="1550" w:type="dxa"/>
            <w:shd w:val="clear" w:color="auto" w:fill="auto"/>
            <w:vAlign w:val="bottom"/>
            <w:hideMark/>
          </w:tcPr>
          <w:p w14:paraId="732EC469"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Cataluña</w:t>
            </w:r>
          </w:p>
        </w:tc>
        <w:tc>
          <w:tcPr>
            <w:tcW w:w="2126" w:type="dxa"/>
            <w:vAlign w:val="bottom"/>
          </w:tcPr>
          <w:p w14:paraId="6431E362" w14:textId="075A5AE3"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286.880 € </w:t>
            </w:r>
          </w:p>
        </w:tc>
        <w:tc>
          <w:tcPr>
            <w:tcW w:w="1843" w:type="dxa"/>
            <w:shd w:val="clear" w:color="auto" w:fill="auto"/>
            <w:vAlign w:val="bottom"/>
            <w:hideMark/>
          </w:tcPr>
          <w:p w14:paraId="68ED0E86" w14:textId="0837F0F0"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227.484 € </w:t>
            </w:r>
          </w:p>
        </w:tc>
        <w:tc>
          <w:tcPr>
            <w:tcW w:w="1842" w:type="dxa"/>
            <w:shd w:val="clear" w:color="auto" w:fill="auto"/>
            <w:vAlign w:val="bottom"/>
            <w:hideMark/>
          </w:tcPr>
          <w:p w14:paraId="69532868" w14:textId="043A084C"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159.760 € </w:t>
            </w:r>
          </w:p>
        </w:tc>
        <w:tc>
          <w:tcPr>
            <w:tcW w:w="1843" w:type="dxa"/>
            <w:vAlign w:val="bottom"/>
          </w:tcPr>
          <w:p w14:paraId="3642160B" w14:textId="33622AB5"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201.742 €</w:t>
            </w:r>
          </w:p>
        </w:tc>
      </w:tr>
      <w:tr w:rsidR="00C45CC5" w:rsidRPr="00C45CC5" w14:paraId="7A1FCD3A" w14:textId="77777777" w:rsidTr="00C45CC5">
        <w:trPr>
          <w:trHeight w:val="215"/>
        </w:trPr>
        <w:tc>
          <w:tcPr>
            <w:tcW w:w="1550" w:type="dxa"/>
            <w:shd w:val="clear" w:color="auto" w:fill="auto"/>
            <w:vAlign w:val="bottom"/>
            <w:hideMark/>
          </w:tcPr>
          <w:p w14:paraId="61BD4B52"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Comunitat Valenciana</w:t>
            </w:r>
          </w:p>
        </w:tc>
        <w:tc>
          <w:tcPr>
            <w:tcW w:w="2126" w:type="dxa"/>
            <w:vAlign w:val="bottom"/>
          </w:tcPr>
          <w:p w14:paraId="35FF7C08" w14:textId="1F334840"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181.680 € </w:t>
            </w:r>
          </w:p>
        </w:tc>
        <w:tc>
          <w:tcPr>
            <w:tcW w:w="1843" w:type="dxa"/>
            <w:shd w:val="clear" w:color="auto" w:fill="auto"/>
            <w:vAlign w:val="bottom"/>
            <w:hideMark/>
          </w:tcPr>
          <w:p w14:paraId="25460052" w14:textId="5521D5CF"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137.172 € </w:t>
            </w:r>
          </w:p>
        </w:tc>
        <w:tc>
          <w:tcPr>
            <w:tcW w:w="1842" w:type="dxa"/>
            <w:shd w:val="clear" w:color="auto" w:fill="auto"/>
            <w:vAlign w:val="bottom"/>
            <w:hideMark/>
          </w:tcPr>
          <w:p w14:paraId="09871339" w14:textId="3CA6F1C0"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102.480 € </w:t>
            </w:r>
          </w:p>
        </w:tc>
        <w:tc>
          <w:tcPr>
            <w:tcW w:w="1843" w:type="dxa"/>
            <w:vAlign w:val="bottom"/>
          </w:tcPr>
          <w:p w14:paraId="1DF9257C" w14:textId="0C9A8014"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113.768 €</w:t>
            </w:r>
          </w:p>
        </w:tc>
      </w:tr>
      <w:tr w:rsidR="00C45CC5" w:rsidRPr="00C45CC5" w14:paraId="03394654" w14:textId="77777777" w:rsidTr="00C45CC5">
        <w:trPr>
          <w:trHeight w:val="215"/>
        </w:trPr>
        <w:tc>
          <w:tcPr>
            <w:tcW w:w="1550" w:type="dxa"/>
            <w:shd w:val="clear" w:color="auto" w:fill="auto"/>
            <w:vAlign w:val="bottom"/>
            <w:hideMark/>
          </w:tcPr>
          <w:p w14:paraId="31111957"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Extremadura</w:t>
            </w:r>
          </w:p>
        </w:tc>
        <w:tc>
          <w:tcPr>
            <w:tcW w:w="2126" w:type="dxa"/>
            <w:vAlign w:val="bottom"/>
          </w:tcPr>
          <w:p w14:paraId="7805EE67" w14:textId="57665B6F"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118.560 € </w:t>
            </w:r>
          </w:p>
        </w:tc>
        <w:tc>
          <w:tcPr>
            <w:tcW w:w="1843" w:type="dxa"/>
            <w:shd w:val="clear" w:color="auto" w:fill="auto"/>
            <w:vAlign w:val="bottom"/>
            <w:hideMark/>
          </w:tcPr>
          <w:p w14:paraId="1697D06B" w14:textId="6B4D5576"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124.282 € </w:t>
            </w:r>
          </w:p>
        </w:tc>
        <w:tc>
          <w:tcPr>
            <w:tcW w:w="1842" w:type="dxa"/>
            <w:shd w:val="clear" w:color="auto" w:fill="auto"/>
            <w:vAlign w:val="bottom"/>
            <w:hideMark/>
          </w:tcPr>
          <w:p w14:paraId="59235B08" w14:textId="43746DA2"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85.120 € </w:t>
            </w:r>
          </w:p>
        </w:tc>
        <w:tc>
          <w:tcPr>
            <w:tcW w:w="1843" w:type="dxa"/>
            <w:vAlign w:val="bottom"/>
          </w:tcPr>
          <w:p w14:paraId="3C682AA8" w14:textId="3A878FA7"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92.768 €</w:t>
            </w:r>
          </w:p>
        </w:tc>
      </w:tr>
      <w:tr w:rsidR="00C45CC5" w:rsidRPr="00C45CC5" w14:paraId="333DFF06" w14:textId="77777777" w:rsidTr="00C45CC5">
        <w:trPr>
          <w:trHeight w:val="215"/>
        </w:trPr>
        <w:tc>
          <w:tcPr>
            <w:tcW w:w="1550" w:type="dxa"/>
            <w:shd w:val="clear" w:color="auto" w:fill="auto"/>
            <w:vAlign w:val="bottom"/>
            <w:hideMark/>
          </w:tcPr>
          <w:p w14:paraId="474BA915"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Galicia</w:t>
            </w:r>
          </w:p>
        </w:tc>
        <w:tc>
          <w:tcPr>
            <w:tcW w:w="2126" w:type="dxa"/>
            <w:vAlign w:val="bottom"/>
          </w:tcPr>
          <w:p w14:paraId="3CA256AF" w14:textId="22842B61"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173.920 € </w:t>
            </w:r>
          </w:p>
        </w:tc>
        <w:tc>
          <w:tcPr>
            <w:tcW w:w="1843" w:type="dxa"/>
            <w:shd w:val="clear" w:color="auto" w:fill="auto"/>
            <w:vAlign w:val="bottom"/>
            <w:hideMark/>
          </w:tcPr>
          <w:p w14:paraId="3AE45011" w14:textId="41E9E81C"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158.949 € </w:t>
            </w:r>
          </w:p>
        </w:tc>
        <w:tc>
          <w:tcPr>
            <w:tcW w:w="1842" w:type="dxa"/>
            <w:shd w:val="clear" w:color="auto" w:fill="auto"/>
            <w:vAlign w:val="bottom"/>
            <w:hideMark/>
          </w:tcPr>
          <w:p w14:paraId="63E06381" w14:textId="7FCDB614"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127.040 € </w:t>
            </w:r>
          </w:p>
        </w:tc>
        <w:tc>
          <w:tcPr>
            <w:tcW w:w="1843" w:type="dxa"/>
            <w:vAlign w:val="bottom"/>
          </w:tcPr>
          <w:p w14:paraId="32564912" w14:textId="4FFCE138"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129.075 €</w:t>
            </w:r>
          </w:p>
        </w:tc>
      </w:tr>
      <w:tr w:rsidR="00C45CC5" w:rsidRPr="00C45CC5" w14:paraId="238AA4E1" w14:textId="77777777" w:rsidTr="00C45CC5">
        <w:trPr>
          <w:trHeight w:val="215"/>
        </w:trPr>
        <w:tc>
          <w:tcPr>
            <w:tcW w:w="1550" w:type="dxa"/>
            <w:shd w:val="clear" w:color="auto" w:fill="auto"/>
            <w:vAlign w:val="bottom"/>
            <w:hideMark/>
          </w:tcPr>
          <w:p w14:paraId="6C6D4798"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La Rioja</w:t>
            </w:r>
          </w:p>
        </w:tc>
        <w:tc>
          <w:tcPr>
            <w:tcW w:w="2126" w:type="dxa"/>
            <w:vAlign w:val="bottom"/>
          </w:tcPr>
          <w:p w14:paraId="376077D3" w14:textId="1DBFD834"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199.680 € </w:t>
            </w:r>
          </w:p>
        </w:tc>
        <w:tc>
          <w:tcPr>
            <w:tcW w:w="1843" w:type="dxa"/>
            <w:shd w:val="clear" w:color="auto" w:fill="auto"/>
            <w:vAlign w:val="bottom"/>
            <w:hideMark/>
          </w:tcPr>
          <w:p w14:paraId="0AE198D2" w14:textId="23591A50"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158.319 € </w:t>
            </w:r>
          </w:p>
        </w:tc>
        <w:tc>
          <w:tcPr>
            <w:tcW w:w="1842" w:type="dxa"/>
            <w:shd w:val="clear" w:color="auto" w:fill="auto"/>
            <w:vAlign w:val="bottom"/>
            <w:hideMark/>
          </w:tcPr>
          <w:p w14:paraId="0BB0687D" w14:textId="0ED65D7C"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102.080 € </w:t>
            </w:r>
          </w:p>
        </w:tc>
        <w:tc>
          <w:tcPr>
            <w:tcW w:w="1843" w:type="dxa"/>
            <w:vAlign w:val="bottom"/>
          </w:tcPr>
          <w:p w14:paraId="09A53FBB" w14:textId="77F9881F"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114.574 €</w:t>
            </w:r>
          </w:p>
        </w:tc>
      </w:tr>
      <w:tr w:rsidR="00C45CC5" w:rsidRPr="00C45CC5" w14:paraId="746DD9D7" w14:textId="77777777" w:rsidTr="00C45CC5">
        <w:trPr>
          <w:trHeight w:val="215"/>
        </w:trPr>
        <w:tc>
          <w:tcPr>
            <w:tcW w:w="1550" w:type="dxa"/>
            <w:shd w:val="clear" w:color="auto" w:fill="auto"/>
            <w:vAlign w:val="bottom"/>
            <w:hideMark/>
          </w:tcPr>
          <w:p w14:paraId="18E40B35"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Madrid</w:t>
            </w:r>
          </w:p>
        </w:tc>
        <w:tc>
          <w:tcPr>
            <w:tcW w:w="2126" w:type="dxa"/>
            <w:vAlign w:val="bottom"/>
          </w:tcPr>
          <w:p w14:paraId="7F8E9DF5" w14:textId="66F78345"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317.600 € </w:t>
            </w:r>
          </w:p>
        </w:tc>
        <w:tc>
          <w:tcPr>
            <w:tcW w:w="1843" w:type="dxa"/>
            <w:shd w:val="clear" w:color="auto" w:fill="auto"/>
            <w:vAlign w:val="bottom"/>
            <w:hideMark/>
          </w:tcPr>
          <w:p w14:paraId="1D4EB891" w14:textId="39D666C2"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229.726 € </w:t>
            </w:r>
          </w:p>
        </w:tc>
        <w:tc>
          <w:tcPr>
            <w:tcW w:w="1842" w:type="dxa"/>
            <w:shd w:val="clear" w:color="auto" w:fill="auto"/>
            <w:vAlign w:val="bottom"/>
            <w:hideMark/>
          </w:tcPr>
          <w:p w14:paraId="700B5030" w14:textId="7CFA5E5F"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179.760 € </w:t>
            </w:r>
          </w:p>
        </w:tc>
        <w:tc>
          <w:tcPr>
            <w:tcW w:w="1843" w:type="dxa"/>
            <w:vAlign w:val="bottom"/>
          </w:tcPr>
          <w:p w14:paraId="7D104682" w14:textId="733CA145"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248.843 €</w:t>
            </w:r>
          </w:p>
        </w:tc>
      </w:tr>
      <w:tr w:rsidR="00C45CC5" w:rsidRPr="00C45CC5" w14:paraId="14892E24" w14:textId="77777777" w:rsidTr="00C45CC5">
        <w:trPr>
          <w:trHeight w:val="215"/>
        </w:trPr>
        <w:tc>
          <w:tcPr>
            <w:tcW w:w="1550" w:type="dxa"/>
            <w:shd w:val="clear" w:color="auto" w:fill="auto"/>
            <w:vAlign w:val="bottom"/>
            <w:hideMark/>
          </w:tcPr>
          <w:p w14:paraId="354B0D9C"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Navarra</w:t>
            </w:r>
          </w:p>
        </w:tc>
        <w:tc>
          <w:tcPr>
            <w:tcW w:w="2126" w:type="dxa"/>
            <w:vAlign w:val="bottom"/>
          </w:tcPr>
          <w:p w14:paraId="1B55E0EE" w14:textId="608D2D21"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262.480 € </w:t>
            </w:r>
          </w:p>
        </w:tc>
        <w:tc>
          <w:tcPr>
            <w:tcW w:w="1843" w:type="dxa"/>
            <w:shd w:val="clear" w:color="auto" w:fill="auto"/>
            <w:vAlign w:val="bottom"/>
            <w:hideMark/>
          </w:tcPr>
          <w:p w14:paraId="48A2DA56" w14:textId="321E5BF2"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190.898 € </w:t>
            </w:r>
          </w:p>
        </w:tc>
        <w:tc>
          <w:tcPr>
            <w:tcW w:w="1842" w:type="dxa"/>
            <w:shd w:val="clear" w:color="auto" w:fill="auto"/>
            <w:vAlign w:val="bottom"/>
            <w:hideMark/>
          </w:tcPr>
          <w:p w14:paraId="2A9EE0D9" w14:textId="6CD84ADB"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127.760 € </w:t>
            </w:r>
          </w:p>
        </w:tc>
        <w:tc>
          <w:tcPr>
            <w:tcW w:w="1843" w:type="dxa"/>
            <w:vAlign w:val="bottom"/>
          </w:tcPr>
          <w:p w14:paraId="2C24A2E0" w14:textId="419ABECA"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130.080 €</w:t>
            </w:r>
          </w:p>
        </w:tc>
      </w:tr>
      <w:tr w:rsidR="00C45CC5" w:rsidRPr="00C45CC5" w14:paraId="6D5F9B3F" w14:textId="77777777" w:rsidTr="00C45CC5">
        <w:trPr>
          <w:trHeight w:val="215"/>
        </w:trPr>
        <w:tc>
          <w:tcPr>
            <w:tcW w:w="1550" w:type="dxa"/>
            <w:shd w:val="clear" w:color="auto" w:fill="auto"/>
            <w:vAlign w:val="bottom"/>
            <w:hideMark/>
          </w:tcPr>
          <w:p w14:paraId="6DBBC87B"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País Vasco</w:t>
            </w:r>
          </w:p>
        </w:tc>
        <w:tc>
          <w:tcPr>
            <w:tcW w:w="2126" w:type="dxa"/>
            <w:vAlign w:val="bottom"/>
          </w:tcPr>
          <w:p w14:paraId="580719BB" w14:textId="454F09EC"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341.600 € </w:t>
            </w:r>
          </w:p>
        </w:tc>
        <w:tc>
          <w:tcPr>
            <w:tcW w:w="1843" w:type="dxa"/>
            <w:shd w:val="clear" w:color="auto" w:fill="auto"/>
            <w:vAlign w:val="bottom"/>
            <w:hideMark/>
          </w:tcPr>
          <w:p w14:paraId="23730F4D" w14:textId="1E1115C2"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291.242 € </w:t>
            </w:r>
          </w:p>
        </w:tc>
        <w:tc>
          <w:tcPr>
            <w:tcW w:w="1842" w:type="dxa"/>
            <w:shd w:val="clear" w:color="auto" w:fill="auto"/>
            <w:vAlign w:val="bottom"/>
            <w:hideMark/>
          </w:tcPr>
          <w:p w14:paraId="101EB3D3" w14:textId="1463185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219.120 € </w:t>
            </w:r>
          </w:p>
        </w:tc>
        <w:tc>
          <w:tcPr>
            <w:tcW w:w="1843" w:type="dxa"/>
            <w:vAlign w:val="bottom"/>
          </w:tcPr>
          <w:p w14:paraId="04E557A2" w14:textId="609AEA59" w:rsidR="00C45CC5" w:rsidRPr="00C45CC5" w:rsidRDefault="00C45CC5" w:rsidP="00C45CC5">
            <w:pPr>
              <w:jc w:val="center"/>
              <w:rPr>
                <w:rFonts w:ascii="Open Sans" w:eastAsia="Times New Roman" w:hAnsi="Open Sans" w:cs="Open Sans"/>
                <w:color w:val="FF0000"/>
                <w:sz w:val="22"/>
                <w:szCs w:val="22"/>
                <w:lang w:val="es-ES" w:eastAsia="es-ES"/>
              </w:rPr>
            </w:pPr>
            <w:r w:rsidRPr="00C45CC5">
              <w:rPr>
                <w:rFonts w:ascii="Open Sans" w:hAnsi="Open Sans" w:cs="Open Sans"/>
                <w:sz w:val="22"/>
                <w:szCs w:val="22"/>
              </w:rPr>
              <w:t>229.632 €</w:t>
            </w:r>
          </w:p>
        </w:tc>
      </w:tr>
      <w:tr w:rsidR="00C45CC5" w:rsidRPr="00C45CC5" w14:paraId="0A290106" w14:textId="77777777" w:rsidTr="00C45CC5">
        <w:trPr>
          <w:trHeight w:val="215"/>
        </w:trPr>
        <w:tc>
          <w:tcPr>
            <w:tcW w:w="1550" w:type="dxa"/>
            <w:shd w:val="clear" w:color="auto" w:fill="auto"/>
            <w:vAlign w:val="bottom"/>
            <w:hideMark/>
          </w:tcPr>
          <w:p w14:paraId="07D39EF9"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Región de Murcia</w:t>
            </w:r>
          </w:p>
        </w:tc>
        <w:tc>
          <w:tcPr>
            <w:tcW w:w="2126" w:type="dxa"/>
            <w:vAlign w:val="bottom"/>
          </w:tcPr>
          <w:p w14:paraId="5C867D43" w14:textId="5EF19F62" w:rsidR="00C45CC5" w:rsidRPr="00C45CC5" w:rsidRDefault="00C45CC5" w:rsidP="00C45CC5">
            <w:pPr>
              <w:jc w:val="center"/>
              <w:rPr>
                <w:rFonts w:ascii="Open Sans" w:hAnsi="Open Sans" w:cs="Open Sans"/>
                <w:color w:val="000000"/>
                <w:sz w:val="22"/>
                <w:szCs w:val="22"/>
              </w:rPr>
            </w:pPr>
            <w:r w:rsidRPr="00C45CC5">
              <w:rPr>
                <w:rFonts w:ascii="Open Sans" w:hAnsi="Open Sans" w:cs="Open Sans"/>
                <w:color w:val="000000"/>
                <w:sz w:val="22"/>
                <w:szCs w:val="22"/>
              </w:rPr>
              <w:t xml:space="preserve"> 176.640 € </w:t>
            </w:r>
          </w:p>
        </w:tc>
        <w:tc>
          <w:tcPr>
            <w:tcW w:w="1843" w:type="dxa"/>
            <w:shd w:val="clear" w:color="auto" w:fill="auto"/>
            <w:vAlign w:val="bottom"/>
            <w:hideMark/>
          </w:tcPr>
          <w:p w14:paraId="2E806622" w14:textId="1B6D6721"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129.089 € </w:t>
            </w:r>
          </w:p>
        </w:tc>
        <w:tc>
          <w:tcPr>
            <w:tcW w:w="1842" w:type="dxa"/>
            <w:shd w:val="clear" w:color="auto" w:fill="auto"/>
            <w:vAlign w:val="bottom"/>
            <w:hideMark/>
          </w:tcPr>
          <w:p w14:paraId="0EDAE452" w14:textId="3641338A" w:rsidR="00C45CC5" w:rsidRPr="00C45CC5" w:rsidRDefault="00C45CC5" w:rsidP="00C45CC5">
            <w:pPr>
              <w:jc w:val="cente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 xml:space="preserve">    90.800 € </w:t>
            </w:r>
          </w:p>
        </w:tc>
        <w:tc>
          <w:tcPr>
            <w:tcW w:w="1843" w:type="dxa"/>
            <w:vAlign w:val="bottom"/>
          </w:tcPr>
          <w:p w14:paraId="7E75D994" w14:textId="2565504C" w:rsidR="00C45CC5" w:rsidRPr="00C45CC5" w:rsidRDefault="00C45CC5" w:rsidP="00C45CC5">
            <w:pPr>
              <w:jc w:val="center"/>
              <w:rPr>
                <w:rFonts w:ascii="Open Sans" w:hAnsi="Open Sans" w:cs="Open Sans"/>
                <w:sz w:val="22"/>
                <w:szCs w:val="22"/>
              </w:rPr>
            </w:pPr>
            <w:r w:rsidRPr="00C45CC5">
              <w:rPr>
                <w:rFonts w:ascii="Open Sans" w:hAnsi="Open Sans" w:cs="Open Sans"/>
                <w:sz w:val="22"/>
                <w:szCs w:val="22"/>
              </w:rPr>
              <w:t>89.790 €</w:t>
            </w:r>
          </w:p>
        </w:tc>
      </w:tr>
      <w:tr w:rsidR="00C45CC5" w:rsidRPr="00C45CC5" w14:paraId="5DA6FB3E" w14:textId="77777777" w:rsidTr="00C45CC5">
        <w:trPr>
          <w:trHeight w:val="215"/>
        </w:trPr>
        <w:tc>
          <w:tcPr>
            <w:tcW w:w="1550" w:type="dxa"/>
            <w:shd w:val="clear" w:color="auto" w:fill="ACB9CA" w:themeFill="text2" w:themeFillTint="66"/>
            <w:vAlign w:val="bottom"/>
            <w:hideMark/>
          </w:tcPr>
          <w:p w14:paraId="6218F934" w14:textId="77777777" w:rsidR="00C45CC5" w:rsidRPr="00C45CC5" w:rsidRDefault="00C45CC5" w:rsidP="00C45CC5">
            <w:pPr>
              <w:rPr>
                <w:rFonts w:ascii="Open Sans" w:eastAsia="Times New Roman" w:hAnsi="Open Sans" w:cs="Open Sans"/>
                <w:color w:val="000000"/>
                <w:sz w:val="22"/>
                <w:szCs w:val="22"/>
                <w:lang w:val="es-ES" w:eastAsia="es-ES"/>
              </w:rPr>
            </w:pPr>
            <w:r w:rsidRPr="00C45CC5">
              <w:rPr>
                <w:rFonts w:ascii="Open Sans" w:hAnsi="Open Sans" w:cs="Open Sans"/>
                <w:color w:val="000000"/>
                <w:sz w:val="22"/>
                <w:szCs w:val="22"/>
              </w:rPr>
              <w:t>España</w:t>
            </w:r>
          </w:p>
        </w:tc>
        <w:tc>
          <w:tcPr>
            <w:tcW w:w="2126" w:type="dxa"/>
            <w:shd w:val="clear" w:color="auto" w:fill="ACB9CA" w:themeFill="text2" w:themeFillTint="66"/>
            <w:vAlign w:val="bottom"/>
          </w:tcPr>
          <w:p w14:paraId="731D184E" w14:textId="7EDF227A" w:rsidR="00C45CC5" w:rsidRPr="00C45CC5" w:rsidRDefault="00C45CC5" w:rsidP="00C45CC5">
            <w:pPr>
              <w:jc w:val="center"/>
              <w:rPr>
                <w:rFonts w:ascii="Open Sans" w:hAnsi="Open Sans" w:cs="Open Sans"/>
                <w:b/>
                <w:bCs/>
                <w:color w:val="000000"/>
                <w:sz w:val="22"/>
                <w:szCs w:val="22"/>
              </w:rPr>
            </w:pPr>
            <w:r w:rsidRPr="00C45CC5">
              <w:rPr>
                <w:rFonts w:ascii="Open Sans" w:hAnsi="Open Sans" w:cs="Open Sans"/>
                <w:color w:val="000000"/>
                <w:sz w:val="22"/>
                <w:szCs w:val="22"/>
              </w:rPr>
              <w:t xml:space="preserve"> 224.926 € </w:t>
            </w:r>
          </w:p>
        </w:tc>
        <w:tc>
          <w:tcPr>
            <w:tcW w:w="1843" w:type="dxa"/>
            <w:shd w:val="clear" w:color="auto" w:fill="ACB9CA" w:themeFill="text2" w:themeFillTint="66"/>
            <w:vAlign w:val="bottom"/>
            <w:hideMark/>
          </w:tcPr>
          <w:p w14:paraId="3E3A4F10" w14:textId="52D870A6" w:rsidR="00C45CC5" w:rsidRPr="00C45CC5" w:rsidRDefault="00C45CC5" w:rsidP="00C45CC5">
            <w:pPr>
              <w:jc w:val="center"/>
              <w:rPr>
                <w:rFonts w:ascii="Open Sans" w:eastAsia="Times New Roman" w:hAnsi="Open Sans" w:cs="Open Sans"/>
                <w:b/>
                <w:bCs/>
                <w:color w:val="000000"/>
                <w:sz w:val="22"/>
                <w:szCs w:val="22"/>
                <w:lang w:val="es-ES" w:eastAsia="es-ES"/>
              </w:rPr>
            </w:pPr>
            <w:r w:rsidRPr="00C45CC5">
              <w:rPr>
                <w:rFonts w:ascii="Open Sans" w:hAnsi="Open Sans" w:cs="Open Sans"/>
                <w:color w:val="000000"/>
                <w:sz w:val="22"/>
                <w:szCs w:val="22"/>
              </w:rPr>
              <w:t xml:space="preserve"> 174.401 € </w:t>
            </w:r>
          </w:p>
        </w:tc>
        <w:tc>
          <w:tcPr>
            <w:tcW w:w="1842" w:type="dxa"/>
            <w:shd w:val="clear" w:color="auto" w:fill="ACB9CA" w:themeFill="text2" w:themeFillTint="66"/>
            <w:vAlign w:val="bottom"/>
            <w:hideMark/>
          </w:tcPr>
          <w:p w14:paraId="5DF7F3D9" w14:textId="7861BAD8" w:rsidR="00C45CC5" w:rsidRPr="00C45CC5" w:rsidRDefault="00C45CC5" w:rsidP="00C45CC5">
            <w:pPr>
              <w:jc w:val="center"/>
              <w:rPr>
                <w:rFonts w:ascii="Open Sans" w:eastAsia="Times New Roman" w:hAnsi="Open Sans" w:cs="Open Sans"/>
                <w:b/>
                <w:bCs/>
                <w:color w:val="000000"/>
                <w:sz w:val="22"/>
                <w:szCs w:val="22"/>
                <w:lang w:val="es-ES" w:eastAsia="es-ES"/>
              </w:rPr>
            </w:pPr>
            <w:r w:rsidRPr="00C45CC5">
              <w:rPr>
                <w:rFonts w:ascii="Open Sans" w:hAnsi="Open Sans" w:cs="Open Sans"/>
                <w:color w:val="000000"/>
                <w:sz w:val="22"/>
                <w:szCs w:val="22"/>
              </w:rPr>
              <w:t xml:space="preserve"> 129.680 € </w:t>
            </w:r>
          </w:p>
        </w:tc>
        <w:tc>
          <w:tcPr>
            <w:tcW w:w="1843" w:type="dxa"/>
            <w:shd w:val="clear" w:color="auto" w:fill="ACB9CA" w:themeFill="text2" w:themeFillTint="66"/>
          </w:tcPr>
          <w:p w14:paraId="0C52C046" w14:textId="44C20195" w:rsidR="00C45CC5" w:rsidRPr="00C45CC5" w:rsidRDefault="00C45CC5" w:rsidP="00C45CC5">
            <w:pPr>
              <w:jc w:val="center"/>
              <w:rPr>
                <w:rFonts w:ascii="Open Sans" w:eastAsia="Times New Roman" w:hAnsi="Open Sans" w:cs="Open Sans"/>
                <w:b/>
                <w:bCs/>
                <w:color w:val="FF0000"/>
                <w:sz w:val="22"/>
                <w:szCs w:val="22"/>
                <w:lang w:val="es-ES" w:eastAsia="es-ES"/>
              </w:rPr>
            </w:pPr>
            <w:r w:rsidRPr="00C45CC5">
              <w:rPr>
                <w:rFonts w:ascii="Open Sans" w:hAnsi="Open Sans" w:cs="Open Sans"/>
                <w:sz w:val="22"/>
                <w:szCs w:val="22"/>
              </w:rPr>
              <w:t xml:space="preserve"> 150.666 € </w:t>
            </w:r>
          </w:p>
        </w:tc>
      </w:tr>
    </w:tbl>
    <w:p w14:paraId="1AED17D6" w14:textId="51F783A6" w:rsidR="003F535B" w:rsidRDefault="00D41C3C"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t>Los</w:t>
      </w:r>
      <w:r w:rsidR="003F535B" w:rsidRPr="00D41C3C">
        <w:rPr>
          <w:rFonts w:ascii="National" w:eastAsiaTheme="minorHAnsi" w:hAnsi="National" w:cstheme="minorBidi"/>
          <w:b/>
          <w:bCs/>
          <w:iCs/>
          <w:color w:val="303AB2"/>
          <w:sz w:val="30"/>
          <w:szCs w:val="180"/>
          <w:lang w:eastAsia="en-US"/>
        </w:rPr>
        <w:t xml:space="preserve"> </w:t>
      </w:r>
      <w:r w:rsidR="00AE23F4">
        <w:rPr>
          <w:rFonts w:ascii="National" w:eastAsiaTheme="minorHAnsi" w:hAnsi="National" w:cstheme="minorBidi"/>
          <w:b/>
          <w:bCs/>
          <w:iCs/>
          <w:color w:val="303AB2"/>
          <w:sz w:val="30"/>
          <w:szCs w:val="180"/>
          <w:lang w:eastAsia="en-US"/>
        </w:rPr>
        <w:t>baleares</w:t>
      </w:r>
      <w:r w:rsidR="00403021">
        <w:rPr>
          <w:rFonts w:ascii="National" w:eastAsiaTheme="minorHAnsi" w:hAnsi="National" w:cstheme="minorBidi"/>
          <w:b/>
          <w:bCs/>
          <w:iCs/>
          <w:color w:val="303AB2"/>
          <w:sz w:val="30"/>
          <w:szCs w:val="180"/>
          <w:lang w:eastAsia="en-US"/>
        </w:rPr>
        <w:t xml:space="preserve"> </w:t>
      </w:r>
      <w:r w:rsidRPr="00D41C3C">
        <w:rPr>
          <w:rFonts w:ascii="National" w:eastAsiaTheme="minorHAnsi" w:hAnsi="National" w:cstheme="minorBidi"/>
          <w:b/>
          <w:bCs/>
          <w:iCs/>
          <w:color w:val="303AB2"/>
          <w:sz w:val="30"/>
          <w:szCs w:val="180"/>
          <w:lang w:eastAsia="en-US"/>
        </w:rPr>
        <w:t xml:space="preserve">son los más afectados por el </w:t>
      </w:r>
      <w:r>
        <w:rPr>
          <w:rFonts w:ascii="National" w:eastAsiaTheme="minorHAnsi" w:hAnsi="National" w:cstheme="minorBidi"/>
          <w:b/>
          <w:bCs/>
          <w:iCs/>
          <w:color w:val="303AB2"/>
          <w:sz w:val="30"/>
          <w:szCs w:val="180"/>
          <w:lang w:eastAsia="en-US"/>
        </w:rPr>
        <w:t>incremento de</w:t>
      </w:r>
      <w:r w:rsidR="00B231C2">
        <w:rPr>
          <w:rFonts w:ascii="National" w:eastAsiaTheme="minorHAnsi" w:hAnsi="National" w:cstheme="minorBidi"/>
          <w:b/>
          <w:bCs/>
          <w:iCs/>
          <w:color w:val="303AB2"/>
          <w:sz w:val="30"/>
          <w:szCs w:val="180"/>
          <w:lang w:eastAsia="en-US"/>
        </w:rPr>
        <w:t xml:space="preserve"> </w:t>
      </w:r>
      <w:r>
        <w:rPr>
          <w:rFonts w:ascii="National" w:eastAsiaTheme="minorHAnsi" w:hAnsi="National" w:cstheme="minorBidi"/>
          <w:b/>
          <w:bCs/>
          <w:iCs/>
          <w:color w:val="303AB2"/>
          <w:sz w:val="30"/>
          <w:szCs w:val="180"/>
          <w:lang w:eastAsia="en-US"/>
        </w:rPr>
        <w:t>l</w:t>
      </w:r>
      <w:r w:rsidR="00B231C2">
        <w:rPr>
          <w:rFonts w:ascii="National" w:eastAsiaTheme="minorHAnsi" w:hAnsi="National" w:cstheme="minorBidi"/>
          <w:b/>
          <w:bCs/>
          <w:iCs/>
          <w:color w:val="303AB2"/>
          <w:sz w:val="30"/>
          <w:szCs w:val="180"/>
          <w:lang w:eastAsia="en-US"/>
        </w:rPr>
        <w:t>a venta</w:t>
      </w:r>
    </w:p>
    <w:bookmarkEnd w:id="0"/>
    <w:p w14:paraId="28CDA2E8" w14:textId="7B358786" w:rsidR="007B45F9" w:rsidRDefault="004B0602" w:rsidP="007B45F9">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En cuanto a las</w:t>
      </w:r>
      <w:r w:rsidR="00D41C3C" w:rsidRPr="00662836">
        <w:rPr>
          <w:rFonts w:ascii="Open Sans" w:hAnsi="Open Sans" w:cs="Open Sans"/>
          <w:color w:val="000000"/>
          <w:sz w:val="22"/>
          <w:szCs w:val="22"/>
        </w:rPr>
        <w:t xml:space="preserve"> </w:t>
      </w:r>
      <w:r w:rsidR="009D4647">
        <w:rPr>
          <w:rFonts w:ascii="Open Sans" w:hAnsi="Open Sans" w:cs="Open Sans"/>
          <w:color w:val="000000"/>
          <w:sz w:val="22"/>
          <w:szCs w:val="22"/>
        </w:rPr>
        <w:t>c</w:t>
      </w:r>
      <w:r w:rsidR="00D41C3C" w:rsidRPr="00662836">
        <w:rPr>
          <w:rFonts w:ascii="Open Sans" w:hAnsi="Open Sans" w:cs="Open Sans"/>
          <w:color w:val="000000"/>
          <w:sz w:val="22"/>
          <w:szCs w:val="22"/>
        </w:rPr>
        <w:t xml:space="preserve">omunidades </w:t>
      </w:r>
      <w:r w:rsidR="009D4647">
        <w:rPr>
          <w:rFonts w:ascii="Open Sans" w:hAnsi="Open Sans" w:cs="Open Sans"/>
          <w:color w:val="000000"/>
          <w:sz w:val="22"/>
          <w:szCs w:val="22"/>
        </w:rPr>
        <w:t>a</w:t>
      </w:r>
      <w:r w:rsidR="00D41C3C" w:rsidRPr="00662836">
        <w:rPr>
          <w:rFonts w:ascii="Open Sans" w:hAnsi="Open Sans" w:cs="Open Sans"/>
          <w:color w:val="000000"/>
          <w:sz w:val="22"/>
          <w:szCs w:val="22"/>
        </w:rPr>
        <w:t xml:space="preserve">utónomas </w:t>
      </w:r>
      <w:r w:rsidR="00D41C3C">
        <w:rPr>
          <w:rFonts w:ascii="Open Sans" w:hAnsi="Open Sans" w:cs="Open Sans"/>
          <w:color w:val="000000"/>
          <w:sz w:val="22"/>
          <w:szCs w:val="22"/>
        </w:rPr>
        <w:t xml:space="preserve">que </w:t>
      </w:r>
      <w:r>
        <w:rPr>
          <w:rFonts w:ascii="Open Sans" w:hAnsi="Open Sans" w:cs="Open Sans"/>
          <w:color w:val="000000"/>
          <w:sz w:val="22"/>
          <w:szCs w:val="22"/>
        </w:rPr>
        <w:t xml:space="preserve">han visto </w:t>
      </w:r>
      <w:r w:rsidR="007B45F9">
        <w:rPr>
          <w:rFonts w:ascii="Open Sans" w:hAnsi="Open Sans" w:cs="Open Sans"/>
          <w:color w:val="000000"/>
          <w:sz w:val="22"/>
          <w:szCs w:val="22"/>
        </w:rPr>
        <w:t>incrementar</w:t>
      </w:r>
      <w:r>
        <w:rPr>
          <w:rFonts w:ascii="Open Sans" w:hAnsi="Open Sans" w:cs="Open Sans"/>
          <w:color w:val="000000"/>
          <w:sz w:val="22"/>
          <w:szCs w:val="22"/>
        </w:rPr>
        <w:t xml:space="preserve"> el acumulativo del </w:t>
      </w:r>
      <w:r w:rsidR="00EC5C56">
        <w:rPr>
          <w:rFonts w:ascii="Open Sans" w:hAnsi="Open Sans" w:cs="Open Sans"/>
          <w:color w:val="000000"/>
          <w:sz w:val="22"/>
          <w:szCs w:val="22"/>
        </w:rPr>
        <w:t xml:space="preserve">precio de la vivienda en venta </w:t>
      </w:r>
      <w:r>
        <w:rPr>
          <w:rFonts w:ascii="Open Sans" w:hAnsi="Open Sans" w:cs="Open Sans"/>
          <w:color w:val="000000"/>
          <w:sz w:val="22"/>
          <w:szCs w:val="22"/>
        </w:rPr>
        <w:t>en los</w:t>
      </w:r>
      <w:r w:rsidR="00D41C3C">
        <w:rPr>
          <w:rFonts w:ascii="Open Sans" w:hAnsi="Open Sans" w:cs="Open Sans"/>
          <w:color w:val="000000"/>
          <w:sz w:val="22"/>
          <w:szCs w:val="22"/>
        </w:rPr>
        <w:t xml:space="preserve"> últimos </w:t>
      </w:r>
      <w:r w:rsidR="007B45F9">
        <w:rPr>
          <w:rFonts w:ascii="Open Sans" w:hAnsi="Open Sans" w:cs="Open Sans"/>
          <w:color w:val="000000"/>
          <w:sz w:val="22"/>
          <w:szCs w:val="22"/>
        </w:rPr>
        <w:t>5</w:t>
      </w:r>
      <w:r w:rsidR="00D41C3C">
        <w:rPr>
          <w:rFonts w:ascii="Open Sans" w:hAnsi="Open Sans" w:cs="Open Sans"/>
          <w:color w:val="000000"/>
          <w:sz w:val="22"/>
          <w:szCs w:val="22"/>
        </w:rPr>
        <w:t xml:space="preserve"> años, </w:t>
      </w:r>
      <w:r w:rsidR="007B45F9">
        <w:rPr>
          <w:rFonts w:ascii="Open Sans" w:hAnsi="Open Sans" w:cs="Open Sans"/>
          <w:color w:val="000000"/>
          <w:sz w:val="22"/>
          <w:szCs w:val="22"/>
        </w:rPr>
        <w:t>tres</w:t>
      </w:r>
      <w:r w:rsidR="00D41C3C">
        <w:rPr>
          <w:rFonts w:ascii="Open Sans" w:hAnsi="Open Sans" w:cs="Open Sans"/>
          <w:color w:val="000000"/>
          <w:sz w:val="22"/>
          <w:szCs w:val="22"/>
        </w:rPr>
        <w:t xml:space="preserve"> de ellas superan </w:t>
      </w:r>
      <w:r w:rsidR="00EC5C56">
        <w:rPr>
          <w:rFonts w:ascii="Open Sans" w:hAnsi="Open Sans" w:cs="Open Sans"/>
          <w:color w:val="000000"/>
          <w:sz w:val="22"/>
          <w:szCs w:val="22"/>
        </w:rPr>
        <w:t xml:space="preserve">la </w:t>
      </w:r>
      <w:r w:rsidR="007B45F9">
        <w:rPr>
          <w:rFonts w:ascii="Open Sans" w:hAnsi="Open Sans" w:cs="Open Sans"/>
          <w:color w:val="000000"/>
          <w:sz w:val="22"/>
          <w:szCs w:val="22"/>
        </w:rPr>
        <w:t>subida</w:t>
      </w:r>
      <w:r w:rsidR="00EC5C56">
        <w:rPr>
          <w:rFonts w:ascii="Open Sans" w:hAnsi="Open Sans" w:cs="Open Sans"/>
          <w:color w:val="000000"/>
          <w:sz w:val="22"/>
          <w:szCs w:val="22"/>
        </w:rPr>
        <w:t xml:space="preserve"> d</w:t>
      </w:r>
      <w:r w:rsidR="00D41C3C">
        <w:rPr>
          <w:rFonts w:ascii="Open Sans" w:hAnsi="Open Sans" w:cs="Open Sans"/>
          <w:color w:val="000000"/>
          <w:sz w:val="22"/>
          <w:szCs w:val="22"/>
        </w:rPr>
        <w:t xml:space="preserve">el </w:t>
      </w:r>
      <w:r w:rsidR="00EC5C56">
        <w:rPr>
          <w:rFonts w:ascii="Open Sans" w:hAnsi="Open Sans" w:cs="Open Sans"/>
          <w:color w:val="000000"/>
          <w:sz w:val="22"/>
          <w:szCs w:val="22"/>
        </w:rPr>
        <w:t>3</w:t>
      </w:r>
      <w:r w:rsidR="00D41C3C">
        <w:rPr>
          <w:rFonts w:ascii="Open Sans" w:hAnsi="Open Sans" w:cs="Open Sans"/>
          <w:color w:val="000000"/>
          <w:sz w:val="22"/>
          <w:szCs w:val="22"/>
        </w:rPr>
        <w:t>0%, según el</w:t>
      </w:r>
      <w:r w:rsidR="00D41C3C" w:rsidRPr="00132340">
        <w:rPr>
          <w:rFonts w:ascii="Open Sans" w:hAnsi="Open Sans" w:cs="Open Sans"/>
          <w:color w:val="000000"/>
          <w:sz w:val="22"/>
          <w:szCs w:val="22"/>
        </w:rPr>
        <w:t xml:space="preserve"> </w:t>
      </w:r>
      <w:r w:rsidR="00D41C3C">
        <w:rPr>
          <w:rFonts w:ascii="Open Sans" w:hAnsi="Open Sans" w:cs="Open Sans"/>
          <w:color w:val="000000"/>
          <w:sz w:val="22"/>
          <w:szCs w:val="22"/>
        </w:rPr>
        <w:t>estudio</w:t>
      </w:r>
      <w:r w:rsidR="00D41C3C" w:rsidRPr="00132340">
        <w:rPr>
          <w:rFonts w:ascii="Open Sans" w:hAnsi="Open Sans" w:cs="Open Sans"/>
          <w:color w:val="000000"/>
          <w:sz w:val="22"/>
          <w:szCs w:val="22"/>
        </w:rPr>
        <w:t xml:space="preserve"> </w:t>
      </w:r>
      <w:r w:rsidR="00D41C3C">
        <w:rPr>
          <w:rFonts w:ascii="Open Sans" w:hAnsi="Open Sans" w:cs="Open Sans"/>
          <w:color w:val="000000"/>
          <w:sz w:val="22"/>
          <w:szCs w:val="22"/>
        </w:rPr>
        <w:t xml:space="preserve">de </w:t>
      </w:r>
      <w:hyperlink r:id="rId13" w:history="1">
        <w:r w:rsidR="00D41C3C" w:rsidRPr="00132340">
          <w:rPr>
            <w:rStyle w:val="Hipervnculo"/>
            <w:rFonts w:ascii="Open Sans" w:hAnsi="Open Sans" w:cs="Open Sans"/>
            <w:sz w:val="22"/>
            <w:szCs w:val="22"/>
          </w:rPr>
          <w:t>Fotocasa</w:t>
        </w:r>
      </w:hyperlink>
      <w:r w:rsidR="00D41C3C" w:rsidRPr="00A909FF">
        <w:rPr>
          <w:rFonts w:ascii="Open Sans" w:hAnsi="Open Sans" w:cs="Open Sans"/>
          <w:sz w:val="22"/>
          <w:szCs w:val="22"/>
        </w:rPr>
        <w:t>.</w:t>
      </w:r>
      <w:r w:rsidR="00D41C3C" w:rsidRPr="00410875">
        <w:rPr>
          <w:rFonts w:ascii="Open Sans" w:hAnsi="Open Sans" w:cs="Open Sans"/>
          <w:color w:val="FF0000"/>
          <w:sz w:val="22"/>
          <w:szCs w:val="22"/>
        </w:rPr>
        <w:t xml:space="preserve"> </w:t>
      </w:r>
      <w:r w:rsidRPr="004B0602">
        <w:rPr>
          <w:rFonts w:ascii="Open Sans" w:hAnsi="Open Sans" w:cs="Open Sans"/>
          <w:sz w:val="22"/>
          <w:szCs w:val="22"/>
        </w:rPr>
        <w:t xml:space="preserve">Así, </w:t>
      </w:r>
      <w:r>
        <w:rPr>
          <w:rFonts w:ascii="Open Sans" w:hAnsi="Open Sans" w:cs="Open Sans"/>
          <w:sz w:val="22"/>
          <w:szCs w:val="22"/>
        </w:rPr>
        <w:t>los</w:t>
      </w:r>
      <w:r w:rsidR="007B45F9">
        <w:rPr>
          <w:rFonts w:ascii="Open Sans" w:hAnsi="Open Sans" w:cs="Open Sans"/>
          <w:sz w:val="22"/>
          <w:szCs w:val="22"/>
        </w:rPr>
        <w:t xml:space="preserve"> compradores de </w:t>
      </w:r>
      <w:r w:rsidR="007B45F9" w:rsidRPr="007B45F9">
        <w:rPr>
          <w:rFonts w:ascii="Open Sans" w:hAnsi="Open Sans" w:cs="Open Sans"/>
          <w:sz w:val="22"/>
          <w:szCs w:val="22"/>
        </w:rPr>
        <w:t xml:space="preserve">Baleares </w:t>
      </w:r>
      <w:r w:rsidR="00F21780">
        <w:rPr>
          <w:rFonts w:ascii="Open Sans" w:hAnsi="Open Sans" w:cs="Open Sans"/>
          <w:sz w:val="22"/>
          <w:szCs w:val="22"/>
        </w:rPr>
        <w:t xml:space="preserve">con </w:t>
      </w:r>
      <w:r w:rsidR="001B56F0">
        <w:rPr>
          <w:rFonts w:ascii="Open Sans" w:hAnsi="Open Sans" w:cs="Open Sans"/>
          <w:sz w:val="22"/>
          <w:szCs w:val="22"/>
        </w:rPr>
        <w:t>51</w:t>
      </w:r>
      <w:r w:rsidR="007B45F9">
        <w:rPr>
          <w:rFonts w:ascii="Open Sans" w:hAnsi="Open Sans" w:cs="Open Sans"/>
          <w:sz w:val="22"/>
          <w:szCs w:val="22"/>
        </w:rPr>
        <w:t xml:space="preserve">%, </w:t>
      </w:r>
      <w:r w:rsidR="007B45F9" w:rsidRPr="007B45F9">
        <w:rPr>
          <w:rFonts w:ascii="Open Sans" w:hAnsi="Open Sans" w:cs="Open Sans"/>
          <w:sz w:val="22"/>
          <w:szCs w:val="22"/>
        </w:rPr>
        <w:t xml:space="preserve">Madrid </w:t>
      </w:r>
      <w:r w:rsidR="00F21780">
        <w:rPr>
          <w:rFonts w:ascii="Open Sans" w:hAnsi="Open Sans" w:cs="Open Sans"/>
          <w:sz w:val="22"/>
          <w:szCs w:val="22"/>
        </w:rPr>
        <w:t xml:space="preserve">con </w:t>
      </w:r>
      <w:r w:rsidR="001B56F0">
        <w:rPr>
          <w:rFonts w:ascii="Open Sans" w:hAnsi="Open Sans" w:cs="Open Sans"/>
          <w:sz w:val="22"/>
          <w:szCs w:val="22"/>
        </w:rPr>
        <w:t>3</w:t>
      </w:r>
      <w:r w:rsidR="00A36A97">
        <w:rPr>
          <w:rFonts w:ascii="Open Sans" w:hAnsi="Open Sans" w:cs="Open Sans"/>
          <w:sz w:val="22"/>
          <w:szCs w:val="22"/>
        </w:rPr>
        <w:t>8</w:t>
      </w:r>
      <w:r w:rsidR="007B45F9">
        <w:rPr>
          <w:rFonts w:ascii="Open Sans" w:hAnsi="Open Sans" w:cs="Open Sans"/>
          <w:sz w:val="22"/>
          <w:szCs w:val="22"/>
        </w:rPr>
        <w:t>%</w:t>
      </w:r>
      <w:r w:rsidR="001B56F0">
        <w:rPr>
          <w:rFonts w:ascii="Open Sans" w:hAnsi="Open Sans" w:cs="Open Sans"/>
          <w:sz w:val="22"/>
          <w:szCs w:val="22"/>
        </w:rPr>
        <w:t xml:space="preserve"> y </w:t>
      </w:r>
      <w:r w:rsidR="007B45F9" w:rsidRPr="007B45F9">
        <w:rPr>
          <w:rFonts w:ascii="Open Sans" w:hAnsi="Open Sans" w:cs="Open Sans"/>
          <w:sz w:val="22"/>
          <w:szCs w:val="22"/>
        </w:rPr>
        <w:t>Canarias</w:t>
      </w:r>
      <w:r w:rsidR="001B56F0">
        <w:rPr>
          <w:rFonts w:ascii="Open Sans" w:hAnsi="Open Sans" w:cs="Open Sans"/>
          <w:sz w:val="22"/>
          <w:szCs w:val="22"/>
        </w:rPr>
        <w:t xml:space="preserve"> </w:t>
      </w:r>
      <w:r w:rsidR="00F21780">
        <w:rPr>
          <w:rFonts w:ascii="Open Sans" w:hAnsi="Open Sans" w:cs="Open Sans"/>
          <w:sz w:val="22"/>
          <w:szCs w:val="22"/>
        </w:rPr>
        <w:t xml:space="preserve">con </w:t>
      </w:r>
      <w:r w:rsidR="001B56F0">
        <w:rPr>
          <w:rFonts w:ascii="Open Sans" w:hAnsi="Open Sans" w:cs="Open Sans"/>
          <w:sz w:val="22"/>
          <w:szCs w:val="22"/>
        </w:rPr>
        <w:t>3</w:t>
      </w:r>
      <w:r w:rsidR="00A36A97">
        <w:rPr>
          <w:rFonts w:ascii="Open Sans" w:hAnsi="Open Sans" w:cs="Open Sans"/>
          <w:sz w:val="22"/>
          <w:szCs w:val="22"/>
        </w:rPr>
        <w:t>1</w:t>
      </w:r>
      <w:r w:rsidR="00F21780">
        <w:rPr>
          <w:rFonts w:ascii="Open Sans" w:hAnsi="Open Sans" w:cs="Open Sans"/>
          <w:sz w:val="22"/>
          <w:szCs w:val="22"/>
        </w:rPr>
        <w:t>%</w:t>
      </w:r>
      <w:r w:rsidR="001B56F0">
        <w:rPr>
          <w:rFonts w:ascii="Open Sans" w:hAnsi="Open Sans" w:cs="Open Sans"/>
          <w:sz w:val="22"/>
          <w:szCs w:val="22"/>
        </w:rPr>
        <w:t xml:space="preserve"> son los que más han pagado por la compra </w:t>
      </w:r>
      <w:r w:rsidR="00991F54">
        <w:rPr>
          <w:rFonts w:ascii="Open Sans" w:hAnsi="Open Sans" w:cs="Open Sans"/>
          <w:sz w:val="22"/>
          <w:szCs w:val="22"/>
        </w:rPr>
        <w:t xml:space="preserve">de </w:t>
      </w:r>
      <w:r w:rsidR="001B56F0">
        <w:rPr>
          <w:rFonts w:ascii="Open Sans" w:hAnsi="Open Sans" w:cs="Open Sans"/>
          <w:sz w:val="22"/>
          <w:szCs w:val="22"/>
        </w:rPr>
        <w:t>una vivienda en</w:t>
      </w:r>
      <w:r w:rsidR="00A36A97">
        <w:rPr>
          <w:rFonts w:ascii="Open Sans" w:hAnsi="Open Sans" w:cs="Open Sans"/>
          <w:sz w:val="22"/>
          <w:szCs w:val="22"/>
        </w:rPr>
        <w:t xml:space="preserve"> </w:t>
      </w:r>
      <w:r w:rsidR="00F21780">
        <w:rPr>
          <w:rFonts w:ascii="Open Sans" w:hAnsi="Open Sans" w:cs="Open Sans"/>
          <w:sz w:val="22"/>
          <w:szCs w:val="22"/>
        </w:rPr>
        <w:t xml:space="preserve">venta en </w:t>
      </w:r>
      <w:r w:rsidR="00A36A97">
        <w:rPr>
          <w:rFonts w:ascii="Open Sans" w:hAnsi="Open Sans" w:cs="Open Sans"/>
          <w:sz w:val="22"/>
          <w:szCs w:val="22"/>
        </w:rPr>
        <w:t>junio de</w:t>
      </w:r>
      <w:r w:rsidR="001B56F0">
        <w:rPr>
          <w:rFonts w:ascii="Open Sans" w:hAnsi="Open Sans" w:cs="Open Sans"/>
          <w:sz w:val="22"/>
          <w:szCs w:val="22"/>
        </w:rPr>
        <w:t xml:space="preserve"> 202</w:t>
      </w:r>
      <w:r w:rsidR="00A36A97">
        <w:rPr>
          <w:rFonts w:ascii="Open Sans" w:hAnsi="Open Sans" w:cs="Open Sans"/>
          <w:sz w:val="22"/>
          <w:szCs w:val="22"/>
        </w:rPr>
        <w:t>1</w:t>
      </w:r>
      <w:r w:rsidR="001B56F0">
        <w:rPr>
          <w:rFonts w:ascii="Open Sans" w:hAnsi="Open Sans" w:cs="Open Sans"/>
          <w:sz w:val="22"/>
          <w:szCs w:val="22"/>
        </w:rPr>
        <w:t>.</w:t>
      </w:r>
    </w:p>
    <w:p w14:paraId="55BB87A1" w14:textId="1656FFBF" w:rsidR="001B56F0" w:rsidRDefault="001B56F0" w:rsidP="001B56F0">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tres </w:t>
      </w:r>
      <w:r w:rsidR="007B45F9">
        <w:rPr>
          <w:rFonts w:ascii="Open Sans" w:hAnsi="Open Sans" w:cs="Open Sans"/>
          <w:color w:val="000000"/>
          <w:sz w:val="22"/>
          <w:szCs w:val="22"/>
        </w:rPr>
        <w:t>c</w:t>
      </w:r>
      <w:r w:rsidR="007B45F9" w:rsidRPr="00662836">
        <w:rPr>
          <w:rFonts w:ascii="Open Sans" w:hAnsi="Open Sans" w:cs="Open Sans"/>
          <w:color w:val="000000"/>
          <w:sz w:val="22"/>
          <w:szCs w:val="22"/>
        </w:rPr>
        <w:t xml:space="preserve">omunidades </w:t>
      </w:r>
      <w:r w:rsidR="007B45F9">
        <w:rPr>
          <w:rFonts w:ascii="Open Sans" w:hAnsi="Open Sans" w:cs="Open Sans"/>
          <w:color w:val="000000"/>
          <w:sz w:val="22"/>
          <w:szCs w:val="22"/>
        </w:rPr>
        <w:t>a</w:t>
      </w:r>
      <w:r w:rsidR="007B45F9" w:rsidRPr="00662836">
        <w:rPr>
          <w:rFonts w:ascii="Open Sans" w:hAnsi="Open Sans" w:cs="Open Sans"/>
          <w:color w:val="000000"/>
          <w:sz w:val="22"/>
          <w:szCs w:val="22"/>
        </w:rPr>
        <w:t xml:space="preserve">utónomas </w:t>
      </w:r>
      <w:r w:rsidR="007B45F9">
        <w:rPr>
          <w:rFonts w:ascii="Open Sans" w:hAnsi="Open Sans" w:cs="Open Sans"/>
          <w:color w:val="000000"/>
          <w:sz w:val="22"/>
          <w:szCs w:val="22"/>
        </w:rPr>
        <w:t xml:space="preserve">han visto descender el acumulativo del precio de la vivienda en venta </w:t>
      </w:r>
      <w:r>
        <w:rPr>
          <w:rFonts w:ascii="Open Sans" w:hAnsi="Open Sans" w:cs="Open Sans"/>
          <w:color w:val="000000"/>
          <w:sz w:val="22"/>
          <w:szCs w:val="22"/>
        </w:rPr>
        <w:t>desde 201</w:t>
      </w:r>
      <w:r w:rsidR="00A36A97">
        <w:rPr>
          <w:rFonts w:ascii="Open Sans" w:hAnsi="Open Sans" w:cs="Open Sans"/>
          <w:color w:val="000000"/>
          <w:sz w:val="22"/>
          <w:szCs w:val="22"/>
        </w:rPr>
        <w:t>6</w:t>
      </w:r>
      <w:r>
        <w:rPr>
          <w:rFonts w:ascii="Open Sans" w:hAnsi="Open Sans" w:cs="Open Sans"/>
          <w:color w:val="000000"/>
          <w:sz w:val="22"/>
          <w:szCs w:val="22"/>
        </w:rPr>
        <w:t xml:space="preserve"> (5 años) y son: </w:t>
      </w:r>
      <w:r w:rsidR="00A36A97">
        <w:rPr>
          <w:rFonts w:ascii="Open Sans" w:hAnsi="Open Sans" w:cs="Open Sans"/>
          <w:color w:val="000000"/>
          <w:sz w:val="22"/>
          <w:szCs w:val="22"/>
        </w:rPr>
        <w:t>Murcia</w:t>
      </w:r>
      <w:r w:rsidRPr="001B56F0">
        <w:rPr>
          <w:rFonts w:ascii="Open Sans" w:hAnsi="Open Sans" w:cs="Open Sans"/>
          <w:color w:val="000000"/>
          <w:sz w:val="22"/>
          <w:szCs w:val="22"/>
        </w:rPr>
        <w:t xml:space="preserve"> </w:t>
      </w:r>
      <w:r>
        <w:rPr>
          <w:rFonts w:ascii="Open Sans" w:hAnsi="Open Sans" w:cs="Open Sans"/>
          <w:sz w:val="22"/>
          <w:szCs w:val="22"/>
        </w:rPr>
        <w:t>(</w:t>
      </w:r>
      <w:r w:rsidRPr="001B56F0">
        <w:rPr>
          <w:rFonts w:ascii="Open Sans" w:hAnsi="Open Sans" w:cs="Open Sans"/>
          <w:color w:val="000000"/>
          <w:sz w:val="22"/>
          <w:szCs w:val="22"/>
        </w:rPr>
        <w:t>-</w:t>
      </w:r>
      <w:r w:rsidR="00A36A97">
        <w:rPr>
          <w:rFonts w:ascii="Open Sans" w:hAnsi="Open Sans" w:cs="Open Sans"/>
          <w:color w:val="000000"/>
          <w:sz w:val="22"/>
          <w:szCs w:val="22"/>
        </w:rPr>
        <w:t>1,1</w:t>
      </w:r>
      <w:r w:rsidRPr="001B56F0">
        <w:rPr>
          <w:rFonts w:ascii="Open Sans" w:hAnsi="Open Sans" w:cs="Open Sans"/>
          <w:color w:val="000000"/>
          <w:sz w:val="22"/>
          <w:szCs w:val="22"/>
        </w:rPr>
        <w:t>%</w:t>
      </w:r>
      <w:r>
        <w:rPr>
          <w:rFonts w:ascii="Open Sans" w:hAnsi="Open Sans" w:cs="Open Sans"/>
          <w:color w:val="000000"/>
          <w:sz w:val="22"/>
          <w:szCs w:val="22"/>
        </w:rPr>
        <w:t xml:space="preserve">), </w:t>
      </w:r>
      <w:r w:rsidR="00A36A97">
        <w:rPr>
          <w:rFonts w:ascii="Open Sans" w:hAnsi="Open Sans" w:cs="Open Sans"/>
          <w:color w:val="000000"/>
          <w:sz w:val="22"/>
          <w:szCs w:val="22"/>
        </w:rPr>
        <w:t>Asturias</w:t>
      </w:r>
      <w:r w:rsidRPr="001B56F0">
        <w:rPr>
          <w:rFonts w:ascii="Open Sans" w:hAnsi="Open Sans" w:cs="Open Sans"/>
          <w:color w:val="000000"/>
          <w:sz w:val="22"/>
          <w:szCs w:val="22"/>
        </w:rPr>
        <w:t xml:space="preserve"> </w:t>
      </w:r>
      <w:r w:rsidR="00A36A97">
        <w:rPr>
          <w:rFonts w:ascii="Open Sans" w:hAnsi="Open Sans" w:cs="Open Sans"/>
          <w:color w:val="000000"/>
          <w:sz w:val="22"/>
          <w:szCs w:val="22"/>
        </w:rPr>
        <w:t>(-</w:t>
      </w:r>
      <w:r w:rsidR="00A36A97">
        <w:rPr>
          <w:rFonts w:ascii="Open Sans" w:hAnsi="Open Sans" w:cs="Open Sans"/>
          <w:sz w:val="22"/>
          <w:szCs w:val="22"/>
        </w:rPr>
        <w:t>0,8</w:t>
      </w:r>
      <w:r w:rsidRPr="001B56F0">
        <w:rPr>
          <w:rFonts w:ascii="Open Sans" w:hAnsi="Open Sans" w:cs="Open Sans"/>
          <w:color w:val="000000"/>
          <w:sz w:val="22"/>
          <w:szCs w:val="22"/>
        </w:rPr>
        <w:t>%</w:t>
      </w:r>
      <w:r>
        <w:rPr>
          <w:rFonts w:ascii="Open Sans" w:hAnsi="Open Sans" w:cs="Open Sans"/>
          <w:color w:val="000000"/>
          <w:sz w:val="22"/>
          <w:szCs w:val="22"/>
        </w:rPr>
        <w:t xml:space="preserve">) y </w:t>
      </w:r>
      <w:r w:rsidR="00A36A97" w:rsidRPr="00A36A97">
        <w:rPr>
          <w:rFonts w:ascii="Open Sans" w:hAnsi="Open Sans" w:cs="Open Sans"/>
          <w:color w:val="000000"/>
          <w:sz w:val="22"/>
          <w:szCs w:val="22"/>
        </w:rPr>
        <w:t xml:space="preserve">Castilla y León </w:t>
      </w:r>
      <w:r>
        <w:rPr>
          <w:rFonts w:ascii="Open Sans" w:hAnsi="Open Sans" w:cs="Open Sans"/>
          <w:sz w:val="22"/>
          <w:szCs w:val="22"/>
        </w:rPr>
        <w:t>(</w:t>
      </w:r>
      <w:r w:rsidRPr="001B56F0">
        <w:rPr>
          <w:rFonts w:ascii="Open Sans" w:hAnsi="Open Sans" w:cs="Open Sans"/>
          <w:color w:val="000000"/>
          <w:sz w:val="22"/>
          <w:szCs w:val="22"/>
        </w:rPr>
        <w:t>-</w:t>
      </w:r>
      <w:r w:rsidR="00A36A97">
        <w:rPr>
          <w:rFonts w:ascii="Open Sans" w:hAnsi="Open Sans" w:cs="Open Sans"/>
          <w:color w:val="000000"/>
          <w:sz w:val="22"/>
          <w:szCs w:val="22"/>
        </w:rPr>
        <w:t>0,1</w:t>
      </w:r>
      <w:r w:rsidRPr="001B56F0">
        <w:rPr>
          <w:rFonts w:ascii="Open Sans" w:hAnsi="Open Sans" w:cs="Open Sans"/>
          <w:color w:val="000000"/>
          <w:sz w:val="22"/>
          <w:szCs w:val="22"/>
        </w:rPr>
        <w:t>%</w:t>
      </w:r>
      <w:r>
        <w:rPr>
          <w:rFonts w:ascii="Open Sans" w:hAnsi="Open Sans" w:cs="Open Sans"/>
          <w:color w:val="000000"/>
          <w:sz w:val="22"/>
          <w:szCs w:val="22"/>
        </w:rPr>
        <w:t>).</w:t>
      </w:r>
    </w:p>
    <w:p w14:paraId="229DF03F" w14:textId="20165AA9" w:rsidR="000A6146" w:rsidRDefault="000A6146" w:rsidP="001B56F0">
      <w:pPr>
        <w:pStyle w:val="NormalWeb"/>
        <w:shd w:val="clear" w:color="auto" w:fill="FFFFFF"/>
        <w:spacing w:after="225" w:line="276" w:lineRule="auto"/>
        <w:ind w:right="-574"/>
        <w:jc w:val="both"/>
        <w:rPr>
          <w:rFonts w:ascii="Open Sans" w:hAnsi="Open Sans" w:cs="Open Sans"/>
          <w:color w:val="000000"/>
          <w:sz w:val="22"/>
          <w:szCs w:val="22"/>
        </w:rPr>
      </w:pPr>
    </w:p>
    <w:p w14:paraId="14A0BA99" w14:textId="77777777" w:rsidR="000A6146" w:rsidRDefault="000A6146" w:rsidP="001B56F0">
      <w:pPr>
        <w:pStyle w:val="NormalWeb"/>
        <w:shd w:val="clear" w:color="auto" w:fill="FFFFFF"/>
        <w:spacing w:after="225" w:line="276" w:lineRule="auto"/>
        <w:ind w:right="-574"/>
        <w:jc w:val="both"/>
        <w:rPr>
          <w:rFonts w:ascii="Open Sans" w:hAnsi="Open Sans" w:cs="Open Sans"/>
          <w:color w:val="000000"/>
          <w:sz w:val="22"/>
          <w:szCs w:val="22"/>
        </w:rPr>
      </w:pPr>
    </w:p>
    <w:p w14:paraId="71C8BCE7" w14:textId="570F7A1D" w:rsidR="00AA2566" w:rsidRDefault="00AA2566" w:rsidP="009004F0">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lastRenderedPageBreak/>
        <w:t xml:space="preserve">Comparativa del acumulativo </w:t>
      </w:r>
      <w:r w:rsidR="00B231C2">
        <w:rPr>
          <w:rFonts w:ascii="National" w:eastAsiaTheme="minorHAnsi" w:hAnsi="National" w:cstheme="minorBidi"/>
          <w:b/>
          <w:bCs/>
          <w:iCs/>
          <w:color w:val="303AB2"/>
          <w:sz w:val="30"/>
          <w:szCs w:val="180"/>
          <w:lang w:eastAsia="en-US"/>
        </w:rPr>
        <w:t xml:space="preserve">de la vivienda en venta </w:t>
      </w:r>
      <w:r w:rsidR="0037410B">
        <w:rPr>
          <w:rFonts w:ascii="National" w:eastAsiaTheme="minorHAnsi" w:hAnsi="National" w:cstheme="minorBidi"/>
          <w:b/>
          <w:bCs/>
          <w:iCs/>
          <w:color w:val="303AB2"/>
          <w:sz w:val="30"/>
          <w:szCs w:val="180"/>
          <w:lang w:eastAsia="en-US"/>
        </w:rPr>
        <w:t>en España</w:t>
      </w:r>
    </w:p>
    <w:p w14:paraId="79D1DAF3" w14:textId="0440AF61" w:rsidR="00B231C2" w:rsidRDefault="00197C54" w:rsidP="009004F0">
      <w:pPr>
        <w:pStyle w:val="NormalWeb"/>
        <w:shd w:val="clear" w:color="auto" w:fill="FFFFFF"/>
        <w:spacing w:after="225" w:line="276" w:lineRule="auto"/>
        <w:ind w:right="-574"/>
        <w:jc w:val="center"/>
        <w:rPr>
          <w:noProof/>
        </w:rPr>
      </w:pPr>
      <w:r>
        <w:rPr>
          <w:noProof/>
        </w:rPr>
        <w:drawing>
          <wp:inline distT="0" distB="0" distL="0" distR="0" wp14:anchorId="4094BD0F" wp14:editId="6A09DA65">
            <wp:extent cx="5396230" cy="2240915"/>
            <wp:effectExtent l="0" t="0" r="0" b="6985"/>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14"/>
                    <a:stretch>
                      <a:fillRect/>
                    </a:stretch>
                  </pic:blipFill>
                  <pic:spPr>
                    <a:xfrm>
                      <a:off x="0" y="0"/>
                      <a:ext cx="5396230" cy="2240915"/>
                    </a:xfrm>
                    <a:prstGeom prst="rect">
                      <a:avLst/>
                    </a:prstGeom>
                  </pic:spPr>
                </pic:pic>
              </a:graphicData>
            </a:graphic>
          </wp:inline>
        </w:drawing>
      </w:r>
    </w:p>
    <w:p w14:paraId="78137B98" w14:textId="36B41D2D" w:rsidR="00B231C2" w:rsidRDefault="00B231C2" w:rsidP="009004F0">
      <w:pPr>
        <w:pStyle w:val="NormalWeb"/>
        <w:shd w:val="clear" w:color="auto" w:fill="FFFFFF"/>
        <w:spacing w:after="225" w:line="276" w:lineRule="auto"/>
        <w:ind w:right="-574"/>
        <w:jc w:val="center"/>
        <w:rPr>
          <w:noProof/>
        </w:rPr>
      </w:pPr>
      <w:r>
        <w:rPr>
          <w:noProof/>
        </w:rPr>
        <w:drawing>
          <wp:inline distT="0" distB="0" distL="0" distR="0" wp14:anchorId="758E0A5A" wp14:editId="42164849">
            <wp:extent cx="4015409" cy="170868"/>
            <wp:effectExtent l="0" t="0" r="444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9661" cy="195730"/>
                    </a:xfrm>
                    <a:prstGeom prst="rect">
                      <a:avLst/>
                    </a:prstGeom>
                  </pic:spPr>
                </pic:pic>
              </a:graphicData>
            </a:graphic>
          </wp:inline>
        </w:drawing>
      </w:r>
    </w:p>
    <w:p w14:paraId="6175B187" w14:textId="689853EB" w:rsidR="00ED419C" w:rsidRDefault="00197C54" w:rsidP="009004F0">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r>
        <w:rPr>
          <w:noProof/>
        </w:rPr>
        <w:drawing>
          <wp:inline distT="0" distB="0" distL="0" distR="0" wp14:anchorId="3B380238" wp14:editId="72B173A4">
            <wp:extent cx="5396230" cy="2255520"/>
            <wp:effectExtent l="0" t="0" r="0" b="0"/>
            <wp:docPr id="5" name="Imagen 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Mapa&#10;&#10;Descripción generada automáticamente"/>
                    <pic:cNvPicPr/>
                  </pic:nvPicPr>
                  <pic:blipFill>
                    <a:blip r:embed="rId16"/>
                    <a:stretch>
                      <a:fillRect/>
                    </a:stretch>
                  </pic:blipFill>
                  <pic:spPr>
                    <a:xfrm>
                      <a:off x="0" y="0"/>
                      <a:ext cx="5396230" cy="2255520"/>
                    </a:xfrm>
                    <a:prstGeom prst="rect">
                      <a:avLst/>
                    </a:prstGeom>
                  </pic:spPr>
                </pic:pic>
              </a:graphicData>
            </a:graphic>
          </wp:inline>
        </w:drawing>
      </w:r>
      <w:r w:rsidR="00B231C2">
        <w:rPr>
          <w:noProof/>
        </w:rPr>
        <w:drawing>
          <wp:inline distT="0" distB="0" distL="0" distR="0" wp14:anchorId="153B6C84" wp14:editId="23BECDC2">
            <wp:extent cx="4015409" cy="170868"/>
            <wp:effectExtent l="0" t="0" r="444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9661" cy="195730"/>
                    </a:xfrm>
                    <a:prstGeom prst="rect">
                      <a:avLst/>
                    </a:prstGeom>
                  </pic:spPr>
                </pic:pic>
              </a:graphicData>
            </a:graphic>
          </wp:inline>
        </w:drawing>
      </w:r>
    </w:p>
    <w:p w14:paraId="3DA9096E" w14:textId="5792F59D" w:rsidR="0014007A" w:rsidRDefault="0014007A" w:rsidP="0014007A">
      <w:pPr>
        <w:pStyle w:val="NormalWeb"/>
        <w:shd w:val="clear" w:color="auto" w:fill="FFFFFF"/>
        <w:spacing w:after="225" w:line="276" w:lineRule="auto"/>
        <w:ind w:right="-574"/>
        <w:jc w:val="both"/>
        <w:rPr>
          <w:rFonts w:ascii="Open Sans" w:hAnsi="Open Sans" w:cs="Open Sans"/>
          <w:color w:val="000000"/>
          <w:sz w:val="22"/>
          <w:szCs w:val="22"/>
        </w:rPr>
      </w:pPr>
      <w:r w:rsidRPr="0014007A">
        <w:rPr>
          <w:rFonts w:ascii="National" w:eastAsiaTheme="minorHAnsi" w:hAnsi="National" w:cstheme="minorBidi"/>
          <w:b/>
          <w:bCs/>
          <w:iCs/>
          <w:color w:val="303AB2"/>
          <w:sz w:val="30"/>
          <w:szCs w:val="180"/>
          <w:lang w:eastAsia="en-US"/>
        </w:rPr>
        <w:t xml:space="preserve">Por </w:t>
      </w:r>
      <w:r w:rsidR="00B54B63">
        <w:rPr>
          <w:rFonts w:ascii="National" w:eastAsiaTheme="minorHAnsi" w:hAnsi="National" w:cstheme="minorBidi"/>
          <w:b/>
          <w:bCs/>
          <w:iCs/>
          <w:color w:val="303AB2"/>
          <w:sz w:val="30"/>
          <w:szCs w:val="180"/>
          <w:lang w:eastAsia="en-US"/>
        </w:rPr>
        <w:t>capital</w:t>
      </w:r>
      <w:r w:rsidR="00AD3095">
        <w:rPr>
          <w:rFonts w:ascii="National" w:eastAsiaTheme="minorHAnsi" w:hAnsi="National" w:cstheme="minorBidi"/>
          <w:b/>
          <w:bCs/>
          <w:iCs/>
          <w:color w:val="303AB2"/>
          <w:sz w:val="30"/>
          <w:szCs w:val="180"/>
          <w:lang w:eastAsia="en-US"/>
        </w:rPr>
        <w:t>es de provincia</w:t>
      </w:r>
    </w:p>
    <w:p w14:paraId="42B192B0" w14:textId="4476029C" w:rsidR="00D00F1E" w:rsidRPr="000A6146" w:rsidRDefault="002564C0" w:rsidP="00CE563D">
      <w:pPr>
        <w:pStyle w:val="NormalWeb"/>
        <w:shd w:val="clear" w:color="auto" w:fill="FFFFFF"/>
        <w:spacing w:after="225" w:line="276" w:lineRule="auto"/>
        <w:ind w:right="-574"/>
        <w:jc w:val="both"/>
        <w:rPr>
          <w:rFonts w:ascii="Open Sans" w:hAnsi="Open Sans" w:cs="Open Sans"/>
          <w:sz w:val="22"/>
          <w:szCs w:val="22"/>
        </w:rPr>
      </w:pPr>
      <w:r w:rsidRPr="002564C0">
        <w:rPr>
          <w:rFonts w:ascii="Open Sans" w:hAnsi="Open Sans" w:cs="Open Sans"/>
          <w:color w:val="000000"/>
          <w:sz w:val="22"/>
          <w:szCs w:val="22"/>
        </w:rPr>
        <w:t>Palma de Mallorca</w:t>
      </w:r>
      <w:r>
        <w:rPr>
          <w:rFonts w:ascii="Open Sans" w:hAnsi="Open Sans" w:cs="Open Sans"/>
          <w:color w:val="000000"/>
          <w:sz w:val="22"/>
          <w:szCs w:val="22"/>
        </w:rPr>
        <w:t xml:space="preserve"> </w:t>
      </w:r>
      <w:r w:rsidR="00DB36B2">
        <w:rPr>
          <w:rFonts w:ascii="Open Sans" w:hAnsi="Open Sans" w:cs="Open Sans"/>
          <w:color w:val="000000"/>
          <w:sz w:val="22"/>
          <w:szCs w:val="22"/>
        </w:rPr>
        <w:t xml:space="preserve">es la única ciudad de España cuyo incremento acumulativo </w:t>
      </w:r>
      <w:r>
        <w:rPr>
          <w:rFonts w:ascii="Open Sans" w:hAnsi="Open Sans" w:cs="Open Sans"/>
          <w:color w:val="000000"/>
          <w:sz w:val="22"/>
          <w:szCs w:val="22"/>
        </w:rPr>
        <w:t xml:space="preserve">de la vivienda en venta </w:t>
      </w:r>
      <w:r w:rsidR="00F0228F">
        <w:rPr>
          <w:rFonts w:ascii="Open Sans" w:hAnsi="Open Sans" w:cs="Open Sans"/>
          <w:color w:val="000000"/>
          <w:sz w:val="22"/>
          <w:szCs w:val="22"/>
        </w:rPr>
        <w:t>alcanza el 6</w:t>
      </w:r>
      <w:r w:rsidR="00DB36B2">
        <w:rPr>
          <w:rFonts w:ascii="Open Sans" w:hAnsi="Open Sans" w:cs="Open Sans"/>
          <w:color w:val="000000"/>
          <w:sz w:val="22"/>
          <w:szCs w:val="22"/>
        </w:rPr>
        <w:t>0%</w:t>
      </w:r>
      <w:r w:rsidR="00F0228F">
        <w:rPr>
          <w:rFonts w:ascii="Open Sans" w:hAnsi="Open Sans" w:cs="Open Sans"/>
          <w:color w:val="000000"/>
          <w:sz w:val="22"/>
          <w:szCs w:val="22"/>
        </w:rPr>
        <w:t xml:space="preserve"> en junio</w:t>
      </w:r>
      <w:r w:rsidR="00DB36B2">
        <w:rPr>
          <w:rFonts w:ascii="Open Sans" w:hAnsi="Open Sans" w:cs="Open Sans"/>
          <w:color w:val="000000"/>
          <w:sz w:val="22"/>
          <w:szCs w:val="22"/>
        </w:rPr>
        <w:t xml:space="preserve"> de 202</w:t>
      </w:r>
      <w:r w:rsidR="00F0228F">
        <w:rPr>
          <w:rFonts w:ascii="Open Sans" w:hAnsi="Open Sans" w:cs="Open Sans"/>
          <w:color w:val="000000"/>
          <w:sz w:val="22"/>
          <w:szCs w:val="22"/>
        </w:rPr>
        <w:t>1</w:t>
      </w:r>
      <w:r w:rsidR="00DB36B2">
        <w:rPr>
          <w:rFonts w:ascii="Open Sans" w:hAnsi="Open Sans" w:cs="Open Sans"/>
          <w:color w:val="000000"/>
          <w:sz w:val="22"/>
          <w:szCs w:val="22"/>
        </w:rPr>
        <w:t xml:space="preserve"> respecto a</w:t>
      </w:r>
      <w:r w:rsidR="00F0228F">
        <w:rPr>
          <w:rFonts w:ascii="Open Sans" w:hAnsi="Open Sans" w:cs="Open Sans"/>
          <w:color w:val="000000"/>
          <w:sz w:val="22"/>
          <w:szCs w:val="22"/>
        </w:rPr>
        <w:t xml:space="preserve"> junio de</w:t>
      </w:r>
      <w:r w:rsidR="00DB36B2">
        <w:rPr>
          <w:rFonts w:ascii="Open Sans" w:hAnsi="Open Sans" w:cs="Open Sans"/>
          <w:color w:val="000000"/>
          <w:sz w:val="22"/>
          <w:szCs w:val="22"/>
        </w:rPr>
        <w:t xml:space="preserve"> 201</w:t>
      </w:r>
      <w:r w:rsidR="00F0228F">
        <w:rPr>
          <w:rFonts w:ascii="Open Sans" w:hAnsi="Open Sans" w:cs="Open Sans"/>
          <w:color w:val="000000"/>
          <w:sz w:val="22"/>
          <w:szCs w:val="22"/>
        </w:rPr>
        <w:t>6</w:t>
      </w:r>
      <w:r w:rsidR="00D00F1E">
        <w:rPr>
          <w:rFonts w:ascii="Open Sans" w:hAnsi="Open Sans" w:cs="Open Sans"/>
          <w:color w:val="000000"/>
          <w:sz w:val="22"/>
          <w:szCs w:val="22"/>
        </w:rPr>
        <w:t xml:space="preserve">, </w:t>
      </w:r>
      <w:r>
        <w:rPr>
          <w:rFonts w:ascii="Open Sans" w:hAnsi="Open Sans" w:cs="Open Sans"/>
          <w:color w:val="000000"/>
          <w:sz w:val="22"/>
          <w:szCs w:val="22"/>
        </w:rPr>
        <w:t xml:space="preserve">pero apenas se ha incrementado un </w:t>
      </w:r>
      <w:r w:rsidR="00F0228F">
        <w:rPr>
          <w:rFonts w:ascii="Open Sans" w:hAnsi="Open Sans" w:cs="Open Sans"/>
          <w:color w:val="000000"/>
          <w:sz w:val="22"/>
          <w:szCs w:val="22"/>
        </w:rPr>
        <w:t>5</w:t>
      </w:r>
      <w:r>
        <w:rPr>
          <w:rFonts w:ascii="Open Sans" w:hAnsi="Open Sans" w:cs="Open Sans"/>
          <w:color w:val="000000"/>
          <w:sz w:val="22"/>
          <w:szCs w:val="22"/>
        </w:rPr>
        <w:t xml:space="preserve">% respecto </w:t>
      </w:r>
      <w:r w:rsidR="00F0228F">
        <w:rPr>
          <w:rFonts w:ascii="Open Sans" w:hAnsi="Open Sans" w:cs="Open Sans"/>
          <w:color w:val="000000"/>
          <w:sz w:val="22"/>
          <w:szCs w:val="22"/>
        </w:rPr>
        <w:t>al mismo periodo de 2020</w:t>
      </w:r>
      <w:r>
        <w:rPr>
          <w:rFonts w:ascii="Open Sans" w:hAnsi="Open Sans" w:cs="Open Sans"/>
          <w:color w:val="000000"/>
          <w:sz w:val="22"/>
          <w:szCs w:val="22"/>
        </w:rPr>
        <w:t xml:space="preserve">, </w:t>
      </w:r>
      <w:r w:rsidR="00D00F1E">
        <w:rPr>
          <w:rFonts w:ascii="Open Sans" w:hAnsi="Open Sans" w:cs="Open Sans"/>
          <w:color w:val="000000"/>
          <w:sz w:val="22"/>
          <w:szCs w:val="22"/>
        </w:rPr>
        <w:t>según el</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estudio</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 xml:space="preserve">de </w:t>
      </w:r>
      <w:hyperlink r:id="rId17" w:history="1">
        <w:r w:rsidR="00D00F1E" w:rsidRPr="00132340">
          <w:rPr>
            <w:rStyle w:val="Hipervnculo"/>
            <w:rFonts w:ascii="Open Sans" w:hAnsi="Open Sans" w:cs="Open Sans"/>
            <w:sz w:val="22"/>
            <w:szCs w:val="22"/>
          </w:rPr>
          <w:t>Fotocasa</w:t>
        </w:r>
      </w:hyperlink>
      <w:r w:rsidR="00D00F1E" w:rsidRPr="00A909FF">
        <w:rPr>
          <w:rFonts w:ascii="Open Sans" w:hAnsi="Open Sans" w:cs="Open Sans"/>
          <w:sz w:val="22"/>
          <w:szCs w:val="22"/>
        </w:rPr>
        <w:t>.</w:t>
      </w:r>
      <w:r w:rsidR="00D00F1E">
        <w:rPr>
          <w:rFonts w:ascii="Open Sans" w:hAnsi="Open Sans" w:cs="Open Sans"/>
          <w:sz w:val="22"/>
          <w:szCs w:val="22"/>
        </w:rPr>
        <w:t xml:space="preserve"> </w:t>
      </w:r>
      <w:r w:rsidR="00E43CE5">
        <w:rPr>
          <w:rFonts w:ascii="Open Sans" w:hAnsi="Open Sans" w:cs="Open Sans"/>
          <w:sz w:val="22"/>
          <w:szCs w:val="22"/>
        </w:rPr>
        <w:t xml:space="preserve">Por una vivienda de 80 metros cuadrados en régimen de </w:t>
      </w:r>
      <w:r w:rsidR="00B231C2">
        <w:rPr>
          <w:rFonts w:ascii="Open Sans" w:hAnsi="Open Sans" w:cs="Open Sans"/>
          <w:color w:val="000000"/>
          <w:sz w:val="22"/>
          <w:szCs w:val="22"/>
        </w:rPr>
        <w:t>venta</w:t>
      </w:r>
      <w:r w:rsidR="00E43CE5">
        <w:rPr>
          <w:rFonts w:ascii="Open Sans" w:hAnsi="Open Sans" w:cs="Open Sans"/>
          <w:sz w:val="22"/>
          <w:szCs w:val="22"/>
        </w:rPr>
        <w:t xml:space="preserve"> en </w:t>
      </w:r>
      <w:r w:rsidRPr="002564C0">
        <w:rPr>
          <w:rFonts w:ascii="Open Sans" w:hAnsi="Open Sans" w:cs="Open Sans"/>
          <w:sz w:val="22"/>
          <w:szCs w:val="22"/>
        </w:rPr>
        <w:t>Palma de Mallorca</w:t>
      </w:r>
      <w:r>
        <w:rPr>
          <w:rFonts w:ascii="Open Sans" w:hAnsi="Open Sans" w:cs="Open Sans"/>
          <w:sz w:val="22"/>
          <w:szCs w:val="22"/>
        </w:rPr>
        <w:t xml:space="preserve"> </w:t>
      </w:r>
      <w:r w:rsidR="00E43CE5">
        <w:rPr>
          <w:rFonts w:ascii="Open Sans" w:hAnsi="Open Sans" w:cs="Open Sans"/>
          <w:sz w:val="22"/>
          <w:szCs w:val="22"/>
        </w:rPr>
        <w:t xml:space="preserve">se pagaba </w:t>
      </w:r>
      <w:r w:rsidR="00F0228F">
        <w:rPr>
          <w:rFonts w:ascii="Open Sans" w:hAnsi="Open Sans" w:cs="Open Sans"/>
          <w:sz w:val="22"/>
          <w:szCs w:val="22"/>
        </w:rPr>
        <w:t>156.447</w:t>
      </w:r>
      <w:r w:rsidR="00E43CE5">
        <w:rPr>
          <w:rFonts w:ascii="Open Sans" w:hAnsi="Open Sans" w:cs="Open Sans"/>
          <w:sz w:val="22"/>
          <w:szCs w:val="22"/>
        </w:rPr>
        <w:t xml:space="preserve"> euros hace 5 años (</w:t>
      </w:r>
      <w:r>
        <w:rPr>
          <w:rFonts w:ascii="Open Sans" w:hAnsi="Open Sans" w:cs="Open Sans"/>
          <w:sz w:val="22"/>
          <w:szCs w:val="22"/>
        </w:rPr>
        <w:t>1.</w:t>
      </w:r>
      <w:r w:rsidR="00F0228F">
        <w:rPr>
          <w:rFonts w:ascii="Open Sans" w:hAnsi="Open Sans" w:cs="Open Sans"/>
          <w:sz w:val="22"/>
          <w:szCs w:val="22"/>
        </w:rPr>
        <w:t>956</w:t>
      </w:r>
      <w:r>
        <w:rPr>
          <w:rFonts w:ascii="Open Sans" w:hAnsi="Open Sans" w:cs="Open Sans"/>
          <w:sz w:val="22"/>
          <w:szCs w:val="22"/>
        </w:rPr>
        <w:t xml:space="preserve"> </w:t>
      </w:r>
      <w:r w:rsidR="00E43CE5">
        <w:rPr>
          <w:rFonts w:ascii="Open Sans" w:hAnsi="Open Sans" w:cs="Open Sans"/>
          <w:sz w:val="22"/>
          <w:szCs w:val="22"/>
        </w:rPr>
        <w:t>€/m</w:t>
      </w:r>
      <w:r w:rsidR="00E43CE5" w:rsidRPr="00E43CE5">
        <w:rPr>
          <w:rFonts w:ascii="Open Sans" w:hAnsi="Open Sans" w:cs="Open Sans"/>
          <w:sz w:val="22"/>
          <w:szCs w:val="22"/>
          <w:vertAlign w:val="superscript"/>
        </w:rPr>
        <w:t>2</w:t>
      </w:r>
      <w:r w:rsidR="00E43CE5">
        <w:rPr>
          <w:rFonts w:ascii="Open Sans" w:hAnsi="Open Sans" w:cs="Open Sans"/>
          <w:sz w:val="22"/>
          <w:szCs w:val="22"/>
        </w:rPr>
        <w:t xml:space="preserve"> en</w:t>
      </w:r>
      <w:r w:rsidR="00540B00">
        <w:rPr>
          <w:rFonts w:ascii="Open Sans" w:hAnsi="Open Sans" w:cs="Open Sans"/>
          <w:sz w:val="22"/>
          <w:szCs w:val="22"/>
        </w:rPr>
        <w:t xml:space="preserve"> junio de</w:t>
      </w:r>
      <w:r w:rsidR="00E43CE5">
        <w:rPr>
          <w:rFonts w:ascii="Open Sans" w:hAnsi="Open Sans" w:cs="Open Sans"/>
          <w:sz w:val="22"/>
          <w:szCs w:val="22"/>
        </w:rPr>
        <w:t xml:space="preserve"> 201</w:t>
      </w:r>
      <w:r w:rsidR="00540B00">
        <w:rPr>
          <w:rFonts w:ascii="Open Sans" w:hAnsi="Open Sans" w:cs="Open Sans"/>
          <w:sz w:val="22"/>
          <w:szCs w:val="22"/>
        </w:rPr>
        <w:t>6</w:t>
      </w:r>
      <w:r w:rsidR="00E43CE5">
        <w:rPr>
          <w:rFonts w:ascii="Open Sans" w:hAnsi="Open Sans" w:cs="Open Sans"/>
          <w:sz w:val="22"/>
          <w:szCs w:val="22"/>
        </w:rPr>
        <w:t>), mientras que en 202</w:t>
      </w:r>
      <w:r w:rsidR="00540B00">
        <w:rPr>
          <w:rFonts w:ascii="Open Sans" w:hAnsi="Open Sans" w:cs="Open Sans"/>
          <w:sz w:val="22"/>
          <w:szCs w:val="22"/>
        </w:rPr>
        <w:t>1</w:t>
      </w:r>
      <w:r w:rsidR="00E43CE5">
        <w:rPr>
          <w:rFonts w:ascii="Open Sans" w:hAnsi="Open Sans" w:cs="Open Sans"/>
          <w:sz w:val="22"/>
          <w:szCs w:val="22"/>
        </w:rPr>
        <w:t xml:space="preserve"> se ha pagado </w:t>
      </w:r>
      <w:r w:rsidR="00540B00">
        <w:rPr>
          <w:rFonts w:ascii="Open Sans" w:hAnsi="Open Sans" w:cs="Open Sans"/>
          <w:sz w:val="22"/>
          <w:szCs w:val="22"/>
        </w:rPr>
        <w:t>250.168</w:t>
      </w:r>
      <w:r>
        <w:rPr>
          <w:rFonts w:ascii="Open Sans" w:hAnsi="Open Sans" w:cs="Open Sans"/>
          <w:sz w:val="22"/>
          <w:szCs w:val="22"/>
        </w:rPr>
        <w:t xml:space="preserve"> </w:t>
      </w:r>
      <w:r w:rsidR="00E43CE5">
        <w:rPr>
          <w:rFonts w:ascii="Open Sans" w:hAnsi="Open Sans" w:cs="Open Sans"/>
          <w:sz w:val="22"/>
          <w:szCs w:val="22"/>
        </w:rPr>
        <w:t>euros (</w:t>
      </w:r>
      <w:r w:rsidR="00540B00">
        <w:rPr>
          <w:rFonts w:ascii="Open Sans" w:hAnsi="Open Sans" w:cs="Open Sans"/>
          <w:sz w:val="22"/>
          <w:szCs w:val="22"/>
        </w:rPr>
        <w:t>3.127</w:t>
      </w:r>
      <w:r w:rsidR="00E43CE5">
        <w:rPr>
          <w:rFonts w:ascii="Open Sans" w:hAnsi="Open Sans" w:cs="Open Sans"/>
          <w:sz w:val="22"/>
          <w:szCs w:val="22"/>
        </w:rPr>
        <w:t xml:space="preserve"> €/m</w:t>
      </w:r>
      <w:r w:rsidR="00E43CE5" w:rsidRPr="00E43CE5">
        <w:rPr>
          <w:rFonts w:ascii="Open Sans" w:hAnsi="Open Sans" w:cs="Open Sans"/>
          <w:sz w:val="22"/>
          <w:szCs w:val="22"/>
          <w:vertAlign w:val="superscript"/>
        </w:rPr>
        <w:t>2</w:t>
      </w:r>
      <w:r w:rsidR="00E43CE5">
        <w:rPr>
          <w:rFonts w:ascii="Open Sans" w:hAnsi="Open Sans" w:cs="Open Sans"/>
          <w:sz w:val="22"/>
          <w:szCs w:val="22"/>
        </w:rPr>
        <w:t xml:space="preserve"> en </w:t>
      </w:r>
      <w:r w:rsidR="00540B00">
        <w:rPr>
          <w:rFonts w:ascii="Open Sans" w:hAnsi="Open Sans" w:cs="Open Sans"/>
          <w:sz w:val="22"/>
          <w:szCs w:val="22"/>
        </w:rPr>
        <w:t xml:space="preserve">junio de </w:t>
      </w:r>
      <w:r w:rsidR="00E43CE5">
        <w:rPr>
          <w:rFonts w:ascii="Open Sans" w:hAnsi="Open Sans" w:cs="Open Sans"/>
          <w:sz w:val="22"/>
          <w:szCs w:val="22"/>
        </w:rPr>
        <w:t>20</w:t>
      </w:r>
      <w:r w:rsidR="00B772CA">
        <w:rPr>
          <w:rFonts w:ascii="Open Sans" w:hAnsi="Open Sans" w:cs="Open Sans"/>
          <w:sz w:val="22"/>
          <w:szCs w:val="22"/>
        </w:rPr>
        <w:t>2</w:t>
      </w:r>
      <w:r w:rsidR="00540B00">
        <w:rPr>
          <w:rFonts w:ascii="Open Sans" w:hAnsi="Open Sans" w:cs="Open Sans"/>
          <w:sz w:val="22"/>
          <w:szCs w:val="22"/>
        </w:rPr>
        <w:t>1</w:t>
      </w:r>
      <w:r w:rsidR="00E43CE5">
        <w:rPr>
          <w:rFonts w:ascii="Open Sans" w:hAnsi="Open Sans" w:cs="Open Sans"/>
          <w:sz w:val="22"/>
          <w:szCs w:val="22"/>
        </w:rPr>
        <w:t>).</w:t>
      </w:r>
    </w:p>
    <w:p w14:paraId="115C3863" w14:textId="5897EAA2" w:rsidR="005E5649" w:rsidRDefault="00D00F1E" w:rsidP="005E5649">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Las diez ciudades con mayor incremento acumulativo de </w:t>
      </w:r>
      <w:r w:rsidR="00B231C2">
        <w:rPr>
          <w:rFonts w:ascii="Open Sans" w:hAnsi="Open Sans" w:cs="Open Sans"/>
          <w:color w:val="000000"/>
          <w:sz w:val="22"/>
          <w:szCs w:val="22"/>
        </w:rPr>
        <w:t>venta</w:t>
      </w:r>
      <w:r w:rsidR="00B231C2" w:rsidRPr="008376CF">
        <w:rPr>
          <w:rFonts w:ascii="Open Sans" w:hAnsi="Open Sans" w:cs="Open Sans"/>
          <w:color w:val="000000"/>
          <w:sz w:val="22"/>
          <w:szCs w:val="22"/>
        </w:rPr>
        <w:t xml:space="preserve"> </w:t>
      </w:r>
      <w:r>
        <w:rPr>
          <w:rFonts w:ascii="Open Sans" w:hAnsi="Open Sans" w:cs="Open Sans"/>
          <w:sz w:val="22"/>
          <w:szCs w:val="22"/>
        </w:rPr>
        <w:t xml:space="preserve">en España </w:t>
      </w:r>
      <w:r w:rsidR="002564C0">
        <w:rPr>
          <w:rFonts w:ascii="Open Sans" w:hAnsi="Open Sans" w:cs="Open Sans"/>
          <w:sz w:val="22"/>
          <w:szCs w:val="22"/>
        </w:rPr>
        <w:t>los últimos 5 años (</w:t>
      </w:r>
      <w:r w:rsidR="005E5649">
        <w:rPr>
          <w:rFonts w:ascii="Open Sans" w:hAnsi="Open Sans" w:cs="Open Sans"/>
          <w:sz w:val="22"/>
          <w:szCs w:val="22"/>
        </w:rPr>
        <w:t>en</w:t>
      </w:r>
      <w:r w:rsidR="002564C0">
        <w:rPr>
          <w:rFonts w:ascii="Open Sans" w:hAnsi="Open Sans" w:cs="Open Sans"/>
          <w:sz w:val="22"/>
          <w:szCs w:val="22"/>
        </w:rPr>
        <w:t xml:space="preserve"> 201</w:t>
      </w:r>
      <w:r w:rsidR="005E5649">
        <w:rPr>
          <w:rFonts w:ascii="Open Sans" w:hAnsi="Open Sans" w:cs="Open Sans"/>
          <w:sz w:val="22"/>
          <w:szCs w:val="22"/>
        </w:rPr>
        <w:t>6</w:t>
      </w:r>
      <w:r w:rsidR="002564C0">
        <w:rPr>
          <w:rFonts w:ascii="Open Sans" w:hAnsi="Open Sans" w:cs="Open Sans"/>
          <w:sz w:val="22"/>
          <w:szCs w:val="22"/>
        </w:rPr>
        <w:t xml:space="preserve">) </w:t>
      </w:r>
      <w:r>
        <w:rPr>
          <w:rFonts w:ascii="Open Sans" w:hAnsi="Open Sans" w:cs="Open Sans"/>
          <w:sz w:val="22"/>
          <w:szCs w:val="22"/>
        </w:rPr>
        <w:t>son:</w:t>
      </w:r>
      <w:r w:rsidRPr="00CE563D">
        <w:rPr>
          <w:rFonts w:ascii="Open Sans" w:hAnsi="Open Sans" w:cs="Open Sans"/>
          <w:sz w:val="22"/>
          <w:szCs w:val="22"/>
        </w:rPr>
        <w:t xml:space="preserve"> </w:t>
      </w:r>
      <w:r w:rsidR="005E5649" w:rsidRPr="005E5649">
        <w:rPr>
          <w:rFonts w:ascii="Open Sans" w:hAnsi="Open Sans" w:cs="Open Sans"/>
          <w:sz w:val="22"/>
          <w:szCs w:val="22"/>
        </w:rPr>
        <w:t>Palma de Mallorca</w:t>
      </w:r>
      <w:r w:rsidR="005E5649">
        <w:rPr>
          <w:rFonts w:ascii="Open Sans" w:hAnsi="Open Sans" w:cs="Open Sans"/>
          <w:sz w:val="22"/>
          <w:szCs w:val="22"/>
        </w:rPr>
        <w:t xml:space="preserve"> con </w:t>
      </w:r>
      <w:r w:rsidR="005E5649" w:rsidRPr="005E5649">
        <w:rPr>
          <w:rFonts w:ascii="Open Sans" w:hAnsi="Open Sans" w:cs="Open Sans"/>
          <w:sz w:val="22"/>
          <w:szCs w:val="22"/>
        </w:rPr>
        <w:t>60%</w:t>
      </w:r>
      <w:r w:rsidR="005E5649">
        <w:rPr>
          <w:rFonts w:ascii="Open Sans" w:hAnsi="Open Sans" w:cs="Open Sans"/>
          <w:sz w:val="22"/>
          <w:szCs w:val="22"/>
        </w:rPr>
        <w:t xml:space="preserve">, </w:t>
      </w:r>
      <w:r w:rsidR="005E5649" w:rsidRPr="005E5649">
        <w:rPr>
          <w:rFonts w:ascii="Open Sans" w:hAnsi="Open Sans" w:cs="Open Sans"/>
          <w:sz w:val="22"/>
          <w:szCs w:val="22"/>
        </w:rPr>
        <w:t>Málaga capital</w:t>
      </w:r>
      <w:r w:rsidR="005E5649">
        <w:rPr>
          <w:rFonts w:ascii="Open Sans" w:hAnsi="Open Sans" w:cs="Open Sans"/>
          <w:sz w:val="22"/>
          <w:szCs w:val="22"/>
        </w:rPr>
        <w:t xml:space="preserve"> con </w:t>
      </w:r>
      <w:r w:rsidR="005E5649" w:rsidRPr="005E5649">
        <w:rPr>
          <w:rFonts w:ascii="Open Sans" w:hAnsi="Open Sans" w:cs="Open Sans"/>
          <w:sz w:val="22"/>
          <w:szCs w:val="22"/>
        </w:rPr>
        <w:t>43%</w:t>
      </w:r>
      <w:r w:rsidR="005E5649">
        <w:rPr>
          <w:rFonts w:ascii="Open Sans" w:hAnsi="Open Sans" w:cs="Open Sans"/>
          <w:sz w:val="22"/>
          <w:szCs w:val="22"/>
        </w:rPr>
        <w:t xml:space="preserve">, </w:t>
      </w:r>
      <w:r w:rsidR="005E5649" w:rsidRPr="005E5649">
        <w:rPr>
          <w:rFonts w:ascii="Open Sans" w:hAnsi="Open Sans" w:cs="Open Sans"/>
          <w:sz w:val="22"/>
          <w:szCs w:val="22"/>
        </w:rPr>
        <w:t>Madrid capital</w:t>
      </w:r>
      <w:r w:rsidR="005E5649">
        <w:rPr>
          <w:rFonts w:ascii="Open Sans" w:hAnsi="Open Sans" w:cs="Open Sans"/>
          <w:sz w:val="22"/>
          <w:szCs w:val="22"/>
        </w:rPr>
        <w:t xml:space="preserve"> en </w:t>
      </w:r>
      <w:r w:rsidR="005E5649" w:rsidRPr="005E5649">
        <w:rPr>
          <w:rFonts w:ascii="Open Sans" w:hAnsi="Open Sans" w:cs="Open Sans"/>
          <w:sz w:val="22"/>
          <w:szCs w:val="22"/>
        </w:rPr>
        <w:t>41%</w:t>
      </w:r>
      <w:r w:rsidR="005E5649">
        <w:rPr>
          <w:rFonts w:ascii="Open Sans" w:hAnsi="Open Sans" w:cs="Open Sans"/>
          <w:sz w:val="22"/>
          <w:szCs w:val="22"/>
        </w:rPr>
        <w:t xml:space="preserve">, </w:t>
      </w:r>
      <w:r w:rsidR="005E5649" w:rsidRPr="005E5649">
        <w:rPr>
          <w:rFonts w:ascii="Open Sans" w:hAnsi="Open Sans" w:cs="Open Sans"/>
          <w:sz w:val="22"/>
          <w:szCs w:val="22"/>
        </w:rPr>
        <w:t>Las Palmas de Gran Canaria</w:t>
      </w:r>
      <w:r w:rsidR="005E5649">
        <w:rPr>
          <w:rFonts w:ascii="Open Sans" w:hAnsi="Open Sans" w:cs="Open Sans"/>
          <w:sz w:val="22"/>
          <w:szCs w:val="22"/>
        </w:rPr>
        <w:t xml:space="preserve"> con </w:t>
      </w:r>
      <w:r w:rsidR="005E5649" w:rsidRPr="005E5649">
        <w:rPr>
          <w:rFonts w:ascii="Open Sans" w:hAnsi="Open Sans" w:cs="Open Sans"/>
          <w:sz w:val="22"/>
          <w:szCs w:val="22"/>
        </w:rPr>
        <w:t>33%</w:t>
      </w:r>
      <w:r w:rsidR="005E5649">
        <w:rPr>
          <w:rFonts w:ascii="Open Sans" w:hAnsi="Open Sans" w:cs="Open Sans"/>
          <w:sz w:val="22"/>
          <w:szCs w:val="22"/>
        </w:rPr>
        <w:t xml:space="preserve">, </w:t>
      </w:r>
      <w:r w:rsidR="005E5649" w:rsidRPr="005E5649">
        <w:rPr>
          <w:rFonts w:ascii="Open Sans" w:hAnsi="Open Sans" w:cs="Open Sans"/>
          <w:sz w:val="22"/>
          <w:szCs w:val="22"/>
        </w:rPr>
        <w:t xml:space="preserve">Donostia - San Sebastián </w:t>
      </w:r>
      <w:r w:rsidR="005E5649">
        <w:rPr>
          <w:rFonts w:ascii="Open Sans" w:hAnsi="Open Sans" w:cs="Open Sans"/>
          <w:sz w:val="22"/>
          <w:szCs w:val="22"/>
        </w:rPr>
        <w:t xml:space="preserve">con </w:t>
      </w:r>
      <w:r w:rsidR="005E5649" w:rsidRPr="005E5649">
        <w:rPr>
          <w:rFonts w:ascii="Open Sans" w:hAnsi="Open Sans" w:cs="Open Sans"/>
          <w:sz w:val="22"/>
          <w:szCs w:val="22"/>
        </w:rPr>
        <w:t>33%</w:t>
      </w:r>
      <w:r w:rsidR="005E5649">
        <w:rPr>
          <w:rFonts w:ascii="Open Sans" w:hAnsi="Open Sans" w:cs="Open Sans"/>
          <w:sz w:val="22"/>
          <w:szCs w:val="22"/>
        </w:rPr>
        <w:t xml:space="preserve">, </w:t>
      </w:r>
      <w:r w:rsidR="005E5649" w:rsidRPr="005E5649">
        <w:rPr>
          <w:rFonts w:ascii="Open Sans" w:hAnsi="Open Sans" w:cs="Open Sans"/>
          <w:sz w:val="22"/>
          <w:szCs w:val="22"/>
        </w:rPr>
        <w:t xml:space="preserve">Girona capital </w:t>
      </w:r>
      <w:r w:rsidR="005E5649">
        <w:rPr>
          <w:rFonts w:ascii="Open Sans" w:hAnsi="Open Sans" w:cs="Open Sans"/>
          <w:sz w:val="22"/>
          <w:szCs w:val="22"/>
        </w:rPr>
        <w:t xml:space="preserve">con </w:t>
      </w:r>
      <w:r w:rsidR="005E5649" w:rsidRPr="005E5649">
        <w:rPr>
          <w:rFonts w:ascii="Open Sans" w:hAnsi="Open Sans" w:cs="Open Sans"/>
          <w:sz w:val="22"/>
          <w:szCs w:val="22"/>
        </w:rPr>
        <w:t>32%</w:t>
      </w:r>
      <w:r w:rsidR="005E5649">
        <w:rPr>
          <w:rFonts w:ascii="Open Sans" w:hAnsi="Open Sans" w:cs="Open Sans"/>
          <w:sz w:val="22"/>
          <w:szCs w:val="22"/>
        </w:rPr>
        <w:t xml:space="preserve">, </w:t>
      </w:r>
      <w:r w:rsidR="005E5649" w:rsidRPr="005E5649">
        <w:rPr>
          <w:rFonts w:ascii="Open Sans" w:hAnsi="Open Sans" w:cs="Open Sans"/>
          <w:sz w:val="22"/>
          <w:szCs w:val="22"/>
        </w:rPr>
        <w:t xml:space="preserve">Vitoria </w:t>
      </w:r>
      <w:r w:rsidR="005E5649">
        <w:rPr>
          <w:rFonts w:ascii="Open Sans" w:hAnsi="Open Sans" w:cs="Open Sans"/>
          <w:sz w:val="22"/>
          <w:szCs w:val="22"/>
        </w:rPr>
        <w:t>–</w:t>
      </w:r>
      <w:r w:rsidR="005E5649" w:rsidRPr="005E5649">
        <w:rPr>
          <w:rFonts w:ascii="Open Sans" w:hAnsi="Open Sans" w:cs="Open Sans"/>
          <w:sz w:val="22"/>
          <w:szCs w:val="22"/>
        </w:rPr>
        <w:t xml:space="preserve"> Gasteiz</w:t>
      </w:r>
      <w:r w:rsidR="005E5649">
        <w:rPr>
          <w:rFonts w:ascii="Open Sans" w:hAnsi="Open Sans" w:cs="Open Sans"/>
          <w:sz w:val="22"/>
          <w:szCs w:val="22"/>
        </w:rPr>
        <w:t xml:space="preserve"> con </w:t>
      </w:r>
      <w:r w:rsidR="005E5649" w:rsidRPr="005E5649">
        <w:rPr>
          <w:rFonts w:ascii="Open Sans" w:hAnsi="Open Sans" w:cs="Open Sans"/>
          <w:sz w:val="22"/>
          <w:szCs w:val="22"/>
        </w:rPr>
        <w:t>29%</w:t>
      </w:r>
      <w:r w:rsidR="005E5649">
        <w:rPr>
          <w:rFonts w:ascii="Open Sans" w:hAnsi="Open Sans" w:cs="Open Sans"/>
          <w:sz w:val="22"/>
          <w:szCs w:val="22"/>
        </w:rPr>
        <w:t xml:space="preserve">, </w:t>
      </w:r>
      <w:r w:rsidR="005E5649" w:rsidRPr="005E5649">
        <w:rPr>
          <w:rFonts w:ascii="Open Sans" w:hAnsi="Open Sans" w:cs="Open Sans"/>
          <w:sz w:val="22"/>
          <w:szCs w:val="22"/>
        </w:rPr>
        <w:t xml:space="preserve">Valencia capital </w:t>
      </w:r>
      <w:r w:rsidR="005E5649">
        <w:rPr>
          <w:rFonts w:ascii="Open Sans" w:hAnsi="Open Sans" w:cs="Open Sans"/>
          <w:sz w:val="22"/>
          <w:szCs w:val="22"/>
        </w:rPr>
        <w:t xml:space="preserve">con </w:t>
      </w:r>
      <w:r w:rsidR="005E5649" w:rsidRPr="005E5649">
        <w:rPr>
          <w:rFonts w:ascii="Open Sans" w:hAnsi="Open Sans" w:cs="Open Sans"/>
          <w:sz w:val="22"/>
          <w:szCs w:val="22"/>
        </w:rPr>
        <w:t>29%</w:t>
      </w:r>
      <w:r w:rsidR="005E5649">
        <w:rPr>
          <w:rFonts w:ascii="Open Sans" w:hAnsi="Open Sans" w:cs="Open Sans"/>
          <w:sz w:val="22"/>
          <w:szCs w:val="22"/>
        </w:rPr>
        <w:t xml:space="preserve">, </w:t>
      </w:r>
      <w:r w:rsidR="005E5649" w:rsidRPr="005E5649">
        <w:rPr>
          <w:rFonts w:ascii="Open Sans" w:hAnsi="Open Sans" w:cs="Open Sans"/>
          <w:sz w:val="22"/>
          <w:szCs w:val="22"/>
        </w:rPr>
        <w:t xml:space="preserve">Pamplona / Iruña </w:t>
      </w:r>
      <w:r w:rsidR="005E5649">
        <w:rPr>
          <w:rFonts w:ascii="Open Sans" w:hAnsi="Open Sans" w:cs="Open Sans"/>
          <w:sz w:val="22"/>
          <w:szCs w:val="22"/>
        </w:rPr>
        <w:t xml:space="preserve">con </w:t>
      </w:r>
      <w:r w:rsidR="005E5649" w:rsidRPr="005E5649">
        <w:rPr>
          <w:rFonts w:ascii="Open Sans" w:hAnsi="Open Sans" w:cs="Open Sans"/>
          <w:sz w:val="22"/>
          <w:szCs w:val="22"/>
        </w:rPr>
        <w:lastRenderedPageBreak/>
        <w:t>28%</w:t>
      </w:r>
      <w:r w:rsidR="005E5649">
        <w:rPr>
          <w:rFonts w:ascii="Open Sans" w:hAnsi="Open Sans" w:cs="Open Sans"/>
          <w:sz w:val="22"/>
          <w:szCs w:val="22"/>
        </w:rPr>
        <w:t xml:space="preserve">, </w:t>
      </w:r>
      <w:r w:rsidR="005E5649" w:rsidRPr="005E5649">
        <w:rPr>
          <w:rFonts w:ascii="Open Sans" w:hAnsi="Open Sans" w:cs="Open Sans"/>
          <w:sz w:val="22"/>
          <w:szCs w:val="22"/>
        </w:rPr>
        <w:t>Barcelona capital</w:t>
      </w:r>
      <w:r w:rsidR="005E5649">
        <w:rPr>
          <w:rFonts w:ascii="Open Sans" w:hAnsi="Open Sans" w:cs="Open Sans"/>
          <w:sz w:val="22"/>
          <w:szCs w:val="22"/>
        </w:rPr>
        <w:t xml:space="preserve"> con </w:t>
      </w:r>
      <w:r w:rsidR="005E5649" w:rsidRPr="005E5649">
        <w:rPr>
          <w:rFonts w:ascii="Open Sans" w:hAnsi="Open Sans" w:cs="Open Sans"/>
          <w:sz w:val="22"/>
          <w:szCs w:val="22"/>
        </w:rPr>
        <w:t>23%</w:t>
      </w:r>
      <w:r w:rsidR="005E5649">
        <w:rPr>
          <w:rFonts w:ascii="Open Sans" w:hAnsi="Open Sans" w:cs="Open Sans"/>
          <w:sz w:val="22"/>
          <w:szCs w:val="22"/>
        </w:rPr>
        <w:t xml:space="preserve">, </w:t>
      </w:r>
      <w:r w:rsidR="005E5649" w:rsidRPr="005E5649">
        <w:rPr>
          <w:rFonts w:ascii="Open Sans" w:hAnsi="Open Sans" w:cs="Open Sans"/>
          <w:sz w:val="22"/>
          <w:szCs w:val="22"/>
        </w:rPr>
        <w:t>Cádiz capital</w:t>
      </w:r>
      <w:r w:rsidR="005E5649">
        <w:rPr>
          <w:rFonts w:ascii="Open Sans" w:hAnsi="Open Sans" w:cs="Open Sans"/>
          <w:sz w:val="22"/>
          <w:szCs w:val="22"/>
        </w:rPr>
        <w:t xml:space="preserve"> con </w:t>
      </w:r>
      <w:r w:rsidR="005E5649" w:rsidRPr="005E5649">
        <w:rPr>
          <w:rFonts w:ascii="Open Sans" w:hAnsi="Open Sans" w:cs="Open Sans"/>
          <w:sz w:val="22"/>
          <w:szCs w:val="22"/>
        </w:rPr>
        <w:t>22%</w:t>
      </w:r>
      <w:r w:rsidR="005E5649">
        <w:rPr>
          <w:rFonts w:ascii="Open Sans" w:hAnsi="Open Sans" w:cs="Open Sans"/>
          <w:sz w:val="22"/>
          <w:szCs w:val="22"/>
        </w:rPr>
        <w:t xml:space="preserve">, </w:t>
      </w:r>
      <w:r w:rsidR="005E5649" w:rsidRPr="005E5649">
        <w:rPr>
          <w:rFonts w:ascii="Open Sans" w:hAnsi="Open Sans" w:cs="Open Sans"/>
          <w:sz w:val="22"/>
          <w:szCs w:val="22"/>
        </w:rPr>
        <w:t xml:space="preserve">Logroño </w:t>
      </w:r>
      <w:r w:rsidR="005E5649">
        <w:rPr>
          <w:rFonts w:ascii="Open Sans" w:hAnsi="Open Sans" w:cs="Open Sans"/>
          <w:sz w:val="22"/>
          <w:szCs w:val="22"/>
        </w:rPr>
        <w:t xml:space="preserve">con </w:t>
      </w:r>
      <w:r w:rsidR="005E5649" w:rsidRPr="005E5649">
        <w:rPr>
          <w:rFonts w:ascii="Open Sans" w:hAnsi="Open Sans" w:cs="Open Sans"/>
          <w:sz w:val="22"/>
          <w:szCs w:val="22"/>
        </w:rPr>
        <w:t>21%</w:t>
      </w:r>
      <w:r w:rsidR="005E5649">
        <w:rPr>
          <w:rFonts w:ascii="Open Sans" w:hAnsi="Open Sans" w:cs="Open Sans"/>
          <w:sz w:val="22"/>
          <w:szCs w:val="22"/>
        </w:rPr>
        <w:t xml:space="preserve">, </w:t>
      </w:r>
      <w:r w:rsidR="005E5649" w:rsidRPr="005E5649">
        <w:rPr>
          <w:rFonts w:ascii="Open Sans" w:hAnsi="Open Sans" w:cs="Open Sans"/>
          <w:sz w:val="22"/>
          <w:szCs w:val="22"/>
        </w:rPr>
        <w:t>Sevilla capital</w:t>
      </w:r>
      <w:r w:rsidR="005E5649">
        <w:rPr>
          <w:rFonts w:ascii="Open Sans" w:hAnsi="Open Sans" w:cs="Open Sans"/>
          <w:sz w:val="22"/>
          <w:szCs w:val="22"/>
        </w:rPr>
        <w:t xml:space="preserve"> con </w:t>
      </w:r>
      <w:r w:rsidR="005E5649" w:rsidRPr="005E5649">
        <w:rPr>
          <w:rFonts w:ascii="Open Sans" w:hAnsi="Open Sans" w:cs="Open Sans"/>
          <w:sz w:val="22"/>
          <w:szCs w:val="22"/>
        </w:rPr>
        <w:t>21%</w:t>
      </w:r>
      <w:r w:rsidR="005E5649">
        <w:rPr>
          <w:rFonts w:ascii="Open Sans" w:hAnsi="Open Sans" w:cs="Open Sans"/>
          <w:sz w:val="22"/>
          <w:szCs w:val="22"/>
        </w:rPr>
        <w:t xml:space="preserve"> y </w:t>
      </w:r>
      <w:r w:rsidR="005E5649" w:rsidRPr="005E5649">
        <w:rPr>
          <w:rFonts w:ascii="Open Sans" w:hAnsi="Open Sans" w:cs="Open Sans"/>
          <w:sz w:val="22"/>
          <w:szCs w:val="22"/>
        </w:rPr>
        <w:t xml:space="preserve">Cáceres capital </w:t>
      </w:r>
      <w:r w:rsidR="005E5649">
        <w:rPr>
          <w:rFonts w:ascii="Open Sans" w:hAnsi="Open Sans" w:cs="Open Sans"/>
          <w:sz w:val="22"/>
          <w:szCs w:val="22"/>
        </w:rPr>
        <w:t xml:space="preserve">con </w:t>
      </w:r>
      <w:r w:rsidR="005E5649" w:rsidRPr="005E5649">
        <w:rPr>
          <w:rFonts w:ascii="Open Sans" w:hAnsi="Open Sans" w:cs="Open Sans"/>
          <w:sz w:val="22"/>
          <w:szCs w:val="22"/>
        </w:rPr>
        <w:t>21%</w:t>
      </w:r>
      <w:r w:rsidR="005E5649">
        <w:rPr>
          <w:rFonts w:ascii="Open Sans" w:hAnsi="Open Sans" w:cs="Open Sans"/>
          <w:sz w:val="22"/>
          <w:szCs w:val="22"/>
        </w:rPr>
        <w:t>.</w:t>
      </w:r>
    </w:p>
    <w:p w14:paraId="0C828559" w14:textId="0F3B061D" w:rsidR="005E5649" w:rsidRDefault="00D00F1E" w:rsidP="005E5649">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Por otro lado, las ciudades </w:t>
      </w:r>
      <w:r w:rsidR="004278CB">
        <w:rPr>
          <w:rFonts w:ascii="Open Sans" w:hAnsi="Open Sans" w:cs="Open Sans"/>
          <w:sz w:val="22"/>
          <w:szCs w:val="22"/>
        </w:rPr>
        <w:t>con descensos acumulativos en el precio de la vivienda en</w:t>
      </w:r>
      <w:r w:rsidR="00B231C2">
        <w:rPr>
          <w:rFonts w:ascii="Open Sans" w:hAnsi="Open Sans" w:cs="Open Sans"/>
          <w:sz w:val="22"/>
          <w:szCs w:val="22"/>
        </w:rPr>
        <w:t xml:space="preserve"> venta</w:t>
      </w:r>
      <w:r>
        <w:rPr>
          <w:rFonts w:ascii="Open Sans" w:hAnsi="Open Sans" w:cs="Open Sans"/>
          <w:sz w:val="22"/>
          <w:szCs w:val="22"/>
        </w:rPr>
        <w:t xml:space="preserve"> desde 201</w:t>
      </w:r>
      <w:r w:rsidR="005E5649">
        <w:rPr>
          <w:rFonts w:ascii="Open Sans" w:hAnsi="Open Sans" w:cs="Open Sans"/>
          <w:sz w:val="22"/>
          <w:szCs w:val="22"/>
        </w:rPr>
        <w:t>6</w:t>
      </w:r>
      <w:r>
        <w:rPr>
          <w:rFonts w:ascii="Open Sans" w:hAnsi="Open Sans" w:cs="Open Sans"/>
          <w:sz w:val="22"/>
          <w:szCs w:val="22"/>
        </w:rPr>
        <w:t xml:space="preserve"> son: </w:t>
      </w:r>
      <w:r w:rsidR="005E5649" w:rsidRPr="005E5649">
        <w:rPr>
          <w:rFonts w:ascii="Open Sans" w:hAnsi="Open Sans" w:cs="Open Sans"/>
          <w:sz w:val="22"/>
          <w:szCs w:val="22"/>
        </w:rPr>
        <w:t>Jaén capital</w:t>
      </w:r>
      <w:r w:rsidR="005E5649">
        <w:rPr>
          <w:rFonts w:ascii="Open Sans" w:hAnsi="Open Sans" w:cs="Open Sans"/>
          <w:sz w:val="22"/>
          <w:szCs w:val="22"/>
        </w:rPr>
        <w:t xml:space="preserve"> con </w:t>
      </w:r>
      <w:r w:rsidR="005E5649" w:rsidRPr="005E5649">
        <w:rPr>
          <w:rFonts w:ascii="Open Sans" w:hAnsi="Open Sans" w:cs="Open Sans"/>
          <w:sz w:val="22"/>
          <w:szCs w:val="22"/>
        </w:rPr>
        <w:t>-8,7%</w:t>
      </w:r>
      <w:r w:rsidR="005E5649">
        <w:rPr>
          <w:rFonts w:ascii="Open Sans" w:hAnsi="Open Sans" w:cs="Open Sans"/>
          <w:sz w:val="22"/>
          <w:szCs w:val="22"/>
        </w:rPr>
        <w:t xml:space="preserve">, </w:t>
      </w:r>
      <w:r w:rsidR="005E5649" w:rsidRPr="005E5649">
        <w:rPr>
          <w:rFonts w:ascii="Open Sans" w:hAnsi="Open Sans" w:cs="Open Sans"/>
          <w:sz w:val="22"/>
          <w:szCs w:val="22"/>
        </w:rPr>
        <w:t>Teruel capital</w:t>
      </w:r>
      <w:r w:rsidR="005E5649">
        <w:rPr>
          <w:rFonts w:ascii="Open Sans" w:hAnsi="Open Sans" w:cs="Open Sans"/>
          <w:sz w:val="22"/>
          <w:szCs w:val="22"/>
        </w:rPr>
        <w:t xml:space="preserve"> con </w:t>
      </w:r>
      <w:r w:rsidR="005E5649" w:rsidRPr="005E5649">
        <w:rPr>
          <w:rFonts w:ascii="Open Sans" w:hAnsi="Open Sans" w:cs="Open Sans"/>
          <w:sz w:val="22"/>
          <w:szCs w:val="22"/>
        </w:rPr>
        <w:t>-7,0%</w:t>
      </w:r>
      <w:r w:rsidR="005E5649">
        <w:rPr>
          <w:rFonts w:ascii="Open Sans" w:hAnsi="Open Sans" w:cs="Open Sans"/>
          <w:sz w:val="22"/>
          <w:szCs w:val="22"/>
        </w:rPr>
        <w:t xml:space="preserve">, </w:t>
      </w:r>
      <w:r w:rsidR="005E5649" w:rsidRPr="005E5649">
        <w:rPr>
          <w:rFonts w:ascii="Open Sans" w:hAnsi="Open Sans" w:cs="Open Sans"/>
          <w:sz w:val="22"/>
          <w:szCs w:val="22"/>
        </w:rPr>
        <w:t xml:space="preserve">Zamora capital </w:t>
      </w:r>
      <w:r w:rsidR="005E5649">
        <w:rPr>
          <w:rFonts w:ascii="Open Sans" w:hAnsi="Open Sans" w:cs="Open Sans"/>
          <w:sz w:val="22"/>
          <w:szCs w:val="22"/>
        </w:rPr>
        <w:t>con</w:t>
      </w:r>
      <w:r w:rsidR="005E5649" w:rsidRPr="005E5649">
        <w:rPr>
          <w:rFonts w:ascii="Open Sans" w:hAnsi="Open Sans" w:cs="Open Sans"/>
          <w:sz w:val="22"/>
          <w:szCs w:val="22"/>
        </w:rPr>
        <w:t>-6,0%</w:t>
      </w:r>
      <w:r w:rsidR="005E5649">
        <w:rPr>
          <w:rFonts w:ascii="Open Sans" w:hAnsi="Open Sans" w:cs="Open Sans"/>
          <w:sz w:val="22"/>
          <w:szCs w:val="22"/>
        </w:rPr>
        <w:t xml:space="preserve">, </w:t>
      </w:r>
      <w:r w:rsidR="005E5649" w:rsidRPr="005E5649">
        <w:rPr>
          <w:rFonts w:ascii="Open Sans" w:hAnsi="Open Sans" w:cs="Open Sans"/>
          <w:sz w:val="22"/>
          <w:szCs w:val="22"/>
        </w:rPr>
        <w:t xml:space="preserve">Soria capital </w:t>
      </w:r>
      <w:r w:rsidR="005E5649">
        <w:rPr>
          <w:rFonts w:ascii="Open Sans" w:hAnsi="Open Sans" w:cs="Open Sans"/>
          <w:sz w:val="22"/>
          <w:szCs w:val="22"/>
        </w:rPr>
        <w:t>con</w:t>
      </w:r>
      <w:r w:rsidR="005E5649" w:rsidRPr="005E5649">
        <w:rPr>
          <w:rFonts w:ascii="Open Sans" w:hAnsi="Open Sans" w:cs="Open Sans"/>
          <w:sz w:val="22"/>
          <w:szCs w:val="22"/>
        </w:rPr>
        <w:t>-2,9%</w:t>
      </w:r>
      <w:r w:rsidR="005E5649">
        <w:rPr>
          <w:rFonts w:ascii="Open Sans" w:hAnsi="Open Sans" w:cs="Open Sans"/>
          <w:sz w:val="22"/>
          <w:szCs w:val="22"/>
        </w:rPr>
        <w:t xml:space="preserve">, </w:t>
      </w:r>
      <w:r w:rsidR="005E5649" w:rsidRPr="005E5649">
        <w:rPr>
          <w:rFonts w:ascii="Open Sans" w:hAnsi="Open Sans" w:cs="Open Sans"/>
          <w:sz w:val="22"/>
          <w:szCs w:val="22"/>
        </w:rPr>
        <w:t xml:space="preserve">Ávila capital </w:t>
      </w:r>
      <w:r w:rsidR="005E5649">
        <w:rPr>
          <w:rFonts w:ascii="Open Sans" w:hAnsi="Open Sans" w:cs="Open Sans"/>
          <w:sz w:val="22"/>
          <w:szCs w:val="22"/>
        </w:rPr>
        <w:t xml:space="preserve">con </w:t>
      </w:r>
      <w:r w:rsidR="005E5649" w:rsidRPr="005E5649">
        <w:rPr>
          <w:rFonts w:ascii="Open Sans" w:hAnsi="Open Sans" w:cs="Open Sans"/>
          <w:sz w:val="22"/>
          <w:szCs w:val="22"/>
        </w:rPr>
        <w:t>-2,7%</w:t>
      </w:r>
      <w:r w:rsidR="005E5649">
        <w:rPr>
          <w:rFonts w:ascii="Open Sans" w:hAnsi="Open Sans" w:cs="Open Sans"/>
          <w:sz w:val="22"/>
          <w:szCs w:val="22"/>
        </w:rPr>
        <w:t xml:space="preserve">, </w:t>
      </w:r>
      <w:r w:rsidR="005E5649" w:rsidRPr="005E5649">
        <w:rPr>
          <w:rFonts w:ascii="Open Sans" w:hAnsi="Open Sans" w:cs="Open Sans"/>
          <w:sz w:val="22"/>
          <w:szCs w:val="22"/>
        </w:rPr>
        <w:t xml:space="preserve">Almería capital </w:t>
      </w:r>
      <w:r w:rsidR="005E5649">
        <w:rPr>
          <w:rFonts w:ascii="Open Sans" w:hAnsi="Open Sans" w:cs="Open Sans"/>
          <w:sz w:val="22"/>
          <w:szCs w:val="22"/>
        </w:rPr>
        <w:t xml:space="preserve">con </w:t>
      </w:r>
      <w:r w:rsidR="005E5649" w:rsidRPr="005E5649">
        <w:rPr>
          <w:rFonts w:ascii="Open Sans" w:hAnsi="Open Sans" w:cs="Open Sans"/>
          <w:sz w:val="22"/>
          <w:szCs w:val="22"/>
        </w:rPr>
        <w:t>-1,4%</w:t>
      </w:r>
      <w:r w:rsidR="005E5649">
        <w:rPr>
          <w:rFonts w:ascii="Open Sans" w:hAnsi="Open Sans" w:cs="Open Sans"/>
          <w:sz w:val="22"/>
          <w:szCs w:val="22"/>
        </w:rPr>
        <w:t xml:space="preserve"> y </w:t>
      </w:r>
      <w:r w:rsidR="005E5649" w:rsidRPr="005E5649">
        <w:rPr>
          <w:rFonts w:ascii="Open Sans" w:hAnsi="Open Sans" w:cs="Open Sans"/>
          <w:sz w:val="22"/>
          <w:szCs w:val="22"/>
        </w:rPr>
        <w:t>Ciudad Real capital</w:t>
      </w:r>
      <w:r w:rsidR="005E5649">
        <w:rPr>
          <w:rFonts w:ascii="Open Sans" w:hAnsi="Open Sans" w:cs="Open Sans"/>
          <w:sz w:val="22"/>
          <w:szCs w:val="22"/>
        </w:rPr>
        <w:t xml:space="preserve"> con </w:t>
      </w:r>
      <w:r w:rsidR="005E5649" w:rsidRPr="005E5649">
        <w:rPr>
          <w:rFonts w:ascii="Open Sans" w:hAnsi="Open Sans" w:cs="Open Sans"/>
          <w:sz w:val="22"/>
          <w:szCs w:val="22"/>
        </w:rPr>
        <w:t>-1,3%</w:t>
      </w:r>
      <w:r w:rsidR="005E5649">
        <w:rPr>
          <w:rFonts w:ascii="Open Sans" w:hAnsi="Open Sans" w:cs="Open Sans"/>
          <w:sz w:val="22"/>
          <w:szCs w:val="22"/>
        </w:rPr>
        <w:t>.</w:t>
      </w:r>
    </w:p>
    <w:p w14:paraId="6DDFE6C3" w14:textId="23C6B460" w:rsidR="00A449CC" w:rsidRDefault="00B54B63" w:rsidP="002C1563">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Capital</w:t>
      </w:r>
      <w:r w:rsidR="00AD3095">
        <w:rPr>
          <w:rFonts w:ascii="National" w:hAnsi="National"/>
          <w:b/>
          <w:bCs/>
          <w:iCs/>
          <w:color w:val="303AB2"/>
          <w:sz w:val="28"/>
          <w:szCs w:val="160"/>
          <w:lang w:val="es-ES"/>
        </w:rPr>
        <w:t xml:space="preserve">es </w:t>
      </w:r>
      <w:r w:rsidR="00FB61E9">
        <w:rPr>
          <w:rFonts w:ascii="National" w:hAnsi="National"/>
          <w:b/>
          <w:bCs/>
          <w:iCs/>
          <w:color w:val="303AB2"/>
          <w:sz w:val="28"/>
          <w:szCs w:val="160"/>
          <w:lang w:val="es-ES"/>
        </w:rPr>
        <w:t>con p</w:t>
      </w:r>
      <w:r w:rsidR="00FB61E9" w:rsidRPr="00D82713">
        <w:rPr>
          <w:rFonts w:ascii="National" w:hAnsi="National"/>
          <w:b/>
          <w:bCs/>
          <w:iCs/>
          <w:color w:val="303AB2"/>
          <w:sz w:val="28"/>
          <w:szCs w:val="160"/>
          <w:lang w:val="es-ES"/>
        </w:rPr>
        <w:t xml:space="preserve">orcentaje (%) </w:t>
      </w:r>
      <w:r w:rsidR="00FB61E9" w:rsidRPr="004419C5">
        <w:rPr>
          <w:rFonts w:ascii="National" w:hAnsi="National"/>
          <w:b/>
          <w:bCs/>
          <w:iCs/>
          <w:color w:val="303AB2"/>
          <w:sz w:val="28"/>
          <w:szCs w:val="160"/>
          <w:lang w:val="es-ES"/>
        </w:rPr>
        <w:t>acumulativo</w:t>
      </w:r>
      <w:r w:rsidR="00FB61E9" w:rsidRPr="001C6AC4">
        <w:rPr>
          <w:rFonts w:ascii="National" w:hAnsi="National"/>
          <w:b/>
          <w:bCs/>
          <w:iCs/>
          <w:color w:val="FF0000"/>
          <w:sz w:val="28"/>
          <w:szCs w:val="160"/>
          <w:lang w:val="es-ES"/>
        </w:rPr>
        <w:t xml:space="preserve"> </w:t>
      </w:r>
    </w:p>
    <w:p w14:paraId="381EC2A0" w14:textId="77777777" w:rsidR="00E94830" w:rsidRDefault="00E94830" w:rsidP="002C1563">
      <w:pPr>
        <w:pStyle w:val="Prrafodelista"/>
        <w:spacing w:line="276" w:lineRule="auto"/>
        <w:ind w:left="0" w:right="-574"/>
        <w:jc w:val="center"/>
        <w:rPr>
          <w:rFonts w:ascii="National" w:hAnsi="National"/>
          <w:b/>
          <w:bCs/>
          <w:iCs/>
          <w:color w:val="303AB2"/>
          <w:sz w:val="30"/>
          <w:szCs w:val="180"/>
          <w:lang w:val="es-ES"/>
        </w:rPr>
      </w:pPr>
    </w:p>
    <w:tbl>
      <w:tblPr>
        <w:tblW w:w="903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117"/>
        <w:gridCol w:w="1701"/>
        <w:gridCol w:w="1701"/>
        <w:gridCol w:w="1701"/>
        <w:gridCol w:w="1814"/>
      </w:tblGrid>
      <w:tr w:rsidR="00C45CC5" w:rsidRPr="00F815F1" w14:paraId="73B9FF49" w14:textId="77777777" w:rsidTr="00926E61">
        <w:trPr>
          <w:trHeight w:val="772"/>
        </w:trPr>
        <w:tc>
          <w:tcPr>
            <w:tcW w:w="2117" w:type="dxa"/>
            <w:shd w:val="clear" w:color="auto" w:fill="ACB9CA"/>
            <w:vAlign w:val="center"/>
          </w:tcPr>
          <w:p w14:paraId="0737157A" w14:textId="122428D0" w:rsidR="00C45CC5" w:rsidRPr="00C45CC5" w:rsidRDefault="00C45CC5" w:rsidP="00C45CC5">
            <w:pPr>
              <w:rPr>
                <w:rFonts w:ascii="Open Sans" w:eastAsia="Times New Roman" w:hAnsi="Open Sans" w:cs="Open Sans"/>
                <w:color w:val="0D0D0D" w:themeColor="text1" w:themeTint="F2"/>
                <w:sz w:val="20"/>
                <w:szCs w:val="20"/>
                <w:lang w:val="es-ES" w:eastAsia="es-ES"/>
              </w:rPr>
            </w:pPr>
            <w:r w:rsidRPr="00C45CC5">
              <w:rPr>
                <w:rFonts w:ascii="Open Sans" w:eastAsia="Times New Roman" w:hAnsi="Open Sans" w:cs="Open Sans"/>
                <w:color w:val="0D0D0D" w:themeColor="text1" w:themeTint="F2"/>
                <w:sz w:val="20"/>
                <w:szCs w:val="20"/>
                <w:lang w:val="es-ES" w:eastAsia="es-ES"/>
              </w:rPr>
              <w:t>Ciudad</w:t>
            </w:r>
          </w:p>
        </w:tc>
        <w:tc>
          <w:tcPr>
            <w:tcW w:w="1701" w:type="dxa"/>
            <w:shd w:val="clear" w:color="auto" w:fill="ACB9CA"/>
          </w:tcPr>
          <w:p w14:paraId="73B22053" w14:textId="086C7F56" w:rsidR="00C45CC5" w:rsidRPr="00A060EF" w:rsidRDefault="00C45CC5" w:rsidP="00C45CC5">
            <w:pPr>
              <w:jc w:val="center"/>
              <w:rPr>
                <w:rFonts w:ascii="Open Sans" w:hAnsi="Open Sans" w:cs="Open Sans"/>
                <w:b/>
                <w:bCs/>
                <w:color w:val="0D0D0D" w:themeColor="text1" w:themeTint="F2"/>
                <w:sz w:val="20"/>
                <w:szCs w:val="20"/>
              </w:rPr>
            </w:pPr>
            <w:r w:rsidRPr="00C45CC5">
              <w:rPr>
                <w:rFonts w:ascii="Open Sans" w:hAnsi="Open Sans" w:cs="Open Sans"/>
                <w:color w:val="0D0D0D" w:themeColor="text1" w:themeTint="F2"/>
                <w:sz w:val="20"/>
                <w:szCs w:val="20"/>
              </w:rPr>
              <w:t xml:space="preserve">(%) Acumulativo      15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200</w:t>
            </w:r>
            <w:r>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701" w:type="dxa"/>
            <w:shd w:val="clear" w:color="auto" w:fill="ACB9CA"/>
            <w:vAlign w:val="center"/>
          </w:tcPr>
          <w:p w14:paraId="6C4A72A7" w14:textId="37CFF7D6" w:rsidR="00C45CC5" w:rsidRPr="00A060EF" w:rsidRDefault="00C45CC5" w:rsidP="00C45CC5">
            <w:pPr>
              <w:jc w:val="center"/>
              <w:rPr>
                <w:rFonts w:ascii="Open Sans" w:eastAsia="Times New Roman" w:hAnsi="Open Sans" w:cs="Open Sans"/>
                <w:b/>
                <w:bCs/>
                <w:color w:val="0D0D0D" w:themeColor="text1" w:themeTint="F2"/>
                <w:sz w:val="20"/>
                <w:szCs w:val="20"/>
                <w:lang w:val="es-ES" w:eastAsia="es-ES"/>
              </w:rPr>
            </w:pPr>
            <w:r w:rsidRPr="00C45CC5">
              <w:rPr>
                <w:rFonts w:ascii="Open Sans" w:hAnsi="Open Sans" w:cs="Open Sans"/>
                <w:color w:val="0D0D0D" w:themeColor="text1" w:themeTint="F2"/>
                <w:sz w:val="20"/>
                <w:szCs w:val="20"/>
              </w:rPr>
              <w:t xml:space="preserve">(%) Acumulativo      10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201</w:t>
            </w:r>
            <w:r>
              <w:rPr>
                <w:rFonts w:ascii="Open Sans" w:hAnsi="Open Sans" w:cs="Open Sans"/>
                <w:color w:val="0D0D0D" w:themeColor="text1" w:themeTint="F2"/>
                <w:sz w:val="20"/>
                <w:szCs w:val="20"/>
              </w:rPr>
              <w:t>1</w:t>
            </w:r>
            <w:r w:rsidRPr="00C45CC5">
              <w:rPr>
                <w:rFonts w:ascii="Open Sans" w:hAnsi="Open Sans" w:cs="Open Sans"/>
                <w:color w:val="0D0D0D" w:themeColor="text1" w:themeTint="F2"/>
                <w:sz w:val="20"/>
                <w:szCs w:val="20"/>
              </w:rPr>
              <w:t>)</w:t>
            </w:r>
          </w:p>
        </w:tc>
        <w:tc>
          <w:tcPr>
            <w:tcW w:w="1701" w:type="dxa"/>
            <w:shd w:val="clear" w:color="auto" w:fill="ACB9CA"/>
            <w:vAlign w:val="center"/>
            <w:hideMark/>
          </w:tcPr>
          <w:p w14:paraId="673F8AD0" w14:textId="47A1AED4" w:rsidR="00C45CC5" w:rsidRPr="00A060EF" w:rsidRDefault="00C45CC5" w:rsidP="00C45CC5">
            <w:pPr>
              <w:jc w:val="center"/>
              <w:rPr>
                <w:rFonts w:ascii="Open Sans" w:eastAsia="Times New Roman" w:hAnsi="Open Sans" w:cs="Open Sans"/>
                <w:b/>
                <w:bCs/>
                <w:color w:val="0D0D0D" w:themeColor="text1" w:themeTint="F2"/>
                <w:sz w:val="20"/>
                <w:szCs w:val="20"/>
                <w:lang w:val="es-ES" w:eastAsia="es-ES"/>
              </w:rPr>
            </w:pPr>
            <w:r w:rsidRPr="00C45CC5">
              <w:rPr>
                <w:rFonts w:ascii="Open Sans" w:hAnsi="Open Sans" w:cs="Open Sans"/>
                <w:color w:val="0D0D0D" w:themeColor="text1" w:themeTint="F2"/>
                <w:sz w:val="20"/>
                <w:szCs w:val="20"/>
              </w:rPr>
              <w:t xml:space="preserve">(%) Acumulativo      5 años          </w:t>
            </w:r>
            <w:proofErr w:type="gramStart"/>
            <w:r w:rsidRPr="00C45CC5">
              <w:rPr>
                <w:rFonts w:ascii="Open Sans" w:hAnsi="Open Sans" w:cs="Open Sans"/>
                <w:color w:val="0D0D0D" w:themeColor="text1" w:themeTint="F2"/>
                <w:sz w:val="20"/>
                <w:szCs w:val="20"/>
              </w:rPr>
              <w:t xml:space="preserve">   (</w:t>
            </w:r>
            <w:proofErr w:type="gramEnd"/>
            <w:r w:rsidRPr="00C45CC5">
              <w:rPr>
                <w:rFonts w:ascii="Open Sans" w:hAnsi="Open Sans" w:cs="Open Sans"/>
                <w:color w:val="0D0D0D" w:themeColor="text1" w:themeTint="F2"/>
                <w:sz w:val="20"/>
                <w:szCs w:val="20"/>
              </w:rPr>
              <w:t>2021 vs 201</w:t>
            </w:r>
            <w:r>
              <w:rPr>
                <w:rFonts w:ascii="Open Sans" w:hAnsi="Open Sans" w:cs="Open Sans"/>
                <w:color w:val="0D0D0D" w:themeColor="text1" w:themeTint="F2"/>
                <w:sz w:val="20"/>
                <w:szCs w:val="20"/>
              </w:rPr>
              <w:t>6</w:t>
            </w:r>
            <w:r w:rsidRPr="00C45CC5">
              <w:rPr>
                <w:rFonts w:ascii="Open Sans" w:hAnsi="Open Sans" w:cs="Open Sans"/>
                <w:color w:val="0D0D0D" w:themeColor="text1" w:themeTint="F2"/>
                <w:sz w:val="20"/>
                <w:szCs w:val="20"/>
              </w:rPr>
              <w:t>)</w:t>
            </w:r>
          </w:p>
        </w:tc>
        <w:tc>
          <w:tcPr>
            <w:tcW w:w="1814" w:type="dxa"/>
            <w:shd w:val="clear" w:color="auto" w:fill="ACB9CA" w:themeFill="text2" w:themeFillTint="66"/>
            <w:vAlign w:val="center"/>
          </w:tcPr>
          <w:p w14:paraId="1ABBF981" w14:textId="77777777" w:rsidR="00C45CC5" w:rsidRDefault="00C45CC5" w:rsidP="00C45CC5">
            <w:pPr>
              <w:jc w:val="center"/>
              <w:rPr>
                <w:rFonts w:ascii="Open Sans" w:hAnsi="Open Sans" w:cs="Open Sans"/>
                <w:color w:val="0D0D0D" w:themeColor="text1" w:themeTint="F2"/>
                <w:sz w:val="20"/>
                <w:szCs w:val="20"/>
              </w:rPr>
            </w:pPr>
            <w:r w:rsidRPr="00C45CC5">
              <w:rPr>
                <w:rFonts w:ascii="Open Sans" w:hAnsi="Open Sans" w:cs="Open Sans"/>
                <w:color w:val="0D0D0D" w:themeColor="text1" w:themeTint="F2"/>
                <w:sz w:val="20"/>
                <w:szCs w:val="20"/>
              </w:rPr>
              <w:t xml:space="preserve">(%) Acumulativo      1 año         </w:t>
            </w:r>
          </w:p>
          <w:p w14:paraId="0BBD2ED3" w14:textId="75856D38" w:rsidR="00C45CC5" w:rsidRPr="00A060EF" w:rsidRDefault="00C45CC5" w:rsidP="00C45CC5">
            <w:pPr>
              <w:jc w:val="center"/>
              <w:rPr>
                <w:rFonts w:ascii="Open Sans" w:hAnsi="Open Sans" w:cs="Open Sans"/>
                <w:b/>
                <w:bCs/>
                <w:color w:val="0D0D0D" w:themeColor="text1" w:themeTint="F2"/>
                <w:sz w:val="20"/>
                <w:szCs w:val="20"/>
              </w:rPr>
            </w:pPr>
            <w:r w:rsidRPr="00C45CC5">
              <w:rPr>
                <w:rFonts w:ascii="Open Sans" w:hAnsi="Open Sans" w:cs="Open Sans"/>
                <w:color w:val="0D0D0D" w:themeColor="text1" w:themeTint="F2"/>
                <w:sz w:val="20"/>
                <w:szCs w:val="20"/>
              </w:rPr>
              <w:t xml:space="preserve">   (2021 vs 20</w:t>
            </w:r>
            <w:r>
              <w:rPr>
                <w:rFonts w:ascii="Open Sans" w:hAnsi="Open Sans" w:cs="Open Sans"/>
                <w:color w:val="0D0D0D" w:themeColor="text1" w:themeTint="F2"/>
                <w:sz w:val="20"/>
                <w:szCs w:val="20"/>
              </w:rPr>
              <w:t>20</w:t>
            </w:r>
            <w:r w:rsidRPr="00C45CC5">
              <w:rPr>
                <w:rFonts w:ascii="Open Sans" w:hAnsi="Open Sans" w:cs="Open Sans"/>
                <w:color w:val="0D0D0D" w:themeColor="text1" w:themeTint="F2"/>
                <w:sz w:val="20"/>
                <w:szCs w:val="20"/>
              </w:rPr>
              <w:t>)</w:t>
            </w:r>
          </w:p>
        </w:tc>
      </w:tr>
      <w:tr w:rsidR="00C45CC5" w:rsidRPr="00F815F1" w14:paraId="54395A4E" w14:textId="77777777" w:rsidTr="00A060EF">
        <w:trPr>
          <w:trHeight w:val="226"/>
        </w:trPr>
        <w:tc>
          <w:tcPr>
            <w:tcW w:w="2117" w:type="dxa"/>
            <w:shd w:val="clear" w:color="auto" w:fill="auto"/>
            <w:vAlign w:val="bottom"/>
          </w:tcPr>
          <w:p w14:paraId="6FC70DA6" w14:textId="140CD673"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Palma de Mallorca</w:t>
            </w:r>
          </w:p>
        </w:tc>
        <w:tc>
          <w:tcPr>
            <w:tcW w:w="1701" w:type="dxa"/>
            <w:vAlign w:val="bottom"/>
          </w:tcPr>
          <w:p w14:paraId="6FCA0387" w14:textId="485CEEB2"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14%</w:t>
            </w:r>
          </w:p>
        </w:tc>
        <w:tc>
          <w:tcPr>
            <w:tcW w:w="1701" w:type="dxa"/>
            <w:vAlign w:val="bottom"/>
          </w:tcPr>
          <w:p w14:paraId="42639B75" w14:textId="5338279D"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37%</w:t>
            </w:r>
          </w:p>
        </w:tc>
        <w:tc>
          <w:tcPr>
            <w:tcW w:w="1701" w:type="dxa"/>
            <w:shd w:val="clear" w:color="auto" w:fill="auto"/>
            <w:vAlign w:val="bottom"/>
          </w:tcPr>
          <w:p w14:paraId="024F9E9D" w14:textId="4563E112"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60%</w:t>
            </w:r>
          </w:p>
        </w:tc>
        <w:tc>
          <w:tcPr>
            <w:tcW w:w="1814" w:type="dxa"/>
            <w:vAlign w:val="bottom"/>
          </w:tcPr>
          <w:p w14:paraId="4384AEF9" w14:textId="53BEDAAE"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5%</w:t>
            </w:r>
          </w:p>
        </w:tc>
      </w:tr>
      <w:tr w:rsidR="00C45CC5" w:rsidRPr="00F815F1" w14:paraId="77531F54" w14:textId="77777777" w:rsidTr="00A060EF">
        <w:trPr>
          <w:trHeight w:val="226"/>
        </w:trPr>
        <w:tc>
          <w:tcPr>
            <w:tcW w:w="2117" w:type="dxa"/>
            <w:shd w:val="clear" w:color="auto" w:fill="auto"/>
            <w:vAlign w:val="bottom"/>
          </w:tcPr>
          <w:p w14:paraId="351EA597" w14:textId="4BF200B6"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Málaga capital</w:t>
            </w:r>
          </w:p>
        </w:tc>
        <w:tc>
          <w:tcPr>
            <w:tcW w:w="1701" w:type="dxa"/>
            <w:vAlign w:val="bottom"/>
          </w:tcPr>
          <w:p w14:paraId="0AA73942" w14:textId="0E769886"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-12%</w:t>
            </w:r>
          </w:p>
        </w:tc>
        <w:tc>
          <w:tcPr>
            <w:tcW w:w="1701" w:type="dxa"/>
            <w:vAlign w:val="bottom"/>
          </w:tcPr>
          <w:p w14:paraId="73C3694B" w14:textId="28A7062D"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12%</w:t>
            </w:r>
          </w:p>
        </w:tc>
        <w:tc>
          <w:tcPr>
            <w:tcW w:w="1701" w:type="dxa"/>
            <w:shd w:val="clear" w:color="auto" w:fill="auto"/>
            <w:vAlign w:val="bottom"/>
          </w:tcPr>
          <w:p w14:paraId="2AAB617A" w14:textId="09072E28"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43%</w:t>
            </w:r>
          </w:p>
        </w:tc>
        <w:tc>
          <w:tcPr>
            <w:tcW w:w="1814" w:type="dxa"/>
            <w:vAlign w:val="bottom"/>
          </w:tcPr>
          <w:p w14:paraId="0BC74949" w14:textId="6B16BAD4"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0%</w:t>
            </w:r>
          </w:p>
        </w:tc>
      </w:tr>
      <w:tr w:rsidR="00C45CC5" w:rsidRPr="00F815F1" w14:paraId="65E83C97" w14:textId="77777777" w:rsidTr="00A060EF">
        <w:trPr>
          <w:trHeight w:val="226"/>
        </w:trPr>
        <w:tc>
          <w:tcPr>
            <w:tcW w:w="2117" w:type="dxa"/>
            <w:shd w:val="clear" w:color="auto" w:fill="auto"/>
            <w:vAlign w:val="bottom"/>
          </w:tcPr>
          <w:p w14:paraId="6B29A444" w14:textId="390D43EB"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Madrid capital</w:t>
            </w:r>
          </w:p>
        </w:tc>
        <w:tc>
          <w:tcPr>
            <w:tcW w:w="1701" w:type="dxa"/>
            <w:vAlign w:val="bottom"/>
          </w:tcPr>
          <w:p w14:paraId="24CD7EF2" w14:textId="418753A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-14%</w:t>
            </w:r>
          </w:p>
        </w:tc>
        <w:tc>
          <w:tcPr>
            <w:tcW w:w="1701" w:type="dxa"/>
            <w:vAlign w:val="bottom"/>
          </w:tcPr>
          <w:p w14:paraId="378FB64C" w14:textId="03FCD589"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16%</w:t>
            </w:r>
          </w:p>
        </w:tc>
        <w:tc>
          <w:tcPr>
            <w:tcW w:w="1701" w:type="dxa"/>
            <w:shd w:val="clear" w:color="auto" w:fill="auto"/>
            <w:vAlign w:val="bottom"/>
          </w:tcPr>
          <w:p w14:paraId="1F51432D" w14:textId="17B250F6"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41%</w:t>
            </w:r>
          </w:p>
        </w:tc>
        <w:tc>
          <w:tcPr>
            <w:tcW w:w="1814" w:type="dxa"/>
            <w:vAlign w:val="bottom"/>
          </w:tcPr>
          <w:p w14:paraId="0B8AC65B" w14:textId="4ADB2AE5"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1%</w:t>
            </w:r>
          </w:p>
        </w:tc>
      </w:tr>
      <w:tr w:rsidR="00C45CC5" w:rsidRPr="00F815F1" w14:paraId="04534D0A" w14:textId="77777777" w:rsidTr="00A060EF">
        <w:trPr>
          <w:trHeight w:val="226"/>
        </w:trPr>
        <w:tc>
          <w:tcPr>
            <w:tcW w:w="2117" w:type="dxa"/>
            <w:shd w:val="clear" w:color="auto" w:fill="auto"/>
            <w:vAlign w:val="bottom"/>
          </w:tcPr>
          <w:p w14:paraId="79DAA907" w14:textId="2E510F8D"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Las Palmas de Gran Canaria</w:t>
            </w:r>
          </w:p>
        </w:tc>
        <w:tc>
          <w:tcPr>
            <w:tcW w:w="1701" w:type="dxa"/>
            <w:vAlign w:val="bottom"/>
          </w:tcPr>
          <w:p w14:paraId="6120B224" w14:textId="65F35A37"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-8%</w:t>
            </w:r>
          </w:p>
        </w:tc>
        <w:tc>
          <w:tcPr>
            <w:tcW w:w="1701" w:type="dxa"/>
            <w:vAlign w:val="bottom"/>
          </w:tcPr>
          <w:p w14:paraId="549364C8" w14:textId="6FE2C207"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4%</w:t>
            </w:r>
          </w:p>
        </w:tc>
        <w:tc>
          <w:tcPr>
            <w:tcW w:w="1701" w:type="dxa"/>
            <w:shd w:val="clear" w:color="auto" w:fill="auto"/>
            <w:vAlign w:val="bottom"/>
          </w:tcPr>
          <w:p w14:paraId="358E3495" w14:textId="00FA910F"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33%</w:t>
            </w:r>
          </w:p>
        </w:tc>
        <w:tc>
          <w:tcPr>
            <w:tcW w:w="1814" w:type="dxa"/>
            <w:vAlign w:val="bottom"/>
          </w:tcPr>
          <w:p w14:paraId="2B840F7F" w14:textId="163990F5"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3%</w:t>
            </w:r>
          </w:p>
        </w:tc>
      </w:tr>
      <w:tr w:rsidR="00C45CC5" w:rsidRPr="00F815F1" w14:paraId="344BE44A" w14:textId="77777777" w:rsidTr="00A060EF">
        <w:trPr>
          <w:trHeight w:val="226"/>
        </w:trPr>
        <w:tc>
          <w:tcPr>
            <w:tcW w:w="2117" w:type="dxa"/>
            <w:shd w:val="clear" w:color="auto" w:fill="auto"/>
            <w:vAlign w:val="bottom"/>
          </w:tcPr>
          <w:p w14:paraId="605CFEC0" w14:textId="69192535"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Donostia - San Sebastián</w:t>
            </w:r>
          </w:p>
        </w:tc>
        <w:tc>
          <w:tcPr>
            <w:tcW w:w="1701" w:type="dxa"/>
            <w:vAlign w:val="bottom"/>
          </w:tcPr>
          <w:p w14:paraId="5C423836" w14:textId="28F9426B"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6AA5FEFD" w14:textId="07956671"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6%</w:t>
            </w:r>
          </w:p>
        </w:tc>
        <w:tc>
          <w:tcPr>
            <w:tcW w:w="1701" w:type="dxa"/>
            <w:shd w:val="clear" w:color="auto" w:fill="auto"/>
            <w:vAlign w:val="bottom"/>
          </w:tcPr>
          <w:p w14:paraId="7D3417AF" w14:textId="36833198"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33%</w:t>
            </w:r>
          </w:p>
        </w:tc>
        <w:tc>
          <w:tcPr>
            <w:tcW w:w="1814" w:type="dxa"/>
            <w:vAlign w:val="bottom"/>
          </w:tcPr>
          <w:p w14:paraId="527D845E" w14:textId="76A517AC"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2%</w:t>
            </w:r>
          </w:p>
        </w:tc>
      </w:tr>
      <w:tr w:rsidR="00C45CC5" w:rsidRPr="00F815F1" w14:paraId="6B40BC70" w14:textId="77777777" w:rsidTr="00A060EF">
        <w:trPr>
          <w:trHeight w:val="226"/>
        </w:trPr>
        <w:tc>
          <w:tcPr>
            <w:tcW w:w="2117" w:type="dxa"/>
            <w:shd w:val="clear" w:color="auto" w:fill="auto"/>
            <w:vAlign w:val="bottom"/>
          </w:tcPr>
          <w:p w14:paraId="3098FF15" w14:textId="387BAEA2"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Girona capital</w:t>
            </w:r>
          </w:p>
        </w:tc>
        <w:tc>
          <w:tcPr>
            <w:tcW w:w="1701" w:type="dxa"/>
            <w:vAlign w:val="bottom"/>
          </w:tcPr>
          <w:p w14:paraId="2AEC871F" w14:textId="6ABA0003"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-30%</w:t>
            </w:r>
          </w:p>
        </w:tc>
        <w:tc>
          <w:tcPr>
            <w:tcW w:w="1701" w:type="dxa"/>
            <w:vAlign w:val="bottom"/>
          </w:tcPr>
          <w:p w14:paraId="787E9859" w14:textId="0995D2C3"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-8%</w:t>
            </w:r>
          </w:p>
        </w:tc>
        <w:tc>
          <w:tcPr>
            <w:tcW w:w="1701" w:type="dxa"/>
            <w:shd w:val="clear" w:color="auto" w:fill="auto"/>
            <w:vAlign w:val="bottom"/>
          </w:tcPr>
          <w:p w14:paraId="2BA798BA" w14:textId="02B716B9"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32%</w:t>
            </w:r>
          </w:p>
        </w:tc>
        <w:tc>
          <w:tcPr>
            <w:tcW w:w="1814" w:type="dxa"/>
            <w:vAlign w:val="bottom"/>
          </w:tcPr>
          <w:p w14:paraId="579ADDED" w14:textId="2FD6CD82"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1%</w:t>
            </w:r>
          </w:p>
        </w:tc>
      </w:tr>
      <w:tr w:rsidR="00C45CC5" w:rsidRPr="00F815F1" w14:paraId="2A5D7941" w14:textId="77777777" w:rsidTr="00A060EF">
        <w:trPr>
          <w:trHeight w:val="226"/>
        </w:trPr>
        <w:tc>
          <w:tcPr>
            <w:tcW w:w="2117" w:type="dxa"/>
            <w:shd w:val="clear" w:color="auto" w:fill="auto"/>
            <w:vAlign w:val="bottom"/>
          </w:tcPr>
          <w:p w14:paraId="24D78602" w14:textId="7254F43B"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Vitoria - Gasteiz</w:t>
            </w:r>
          </w:p>
        </w:tc>
        <w:tc>
          <w:tcPr>
            <w:tcW w:w="1701" w:type="dxa"/>
            <w:vAlign w:val="bottom"/>
          </w:tcPr>
          <w:p w14:paraId="15B2589A" w14:textId="2BE097F7"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7B3CC859" w14:textId="02461E45"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-12%</w:t>
            </w:r>
          </w:p>
        </w:tc>
        <w:tc>
          <w:tcPr>
            <w:tcW w:w="1701" w:type="dxa"/>
            <w:shd w:val="clear" w:color="auto" w:fill="auto"/>
            <w:vAlign w:val="bottom"/>
          </w:tcPr>
          <w:p w14:paraId="65DF056D" w14:textId="4B86694F"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29%</w:t>
            </w:r>
          </w:p>
        </w:tc>
        <w:tc>
          <w:tcPr>
            <w:tcW w:w="1814" w:type="dxa"/>
            <w:vAlign w:val="bottom"/>
          </w:tcPr>
          <w:p w14:paraId="37E0139E" w14:textId="7F12A099"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5%</w:t>
            </w:r>
          </w:p>
        </w:tc>
      </w:tr>
      <w:tr w:rsidR="00C45CC5" w:rsidRPr="00F815F1" w14:paraId="471FB2E8" w14:textId="77777777" w:rsidTr="00A060EF">
        <w:trPr>
          <w:trHeight w:val="226"/>
        </w:trPr>
        <w:tc>
          <w:tcPr>
            <w:tcW w:w="2117" w:type="dxa"/>
            <w:shd w:val="clear" w:color="auto" w:fill="auto"/>
            <w:vAlign w:val="bottom"/>
          </w:tcPr>
          <w:p w14:paraId="5684F1B2" w14:textId="398DE5AF"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Valencia capital</w:t>
            </w:r>
          </w:p>
        </w:tc>
        <w:tc>
          <w:tcPr>
            <w:tcW w:w="1701" w:type="dxa"/>
            <w:vAlign w:val="bottom"/>
          </w:tcPr>
          <w:p w14:paraId="25DB7EEC" w14:textId="338A19BB"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-28%</w:t>
            </w:r>
          </w:p>
        </w:tc>
        <w:tc>
          <w:tcPr>
            <w:tcW w:w="1701" w:type="dxa"/>
            <w:vAlign w:val="bottom"/>
          </w:tcPr>
          <w:p w14:paraId="45391899" w14:textId="1C22CB90"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w:t>
            </w:r>
          </w:p>
        </w:tc>
        <w:tc>
          <w:tcPr>
            <w:tcW w:w="1701" w:type="dxa"/>
            <w:shd w:val="clear" w:color="auto" w:fill="auto"/>
            <w:vAlign w:val="bottom"/>
          </w:tcPr>
          <w:p w14:paraId="3A7184BE" w14:textId="4AD793DB"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29%</w:t>
            </w:r>
          </w:p>
        </w:tc>
        <w:tc>
          <w:tcPr>
            <w:tcW w:w="1814" w:type="dxa"/>
            <w:vAlign w:val="bottom"/>
          </w:tcPr>
          <w:p w14:paraId="2FFE3ABA" w14:textId="5829B862"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3%</w:t>
            </w:r>
          </w:p>
        </w:tc>
      </w:tr>
      <w:tr w:rsidR="00C45CC5" w:rsidRPr="00F815F1" w14:paraId="153EC312" w14:textId="77777777" w:rsidTr="00A060EF">
        <w:trPr>
          <w:trHeight w:val="226"/>
        </w:trPr>
        <w:tc>
          <w:tcPr>
            <w:tcW w:w="2117" w:type="dxa"/>
            <w:shd w:val="clear" w:color="auto" w:fill="auto"/>
            <w:vAlign w:val="bottom"/>
          </w:tcPr>
          <w:p w14:paraId="1B5D8512" w14:textId="144C74A8"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Pamplona / Iruña</w:t>
            </w:r>
          </w:p>
        </w:tc>
        <w:tc>
          <w:tcPr>
            <w:tcW w:w="1701" w:type="dxa"/>
            <w:vAlign w:val="bottom"/>
          </w:tcPr>
          <w:p w14:paraId="66F3F2B3" w14:textId="59DFA8C5"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-29%</w:t>
            </w:r>
          </w:p>
        </w:tc>
        <w:tc>
          <w:tcPr>
            <w:tcW w:w="1701" w:type="dxa"/>
            <w:vAlign w:val="bottom"/>
          </w:tcPr>
          <w:p w14:paraId="6DC6CA58" w14:textId="4E9C2BA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-10%</w:t>
            </w:r>
          </w:p>
        </w:tc>
        <w:tc>
          <w:tcPr>
            <w:tcW w:w="1701" w:type="dxa"/>
            <w:shd w:val="clear" w:color="auto" w:fill="auto"/>
            <w:vAlign w:val="bottom"/>
          </w:tcPr>
          <w:p w14:paraId="7E4D84C1" w14:textId="34E63D34"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28%</w:t>
            </w:r>
          </w:p>
        </w:tc>
        <w:tc>
          <w:tcPr>
            <w:tcW w:w="1814" w:type="dxa"/>
            <w:vAlign w:val="bottom"/>
          </w:tcPr>
          <w:p w14:paraId="7EEAEACD" w14:textId="081D18A1"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6%</w:t>
            </w:r>
          </w:p>
        </w:tc>
      </w:tr>
      <w:tr w:rsidR="00C45CC5" w:rsidRPr="00F815F1" w14:paraId="2FFB2759" w14:textId="77777777" w:rsidTr="00A060EF">
        <w:trPr>
          <w:trHeight w:val="226"/>
        </w:trPr>
        <w:tc>
          <w:tcPr>
            <w:tcW w:w="2117" w:type="dxa"/>
            <w:shd w:val="clear" w:color="auto" w:fill="auto"/>
            <w:vAlign w:val="bottom"/>
          </w:tcPr>
          <w:p w14:paraId="3ACB0B55" w14:textId="0377B04B"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Barcelona capital</w:t>
            </w:r>
          </w:p>
        </w:tc>
        <w:tc>
          <w:tcPr>
            <w:tcW w:w="1701" w:type="dxa"/>
            <w:vAlign w:val="bottom"/>
          </w:tcPr>
          <w:p w14:paraId="5B85FAF9" w14:textId="2E6EEBAF"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-13%</w:t>
            </w:r>
          </w:p>
        </w:tc>
        <w:tc>
          <w:tcPr>
            <w:tcW w:w="1701" w:type="dxa"/>
            <w:vAlign w:val="bottom"/>
          </w:tcPr>
          <w:p w14:paraId="1A7E8995" w14:textId="6ED38AED"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14%</w:t>
            </w:r>
          </w:p>
        </w:tc>
        <w:tc>
          <w:tcPr>
            <w:tcW w:w="1701" w:type="dxa"/>
            <w:shd w:val="clear" w:color="auto" w:fill="auto"/>
            <w:vAlign w:val="bottom"/>
          </w:tcPr>
          <w:p w14:paraId="0370DA78" w14:textId="516FE196"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23%</w:t>
            </w:r>
          </w:p>
        </w:tc>
        <w:tc>
          <w:tcPr>
            <w:tcW w:w="1814" w:type="dxa"/>
            <w:vAlign w:val="bottom"/>
          </w:tcPr>
          <w:p w14:paraId="1B79F00F" w14:textId="21ABB567"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-3%</w:t>
            </w:r>
          </w:p>
        </w:tc>
      </w:tr>
      <w:tr w:rsidR="00705AE7" w:rsidRPr="00F815F1" w14:paraId="46A34A81" w14:textId="77777777" w:rsidTr="00252721">
        <w:trPr>
          <w:trHeight w:val="226"/>
        </w:trPr>
        <w:tc>
          <w:tcPr>
            <w:tcW w:w="2117" w:type="dxa"/>
            <w:shd w:val="clear" w:color="auto" w:fill="auto"/>
            <w:vAlign w:val="bottom"/>
          </w:tcPr>
          <w:p w14:paraId="04D95982" w14:textId="65139A02"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Cádiz capital</w:t>
            </w:r>
          </w:p>
        </w:tc>
        <w:tc>
          <w:tcPr>
            <w:tcW w:w="1701" w:type="dxa"/>
          </w:tcPr>
          <w:p w14:paraId="39EF05AE" w14:textId="694CBD24" w:rsidR="00705AE7" w:rsidRPr="00F815F1" w:rsidRDefault="00705AE7" w:rsidP="00705AE7">
            <w:pPr>
              <w:jc w:val="center"/>
              <w:rPr>
                <w:rFonts w:ascii="Open Sans" w:hAnsi="Open Sans" w:cs="Open Sans"/>
                <w:color w:val="000000"/>
                <w:sz w:val="22"/>
                <w:szCs w:val="22"/>
              </w:rPr>
            </w:pPr>
            <w:r w:rsidRPr="00D357F5">
              <w:rPr>
                <w:rFonts w:ascii="Open Sans" w:hAnsi="Open Sans" w:cs="Open Sans"/>
                <w:color w:val="000000"/>
                <w:sz w:val="22"/>
                <w:szCs w:val="22"/>
              </w:rPr>
              <w:t>-</w:t>
            </w:r>
          </w:p>
        </w:tc>
        <w:tc>
          <w:tcPr>
            <w:tcW w:w="1701" w:type="dxa"/>
            <w:vAlign w:val="bottom"/>
          </w:tcPr>
          <w:p w14:paraId="214B8E32" w14:textId="4B61D5F2"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-9%</w:t>
            </w:r>
          </w:p>
        </w:tc>
        <w:tc>
          <w:tcPr>
            <w:tcW w:w="1701" w:type="dxa"/>
            <w:shd w:val="clear" w:color="auto" w:fill="auto"/>
            <w:vAlign w:val="bottom"/>
          </w:tcPr>
          <w:p w14:paraId="6A9ACFF4" w14:textId="1C7A371D" w:rsidR="00705AE7" w:rsidRPr="00F815F1" w:rsidRDefault="00705AE7" w:rsidP="00705AE7">
            <w:pPr>
              <w:jc w:val="center"/>
              <w:rPr>
                <w:rFonts w:ascii="Open Sans" w:hAnsi="Open Sans" w:cs="Open Sans"/>
                <w:color w:val="000000"/>
                <w:sz w:val="22"/>
                <w:szCs w:val="22"/>
              </w:rPr>
            </w:pPr>
            <w:r>
              <w:rPr>
                <w:rFonts w:ascii="Open Sans" w:hAnsi="Open Sans" w:cs="Open Sans"/>
                <w:color w:val="000000"/>
                <w:sz w:val="22"/>
                <w:szCs w:val="22"/>
              </w:rPr>
              <w:t>22%</w:t>
            </w:r>
          </w:p>
        </w:tc>
        <w:tc>
          <w:tcPr>
            <w:tcW w:w="1814" w:type="dxa"/>
            <w:vAlign w:val="bottom"/>
          </w:tcPr>
          <w:p w14:paraId="5028C1E5" w14:textId="1A3D313E" w:rsidR="00705AE7" w:rsidRPr="00F815F1" w:rsidRDefault="00705AE7" w:rsidP="00705AE7">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1%</w:t>
            </w:r>
          </w:p>
        </w:tc>
      </w:tr>
      <w:tr w:rsidR="00705AE7" w:rsidRPr="00F815F1" w14:paraId="2AC5530D" w14:textId="77777777" w:rsidTr="00252721">
        <w:trPr>
          <w:trHeight w:val="226"/>
        </w:trPr>
        <w:tc>
          <w:tcPr>
            <w:tcW w:w="2117" w:type="dxa"/>
            <w:shd w:val="clear" w:color="auto" w:fill="auto"/>
            <w:vAlign w:val="bottom"/>
          </w:tcPr>
          <w:p w14:paraId="7541A98B" w14:textId="20D67F7E"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Logroño</w:t>
            </w:r>
          </w:p>
        </w:tc>
        <w:tc>
          <w:tcPr>
            <w:tcW w:w="1701" w:type="dxa"/>
          </w:tcPr>
          <w:p w14:paraId="6BABE230" w14:textId="40010969" w:rsidR="00705AE7" w:rsidRPr="00F815F1" w:rsidRDefault="00705AE7" w:rsidP="00705AE7">
            <w:pPr>
              <w:jc w:val="center"/>
              <w:rPr>
                <w:rFonts w:ascii="Open Sans" w:hAnsi="Open Sans" w:cs="Open Sans"/>
                <w:color w:val="000000"/>
                <w:sz w:val="22"/>
                <w:szCs w:val="22"/>
              </w:rPr>
            </w:pPr>
            <w:r w:rsidRPr="00D357F5">
              <w:rPr>
                <w:rFonts w:ascii="Open Sans" w:hAnsi="Open Sans" w:cs="Open Sans"/>
                <w:color w:val="000000"/>
                <w:sz w:val="22"/>
                <w:szCs w:val="22"/>
              </w:rPr>
              <w:t>-</w:t>
            </w:r>
          </w:p>
        </w:tc>
        <w:tc>
          <w:tcPr>
            <w:tcW w:w="1701" w:type="dxa"/>
            <w:vAlign w:val="bottom"/>
          </w:tcPr>
          <w:p w14:paraId="73123A72" w14:textId="7AC3C83A"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-20%</w:t>
            </w:r>
          </w:p>
        </w:tc>
        <w:tc>
          <w:tcPr>
            <w:tcW w:w="1701" w:type="dxa"/>
            <w:shd w:val="clear" w:color="auto" w:fill="auto"/>
            <w:vAlign w:val="bottom"/>
          </w:tcPr>
          <w:p w14:paraId="1D592406" w14:textId="4FEF4C24" w:rsidR="00705AE7" w:rsidRPr="00F815F1" w:rsidRDefault="00705AE7" w:rsidP="00705AE7">
            <w:pPr>
              <w:jc w:val="center"/>
              <w:rPr>
                <w:rFonts w:ascii="Open Sans" w:hAnsi="Open Sans" w:cs="Open Sans"/>
                <w:color w:val="000000"/>
                <w:sz w:val="22"/>
                <w:szCs w:val="22"/>
              </w:rPr>
            </w:pPr>
            <w:r>
              <w:rPr>
                <w:rFonts w:ascii="Open Sans" w:hAnsi="Open Sans" w:cs="Open Sans"/>
                <w:color w:val="000000"/>
                <w:sz w:val="22"/>
                <w:szCs w:val="22"/>
              </w:rPr>
              <w:t>21%</w:t>
            </w:r>
          </w:p>
        </w:tc>
        <w:tc>
          <w:tcPr>
            <w:tcW w:w="1814" w:type="dxa"/>
            <w:vAlign w:val="bottom"/>
          </w:tcPr>
          <w:p w14:paraId="7FC7B059" w14:textId="47766161" w:rsidR="00705AE7" w:rsidRPr="00F815F1" w:rsidRDefault="00705AE7" w:rsidP="00705AE7">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2%</w:t>
            </w:r>
          </w:p>
        </w:tc>
      </w:tr>
      <w:tr w:rsidR="00C45CC5" w:rsidRPr="00F815F1" w14:paraId="5581BBA3" w14:textId="77777777" w:rsidTr="00A060EF">
        <w:trPr>
          <w:trHeight w:val="226"/>
        </w:trPr>
        <w:tc>
          <w:tcPr>
            <w:tcW w:w="2117" w:type="dxa"/>
            <w:shd w:val="clear" w:color="auto" w:fill="auto"/>
            <w:vAlign w:val="bottom"/>
          </w:tcPr>
          <w:p w14:paraId="4CF7E6EC" w14:textId="0CFF4839"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Sevilla capital</w:t>
            </w:r>
          </w:p>
        </w:tc>
        <w:tc>
          <w:tcPr>
            <w:tcW w:w="1701" w:type="dxa"/>
            <w:vAlign w:val="bottom"/>
          </w:tcPr>
          <w:p w14:paraId="7D25749E" w14:textId="66B6C041"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-18%</w:t>
            </w:r>
          </w:p>
        </w:tc>
        <w:tc>
          <w:tcPr>
            <w:tcW w:w="1701" w:type="dxa"/>
            <w:vAlign w:val="bottom"/>
          </w:tcPr>
          <w:p w14:paraId="5D62CA11" w14:textId="1EBA6626"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-13%</w:t>
            </w:r>
          </w:p>
        </w:tc>
        <w:tc>
          <w:tcPr>
            <w:tcW w:w="1701" w:type="dxa"/>
            <w:shd w:val="clear" w:color="auto" w:fill="auto"/>
            <w:vAlign w:val="bottom"/>
          </w:tcPr>
          <w:p w14:paraId="31EEE251" w14:textId="07F88E74"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21%</w:t>
            </w:r>
          </w:p>
        </w:tc>
        <w:tc>
          <w:tcPr>
            <w:tcW w:w="1814" w:type="dxa"/>
            <w:vAlign w:val="bottom"/>
          </w:tcPr>
          <w:p w14:paraId="346D05BC" w14:textId="23F67E00"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-1%</w:t>
            </w:r>
          </w:p>
        </w:tc>
      </w:tr>
      <w:tr w:rsidR="00C45CC5" w:rsidRPr="00F815F1" w14:paraId="2F9C0C46" w14:textId="77777777" w:rsidTr="00A060EF">
        <w:trPr>
          <w:trHeight w:val="226"/>
        </w:trPr>
        <w:tc>
          <w:tcPr>
            <w:tcW w:w="2117" w:type="dxa"/>
            <w:shd w:val="clear" w:color="auto" w:fill="auto"/>
            <w:vAlign w:val="bottom"/>
          </w:tcPr>
          <w:p w14:paraId="6FC6807A" w14:textId="004BAB95"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Cáceres capital</w:t>
            </w:r>
          </w:p>
        </w:tc>
        <w:tc>
          <w:tcPr>
            <w:tcW w:w="1701" w:type="dxa"/>
            <w:vAlign w:val="bottom"/>
          </w:tcPr>
          <w:p w14:paraId="5C7EC625" w14:textId="02D2DA3D"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2D3BCD05" w14:textId="0A8AA034"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-28%</w:t>
            </w:r>
          </w:p>
        </w:tc>
        <w:tc>
          <w:tcPr>
            <w:tcW w:w="1701" w:type="dxa"/>
            <w:shd w:val="clear" w:color="auto" w:fill="auto"/>
            <w:vAlign w:val="bottom"/>
          </w:tcPr>
          <w:p w14:paraId="6A3506AA" w14:textId="7DB950FA"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21%</w:t>
            </w:r>
          </w:p>
        </w:tc>
        <w:tc>
          <w:tcPr>
            <w:tcW w:w="1814" w:type="dxa"/>
            <w:vAlign w:val="bottom"/>
          </w:tcPr>
          <w:p w14:paraId="0F4D9D66" w14:textId="30CDB7BB"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2%</w:t>
            </w:r>
          </w:p>
        </w:tc>
      </w:tr>
      <w:tr w:rsidR="00C45CC5" w:rsidRPr="00F815F1" w14:paraId="780E7435" w14:textId="77777777" w:rsidTr="00A060EF">
        <w:trPr>
          <w:trHeight w:val="226"/>
        </w:trPr>
        <w:tc>
          <w:tcPr>
            <w:tcW w:w="2117" w:type="dxa"/>
            <w:shd w:val="clear" w:color="auto" w:fill="auto"/>
            <w:vAlign w:val="bottom"/>
          </w:tcPr>
          <w:p w14:paraId="74A386D0" w14:textId="58227363"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Tarragona capital</w:t>
            </w:r>
          </w:p>
        </w:tc>
        <w:tc>
          <w:tcPr>
            <w:tcW w:w="1701" w:type="dxa"/>
            <w:vAlign w:val="bottom"/>
          </w:tcPr>
          <w:p w14:paraId="1EAF54FE" w14:textId="455B487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-40%</w:t>
            </w:r>
          </w:p>
        </w:tc>
        <w:tc>
          <w:tcPr>
            <w:tcW w:w="1701" w:type="dxa"/>
            <w:vAlign w:val="bottom"/>
          </w:tcPr>
          <w:p w14:paraId="4077C981" w14:textId="36F6EC9F"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shd w:val="clear" w:color="auto" w:fill="auto"/>
            <w:vAlign w:val="bottom"/>
          </w:tcPr>
          <w:p w14:paraId="4E7A4217" w14:textId="6EDBC629"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17%</w:t>
            </w:r>
          </w:p>
        </w:tc>
        <w:tc>
          <w:tcPr>
            <w:tcW w:w="1814" w:type="dxa"/>
            <w:vAlign w:val="bottom"/>
          </w:tcPr>
          <w:p w14:paraId="4346393B" w14:textId="4D7EE06B"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0%</w:t>
            </w:r>
          </w:p>
        </w:tc>
      </w:tr>
      <w:tr w:rsidR="00C45CC5" w:rsidRPr="00F815F1" w14:paraId="6FC581CF" w14:textId="77777777" w:rsidTr="00A060EF">
        <w:trPr>
          <w:trHeight w:val="226"/>
        </w:trPr>
        <w:tc>
          <w:tcPr>
            <w:tcW w:w="2117" w:type="dxa"/>
            <w:shd w:val="clear" w:color="auto" w:fill="auto"/>
            <w:vAlign w:val="bottom"/>
          </w:tcPr>
          <w:p w14:paraId="06077781" w14:textId="7E80D601"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Lugo capital</w:t>
            </w:r>
          </w:p>
        </w:tc>
        <w:tc>
          <w:tcPr>
            <w:tcW w:w="1701" w:type="dxa"/>
            <w:vAlign w:val="bottom"/>
          </w:tcPr>
          <w:p w14:paraId="3D10A1B4" w14:textId="4C19577F"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678030AE" w14:textId="57707E8E"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-22%</w:t>
            </w:r>
          </w:p>
        </w:tc>
        <w:tc>
          <w:tcPr>
            <w:tcW w:w="1701" w:type="dxa"/>
            <w:shd w:val="clear" w:color="auto" w:fill="auto"/>
            <w:vAlign w:val="bottom"/>
          </w:tcPr>
          <w:p w14:paraId="3BD8727B" w14:textId="3DC21245"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17%</w:t>
            </w:r>
          </w:p>
        </w:tc>
        <w:tc>
          <w:tcPr>
            <w:tcW w:w="1814" w:type="dxa"/>
            <w:vAlign w:val="bottom"/>
          </w:tcPr>
          <w:p w14:paraId="79ACA867" w14:textId="1654E8BB"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12%</w:t>
            </w:r>
          </w:p>
        </w:tc>
      </w:tr>
      <w:tr w:rsidR="00C45CC5" w:rsidRPr="00F815F1" w14:paraId="42AA1CFA" w14:textId="77777777" w:rsidTr="00A060EF">
        <w:trPr>
          <w:trHeight w:val="226"/>
        </w:trPr>
        <w:tc>
          <w:tcPr>
            <w:tcW w:w="2117" w:type="dxa"/>
            <w:shd w:val="clear" w:color="auto" w:fill="auto"/>
            <w:vAlign w:val="bottom"/>
          </w:tcPr>
          <w:p w14:paraId="4E636C74" w14:textId="7EF551EF"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Granada capital</w:t>
            </w:r>
          </w:p>
        </w:tc>
        <w:tc>
          <w:tcPr>
            <w:tcW w:w="1701" w:type="dxa"/>
            <w:vAlign w:val="bottom"/>
          </w:tcPr>
          <w:p w14:paraId="38B3E5A7" w14:textId="57F340EA"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-28%</w:t>
            </w:r>
          </w:p>
        </w:tc>
        <w:tc>
          <w:tcPr>
            <w:tcW w:w="1701" w:type="dxa"/>
            <w:vAlign w:val="bottom"/>
          </w:tcPr>
          <w:p w14:paraId="57447295" w14:textId="7D9CCC5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-14%</w:t>
            </w:r>
          </w:p>
        </w:tc>
        <w:tc>
          <w:tcPr>
            <w:tcW w:w="1701" w:type="dxa"/>
            <w:shd w:val="clear" w:color="auto" w:fill="auto"/>
            <w:vAlign w:val="bottom"/>
          </w:tcPr>
          <w:p w14:paraId="77ECB32A" w14:textId="6CCE0CF9"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17%</w:t>
            </w:r>
          </w:p>
        </w:tc>
        <w:tc>
          <w:tcPr>
            <w:tcW w:w="1814" w:type="dxa"/>
            <w:vAlign w:val="bottom"/>
          </w:tcPr>
          <w:p w14:paraId="4EA247D2" w14:textId="7041F724"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0%</w:t>
            </w:r>
          </w:p>
        </w:tc>
      </w:tr>
      <w:tr w:rsidR="00C45CC5" w:rsidRPr="00F815F1" w14:paraId="5E163028" w14:textId="77777777" w:rsidTr="00A060EF">
        <w:trPr>
          <w:trHeight w:val="226"/>
        </w:trPr>
        <w:tc>
          <w:tcPr>
            <w:tcW w:w="2117" w:type="dxa"/>
            <w:shd w:val="clear" w:color="auto" w:fill="auto"/>
            <w:vAlign w:val="bottom"/>
          </w:tcPr>
          <w:p w14:paraId="48F8F501" w14:textId="76057B2E"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Segovia capital</w:t>
            </w:r>
          </w:p>
        </w:tc>
        <w:tc>
          <w:tcPr>
            <w:tcW w:w="1701" w:type="dxa"/>
            <w:vAlign w:val="bottom"/>
          </w:tcPr>
          <w:p w14:paraId="440B8116" w14:textId="7EF7D78F"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11DBF4D8" w14:textId="42ACD2F2"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shd w:val="clear" w:color="auto" w:fill="auto"/>
            <w:vAlign w:val="bottom"/>
          </w:tcPr>
          <w:p w14:paraId="3E4CAEE7" w14:textId="66465A8F"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15%</w:t>
            </w:r>
          </w:p>
        </w:tc>
        <w:tc>
          <w:tcPr>
            <w:tcW w:w="1814" w:type="dxa"/>
            <w:vAlign w:val="bottom"/>
          </w:tcPr>
          <w:p w14:paraId="1EDEA2BF" w14:textId="71D480AC"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6%</w:t>
            </w:r>
          </w:p>
        </w:tc>
      </w:tr>
      <w:tr w:rsidR="00C45CC5" w:rsidRPr="00F815F1" w14:paraId="72D3009F" w14:textId="77777777" w:rsidTr="00A060EF">
        <w:trPr>
          <w:trHeight w:val="226"/>
        </w:trPr>
        <w:tc>
          <w:tcPr>
            <w:tcW w:w="2117" w:type="dxa"/>
            <w:shd w:val="clear" w:color="auto" w:fill="auto"/>
            <w:vAlign w:val="bottom"/>
          </w:tcPr>
          <w:p w14:paraId="525A2295" w14:textId="5EC8FC10"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Santa Cruz de Tenerife capital</w:t>
            </w:r>
          </w:p>
        </w:tc>
        <w:tc>
          <w:tcPr>
            <w:tcW w:w="1701" w:type="dxa"/>
            <w:vAlign w:val="bottom"/>
          </w:tcPr>
          <w:p w14:paraId="7D2435B3" w14:textId="794D7E76"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-22%</w:t>
            </w:r>
          </w:p>
        </w:tc>
        <w:tc>
          <w:tcPr>
            <w:tcW w:w="1701" w:type="dxa"/>
            <w:vAlign w:val="bottom"/>
          </w:tcPr>
          <w:p w14:paraId="66ED8CD6" w14:textId="7789050E"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-17%</w:t>
            </w:r>
          </w:p>
        </w:tc>
        <w:tc>
          <w:tcPr>
            <w:tcW w:w="1701" w:type="dxa"/>
            <w:shd w:val="clear" w:color="auto" w:fill="auto"/>
            <w:vAlign w:val="bottom"/>
          </w:tcPr>
          <w:p w14:paraId="4240DE5C" w14:textId="67E9B4BC"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4D9F497C" w14:textId="7DC3A0ED"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-2%</w:t>
            </w:r>
          </w:p>
        </w:tc>
      </w:tr>
      <w:tr w:rsidR="00C45CC5" w:rsidRPr="00F815F1" w14:paraId="1D4BE3AC" w14:textId="77777777" w:rsidTr="00A060EF">
        <w:trPr>
          <w:trHeight w:val="226"/>
        </w:trPr>
        <w:tc>
          <w:tcPr>
            <w:tcW w:w="2117" w:type="dxa"/>
            <w:shd w:val="clear" w:color="auto" w:fill="auto"/>
            <w:vAlign w:val="bottom"/>
          </w:tcPr>
          <w:p w14:paraId="5BA3F284" w14:textId="07C0965E"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Bilbao</w:t>
            </w:r>
          </w:p>
        </w:tc>
        <w:tc>
          <w:tcPr>
            <w:tcW w:w="1701" w:type="dxa"/>
            <w:vAlign w:val="bottom"/>
          </w:tcPr>
          <w:p w14:paraId="664071B4" w14:textId="3814F1A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-19%</w:t>
            </w:r>
          </w:p>
        </w:tc>
        <w:tc>
          <w:tcPr>
            <w:tcW w:w="1701" w:type="dxa"/>
            <w:vAlign w:val="bottom"/>
          </w:tcPr>
          <w:p w14:paraId="3B9B9981" w14:textId="6BA233C6"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-13%</w:t>
            </w:r>
          </w:p>
        </w:tc>
        <w:tc>
          <w:tcPr>
            <w:tcW w:w="1701" w:type="dxa"/>
            <w:shd w:val="clear" w:color="auto" w:fill="auto"/>
            <w:vAlign w:val="bottom"/>
          </w:tcPr>
          <w:p w14:paraId="5B5CC4C0" w14:textId="1CD0DFE6"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10F4E041" w14:textId="332BC3F2"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0%</w:t>
            </w:r>
          </w:p>
        </w:tc>
      </w:tr>
      <w:tr w:rsidR="00C45CC5" w:rsidRPr="00F815F1" w14:paraId="532A49CC" w14:textId="77777777" w:rsidTr="00A060EF">
        <w:trPr>
          <w:trHeight w:val="226"/>
        </w:trPr>
        <w:tc>
          <w:tcPr>
            <w:tcW w:w="2117" w:type="dxa"/>
            <w:shd w:val="clear" w:color="auto" w:fill="auto"/>
            <w:vAlign w:val="bottom"/>
          </w:tcPr>
          <w:p w14:paraId="171947D2" w14:textId="1A569192"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Santander</w:t>
            </w:r>
          </w:p>
        </w:tc>
        <w:tc>
          <w:tcPr>
            <w:tcW w:w="1701" w:type="dxa"/>
            <w:vAlign w:val="bottom"/>
          </w:tcPr>
          <w:p w14:paraId="0F23EF3E" w14:textId="40B9353E"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-28%</w:t>
            </w:r>
          </w:p>
        </w:tc>
        <w:tc>
          <w:tcPr>
            <w:tcW w:w="1701" w:type="dxa"/>
            <w:vAlign w:val="bottom"/>
          </w:tcPr>
          <w:p w14:paraId="3FE4FB56" w14:textId="518E2F0A"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-21%</w:t>
            </w:r>
          </w:p>
        </w:tc>
        <w:tc>
          <w:tcPr>
            <w:tcW w:w="1701" w:type="dxa"/>
            <w:shd w:val="clear" w:color="auto" w:fill="auto"/>
            <w:vAlign w:val="bottom"/>
          </w:tcPr>
          <w:p w14:paraId="4E8AE6FC" w14:textId="2151A19B"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41CC3C18" w14:textId="5DA455C7"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4%</w:t>
            </w:r>
          </w:p>
        </w:tc>
      </w:tr>
      <w:tr w:rsidR="00C45CC5" w:rsidRPr="00F815F1" w14:paraId="303AEB61" w14:textId="77777777" w:rsidTr="00A060EF">
        <w:trPr>
          <w:trHeight w:val="226"/>
        </w:trPr>
        <w:tc>
          <w:tcPr>
            <w:tcW w:w="2117" w:type="dxa"/>
            <w:shd w:val="clear" w:color="auto" w:fill="auto"/>
            <w:vAlign w:val="bottom"/>
          </w:tcPr>
          <w:p w14:paraId="672249C0" w14:textId="5FF7DEC1"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Cuenca capital</w:t>
            </w:r>
          </w:p>
        </w:tc>
        <w:tc>
          <w:tcPr>
            <w:tcW w:w="1701" w:type="dxa"/>
            <w:vAlign w:val="bottom"/>
          </w:tcPr>
          <w:p w14:paraId="744D5D4E" w14:textId="74AA50D1"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29742ACF" w14:textId="1DAF9A9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shd w:val="clear" w:color="auto" w:fill="auto"/>
            <w:vAlign w:val="bottom"/>
          </w:tcPr>
          <w:p w14:paraId="689B1BCB" w14:textId="18844EA0"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2186175C" w14:textId="0C844F9D"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6%</w:t>
            </w:r>
          </w:p>
        </w:tc>
      </w:tr>
      <w:tr w:rsidR="00C45CC5" w:rsidRPr="00F815F1" w14:paraId="248E25DE" w14:textId="77777777" w:rsidTr="00A946DA">
        <w:trPr>
          <w:trHeight w:val="226"/>
        </w:trPr>
        <w:tc>
          <w:tcPr>
            <w:tcW w:w="2117" w:type="dxa"/>
            <w:shd w:val="clear" w:color="auto" w:fill="auto"/>
            <w:vAlign w:val="bottom"/>
          </w:tcPr>
          <w:p w14:paraId="378A6A08" w14:textId="2969A6EF"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 Coruña capital</w:t>
            </w:r>
          </w:p>
        </w:tc>
        <w:tc>
          <w:tcPr>
            <w:tcW w:w="1701" w:type="dxa"/>
            <w:vAlign w:val="bottom"/>
          </w:tcPr>
          <w:p w14:paraId="6A7324FD" w14:textId="4E95A42C"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w:t>
            </w:r>
          </w:p>
        </w:tc>
        <w:tc>
          <w:tcPr>
            <w:tcW w:w="1701" w:type="dxa"/>
            <w:vAlign w:val="bottom"/>
          </w:tcPr>
          <w:p w14:paraId="541297D0" w14:textId="5BC85604"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-12%</w:t>
            </w:r>
          </w:p>
        </w:tc>
        <w:tc>
          <w:tcPr>
            <w:tcW w:w="1701" w:type="dxa"/>
            <w:shd w:val="clear" w:color="auto" w:fill="auto"/>
            <w:vAlign w:val="bottom"/>
          </w:tcPr>
          <w:p w14:paraId="6856D768" w14:textId="10D91048"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6692B09B" w14:textId="5C507C50"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0%</w:t>
            </w:r>
          </w:p>
        </w:tc>
      </w:tr>
      <w:tr w:rsidR="00C45CC5" w:rsidRPr="00F815F1" w14:paraId="6E9A2567" w14:textId="77777777" w:rsidTr="00A946DA">
        <w:trPr>
          <w:trHeight w:val="226"/>
        </w:trPr>
        <w:tc>
          <w:tcPr>
            <w:tcW w:w="2117" w:type="dxa"/>
            <w:shd w:val="clear" w:color="auto" w:fill="auto"/>
            <w:vAlign w:val="bottom"/>
          </w:tcPr>
          <w:p w14:paraId="1085FF83" w14:textId="0D3EE0BC"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Pontevedra capital</w:t>
            </w:r>
          </w:p>
        </w:tc>
        <w:tc>
          <w:tcPr>
            <w:tcW w:w="1701" w:type="dxa"/>
            <w:vAlign w:val="bottom"/>
          </w:tcPr>
          <w:p w14:paraId="784849C1" w14:textId="0FC5EF41"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7FA7FBA9" w14:textId="6398AA40"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-8%</w:t>
            </w:r>
          </w:p>
        </w:tc>
        <w:tc>
          <w:tcPr>
            <w:tcW w:w="1701" w:type="dxa"/>
            <w:shd w:val="clear" w:color="auto" w:fill="auto"/>
            <w:vAlign w:val="bottom"/>
          </w:tcPr>
          <w:p w14:paraId="6A6E6FA3" w14:textId="08A70523"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13%</w:t>
            </w:r>
          </w:p>
        </w:tc>
        <w:tc>
          <w:tcPr>
            <w:tcW w:w="1814" w:type="dxa"/>
            <w:vAlign w:val="bottom"/>
          </w:tcPr>
          <w:p w14:paraId="29BDBA20" w14:textId="724FDE54"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0%</w:t>
            </w:r>
          </w:p>
        </w:tc>
      </w:tr>
      <w:tr w:rsidR="00C45CC5" w:rsidRPr="00F815F1" w14:paraId="12DE152A" w14:textId="77777777" w:rsidTr="00A060EF">
        <w:trPr>
          <w:trHeight w:val="226"/>
        </w:trPr>
        <w:tc>
          <w:tcPr>
            <w:tcW w:w="2117" w:type="dxa"/>
            <w:shd w:val="clear" w:color="auto" w:fill="auto"/>
            <w:vAlign w:val="bottom"/>
          </w:tcPr>
          <w:p w14:paraId="6C5C44BB" w14:textId="7B5166CE"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Alicante / Alacant</w:t>
            </w:r>
          </w:p>
        </w:tc>
        <w:tc>
          <w:tcPr>
            <w:tcW w:w="1701" w:type="dxa"/>
            <w:vAlign w:val="bottom"/>
          </w:tcPr>
          <w:p w14:paraId="76CE6FEF" w14:textId="1731092A"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vAlign w:val="bottom"/>
          </w:tcPr>
          <w:p w14:paraId="2AC5A7EE" w14:textId="6640EE6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-12%</w:t>
            </w:r>
          </w:p>
        </w:tc>
        <w:tc>
          <w:tcPr>
            <w:tcW w:w="1701" w:type="dxa"/>
            <w:shd w:val="clear" w:color="auto" w:fill="auto"/>
            <w:vAlign w:val="bottom"/>
          </w:tcPr>
          <w:p w14:paraId="7BC821CF" w14:textId="19FFCAB3"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12%</w:t>
            </w:r>
          </w:p>
        </w:tc>
        <w:tc>
          <w:tcPr>
            <w:tcW w:w="1814" w:type="dxa"/>
            <w:vAlign w:val="bottom"/>
          </w:tcPr>
          <w:p w14:paraId="47C605EC" w14:textId="4FEF9C2C"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-6%</w:t>
            </w:r>
          </w:p>
        </w:tc>
      </w:tr>
      <w:tr w:rsidR="00705AE7" w:rsidRPr="00F815F1" w14:paraId="4BC2B8C1" w14:textId="77777777" w:rsidTr="007276AB">
        <w:trPr>
          <w:trHeight w:val="226"/>
        </w:trPr>
        <w:tc>
          <w:tcPr>
            <w:tcW w:w="2117" w:type="dxa"/>
            <w:shd w:val="clear" w:color="auto" w:fill="auto"/>
            <w:vAlign w:val="bottom"/>
          </w:tcPr>
          <w:p w14:paraId="35604CED" w14:textId="032420D0"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Badajoz capital</w:t>
            </w:r>
          </w:p>
        </w:tc>
        <w:tc>
          <w:tcPr>
            <w:tcW w:w="1701" w:type="dxa"/>
          </w:tcPr>
          <w:p w14:paraId="38DE34A3" w14:textId="47D1D5EB" w:rsidR="00705AE7" w:rsidRPr="00F815F1" w:rsidRDefault="00705AE7" w:rsidP="00705AE7">
            <w:pPr>
              <w:jc w:val="center"/>
              <w:rPr>
                <w:rFonts w:ascii="Open Sans" w:hAnsi="Open Sans" w:cs="Open Sans"/>
                <w:color w:val="000000"/>
                <w:sz w:val="22"/>
                <w:szCs w:val="22"/>
              </w:rPr>
            </w:pPr>
            <w:r w:rsidRPr="00746062">
              <w:rPr>
                <w:rFonts w:ascii="Open Sans" w:hAnsi="Open Sans" w:cs="Open Sans"/>
                <w:color w:val="000000"/>
                <w:sz w:val="22"/>
                <w:szCs w:val="22"/>
              </w:rPr>
              <w:t>-</w:t>
            </w:r>
          </w:p>
        </w:tc>
        <w:tc>
          <w:tcPr>
            <w:tcW w:w="1701" w:type="dxa"/>
            <w:vAlign w:val="bottom"/>
          </w:tcPr>
          <w:p w14:paraId="4A73E09C" w14:textId="3EB47D69"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-25%</w:t>
            </w:r>
          </w:p>
        </w:tc>
        <w:tc>
          <w:tcPr>
            <w:tcW w:w="1701" w:type="dxa"/>
            <w:shd w:val="clear" w:color="auto" w:fill="auto"/>
            <w:vAlign w:val="bottom"/>
          </w:tcPr>
          <w:p w14:paraId="5A7CA992" w14:textId="73D122C6" w:rsidR="00705AE7" w:rsidRPr="00F815F1" w:rsidRDefault="00705AE7" w:rsidP="00705AE7">
            <w:pPr>
              <w:jc w:val="center"/>
              <w:rPr>
                <w:rFonts w:ascii="Open Sans" w:hAnsi="Open Sans" w:cs="Open Sans"/>
                <w:color w:val="000000"/>
                <w:sz w:val="22"/>
                <w:szCs w:val="22"/>
              </w:rPr>
            </w:pPr>
            <w:r>
              <w:rPr>
                <w:rFonts w:ascii="Open Sans" w:hAnsi="Open Sans" w:cs="Open Sans"/>
                <w:color w:val="000000"/>
                <w:sz w:val="22"/>
                <w:szCs w:val="22"/>
              </w:rPr>
              <w:t>12%</w:t>
            </w:r>
          </w:p>
        </w:tc>
        <w:tc>
          <w:tcPr>
            <w:tcW w:w="1814" w:type="dxa"/>
            <w:vAlign w:val="bottom"/>
          </w:tcPr>
          <w:p w14:paraId="7B822B44" w14:textId="00994D00" w:rsidR="00705AE7" w:rsidRPr="00F815F1" w:rsidRDefault="00705AE7" w:rsidP="00705AE7">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5%</w:t>
            </w:r>
          </w:p>
        </w:tc>
      </w:tr>
      <w:tr w:rsidR="00705AE7" w:rsidRPr="00F815F1" w14:paraId="3F0E6BFD" w14:textId="77777777" w:rsidTr="007276AB">
        <w:trPr>
          <w:trHeight w:val="226"/>
        </w:trPr>
        <w:tc>
          <w:tcPr>
            <w:tcW w:w="2117" w:type="dxa"/>
            <w:shd w:val="clear" w:color="auto" w:fill="auto"/>
            <w:vAlign w:val="bottom"/>
          </w:tcPr>
          <w:p w14:paraId="3068018F" w14:textId="015D2591"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Huesca capital</w:t>
            </w:r>
          </w:p>
        </w:tc>
        <w:tc>
          <w:tcPr>
            <w:tcW w:w="1701" w:type="dxa"/>
          </w:tcPr>
          <w:p w14:paraId="7DF335C8" w14:textId="58086F83" w:rsidR="00705AE7" w:rsidRPr="00F815F1" w:rsidRDefault="00705AE7" w:rsidP="00705AE7">
            <w:pPr>
              <w:jc w:val="center"/>
              <w:rPr>
                <w:rFonts w:ascii="Open Sans" w:hAnsi="Open Sans" w:cs="Open Sans"/>
                <w:color w:val="000000"/>
                <w:sz w:val="22"/>
                <w:szCs w:val="22"/>
              </w:rPr>
            </w:pPr>
            <w:r w:rsidRPr="00746062">
              <w:rPr>
                <w:rFonts w:ascii="Open Sans" w:hAnsi="Open Sans" w:cs="Open Sans"/>
                <w:color w:val="000000"/>
                <w:sz w:val="22"/>
                <w:szCs w:val="22"/>
              </w:rPr>
              <w:t>-</w:t>
            </w:r>
          </w:p>
        </w:tc>
        <w:tc>
          <w:tcPr>
            <w:tcW w:w="1701" w:type="dxa"/>
            <w:vAlign w:val="bottom"/>
          </w:tcPr>
          <w:p w14:paraId="21109043" w14:textId="03B237F5"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-24%</w:t>
            </w:r>
          </w:p>
        </w:tc>
        <w:tc>
          <w:tcPr>
            <w:tcW w:w="1701" w:type="dxa"/>
            <w:shd w:val="clear" w:color="auto" w:fill="auto"/>
            <w:vAlign w:val="bottom"/>
          </w:tcPr>
          <w:p w14:paraId="137B0E7E" w14:textId="561FFCCB" w:rsidR="00705AE7" w:rsidRPr="00F815F1" w:rsidRDefault="00705AE7" w:rsidP="00705AE7">
            <w:pPr>
              <w:jc w:val="center"/>
              <w:rPr>
                <w:rFonts w:ascii="Open Sans" w:hAnsi="Open Sans" w:cs="Open Sans"/>
                <w:color w:val="000000"/>
                <w:sz w:val="22"/>
                <w:szCs w:val="22"/>
              </w:rPr>
            </w:pPr>
            <w:r>
              <w:rPr>
                <w:rFonts w:ascii="Open Sans" w:hAnsi="Open Sans" w:cs="Open Sans"/>
                <w:color w:val="000000"/>
                <w:sz w:val="22"/>
                <w:szCs w:val="22"/>
              </w:rPr>
              <w:t>12%</w:t>
            </w:r>
          </w:p>
        </w:tc>
        <w:tc>
          <w:tcPr>
            <w:tcW w:w="1814" w:type="dxa"/>
            <w:vAlign w:val="bottom"/>
          </w:tcPr>
          <w:p w14:paraId="72E7BB6E" w14:textId="25BB1F3F" w:rsidR="00705AE7" w:rsidRPr="00F815F1" w:rsidRDefault="00705AE7" w:rsidP="00705AE7">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-2%</w:t>
            </w:r>
          </w:p>
        </w:tc>
      </w:tr>
      <w:tr w:rsidR="00C45CC5" w:rsidRPr="00F815F1" w14:paraId="0C89A303" w14:textId="77777777" w:rsidTr="00A060EF">
        <w:trPr>
          <w:trHeight w:val="226"/>
        </w:trPr>
        <w:tc>
          <w:tcPr>
            <w:tcW w:w="2117" w:type="dxa"/>
            <w:shd w:val="clear" w:color="auto" w:fill="auto"/>
            <w:vAlign w:val="bottom"/>
          </w:tcPr>
          <w:p w14:paraId="00A6FF65" w14:textId="0652B636"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lastRenderedPageBreak/>
              <w:t>Zaragoza capital</w:t>
            </w:r>
          </w:p>
        </w:tc>
        <w:tc>
          <w:tcPr>
            <w:tcW w:w="1701" w:type="dxa"/>
            <w:vAlign w:val="bottom"/>
          </w:tcPr>
          <w:p w14:paraId="578FE004" w14:textId="2282CA00"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-49%</w:t>
            </w:r>
          </w:p>
        </w:tc>
        <w:tc>
          <w:tcPr>
            <w:tcW w:w="1701" w:type="dxa"/>
            <w:vAlign w:val="bottom"/>
          </w:tcPr>
          <w:p w14:paraId="21A0696F" w14:textId="3492DC45"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shd w:val="clear" w:color="auto" w:fill="auto"/>
            <w:vAlign w:val="bottom"/>
          </w:tcPr>
          <w:p w14:paraId="21F99374" w14:textId="3AD2E953"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11%</w:t>
            </w:r>
          </w:p>
        </w:tc>
        <w:tc>
          <w:tcPr>
            <w:tcW w:w="1814" w:type="dxa"/>
            <w:vAlign w:val="bottom"/>
          </w:tcPr>
          <w:p w14:paraId="7E9A9D18" w14:textId="717A3C09"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0%</w:t>
            </w:r>
          </w:p>
        </w:tc>
      </w:tr>
      <w:tr w:rsidR="00C45CC5" w:rsidRPr="00F815F1" w14:paraId="739605E0" w14:textId="77777777" w:rsidTr="00A060EF">
        <w:trPr>
          <w:trHeight w:val="226"/>
        </w:trPr>
        <w:tc>
          <w:tcPr>
            <w:tcW w:w="2117" w:type="dxa"/>
            <w:shd w:val="clear" w:color="auto" w:fill="auto"/>
            <w:vAlign w:val="bottom"/>
          </w:tcPr>
          <w:p w14:paraId="74825A85" w14:textId="5BE36ECD"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Castellón de la Plana / Castelló de la Plana</w:t>
            </w:r>
          </w:p>
        </w:tc>
        <w:tc>
          <w:tcPr>
            <w:tcW w:w="1701" w:type="dxa"/>
            <w:vAlign w:val="bottom"/>
          </w:tcPr>
          <w:p w14:paraId="0760AA8B" w14:textId="29D67B7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-42%</w:t>
            </w:r>
          </w:p>
        </w:tc>
        <w:tc>
          <w:tcPr>
            <w:tcW w:w="1701" w:type="dxa"/>
            <w:vAlign w:val="bottom"/>
          </w:tcPr>
          <w:p w14:paraId="47D78518" w14:textId="7AD7A509"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tcPr>
          <w:p w14:paraId="3219CF66" w14:textId="51E6AA23"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10%</w:t>
            </w:r>
          </w:p>
        </w:tc>
        <w:tc>
          <w:tcPr>
            <w:tcW w:w="1814" w:type="dxa"/>
            <w:vAlign w:val="bottom"/>
          </w:tcPr>
          <w:p w14:paraId="23364231" w14:textId="10B421D2"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6%</w:t>
            </w:r>
          </w:p>
        </w:tc>
      </w:tr>
      <w:tr w:rsidR="00C45CC5" w:rsidRPr="00F815F1" w14:paraId="118DEC28" w14:textId="77777777" w:rsidTr="00A060EF">
        <w:trPr>
          <w:trHeight w:val="226"/>
        </w:trPr>
        <w:tc>
          <w:tcPr>
            <w:tcW w:w="2117" w:type="dxa"/>
            <w:shd w:val="clear" w:color="auto" w:fill="auto"/>
            <w:vAlign w:val="bottom"/>
          </w:tcPr>
          <w:p w14:paraId="1DB06BE6" w14:textId="10E77C2B"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Guadalajara capital</w:t>
            </w:r>
          </w:p>
        </w:tc>
        <w:tc>
          <w:tcPr>
            <w:tcW w:w="1701" w:type="dxa"/>
            <w:vAlign w:val="bottom"/>
          </w:tcPr>
          <w:p w14:paraId="6C2585E8" w14:textId="423A4F2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-50%</w:t>
            </w:r>
          </w:p>
        </w:tc>
        <w:tc>
          <w:tcPr>
            <w:tcW w:w="1701" w:type="dxa"/>
            <w:vAlign w:val="bottom"/>
          </w:tcPr>
          <w:p w14:paraId="14280F5A" w14:textId="5678A6A2"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-30%</w:t>
            </w:r>
          </w:p>
        </w:tc>
        <w:tc>
          <w:tcPr>
            <w:tcW w:w="1701" w:type="dxa"/>
            <w:shd w:val="clear" w:color="auto" w:fill="auto"/>
            <w:vAlign w:val="bottom"/>
          </w:tcPr>
          <w:p w14:paraId="5FE1BD65" w14:textId="4FF93C71"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9%</w:t>
            </w:r>
          </w:p>
        </w:tc>
        <w:tc>
          <w:tcPr>
            <w:tcW w:w="1814" w:type="dxa"/>
            <w:vAlign w:val="bottom"/>
          </w:tcPr>
          <w:p w14:paraId="722BB364" w14:textId="6FCC8A96"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3%</w:t>
            </w:r>
          </w:p>
        </w:tc>
      </w:tr>
      <w:tr w:rsidR="00C45CC5" w:rsidRPr="00F815F1" w14:paraId="4253F351" w14:textId="77777777" w:rsidTr="00A060EF">
        <w:trPr>
          <w:trHeight w:val="226"/>
        </w:trPr>
        <w:tc>
          <w:tcPr>
            <w:tcW w:w="2117" w:type="dxa"/>
            <w:shd w:val="clear" w:color="auto" w:fill="auto"/>
            <w:vAlign w:val="bottom"/>
          </w:tcPr>
          <w:p w14:paraId="5B9A8CA3" w14:textId="7BAF3CA5"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Albacete capital</w:t>
            </w:r>
          </w:p>
        </w:tc>
        <w:tc>
          <w:tcPr>
            <w:tcW w:w="1701" w:type="dxa"/>
            <w:vAlign w:val="bottom"/>
          </w:tcPr>
          <w:p w14:paraId="67A8A547" w14:textId="56AAD7F2"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531237E2" w14:textId="02C6D9EE"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-29%</w:t>
            </w:r>
          </w:p>
        </w:tc>
        <w:tc>
          <w:tcPr>
            <w:tcW w:w="1701" w:type="dxa"/>
            <w:shd w:val="clear" w:color="auto" w:fill="auto"/>
            <w:vAlign w:val="bottom"/>
          </w:tcPr>
          <w:p w14:paraId="7CF6BDCD" w14:textId="0F5E566A"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9%</w:t>
            </w:r>
          </w:p>
        </w:tc>
        <w:tc>
          <w:tcPr>
            <w:tcW w:w="1814" w:type="dxa"/>
            <w:vAlign w:val="bottom"/>
          </w:tcPr>
          <w:p w14:paraId="20DC6679" w14:textId="13001F32"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-2%</w:t>
            </w:r>
          </w:p>
        </w:tc>
      </w:tr>
      <w:tr w:rsidR="00C45CC5" w:rsidRPr="00F815F1" w14:paraId="58A88ED4" w14:textId="77777777" w:rsidTr="00A946DA">
        <w:trPr>
          <w:trHeight w:val="226"/>
        </w:trPr>
        <w:tc>
          <w:tcPr>
            <w:tcW w:w="2117" w:type="dxa"/>
            <w:shd w:val="clear" w:color="auto" w:fill="auto"/>
            <w:vAlign w:val="bottom"/>
          </w:tcPr>
          <w:p w14:paraId="05BBC2DA" w14:textId="4E53ED12"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Valladolid capital</w:t>
            </w:r>
          </w:p>
        </w:tc>
        <w:tc>
          <w:tcPr>
            <w:tcW w:w="1701" w:type="dxa"/>
            <w:vAlign w:val="bottom"/>
          </w:tcPr>
          <w:p w14:paraId="7347628D" w14:textId="16600ADC"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-36%</w:t>
            </w:r>
          </w:p>
        </w:tc>
        <w:tc>
          <w:tcPr>
            <w:tcW w:w="1701" w:type="dxa"/>
            <w:vAlign w:val="bottom"/>
          </w:tcPr>
          <w:p w14:paraId="0F2ECFC2" w14:textId="35264274"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-19%</w:t>
            </w:r>
          </w:p>
        </w:tc>
        <w:tc>
          <w:tcPr>
            <w:tcW w:w="1701" w:type="dxa"/>
            <w:shd w:val="clear" w:color="auto" w:fill="auto"/>
            <w:vAlign w:val="bottom"/>
          </w:tcPr>
          <w:p w14:paraId="11E4FF8D" w14:textId="2A0FABB8" w:rsidR="00C45CC5" w:rsidRPr="00F815F1" w:rsidRDefault="00C45CC5" w:rsidP="00C45CC5">
            <w:pPr>
              <w:jc w:val="center"/>
              <w:rPr>
                <w:rFonts w:ascii="Open Sans" w:hAnsi="Open Sans" w:cs="Open Sans"/>
                <w:color w:val="000000"/>
                <w:sz w:val="22"/>
                <w:szCs w:val="22"/>
              </w:rPr>
            </w:pPr>
            <w:r>
              <w:rPr>
                <w:rFonts w:ascii="Open Sans" w:hAnsi="Open Sans" w:cs="Open Sans"/>
                <w:color w:val="000000"/>
                <w:sz w:val="22"/>
                <w:szCs w:val="22"/>
              </w:rPr>
              <w:t>9%</w:t>
            </w:r>
          </w:p>
        </w:tc>
        <w:tc>
          <w:tcPr>
            <w:tcW w:w="1814" w:type="dxa"/>
            <w:vAlign w:val="bottom"/>
          </w:tcPr>
          <w:p w14:paraId="192C6EEF" w14:textId="22D567FE" w:rsidR="00C45CC5" w:rsidRPr="00F815F1" w:rsidRDefault="00C45CC5" w:rsidP="00C45CC5">
            <w:pPr>
              <w:jc w:val="center"/>
              <w:rPr>
                <w:rFonts w:ascii="Open Sans" w:hAnsi="Open Sans" w:cs="Open Sans"/>
                <w:b/>
                <w:bCs/>
                <w:color w:val="2E74B5" w:themeColor="accent5" w:themeShade="BF"/>
                <w:sz w:val="22"/>
                <w:szCs w:val="22"/>
              </w:rPr>
            </w:pPr>
            <w:r>
              <w:rPr>
                <w:rFonts w:ascii="Open Sans" w:hAnsi="Open Sans" w:cs="Open Sans"/>
                <w:color w:val="9C0006"/>
                <w:sz w:val="22"/>
                <w:szCs w:val="22"/>
              </w:rPr>
              <w:t>0%</w:t>
            </w:r>
          </w:p>
        </w:tc>
      </w:tr>
      <w:tr w:rsidR="00C45CC5" w:rsidRPr="00F815F1" w14:paraId="26DEA057" w14:textId="77777777" w:rsidTr="00A946DA">
        <w:trPr>
          <w:trHeight w:val="226"/>
        </w:trPr>
        <w:tc>
          <w:tcPr>
            <w:tcW w:w="2117" w:type="dxa"/>
            <w:shd w:val="clear" w:color="auto" w:fill="auto"/>
            <w:vAlign w:val="bottom"/>
          </w:tcPr>
          <w:p w14:paraId="6C0F7CAF" w14:textId="09361718"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Toledo capital</w:t>
            </w:r>
          </w:p>
        </w:tc>
        <w:tc>
          <w:tcPr>
            <w:tcW w:w="1701" w:type="dxa"/>
            <w:vAlign w:val="bottom"/>
          </w:tcPr>
          <w:p w14:paraId="58BB79C7" w14:textId="684EFD7F"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24A5CD9C" w14:textId="1D0342DA"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-30%</w:t>
            </w:r>
          </w:p>
        </w:tc>
        <w:tc>
          <w:tcPr>
            <w:tcW w:w="1701" w:type="dxa"/>
            <w:shd w:val="clear" w:color="auto" w:fill="auto"/>
            <w:vAlign w:val="bottom"/>
            <w:hideMark/>
          </w:tcPr>
          <w:p w14:paraId="292F3452" w14:textId="26F50C98"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w:t>
            </w:r>
          </w:p>
        </w:tc>
        <w:tc>
          <w:tcPr>
            <w:tcW w:w="1814" w:type="dxa"/>
            <w:vAlign w:val="bottom"/>
          </w:tcPr>
          <w:p w14:paraId="12F6F340" w14:textId="31FB7EB9"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0%</w:t>
            </w:r>
          </w:p>
        </w:tc>
      </w:tr>
      <w:tr w:rsidR="00C45CC5" w:rsidRPr="00F815F1" w14:paraId="38BE6CF5" w14:textId="77777777" w:rsidTr="00A946DA">
        <w:trPr>
          <w:trHeight w:val="226"/>
        </w:trPr>
        <w:tc>
          <w:tcPr>
            <w:tcW w:w="2117" w:type="dxa"/>
            <w:shd w:val="clear" w:color="auto" w:fill="auto"/>
            <w:vAlign w:val="bottom"/>
          </w:tcPr>
          <w:p w14:paraId="0793F299" w14:textId="2CF7AF24"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Lleida capital</w:t>
            </w:r>
          </w:p>
        </w:tc>
        <w:tc>
          <w:tcPr>
            <w:tcW w:w="1701" w:type="dxa"/>
            <w:vAlign w:val="bottom"/>
          </w:tcPr>
          <w:p w14:paraId="2D199F10" w14:textId="67963B82"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-50%</w:t>
            </w:r>
          </w:p>
        </w:tc>
        <w:tc>
          <w:tcPr>
            <w:tcW w:w="1701" w:type="dxa"/>
            <w:vAlign w:val="bottom"/>
          </w:tcPr>
          <w:p w14:paraId="764D5E36" w14:textId="0973495F"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-31%</w:t>
            </w:r>
          </w:p>
        </w:tc>
        <w:tc>
          <w:tcPr>
            <w:tcW w:w="1701" w:type="dxa"/>
            <w:shd w:val="clear" w:color="auto" w:fill="auto"/>
            <w:vAlign w:val="bottom"/>
            <w:hideMark/>
          </w:tcPr>
          <w:p w14:paraId="51CE7BC6" w14:textId="74F86765"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w:t>
            </w:r>
          </w:p>
        </w:tc>
        <w:tc>
          <w:tcPr>
            <w:tcW w:w="1814" w:type="dxa"/>
            <w:vAlign w:val="bottom"/>
          </w:tcPr>
          <w:p w14:paraId="796F2A80" w14:textId="34F4C276"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-4%</w:t>
            </w:r>
          </w:p>
        </w:tc>
      </w:tr>
      <w:tr w:rsidR="00705AE7" w:rsidRPr="00F815F1" w14:paraId="716E41B1" w14:textId="77777777" w:rsidTr="0057589D">
        <w:trPr>
          <w:trHeight w:val="226"/>
        </w:trPr>
        <w:tc>
          <w:tcPr>
            <w:tcW w:w="2117" w:type="dxa"/>
            <w:shd w:val="clear" w:color="auto" w:fill="auto"/>
            <w:vAlign w:val="bottom"/>
          </w:tcPr>
          <w:p w14:paraId="0D1E1F8B" w14:textId="60DB3F9D"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León capital</w:t>
            </w:r>
          </w:p>
        </w:tc>
        <w:tc>
          <w:tcPr>
            <w:tcW w:w="1701" w:type="dxa"/>
          </w:tcPr>
          <w:p w14:paraId="265CBFEC" w14:textId="53E0B2B7" w:rsidR="00705AE7" w:rsidRPr="00F815F1" w:rsidRDefault="00705AE7" w:rsidP="00705AE7">
            <w:pPr>
              <w:jc w:val="center"/>
              <w:rPr>
                <w:rFonts w:ascii="Open Sans" w:hAnsi="Open Sans" w:cs="Open Sans"/>
                <w:color w:val="000000"/>
                <w:sz w:val="22"/>
                <w:szCs w:val="22"/>
              </w:rPr>
            </w:pPr>
            <w:r w:rsidRPr="00F6635A">
              <w:rPr>
                <w:rFonts w:ascii="Open Sans" w:hAnsi="Open Sans" w:cs="Open Sans"/>
                <w:color w:val="000000"/>
                <w:sz w:val="22"/>
                <w:szCs w:val="22"/>
              </w:rPr>
              <w:t>-</w:t>
            </w:r>
          </w:p>
        </w:tc>
        <w:tc>
          <w:tcPr>
            <w:tcW w:w="1701" w:type="dxa"/>
            <w:vAlign w:val="bottom"/>
          </w:tcPr>
          <w:p w14:paraId="3589FCDE" w14:textId="2F4DCBBA"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-25%</w:t>
            </w:r>
          </w:p>
        </w:tc>
        <w:tc>
          <w:tcPr>
            <w:tcW w:w="1701" w:type="dxa"/>
            <w:shd w:val="clear" w:color="auto" w:fill="auto"/>
            <w:vAlign w:val="bottom"/>
            <w:hideMark/>
          </w:tcPr>
          <w:p w14:paraId="57ACCEDE" w14:textId="0C9062FA"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w:t>
            </w:r>
          </w:p>
        </w:tc>
        <w:tc>
          <w:tcPr>
            <w:tcW w:w="1814" w:type="dxa"/>
            <w:vAlign w:val="bottom"/>
          </w:tcPr>
          <w:p w14:paraId="1B88FD68" w14:textId="001C821E"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-2%</w:t>
            </w:r>
          </w:p>
        </w:tc>
      </w:tr>
      <w:tr w:rsidR="00705AE7" w:rsidRPr="00F815F1" w14:paraId="7A6ECAD4" w14:textId="77777777" w:rsidTr="0057589D">
        <w:trPr>
          <w:trHeight w:val="226"/>
        </w:trPr>
        <w:tc>
          <w:tcPr>
            <w:tcW w:w="2117" w:type="dxa"/>
            <w:shd w:val="clear" w:color="auto" w:fill="auto"/>
            <w:vAlign w:val="bottom"/>
          </w:tcPr>
          <w:p w14:paraId="465BF22C" w14:textId="47F0BE2F"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Ourense capital</w:t>
            </w:r>
          </w:p>
        </w:tc>
        <w:tc>
          <w:tcPr>
            <w:tcW w:w="1701" w:type="dxa"/>
          </w:tcPr>
          <w:p w14:paraId="386FDB92" w14:textId="6E350885" w:rsidR="00705AE7" w:rsidRPr="00F815F1" w:rsidRDefault="00705AE7" w:rsidP="00705AE7">
            <w:pPr>
              <w:jc w:val="center"/>
              <w:rPr>
                <w:rFonts w:ascii="Open Sans" w:hAnsi="Open Sans" w:cs="Open Sans"/>
                <w:color w:val="000000"/>
                <w:sz w:val="22"/>
                <w:szCs w:val="22"/>
              </w:rPr>
            </w:pPr>
            <w:r w:rsidRPr="00F6635A">
              <w:rPr>
                <w:rFonts w:ascii="Open Sans" w:hAnsi="Open Sans" w:cs="Open Sans"/>
                <w:color w:val="000000"/>
                <w:sz w:val="22"/>
                <w:szCs w:val="22"/>
              </w:rPr>
              <w:t>-</w:t>
            </w:r>
          </w:p>
        </w:tc>
        <w:tc>
          <w:tcPr>
            <w:tcW w:w="1701" w:type="dxa"/>
            <w:vAlign w:val="bottom"/>
          </w:tcPr>
          <w:p w14:paraId="3BE31B2F" w14:textId="5FCEAC48"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-20%</w:t>
            </w:r>
          </w:p>
        </w:tc>
        <w:tc>
          <w:tcPr>
            <w:tcW w:w="1701" w:type="dxa"/>
            <w:shd w:val="clear" w:color="auto" w:fill="auto"/>
            <w:vAlign w:val="bottom"/>
            <w:hideMark/>
          </w:tcPr>
          <w:p w14:paraId="506650A9" w14:textId="1AE84106"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w:t>
            </w:r>
          </w:p>
        </w:tc>
        <w:tc>
          <w:tcPr>
            <w:tcW w:w="1814" w:type="dxa"/>
            <w:vAlign w:val="bottom"/>
          </w:tcPr>
          <w:p w14:paraId="00313299" w14:textId="0A5885E4"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4%</w:t>
            </w:r>
          </w:p>
        </w:tc>
      </w:tr>
      <w:tr w:rsidR="00705AE7" w:rsidRPr="00F815F1" w14:paraId="0994A44F" w14:textId="77777777" w:rsidTr="00BC01B3">
        <w:trPr>
          <w:trHeight w:val="226"/>
        </w:trPr>
        <w:tc>
          <w:tcPr>
            <w:tcW w:w="2117" w:type="dxa"/>
            <w:shd w:val="clear" w:color="auto" w:fill="auto"/>
            <w:vAlign w:val="bottom"/>
          </w:tcPr>
          <w:p w14:paraId="4319DF71" w14:textId="61FF887C"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Huelva capital</w:t>
            </w:r>
          </w:p>
        </w:tc>
        <w:tc>
          <w:tcPr>
            <w:tcW w:w="1701" w:type="dxa"/>
          </w:tcPr>
          <w:p w14:paraId="69799C6E" w14:textId="65224EDA" w:rsidR="00705AE7" w:rsidRPr="00F815F1" w:rsidRDefault="00705AE7" w:rsidP="00705AE7">
            <w:pPr>
              <w:jc w:val="center"/>
              <w:rPr>
                <w:rFonts w:ascii="Open Sans" w:hAnsi="Open Sans" w:cs="Open Sans"/>
                <w:color w:val="000000"/>
                <w:sz w:val="22"/>
                <w:szCs w:val="22"/>
              </w:rPr>
            </w:pPr>
            <w:r w:rsidRPr="00D714B3">
              <w:rPr>
                <w:rFonts w:ascii="Open Sans" w:hAnsi="Open Sans" w:cs="Open Sans"/>
                <w:color w:val="000000"/>
                <w:sz w:val="22"/>
                <w:szCs w:val="22"/>
              </w:rPr>
              <w:t>-</w:t>
            </w:r>
          </w:p>
        </w:tc>
        <w:tc>
          <w:tcPr>
            <w:tcW w:w="1701" w:type="dxa"/>
            <w:vAlign w:val="bottom"/>
          </w:tcPr>
          <w:p w14:paraId="385062E6" w14:textId="4865CAA8"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hideMark/>
          </w:tcPr>
          <w:p w14:paraId="529DC153" w14:textId="515BCFDF"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w:t>
            </w:r>
          </w:p>
        </w:tc>
        <w:tc>
          <w:tcPr>
            <w:tcW w:w="1814" w:type="dxa"/>
            <w:vAlign w:val="bottom"/>
          </w:tcPr>
          <w:p w14:paraId="090E6DBD" w14:textId="73477480"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-5%</w:t>
            </w:r>
          </w:p>
        </w:tc>
      </w:tr>
      <w:tr w:rsidR="00705AE7" w:rsidRPr="00F815F1" w14:paraId="712B04F3" w14:textId="77777777" w:rsidTr="00BC01B3">
        <w:trPr>
          <w:trHeight w:val="226"/>
        </w:trPr>
        <w:tc>
          <w:tcPr>
            <w:tcW w:w="2117" w:type="dxa"/>
            <w:shd w:val="clear" w:color="auto" w:fill="auto"/>
            <w:vAlign w:val="bottom"/>
          </w:tcPr>
          <w:p w14:paraId="3819E0D0" w14:textId="343EEE60"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Burgos capital</w:t>
            </w:r>
          </w:p>
        </w:tc>
        <w:tc>
          <w:tcPr>
            <w:tcW w:w="1701" w:type="dxa"/>
          </w:tcPr>
          <w:p w14:paraId="522C012E" w14:textId="7037F14A" w:rsidR="00705AE7" w:rsidRPr="00F815F1" w:rsidRDefault="00705AE7" w:rsidP="00705AE7">
            <w:pPr>
              <w:jc w:val="center"/>
              <w:rPr>
                <w:rFonts w:ascii="Open Sans" w:hAnsi="Open Sans" w:cs="Open Sans"/>
                <w:color w:val="000000"/>
                <w:sz w:val="22"/>
                <w:szCs w:val="22"/>
              </w:rPr>
            </w:pPr>
            <w:r w:rsidRPr="00D714B3">
              <w:rPr>
                <w:rFonts w:ascii="Open Sans" w:hAnsi="Open Sans" w:cs="Open Sans"/>
                <w:color w:val="000000"/>
                <w:sz w:val="22"/>
                <w:szCs w:val="22"/>
              </w:rPr>
              <w:t>-</w:t>
            </w:r>
          </w:p>
        </w:tc>
        <w:tc>
          <w:tcPr>
            <w:tcW w:w="1701" w:type="dxa"/>
            <w:vAlign w:val="bottom"/>
          </w:tcPr>
          <w:p w14:paraId="2E6A77A2" w14:textId="03699D25"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-28%</w:t>
            </w:r>
          </w:p>
        </w:tc>
        <w:tc>
          <w:tcPr>
            <w:tcW w:w="1701" w:type="dxa"/>
            <w:shd w:val="clear" w:color="auto" w:fill="auto"/>
            <w:vAlign w:val="bottom"/>
            <w:hideMark/>
          </w:tcPr>
          <w:p w14:paraId="53D24D46" w14:textId="6D5BB0C0"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w:t>
            </w:r>
          </w:p>
        </w:tc>
        <w:tc>
          <w:tcPr>
            <w:tcW w:w="1814" w:type="dxa"/>
            <w:vAlign w:val="bottom"/>
          </w:tcPr>
          <w:p w14:paraId="45EB5BBC" w14:textId="0997AE41"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-3%</w:t>
            </w:r>
          </w:p>
        </w:tc>
      </w:tr>
      <w:tr w:rsidR="00C45CC5" w:rsidRPr="00F815F1" w14:paraId="76DE6718" w14:textId="77777777" w:rsidTr="00A946DA">
        <w:trPr>
          <w:trHeight w:val="226"/>
        </w:trPr>
        <w:tc>
          <w:tcPr>
            <w:tcW w:w="2117" w:type="dxa"/>
            <w:shd w:val="clear" w:color="auto" w:fill="auto"/>
            <w:vAlign w:val="bottom"/>
          </w:tcPr>
          <w:p w14:paraId="67F6A41E" w14:textId="09E6413F"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Salamanca capital</w:t>
            </w:r>
          </w:p>
        </w:tc>
        <w:tc>
          <w:tcPr>
            <w:tcW w:w="1701" w:type="dxa"/>
            <w:vAlign w:val="bottom"/>
          </w:tcPr>
          <w:p w14:paraId="1F13CA2C" w14:textId="1DAA6219"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-32%</w:t>
            </w:r>
          </w:p>
        </w:tc>
        <w:tc>
          <w:tcPr>
            <w:tcW w:w="1701" w:type="dxa"/>
            <w:vAlign w:val="bottom"/>
          </w:tcPr>
          <w:p w14:paraId="4C2A45C0" w14:textId="1592CB54"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-25%</w:t>
            </w:r>
          </w:p>
        </w:tc>
        <w:tc>
          <w:tcPr>
            <w:tcW w:w="1701" w:type="dxa"/>
            <w:shd w:val="clear" w:color="auto" w:fill="auto"/>
            <w:vAlign w:val="bottom"/>
            <w:hideMark/>
          </w:tcPr>
          <w:p w14:paraId="7C031139" w14:textId="7BF3ABF0"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w:t>
            </w:r>
          </w:p>
        </w:tc>
        <w:tc>
          <w:tcPr>
            <w:tcW w:w="1814" w:type="dxa"/>
            <w:vAlign w:val="bottom"/>
          </w:tcPr>
          <w:p w14:paraId="1CB8C15A" w14:textId="0D8187AE"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0%</w:t>
            </w:r>
          </w:p>
        </w:tc>
      </w:tr>
      <w:tr w:rsidR="00C45CC5" w:rsidRPr="00F815F1" w14:paraId="23F42472" w14:textId="77777777" w:rsidTr="00A946DA">
        <w:trPr>
          <w:trHeight w:val="226"/>
        </w:trPr>
        <w:tc>
          <w:tcPr>
            <w:tcW w:w="2117" w:type="dxa"/>
            <w:shd w:val="clear" w:color="auto" w:fill="auto"/>
            <w:vAlign w:val="bottom"/>
          </w:tcPr>
          <w:p w14:paraId="4457BE97" w14:textId="7D46E9D6"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Córdoba capital</w:t>
            </w:r>
          </w:p>
        </w:tc>
        <w:tc>
          <w:tcPr>
            <w:tcW w:w="1701" w:type="dxa"/>
            <w:vAlign w:val="bottom"/>
          </w:tcPr>
          <w:p w14:paraId="0BEAA01F" w14:textId="30F8DC57" w:rsidR="00C45CC5" w:rsidRPr="00F815F1" w:rsidRDefault="00C45CC5" w:rsidP="00C45CC5">
            <w:pPr>
              <w:jc w:val="center"/>
              <w:rPr>
                <w:rFonts w:ascii="Open Sans" w:hAnsi="Open Sans" w:cs="Open Sans"/>
                <w:color w:val="9C0006"/>
                <w:sz w:val="22"/>
                <w:szCs w:val="22"/>
              </w:rPr>
            </w:pPr>
            <w:r>
              <w:rPr>
                <w:rFonts w:ascii="Open Sans" w:hAnsi="Open Sans" w:cs="Open Sans"/>
                <w:color w:val="9C0006"/>
                <w:sz w:val="22"/>
                <w:szCs w:val="22"/>
              </w:rPr>
              <w:t>-41%</w:t>
            </w:r>
          </w:p>
        </w:tc>
        <w:tc>
          <w:tcPr>
            <w:tcW w:w="1701" w:type="dxa"/>
            <w:vAlign w:val="bottom"/>
          </w:tcPr>
          <w:p w14:paraId="272DBDCD" w14:textId="1A47D9C6"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hideMark/>
          </w:tcPr>
          <w:p w14:paraId="7537839D" w14:textId="59FC9726"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w:t>
            </w:r>
          </w:p>
        </w:tc>
        <w:tc>
          <w:tcPr>
            <w:tcW w:w="1814" w:type="dxa"/>
            <w:vAlign w:val="bottom"/>
          </w:tcPr>
          <w:p w14:paraId="6DC1194A" w14:textId="7E06B176"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-1%</w:t>
            </w:r>
          </w:p>
        </w:tc>
      </w:tr>
      <w:tr w:rsidR="00C45CC5" w:rsidRPr="00F815F1" w14:paraId="319F1C49" w14:textId="77777777" w:rsidTr="00A060EF">
        <w:trPr>
          <w:trHeight w:val="226"/>
        </w:trPr>
        <w:tc>
          <w:tcPr>
            <w:tcW w:w="2117" w:type="dxa"/>
            <w:shd w:val="clear" w:color="auto" w:fill="auto"/>
            <w:vAlign w:val="bottom"/>
          </w:tcPr>
          <w:p w14:paraId="3776172C" w14:textId="359218A6"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Oviedo</w:t>
            </w:r>
          </w:p>
        </w:tc>
        <w:tc>
          <w:tcPr>
            <w:tcW w:w="1701" w:type="dxa"/>
            <w:vAlign w:val="bottom"/>
          </w:tcPr>
          <w:p w14:paraId="788CE8EE" w14:textId="7761E198" w:rsidR="00C45CC5" w:rsidRPr="00F815F1" w:rsidRDefault="00C45CC5" w:rsidP="00C45CC5">
            <w:pPr>
              <w:jc w:val="center"/>
              <w:rPr>
                <w:rFonts w:ascii="Open Sans" w:hAnsi="Open Sans" w:cs="Open Sans"/>
                <w:color w:val="9C0006"/>
                <w:sz w:val="22"/>
                <w:szCs w:val="22"/>
              </w:rPr>
            </w:pPr>
            <w:r>
              <w:rPr>
                <w:rFonts w:ascii="Open Sans" w:hAnsi="Open Sans" w:cs="Open Sans"/>
                <w:color w:val="9C0006"/>
                <w:sz w:val="22"/>
                <w:szCs w:val="22"/>
              </w:rPr>
              <w:t>-39%</w:t>
            </w:r>
          </w:p>
        </w:tc>
        <w:tc>
          <w:tcPr>
            <w:tcW w:w="1701" w:type="dxa"/>
            <w:vAlign w:val="bottom"/>
          </w:tcPr>
          <w:p w14:paraId="790EA022" w14:textId="23BF9F04"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-27%</w:t>
            </w:r>
          </w:p>
        </w:tc>
        <w:tc>
          <w:tcPr>
            <w:tcW w:w="1701" w:type="dxa"/>
            <w:shd w:val="clear" w:color="auto" w:fill="auto"/>
            <w:vAlign w:val="bottom"/>
            <w:hideMark/>
          </w:tcPr>
          <w:p w14:paraId="4863BD3D" w14:textId="16B8F162"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3%</w:t>
            </w:r>
          </w:p>
        </w:tc>
        <w:tc>
          <w:tcPr>
            <w:tcW w:w="1814" w:type="dxa"/>
            <w:vAlign w:val="bottom"/>
          </w:tcPr>
          <w:p w14:paraId="355FA73A" w14:textId="356DEA26"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1%</w:t>
            </w:r>
          </w:p>
        </w:tc>
      </w:tr>
      <w:tr w:rsidR="00C45CC5" w:rsidRPr="00F815F1" w14:paraId="4E1897B5" w14:textId="77777777" w:rsidTr="00A060EF">
        <w:trPr>
          <w:trHeight w:val="226"/>
        </w:trPr>
        <w:tc>
          <w:tcPr>
            <w:tcW w:w="2117" w:type="dxa"/>
            <w:shd w:val="clear" w:color="auto" w:fill="auto"/>
            <w:vAlign w:val="bottom"/>
          </w:tcPr>
          <w:p w14:paraId="4A686F35" w14:textId="6431AE39"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Palencia capital</w:t>
            </w:r>
          </w:p>
        </w:tc>
        <w:tc>
          <w:tcPr>
            <w:tcW w:w="1701" w:type="dxa"/>
            <w:vAlign w:val="bottom"/>
          </w:tcPr>
          <w:p w14:paraId="7A423DC7" w14:textId="2D308A89"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565C8E4D" w14:textId="4E5FBAD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-23%</w:t>
            </w:r>
          </w:p>
        </w:tc>
        <w:tc>
          <w:tcPr>
            <w:tcW w:w="1701" w:type="dxa"/>
            <w:shd w:val="clear" w:color="auto" w:fill="auto"/>
            <w:vAlign w:val="bottom"/>
            <w:hideMark/>
          </w:tcPr>
          <w:p w14:paraId="237F2BCF" w14:textId="2C008DFE"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3%</w:t>
            </w:r>
          </w:p>
        </w:tc>
        <w:tc>
          <w:tcPr>
            <w:tcW w:w="1814" w:type="dxa"/>
            <w:vAlign w:val="bottom"/>
          </w:tcPr>
          <w:p w14:paraId="60C058B9" w14:textId="32CE2177"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-4%</w:t>
            </w:r>
          </w:p>
        </w:tc>
      </w:tr>
      <w:tr w:rsidR="00C45CC5" w:rsidRPr="00F815F1" w14:paraId="09DBAA4E" w14:textId="77777777" w:rsidTr="00A946DA">
        <w:trPr>
          <w:trHeight w:val="226"/>
        </w:trPr>
        <w:tc>
          <w:tcPr>
            <w:tcW w:w="2117" w:type="dxa"/>
            <w:shd w:val="clear" w:color="auto" w:fill="auto"/>
            <w:vAlign w:val="bottom"/>
          </w:tcPr>
          <w:p w14:paraId="0C317CD2" w14:textId="4E5E232C"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Murcia capital</w:t>
            </w:r>
          </w:p>
        </w:tc>
        <w:tc>
          <w:tcPr>
            <w:tcW w:w="1701" w:type="dxa"/>
            <w:vAlign w:val="bottom"/>
          </w:tcPr>
          <w:p w14:paraId="3D2725FC" w14:textId="358EF2C3" w:rsidR="00C45CC5" w:rsidRPr="00F815F1" w:rsidRDefault="00C45CC5" w:rsidP="00C45CC5">
            <w:pPr>
              <w:jc w:val="center"/>
              <w:rPr>
                <w:rFonts w:ascii="Open Sans" w:hAnsi="Open Sans" w:cs="Open Sans"/>
                <w:color w:val="9C0006"/>
                <w:sz w:val="22"/>
                <w:szCs w:val="22"/>
              </w:rPr>
            </w:pPr>
            <w:r>
              <w:rPr>
                <w:rFonts w:ascii="Open Sans" w:hAnsi="Open Sans" w:cs="Open Sans"/>
                <w:color w:val="9C0006"/>
                <w:sz w:val="22"/>
                <w:szCs w:val="22"/>
              </w:rPr>
              <w:t>-44%</w:t>
            </w:r>
          </w:p>
        </w:tc>
        <w:tc>
          <w:tcPr>
            <w:tcW w:w="1701" w:type="dxa"/>
            <w:vAlign w:val="bottom"/>
          </w:tcPr>
          <w:p w14:paraId="289182D9" w14:textId="5AF33D0A"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-26%</w:t>
            </w:r>
          </w:p>
        </w:tc>
        <w:tc>
          <w:tcPr>
            <w:tcW w:w="1701" w:type="dxa"/>
            <w:shd w:val="clear" w:color="auto" w:fill="auto"/>
            <w:vAlign w:val="bottom"/>
            <w:hideMark/>
          </w:tcPr>
          <w:p w14:paraId="618E451A" w14:textId="110DA7F1"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w:t>
            </w:r>
          </w:p>
        </w:tc>
        <w:tc>
          <w:tcPr>
            <w:tcW w:w="1814" w:type="dxa"/>
            <w:vAlign w:val="bottom"/>
          </w:tcPr>
          <w:p w14:paraId="29FDD4DB" w14:textId="4D5418E2"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-5%</w:t>
            </w:r>
          </w:p>
        </w:tc>
      </w:tr>
      <w:tr w:rsidR="00C45CC5" w:rsidRPr="00F815F1" w14:paraId="34B678CC" w14:textId="77777777" w:rsidTr="00A946DA">
        <w:trPr>
          <w:trHeight w:val="226"/>
        </w:trPr>
        <w:tc>
          <w:tcPr>
            <w:tcW w:w="2117" w:type="dxa"/>
            <w:shd w:val="clear" w:color="auto" w:fill="auto"/>
            <w:vAlign w:val="bottom"/>
          </w:tcPr>
          <w:p w14:paraId="54357165" w14:textId="76EE6D67"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Ciudad Real capital</w:t>
            </w:r>
          </w:p>
        </w:tc>
        <w:tc>
          <w:tcPr>
            <w:tcW w:w="1701" w:type="dxa"/>
            <w:vAlign w:val="bottom"/>
          </w:tcPr>
          <w:p w14:paraId="042A6588" w14:textId="76599EAA" w:rsidR="00C45CC5" w:rsidRPr="00F815F1" w:rsidRDefault="00705AE7" w:rsidP="00C45CC5">
            <w:pPr>
              <w:jc w:val="center"/>
              <w:rPr>
                <w:rFonts w:ascii="Open Sans" w:hAnsi="Open Sans" w:cs="Open Sans"/>
                <w:color w:val="000000"/>
                <w:sz w:val="22"/>
                <w:szCs w:val="22"/>
              </w:rPr>
            </w:pPr>
            <w:r>
              <w:rPr>
                <w:rFonts w:ascii="Open Sans" w:hAnsi="Open Sans" w:cs="Open Sans"/>
                <w:color w:val="000000"/>
                <w:sz w:val="22"/>
                <w:szCs w:val="22"/>
              </w:rPr>
              <w:t>-</w:t>
            </w:r>
          </w:p>
        </w:tc>
        <w:tc>
          <w:tcPr>
            <w:tcW w:w="1701" w:type="dxa"/>
            <w:vAlign w:val="bottom"/>
          </w:tcPr>
          <w:p w14:paraId="773CE4CA" w14:textId="0E211CD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-36%</w:t>
            </w:r>
          </w:p>
        </w:tc>
        <w:tc>
          <w:tcPr>
            <w:tcW w:w="1701" w:type="dxa"/>
            <w:shd w:val="clear" w:color="auto" w:fill="auto"/>
            <w:vAlign w:val="bottom"/>
            <w:hideMark/>
          </w:tcPr>
          <w:p w14:paraId="214C0ACE" w14:textId="339469A1"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w:t>
            </w:r>
          </w:p>
        </w:tc>
        <w:tc>
          <w:tcPr>
            <w:tcW w:w="1814" w:type="dxa"/>
            <w:vAlign w:val="bottom"/>
          </w:tcPr>
          <w:p w14:paraId="7D4755E0" w14:textId="58FDF5BC"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-4%</w:t>
            </w:r>
          </w:p>
        </w:tc>
      </w:tr>
      <w:tr w:rsidR="00C45CC5" w:rsidRPr="00F815F1" w14:paraId="216A17FF" w14:textId="77777777" w:rsidTr="00A060EF">
        <w:trPr>
          <w:trHeight w:val="226"/>
        </w:trPr>
        <w:tc>
          <w:tcPr>
            <w:tcW w:w="2117" w:type="dxa"/>
            <w:shd w:val="clear" w:color="auto" w:fill="auto"/>
            <w:vAlign w:val="bottom"/>
          </w:tcPr>
          <w:p w14:paraId="0CF1DBBF" w14:textId="64BCCED1" w:rsidR="00C45CC5" w:rsidRPr="00F815F1" w:rsidRDefault="00C45CC5" w:rsidP="00C45CC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Almería capital</w:t>
            </w:r>
          </w:p>
        </w:tc>
        <w:tc>
          <w:tcPr>
            <w:tcW w:w="1701" w:type="dxa"/>
            <w:vAlign w:val="bottom"/>
          </w:tcPr>
          <w:p w14:paraId="4961BF2A" w14:textId="3A096588"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-46%</w:t>
            </w:r>
          </w:p>
        </w:tc>
        <w:tc>
          <w:tcPr>
            <w:tcW w:w="1701" w:type="dxa"/>
            <w:vAlign w:val="bottom"/>
          </w:tcPr>
          <w:p w14:paraId="1392F462" w14:textId="3FE7A98D" w:rsidR="00C45CC5" w:rsidRPr="00F815F1" w:rsidRDefault="00C45CC5" w:rsidP="00C45CC5">
            <w:pPr>
              <w:jc w:val="center"/>
              <w:rPr>
                <w:rFonts w:ascii="Open Sans" w:hAnsi="Open Sans" w:cs="Open Sans"/>
                <w:color w:val="000000"/>
                <w:sz w:val="22"/>
                <w:szCs w:val="22"/>
              </w:rPr>
            </w:pPr>
            <w:r>
              <w:rPr>
                <w:rFonts w:ascii="Open Sans" w:hAnsi="Open Sans" w:cs="Open Sans"/>
                <w:color w:val="9C0006"/>
                <w:sz w:val="22"/>
                <w:szCs w:val="22"/>
              </w:rPr>
              <w:t>-33%</w:t>
            </w:r>
          </w:p>
        </w:tc>
        <w:tc>
          <w:tcPr>
            <w:tcW w:w="1701" w:type="dxa"/>
            <w:shd w:val="clear" w:color="auto" w:fill="auto"/>
            <w:vAlign w:val="bottom"/>
            <w:hideMark/>
          </w:tcPr>
          <w:p w14:paraId="3587ED1A" w14:textId="4E016F98" w:rsidR="00C45CC5" w:rsidRPr="00F815F1" w:rsidRDefault="00C45CC5" w:rsidP="00C45CC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w:t>
            </w:r>
          </w:p>
        </w:tc>
        <w:tc>
          <w:tcPr>
            <w:tcW w:w="1814" w:type="dxa"/>
            <w:vAlign w:val="bottom"/>
          </w:tcPr>
          <w:p w14:paraId="3A9FD98F" w14:textId="627AB848" w:rsidR="00C45CC5" w:rsidRPr="00F815F1" w:rsidRDefault="00C45CC5" w:rsidP="00C45CC5">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-3%</w:t>
            </w:r>
          </w:p>
        </w:tc>
      </w:tr>
      <w:tr w:rsidR="00705AE7" w:rsidRPr="00F815F1" w14:paraId="69BEA3E4" w14:textId="77777777" w:rsidTr="00103D79">
        <w:trPr>
          <w:trHeight w:val="226"/>
        </w:trPr>
        <w:tc>
          <w:tcPr>
            <w:tcW w:w="2117" w:type="dxa"/>
            <w:shd w:val="clear" w:color="auto" w:fill="auto"/>
            <w:vAlign w:val="bottom"/>
          </w:tcPr>
          <w:p w14:paraId="4481D079" w14:textId="3C6EEE60"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Ávila capital</w:t>
            </w:r>
          </w:p>
        </w:tc>
        <w:tc>
          <w:tcPr>
            <w:tcW w:w="1701" w:type="dxa"/>
          </w:tcPr>
          <w:p w14:paraId="129B095E" w14:textId="0C6A02C8" w:rsidR="00705AE7" w:rsidRPr="00F815F1" w:rsidRDefault="00705AE7" w:rsidP="00705AE7">
            <w:pPr>
              <w:jc w:val="center"/>
              <w:rPr>
                <w:rFonts w:ascii="Open Sans" w:hAnsi="Open Sans" w:cs="Open Sans"/>
                <w:color w:val="000000"/>
                <w:sz w:val="22"/>
                <w:szCs w:val="22"/>
              </w:rPr>
            </w:pPr>
            <w:r w:rsidRPr="001B10AF">
              <w:rPr>
                <w:rFonts w:ascii="Open Sans" w:hAnsi="Open Sans" w:cs="Open Sans"/>
                <w:color w:val="000000"/>
                <w:sz w:val="22"/>
                <w:szCs w:val="22"/>
              </w:rPr>
              <w:t>-</w:t>
            </w:r>
          </w:p>
        </w:tc>
        <w:tc>
          <w:tcPr>
            <w:tcW w:w="1701" w:type="dxa"/>
            <w:vAlign w:val="bottom"/>
          </w:tcPr>
          <w:p w14:paraId="6DA1D747" w14:textId="2C8B333B"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-34%</w:t>
            </w:r>
          </w:p>
        </w:tc>
        <w:tc>
          <w:tcPr>
            <w:tcW w:w="1701" w:type="dxa"/>
            <w:shd w:val="clear" w:color="auto" w:fill="auto"/>
            <w:vAlign w:val="bottom"/>
            <w:hideMark/>
          </w:tcPr>
          <w:p w14:paraId="43278EA5" w14:textId="74677027"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w:t>
            </w:r>
          </w:p>
        </w:tc>
        <w:tc>
          <w:tcPr>
            <w:tcW w:w="1814" w:type="dxa"/>
            <w:vAlign w:val="bottom"/>
          </w:tcPr>
          <w:p w14:paraId="5F981DDD" w14:textId="0D1616DA"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9C0006"/>
                <w:sz w:val="22"/>
                <w:szCs w:val="22"/>
              </w:rPr>
              <w:t>-3%</w:t>
            </w:r>
          </w:p>
        </w:tc>
      </w:tr>
      <w:tr w:rsidR="00705AE7" w:rsidRPr="00F815F1" w14:paraId="46A64438" w14:textId="77777777" w:rsidTr="00103D79">
        <w:trPr>
          <w:trHeight w:val="226"/>
        </w:trPr>
        <w:tc>
          <w:tcPr>
            <w:tcW w:w="2117" w:type="dxa"/>
            <w:shd w:val="clear" w:color="auto" w:fill="auto"/>
            <w:vAlign w:val="bottom"/>
          </w:tcPr>
          <w:p w14:paraId="583C7C44" w14:textId="6B2B37FC"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Soria capital</w:t>
            </w:r>
          </w:p>
        </w:tc>
        <w:tc>
          <w:tcPr>
            <w:tcW w:w="1701" w:type="dxa"/>
          </w:tcPr>
          <w:p w14:paraId="3742B438" w14:textId="59F97BB6" w:rsidR="00705AE7" w:rsidRPr="00F815F1" w:rsidRDefault="00705AE7" w:rsidP="00705AE7">
            <w:pPr>
              <w:jc w:val="center"/>
              <w:rPr>
                <w:rFonts w:ascii="Open Sans" w:hAnsi="Open Sans" w:cs="Open Sans"/>
                <w:color w:val="000000"/>
                <w:sz w:val="22"/>
                <w:szCs w:val="22"/>
              </w:rPr>
            </w:pPr>
            <w:r w:rsidRPr="001B10AF">
              <w:rPr>
                <w:rFonts w:ascii="Open Sans" w:hAnsi="Open Sans" w:cs="Open Sans"/>
                <w:color w:val="000000"/>
                <w:sz w:val="22"/>
                <w:szCs w:val="22"/>
              </w:rPr>
              <w:t>-</w:t>
            </w:r>
          </w:p>
        </w:tc>
        <w:tc>
          <w:tcPr>
            <w:tcW w:w="1701" w:type="dxa"/>
            <w:vAlign w:val="bottom"/>
          </w:tcPr>
          <w:p w14:paraId="6E7A465D" w14:textId="4A202C79"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-30%</w:t>
            </w:r>
          </w:p>
        </w:tc>
        <w:tc>
          <w:tcPr>
            <w:tcW w:w="1701" w:type="dxa"/>
            <w:shd w:val="clear" w:color="auto" w:fill="auto"/>
            <w:vAlign w:val="bottom"/>
          </w:tcPr>
          <w:p w14:paraId="23781F50" w14:textId="55D7A581"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w:t>
            </w:r>
          </w:p>
        </w:tc>
        <w:tc>
          <w:tcPr>
            <w:tcW w:w="1814" w:type="dxa"/>
            <w:vAlign w:val="bottom"/>
          </w:tcPr>
          <w:p w14:paraId="5255F509" w14:textId="761B280A"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0%</w:t>
            </w:r>
          </w:p>
        </w:tc>
      </w:tr>
      <w:tr w:rsidR="00705AE7" w:rsidRPr="00F815F1" w14:paraId="2868F3D0" w14:textId="77777777" w:rsidTr="00103D79">
        <w:trPr>
          <w:trHeight w:val="226"/>
        </w:trPr>
        <w:tc>
          <w:tcPr>
            <w:tcW w:w="2117" w:type="dxa"/>
            <w:shd w:val="clear" w:color="auto" w:fill="auto"/>
            <w:vAlign w:val="bottom"/>
          </w:tcPr>
          <w:p w14:paraId="0CD3115B" w14:textId="188EDAAC" w:rsidR="00705AE7" w:rsidRPr="00F815F1" w:rsidRDefault="00705AE7" w:rsidP="00705AE7">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Zamora capital</w:t>
            </w:r>
          </w:p>
        </w:tc>
        <w:tc>
          <w:tcPr>
            <w:tcW w:w="1701" w:type="dxa"/>
          </w:tcPr>
          <w:p w14:paraId="05966A05" w14:textId="530BD2C7" w:rsidR="00705AE7" w:rsidRPr="00F815F1" w:rsidRDefault="00705AE7" w:rsidP="00705AE7">
            <w:pPr>
              <w:jc w:val="center"/>
              <w:rPr>
                <w:rFonts w:ascii="Open Sans" w:hAnsi="Open Sans" w:cs="Open Sans"/>
                <w:color w:val="000000"/>
                <w:sz w:val="22"/>
                <w:szCs w:val="22"/>
              </w:rPr>
            </w:pPr>
            <w:r w:rsidRPr="001B10AF">
              <w:rPr>
                <w:rFonts w:ascii="Open Sans" w:hAnsi="Open Sans" w:cs="Open Sans"/>
                <w:color w:val="000000"/>
                <w:sz w:val="22"/>
                <w:szCs w:val="22"/>
              </w:rPr>
              <w:t>-</w:t>
            </w:r>
          </w:p>
        </w:tc>
        <w:tc>
          <w:tcPr>
            <w:tcW w:w="1701" w:type="dxa"/>
            <w:vAlign w:val="bottom"/>
          </w:tcPr>
          <w:p w14:paraId="2E55E4FD" w14:textId="616ED301"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-29%</w:t>
            </w:r>
          </w:p>
        </w:tc>
        <w:tc>
          <w:tcPr>
            <w:tcW w:w="1701" w:type="dxa"/>
            <w:shd w:val="clear" w:color="auto" w:fill="auto"/>
            <w:vAlign w:val="bottom"/>
          </w:tcPr>
          <w:p w14:paraId="184D7BBF" w14:textId="1F2A5E70" w:rsidR="00705AE7" w:rsidRPr="00F815F1" w:rsidRDefault="00705AE7" w:rsidP="00705AE7">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-6%</w:t>
            </w:r>
          </w:p>
        </w:tc>
        <w:tc>
          <w:tcPr>
            <w:tcW w:w="1814" w:type="dxa"/>
            <w:vAlign w:val="bottom"/>
          </w:tcPr>
          <w:p w14:paraId="6F90FDE4" w14:textId="3B9DC019" w:rsidR="00705AE7" w:rsidRPr="00F815F1" w:rsidRDefault="00705AE7" w:rsidP="00705AE7">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0%</w:t>
            </w:r>
          </w:p>
        </w:tc>
      </w:tr>
      <w:tr w:rsidR="00705AE7" w:rsidRPr="00F815F1" w14:paraId="223F390D" w14:textId="77777777" w:rsidTr="00103D79">
        <w:trPr>
          <w:trHeight w:val="226"/>
        </w:trPr>
        <w:tc>
          <w:tcPr>
            <w:tcW w:w="2117" w:type="dxa"/>
            <w:shd w:val="clear" w:color="auto" w:fill="auto"/>
            <w:vAlign w:val="bottom"/>
          </w:tcPr>
          <w:p w14:paraId="0FF176FB" w14:textId="163F2B62" w:rsidR="00705AE7" w:rsidRPr="00F815F1" w:rsidRDefault="00705AE7" w:rsidP="00705AE7">
            <w:pPr>
              <w:rPr>
                <w:rFonts w:ascii="Open Sans" w:hAnsi="Open Sans" w:cs="Open Sans"/>
                <w:sz w:val="22"/>
                <w:szCs w:val="22"/>
              </w:rPr>
            </w:pPr>
            <w:r>
              <w:rPr>
                <w:rFonts w:ascii="Open Sans" w:hAnsi="Open Sans" w:cs="Open Sans"/>
                <w:color w:val="000000"/>
                <w:sz w:val="22"/>
                <w:szCs w:val="22"/>
              </w:rPr>
              <w:t>Teruel capital</w:t>
            </w:r>
          </w:p>
        </w:tc>
        <w:tc>
          <w:tcPr>
            <w:tcW w:w="1701" w:type="dxa"/>
          </w:tcPr>
          <w:p w14:paraId="3D6E3029" w14:textId="07A1F815" w:rsidR="00705AE7" w:rsidRPr="00F815F1" w:rsidRDefault="00705AE7" w:rsidP="00705AE7">
            <w:pPr>
              <w:jc w:val="center"/>
              <w:rPr>
                <w:rFonts w:ascii="Open Sans" w:hAnsi="Open Sans" w:cs="Open Sans"/>
                <w:color w:val="000000"/>
                <w:sz w:val="22"/>
                <w:szCs w:val="22"/>
              </w:rPr>
            </w:pPr>
            <w:r w:rsidRPr="001B10AF">
              <w:rPr>
                <w:rFonts w:ascii="Open Sans" w:hAnsi="Open Sans" w:cs="Open Sans"/>
                <w:color w:val="000000"/>
                <w:sz w:val="22"/>
                <w:szCs w:val="22"/>
              </w:rPr>
              <w:t>-</w:t>
            </w:r>
          </w:p>
        </w:tc>
        <w:tc>
          <w:tcPr>
            <w:tcW w:w="1701" w:type="dxa"/>
            <w:vAlign w:val="bottom"/>
          </w:tcPr>
          <w:p w14:paraId="473A587B" w14:textId="673AA8B9" w:rsidR="00705AE7" w:rsidRPr="00F815F1" w:rsidRDefault="00705AE7" w:rsidP="00705AE7">
            <w:pPr>
              <w:jc w:val="center"/>
              <w:rPr>
                <w:rFonts w:ascii="Open Sans" w:hAnsi="Open Sans" w:cs="Open Sans"/>
                <w:color w:val="9C0006"/>
                <w:sz w:val="22"/>
                <w:szCs w:val="22"/>
              </w:rPr>
            </w:pPr>
            <w:r>
              <w:rPr>
                <w:rFonts w:ascii="Open Sans" w:hAnsi="Open Sans" w:cs="Open Sans"/>
                <w:color w:val="000000"/>
                <w:sz w:val="22"/>
                <w:szCs w:val="22"/>
              </w:rPr>
              <w:t>-</w:t>
            </w:r>
          </w:p>
        </w:tc>
        <w:tc>
          <w:tcPr>
            <w:tcW w:w="1701" w:type="dxa"/>
            <w:shd w:val="clear" w:color="auto" w:fill="auto"/>
            <w:vAlign w:val="bottom"/>
          </w:tcPr>
          <w:p w14:paraId="24613A61" w14:textId="6444BE37" w:rsidR="00705AE7" w:rsidRPr="00F815F1" w:rsidRDefault="00705AE7" w:rsidP="00705AE7">
            <w:pPr>
              <w:jc w:val="center"/>
              <w:rPr>
                <w:rFonts w:ascii="Open Sans" w:hAnsi="Open Sans" w:cs="Open Sans"/>
                <w:color w:val="9C0006"/>
                <w:sz w:val="22"/>
                <w:szCs w:val="22"/>
              </w:rPr>
            </w:pPr>
            <w:r>
              <w:rPr>
                <w:rFonts w:ascii="Open Sans" w:hAnsi="Open Sans" w:cs="Open Sans"/>
                <w:color w:val="9C0006"/>
                <w:sz w:val="22"/>
                <w:szCs w:val="22"/>
              </w:rPr>
              <w:t>-7%</w:t>
            </w:r>
          </w:p>
        </w:tc>
        <w:tc>
          <w:tcPr>
            <w:tcW w:w="1814" w:type="dxa"/>
            <w:vAlign w:val="bottom"/>
          </w:tcPr>
          <w:p w14:paraId="410970F5" w14:textId="5497E6A2"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-6%</w:t>
            </w:r>
          </w:p>
        </w:tc>
      </w:tr>
      <w:tr w:rsidR="00705AE7" w:rsidRPr="00F815F1" w14:paraId="3BC61D7B" w14:textId="77777777" w:rsidTr="00103D79">
        <w:trPr>
          <w:trHeight w:val="226"/>
        </w:trPr>
        <w:tc>
          <w:tcPr>
            <w:tcW w:w="2117" w:type="dxa"/>
            <w:shd w:val="clear" w:color="auto" w:fill="auto"/>
            <w:vAlign w:val="bottom"/>
          </w:tcPr>
          <w:p w14:paraId="6E7C7D97" w14:textId="3531BDBF" w:rsidR="00705AE7" w:rsidRPr="00F815F1" w:rsidRDefault="00705AE7" w:rsidP="00705AE7">
            <w:pPr>
              <w:rPr>
                <w:rFonts w:ascii="Open Sans" w:hAnsi="Open Sans" w:cs="Open Sans"/>
                <w:sz w:val="22"/>
                <w:szCs w:val="22"/>
              </w:rPr>
            </w:pPr>
            <w:r>
              <w:rPr>
                <w:rFonts w:ascii="Open Sans" w:hAnsi="Open Sans" w:cs="Open Sans"/>
                <w:color w:val="000000"/>
                <w:sz w:val="22"/>
                <w:szCs w:val="22"/>
              </w:rPr>
              <w:t>Jaén capital</w:t>
            </w:r>
          </w:p>
        </w:tc>
        <w:tc>
          <w:tcPr>
            <w:tcW w:w="1701" w:type="dxa"/>
          </w:tcPr>
          <w:p w14:paraId="38EAE9D7" w14:textId="6BB704A9" w:rsidR="00705AE7" w:rsidRPr="00F815F1" w:rsidRDefault="00705AE7" w:rsidP="00705AE7">
            <w:pPr>
              <w:jc w:val="center"/>
              <w:rPr>
                <w:rFonts w:ascii="Open Sans" w:hAnsi="Open Sans" w:cs="Open Sans"/>
                <w:color w:val="000000"/>
                <w:sz w:val="22"/>
                <w:szCs w:val="22"/>
              </w:rPr>
            </w:pPr>
            <w:r w:rsidRPr="001B10AF">
              <w:rPr>
                <w:rFonts w:ascii="Open Sans" w:hAnsi="Open Sans" w:cs="Open Sans"/>
                <w:color w:val="000000"/>
                <w:sz w:val="22"/>
                <w:szCs w:val="22"/>
              </w:rPr>
              <w:t>-</w:t>
            </w:r>
          </w:p>
        </w:tc>
        <w:tc>
          <w:tcPr>
            <w:tcW w:w="1701" w:type="dxa"/>
            <w:vAlign w:val="bottom"/>
          </w:tcPr>
          <w:p w14:paraId="2719AACF" w14:textId="7A083D98" w:rsidR="00705AE7" w:rsidRPr="00F815F1" w:rsidRDefault="00705AE7" w:rsidP="00705AE7">
            <w:pPr>
              <w:jc w:val="center"/>
              <w:rPr>
                <w:rFonts w:ascii="Open Sans" w:hAnsi="Open Sans" w:cs="Open Sans"/>
                <w:color w:val="9C0006"/>
                <w:sz w:val="22"/>
                <w:szCs w:val="22"/>
              </w:rPr>
            </w:pPr>
            <w:r>
              <w:rPr>
                <w:rFonts w:ascii="Open Sans" w:hAnsi="Open Sans" w:cs="Open Sans"/>
                <w:color w:val="9C0006"/>
                <w:sz w:val="22"/>
                <w:szCs w:val="22"/>
              </w:rPr>
              <w:t>-36%</w:t>
            </w:r>
          </w:p>
        </w:tc>
        <w:tc>
          <w:tcPr>
            <w:tcW w:w="1701" w:type="dxa"/>
            <w:shd w:val="clear" w:color="auto" w:fill="auto"/>
            <w:vAlign w:val="bottom"/>
          </w:tcPr>
          <w:p w14:paraId="1EBA888A" w14:textId="301B85EA" w:rsidR="00705AE7" w:rsidRPr="00F815F1" w:rsidRDefault="00705AE7" w:rsidP="00705AE7">
            <w:pPr>
              <w:jc w:val="center"/>
              <w:rPr>
                <w:rFonts w:ascii="Open Sans" w:hAnsi="Open Sans" w:cs="Open Sans"/>
                <w:color w:val="9C0006"/>
                <w:sz w:val="22"/>
                <w:szCs w:val="22"/>
              </w:rPr>
            </w:pPr>
            <w:r>
              <w:rPr>
                <w:rFonts w:ascii="Open Sans" w:hAnsi="Open Sans" w:cs="Open Sans"/>
                <w:color w:val="9C0006"/>
                <w:sz w:val="22"/>
                <w:szCs w:val="22"/>
              </w:rPr>
              <w:t>-9%</w:t>
            </w:r>
          </w:p>
        </w:tc>
        <w:tc>
          <w:tcPr>
            <w:tcW w:w="1814" w:type="dxa"/>
            <w:vAlign w:val="bottom"/>
          </w:tcPr>
          <w:p w14:paraId="7514D897" w14:textId="694BEEF1" w:rsidR="00705AE7" w:rsidRPr="00F815F1" w:rsidRDefault="00705AE7" w:rsidP="00705AE7">
            <w:pPr>
              <w:jc w:val="center"/>
              <w:rPr>
                <w:rFonts w:ascii="Open Sans" w:hAnsi="Open Sans" w:cs="Open Sans"/>
                <w:color w:val="000000"/>
                <w:sz w:val="22"/>
                <w:szCs w:val="22"/>
              </w:rPr>
            </w:pPr>
            <w:r>
              <w:rPr>
                <w:rFonts w:ascii="Open Sans" w:hAnsi="Open Sans" w:cs="Open Sans"/>
                <w:color w:val="9C0006"/>
                <w:sz w:val="22"/>
                <w:szCs w:val="22"/>
              </w:rPr>
              <w:t>-8%</w:t>
            </w:r>
          </w:p>
        </w:tc>
      </w:tr>
    </w:tbl>
    <w:p w14:paraId="14062012" w14:textId="77777777" w:rsidR="00EB4922" w:rsidRDefault="00EB4922" w:rsidP="00EB4922">
      <w:pPr>
        <w:pStyle w:val="Prrafodelista"/>
        <w:spacing w:line="276" w:lineRule="auto"/>
        <w:ind w:left="0" w:right="-574"/>
        <w:jc w:val="center"/>
        <w:rPr>
          <w:rFonts w:ascii="National" w:hAnsi="National"/>
          <w:b/>
          <w:bCs/>
          <w:iCs/>
          <w:color w:val="303AB2"/>
          <w:sz w:val="28"/>
          <w:szCs w:val="160"/>
          <w:lang w:val="es-ES"/>
        </w:rPr>
      </w:pPr>
    </w:p>
    <w:p w14:paraId="17527A2E" w14:textId="60CE8EC1" w:rsidR="00EB4922" w:rsidRDefault="00EB4922" w:rsidP="00EB4922">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Precio medio de una vivienda de 80 m</w:t>
      </w:r>
      <w:r w:rsidRPr="00E07AE5">
        <w:rPr>
          <w:rFonts w:ascii="National" w:hAnsi="National"/>
          <w:b/>
          <w:bCs/>
          <w:iCs/>
          <w:color w:val="303AB2"/>
          <w:sz w:val="28"/>
          <w:szCs w:val="160"/>
          <w:vertAlign w:val="superscript"/>
          <w:lang w:val="es-ES"/>
        </w:rPr>
        <w:t>2</w:t>
      </w:r>
      <w:r>
        <w:rPr>
          <w:rFonts w:ascii="National" w:hAnsi="National"/>
          <w:b/>
          <w:bCs/>
          <w:iCs/>
          <w:color w:val="303AB2"/>
          <w:sz w:val="28"/>
          <w:szCs w:val="160"/>
          <w:lang w:val="es-ES"/>
        </w:rPr>
        <w:t xml:space="preserve"> por ciudades</w:t>
      </w:r>
    </w:p>
    <w:p w14:paraId="7B4E86F9" w14:textId="5C21006F" w:rsidR="00D210B8" w:rsidRDefault="00D210B8" w:rsidP="00D210B8">
      <w:pPr>
        <w:pStyle w:val="Prrafodelista"/>
        <w:spacing w:line="276" w:lineRule="auto"/>
        <w:ind w:left="0" w:right="-574"/>
        <w:jc w:val="center"/>
        <w:rPr>
          <w:rFonts w:ascii="National" w:hAnsi="National"/>
          <w:b/>
          <w:bCs/>
          <w:iCs/>
          <w:color w:val="303AB2"/>
          <w:sz w:val="30"/>
          <w:szCs w:val="180"/>
          <w:lang w:val="es-ES"/>
        </w:rPr>
      </w:pPr>
    </w:p>
    <w:tbl>
      <w:tblPr>
        <w:tblW w:w="903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117"/>
        <w:gridCol w:w="1701"/>
        <w:gridCol w:w="1701"/>
        <w:gridCol w:w="1701"/>
        <w:gridCol w:w="1814"/>
      </w:tblGrid>
      <w:tr w:rsidR="00EB4922" w:rsidRPr="00F815F1" w14:paraId="14466A86" w14:textId="77777777" w:rsidTr="00EB4922">
        <w:trPr>
          <w:trHeight w:val="772"/>
        </w:trPr>
        <w:tc>
          <w:tcPr>
            <w:tcW w:w="2117" w:type="dxa"/>
            <w:shd w:val="clear" w:color="auto" w:fill="ACB9CA"/>
            <w:vAlign w:val="center"/>
          </w:tcPr>
          <w:p w14:paraId="2E7026F3" w14:textId="77777777" w:rsidR="00EB4922" w:rsidRPr="00D87C72" w:rsidRDefault="00EB4922" w:rsidP="00EB4922">
            <w:pPr>
              <w:rPr>
                <w:rFonts w:ascii="Open Sans" w:eastAsia="Times New Roman" w:hAnsi="Open Sans" w:cs="Open Sans"/>
                <w:color w:val="0D0D0D" w:themeColor="text1" w:themeTint="F2"/>
                <w:sz w:val="20"/>
                <w:szCs w:val="20"/>
                <w:lang w:val="es-ES" w:eastAsia="es-ES"/>
              </w:rPr>
            </w:pPr>
            <w:r w:rsidRPr="00D87C72">
              <w:rPr>
                <w:rFonts w:ascii="Open Sans" w:eastAsia="Times New Roman" w:hAnsi="Open Sans" w:cs="Open Sans"/>
                <w:color w:val="0D0D0D" w:themeColor="text1" w:themeTint="F2"/>
                <w:sz w:val="20"/>
                <w:szCs w:val="20"/>
                <w:lang w:val="es-ES" w:eastAsia="es-ES"/>
              </w:rPr>
              <w:t>Ciudad</w:t>
            </w:r>
          </w:p>
        </w:tc>
        <w:tc>
          <w:tcPr>
            <w:tcW w:w="1701" w:type="dxa"/>
            <w:shd w:val="clear" w:color="auto" w:fill="ACB9CA"/>
            <w:vAlign w:val="center"/>
          </w:tcPr>
          <w:p w14:paraId="1F92F1E6" w14:textId="7EC42214" w:rsidR="00EB4922" w:rsidRPr="00D87C72" w:rsidRDefault="00EB4922" w:rsidP="00EB4922">
            <w:pPr>
              <w:jc w:val="center"/>
              <w:rPr>
                <w:rFonts w:ascii="Open Sans" w:hAnsi="Open Sans" w:cs="Open Sans"/>
                <w:color w:val="0D0D0D" w:themeColor="text1" w:themeTint="F2"/>
                <w:sz w:val="20"/>
                <w:szCs w:val="20"/>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200</w:t>
            </w:r>
            <w:r w:rsidR="00D87C72" w:rsidRPr="00D87C72">
              <w:rPr>
                <w:rFonts w:ascii="Open Sans" w:hAnsi="Open Sans" w:cs="Open Sans"/>
                <w:color w:val="0D0D0D" w:themeColor="text1" w:themeTint="F2"/>
                <w:sz w:val="18"/>
                <w:szCs w:val="18"/>
              </w:rPr>
              <w:t>6</w:t>
            </w:r>
          </w:p>
        </w:tc>
        <w:tc>
          <w:tcPr>
            <w:tcW w:w="1701" w:type="dxa"/>
            <w:shd w:val="clear" w:color="auto" w:fill="ACB9CA"/>
            <w:vAlign w:val="center"/>
          </w:tcPr>
          <w:p w14:paraId="6356D22E" w14:textId="0456D188" w:rsidR="00EB4922" w:rsidRPr="00D87C72" w:rsidRDefault="00EB4922" w:rsidP="00EB4922">
            <w:pPr>
              <w:jc w:val="center"/>
              <w:rPr>
                <w:rFonts w:ascii="Open Sans" w:eastAsia="Times New Roman" w:hAnsi="Open Sans" w:cs="Open Sans"/>
                <w:color w:val="0D0D0D" w:themeColor="text1" w:themeTint="F2"/>
                <w:sz w:val="20"/>
                <w:szCs w:val="20"/>
                <w:lang w:val="es-ES" w:eastAsia="es-ES"/>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201</w:t>
            </w:r>
            <w:r w:rsidR="00D87C72" w:rsidRPr="00D87C72">
              <w:rPr>
                <w:rFonts w:ascii="Open Sans" w:hAnsi="Open Sans" w:cs="Open Sans"/>
                <w:color w:val="0D0D0D" w:themeColor="text1" w:themeTint="F2"/>
                <w:sz w:val="18"/>
                <w:szCs w:val="18"/>
              </w:rPr>
              <w:t>1</w:t>
            </w:r>
          </w:p>
        </w:tc>
        <w:tc>
          <w:tcPr>
            <w:tcW w:w="1701" w:type="dxa"/>
            <w:shd w:val="clear" w:color="auto" w:fill="ACB9CA"/>
            <w:vAlign w:val="center"/>
            <w:hideMark/>
          </w:tcPr>
          <w:p w14:paraId="14CA0F72" w14:textId="4FCFDF32" w:rsidR="00EB4922" w:rsidRPr="00D87C72" w:rsidRDefault="00EB4922" w:rsidP="00EB4922">
            <w:pPr>
              <w:jc w:val="center"/>
              <w:rPr>
                <w:rFonts w:ascii="Open Sans" w:eastAsia="Times New Roman" w:hAnsi="Open Sans" w:cs="Open Sans"/>
                <w:color w:val="0D0D0D" w:themeColor="text1" w:themeTint="F2"/>
                <w:sz w:val="20"/>
                <w:szCs w:val="20"/>
                <w:lang w:val="es-ES" w:eastAsia="es-ES"/>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201</w:t>
            </w:r>
            <w:r w:rsidR="00D87C72" w:rsidRPr="00D87C72">
              <w:rPr>
                <w:rFonts w:ascii="Open Sans" w:hAnsi="Open Sans" w:cs="Open Sans"/>
                <w:color w:val="0D0D0D" w:themeColor="text1" w:themeTint="F2"/>
                <w:sz w:val="18"/>
                <w:szCs w:val="18"/>
              </w:rPr>
              <w:t>6</w:t>
            </w:r>
          </w:p>
        </w:tc>
        <w:tc>
          <w:tcPr>
            <w:tcW w:w="1814" w:type="dxa"/>
            <w:shd w:val="clear" w:color="auto" w:fill="ACB9CA" w:themeFill="text2" w:themeFillTint="66"/>
            <w:vAlign w:val="center"/>
          </w:tcPr>
          <w:p w14:paraId="26BF4F00" w14:textId="77ADBA4D" w:rsidR="00EB4922" w:rsidRPr="00D87C72" w:rsidRDefault="00EB4922" w:rsidP="00EB4922">
            <w:pPr>
              <w:jc w:val="center"/>
              <w:rPr>
                <w:rFonts w:ascii="Open Sans" w:hAnsi="Open Sans" w:cs="Open Sans"/>
                <w:color w:val="0D0D0D" w:themeColor="text1" w:themeTint="F2"/>
                <w:sz w:val="20"/>
                <w:szCs w:val="20"/>
              </w:rPr>
            </w:pPr>
            <w:r w:rsidRPr="00D87C72">
              <w:rPr>
                <w:rFonts w:ascii="Open Sans" w:hAnsi="Open Sans" w:cs="Open Sans"/>
                <w:color w:val="0D0D0D" w:themeColor="text1" w:themeTint="F2"/>
                <w:sz w:val="18"/>
                <w:szCs w:val="18"/>
              </w:rPr>
              <w:t>Precio de una vivienda de 80 m</w:t>
            </w:r>
            <w:r w:rsidRPr="00D87C72">
              <w:rPr>
                <w:rFonts w:ascii="Open Sans" w:hAnsi="Open Sans" w:cs="Open Sans"/>
                <w:color w:val="0D0D0D" w:themeColor="text1" w:themeTint="F2"/>
                <w:sz w:val="18"/>
                <w:szCs w:val="18"/>
                <w:vertAlign w:val="superscript"/>
              </w:rPr>
              <w:t>2</w:t>
            </w:r>
            <w:r w:rsidRPr="00D87C72">
              <w:rPr>
                <w:rFonts w:ascii="Open Sans" w:hAnsi="Open Sans" w:cs="Open Sans"/>
                <w:color w:val="0D0D0D" w:themeColor="text1" w:themeTint="F2"/>
                <w:sz w:val="18"/>
                <w:szCs w:val="18"/>
              </w:rPr>
              <w:t xml:space="preserve"> en 202</w:t>
            </w:r>
            <w:r w:rsidR="00D87C72" w:rsidRPr="00D87C72">
              <w:rPr>
                <w:rFonts w:ascii="Open Sans" w:hAnsi="Open Sans" w:cs="Open Sans"/>
                <w:color w:val="0D0D0D" w:themeColor="text1" w:themeTint="F2"/>
                <w:sz w:val="18"/>
                <w:szCs w:val="18"/>
              </w:rPr>
              <w:t>1</w:t>
            </w:r>
          </w:p>
        </w:tc>
      </w:tr>
      <w:tr w:rsidR="00D87C72" w:rsidRPr="00F815F1" w14:paraId="490502B4" w14:textId="77777777" w:rsidTr="0046373C">
        <w:trPr>
          <w:trHeight w:val="226"/>
        </w:trPr>
        <w:tc>
          <w:tcPr>
            <w:tcW w:w="2117" w:type="dxa"/>
            <w:shd w:val="clear" w:color="auto" w:fill="auto"/>
            <w:vAlign w:val="bottom"/>
          </w:tcPr>
          <w:p w14:paraId="6C716102" w14:textId="439BCCB5"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 Coruña capital</w:t>
            </w:r>
          </w:p>
        </w:tc>
        <w:tc>
          <w:tcPr>
            <w:tcW w:w="1701" w:type="dxa"/>
            <w:vAlign w:val="bottom"/>
          </w:tcPr>
          <w:p w14:paraId="54A36AC2" w14:textId="2E79094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193.318 € </w:t>
            </w:r>
          </w:p>
        </w:tc>
        <w:tc>
          <w:tcPr>
            <w:tcW w:w="1701" w:type="dxa"/>
            <w:vAlign w:val="bottom"/>
          </w:tcPr>
          <w:p w14:paraId="1C437703" w14:textId="79E96C1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213.556 € </w:t>
            </w:r>
          </w:p>
        </w:tc>
        <w:tc>
          <w:tcPr>
            <w:tcW w:w="1701" w:type="dxa"/>
            <w:shd w:val="clear" w:color="auto" w:fill="auto"/>
            <w:vAlign w:val="bottom"/>
          </w:tcPr>
          <w:p w14:paraId="63395C18" w14:textId="641A0E7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167.764 € </w:t>
            </w:r>
          </w:p>
        </w:tc>
        <w:tc>
          <w:tcPr>
            <w:tcW w:w="1814" w:type="dxa"/>
            <w:vAlign w:val="bottom"/>
          </w:tcPr>
          <w:p w14:paraId="2A8EF2CA" w14:textId="5E6C89B5"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188.791 € </w:t>
            </w:r>
          </w:p>
        </w:tc>
      </w:tr>
      <w:tr w:rsidR="00D87C72" w:rsidRPr="00F815F1" w14:paraId="475EF160" w14:textId="77777777" w:rsidTr="0046373C">
        <w:trPr>
          <w:trHeight w:val="226"/>
        </w:trPr>
        <w:tc>
          <w:tcPr>
            <w:tcW w:w="2117" w:type="dxa"/>
            <w:shd w:val="clear" w:color="auto" w:fill="auto"/>
            <w:vAlign w:val="bottom"/>
          </w:tcPr>
          <w:p w14:paraId="60458CA1" w14:textId="33DC58EE"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Albacete capital</w:t>
            </w:r>
          </w:p>
        </w:tc>
        <w:tc>
          <w:tcPr>
            <w:tcW w:w="1701" w:type="dxa"/>
            <w:vAlign w:val="bottom"/>
          </w:tcPr>
          <w:p w14:paraId="6730E323" w14:textId="6520A63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986B012" w14:textId="48E68B4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164.299 € </w:t>
            </w:r>
          </w:p>
        </w:tc>
        <w:tc>
          <w:tcPr>
            <w:tcW w:w="1701" w:type="dxa"/>
            <w:shd w:val="clear" w:color="auto" w:fill="auto"/>
            <w:vAlign w:val="bottom"/>
          </w:tcPr>
          <w:p w14:paraId="1F1D9422" w14:textId="332EF2D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105.997 € </w:t>
            </w:r>
          </w:p>
        </w:tc>
        <w:tc>
          <w:tcPr>
            <w:tcW w:w="1814" w:type="dxa"/>
            <w:vAlign w:val="bottom"/>
          </w:tcPr>
          <w:p w14:paraId="4CC89DEA" w14:textId="25C9BC30"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115.990 € </w:t>
            </w:r>
          </w:p>
        </w:tc>
      </w:tr>
      <w:tr w:rsidR="00D87C72" w:rsidRPr="00F815F1" w14:paraId="768FCD61" w14:textId="77777777" w:rsidTr="0046373C">
        <w:trPr>
          <w:trHeight w:val="226"/>
        </w:trPr>
        <w:tc>
          <w:tcPr>
            <w:tcW w:w="2117" w:type="dxa"/>
            <w:shd w:val="clear" w:color="auto" w:fill="auto"/>
            <w:vAlign w:val="bottom"/>
          </w:tcPr>
          <w:p w14:paraId="205EC1C6" w14:textId="3AF636E8"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Alicante / Alacant</w:t>
            </w:r>
          </w:p>
        </w:tc>
        <w:tc>
          <w:tcPr>
            <w:tcW w:w="1701" w:type="dxa"/>
            <w:vAlign w:val="bottom"/>
          </w:tcPr>
          <w:p w14:paraId="6E3C90DC" w14:textId="49EA33B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175.448 € </w:t>
            </w:r>
          </w:p>
        </w:tc>
        <w:tc>
          <w:tcPr>
            <w:tcW w:w="1701" w:type="dxa"/>
            <w:vAlign w:val="bottom"/>
          </w:tcPr>
          <w:p w14:paraId="248E3026" w14:textId="57C892E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147.218 € </w:t>
            </w:r>
          </w:p>
        </w:tc>
        <w:tc>
          <w:tcPr>
            <w:tcW w:w="1701" w:type="dxa"/>
            <w:shd w:val="clear" w:color="auto" w:fill="auto"/>
            <w:vAlign w:val="bottom"/>
          </w:tcPr>
          <w:p w14:paraId="7DD9EEC1" w14:textId="0BEB5D14"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114.881 € </w:t>
            </w:r>
          </w:p>
        </w:tc>
        <w:tc>
          <w:tcPr>
            <w:tcW w:w="1814" w:type="dxa"/>
            <w:vAlign w:val="bottom"/>
          </w:tcPr>
          <w:p w14:paraId="2CA950DC" w14:textId="46875C27"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129.132 € </w:t>
            </w:r>
          </w:p>
        </w:tc>
      </w:tr>
      <w:tr w:rsidR="00D87C72" w:rsidRPr="00F815F1" w14:paraId="1CD30905" w14:textId="77777777" w:rsidTr="0046373C">
        <w:trPr>
          <w:trHeight w:val="226"/>
        </w:trPr>
        <w:tc>
          <w:tcPr>
            <w:tcW w:w="2117" w:type="dxa"/>
            <w:shd w:val="clear" w:color="auto" w:fill="auto"/>
            <w:vAlign w:val="bottom"/>
          </w:tcPr>
          <w:p w14:paraId="05C6EAB1" w14:textId="6611D92D"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Almería capital</w:t>
            </w:r>
          </w:p>
        </w:tc>
        <w:tc>
          <w:tcPr>
            <w:tcW w:w="1701" w:type="dxa"/>
            <w:vAlign w:val="bottom"/>
          </w:tcPr>
          <w:p w14:paraId="3B2643DF" w14:textId="2AA2227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195.986 € </w:t>
            </w:r>
          </w:p>
        </w:tc>
        <w:tc>
          <w:tcPr>
            <w:tcW w:w="1701" w:type="dxa"/>
            <w:vAlign w:val="bottom"/>
          </w:tcPr>
          <w:p w14:paraId="460684FF" w14:textId="044114A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157.083 € </w:t>
            </w:r>
          </w:p>
        </w:tc>
        <w:tc>
          <w:tcPr>
            <w:tcW w:w="1701" w:type="dxa"/>
            <w:shd w:val="clear" w:color="auto" w:fill="auto"/>
            <w:vAlign w:val="bottom"/>
          </w:tcPr>
          <w:p w14:paraId="03291351" w14:textId="0FB6207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106.785 € </w:t>
            </w:r>
          </w:p>
        </w:tc>
        <w:tc>
          <w:tcPr>
            <w:tcW w:w="1814" w:type="dxa"/>
            <w:vAlign w:val="bottom"/>
          </w:tcPr>
          <w:p w14:paraId="59D6B462" w14:textId="1D13636B"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105.255 € </w:t>
            </w:r>
          </w:p>
        </w:tc>
      </w:tr>
      <w:tr w:rsidR="00D87C72" w:rsidRPr="00F815F1" w14:paraId="05837D67" w14:textId="77777777" w:rsidTr="00091B1D">
        <w:trPr>
          <w:trHeight w:val="226"/>
        </w:trPr>
        <w:tc>
          <w:tcPr>
            <w:tcW w:w="2117" w:type="dxa"/>
            <w:shd w:val="clear" w:color="auto" w:fill="auto"/>
            <w:vAlign w:val="bottom"/>
          </w:tcPr>
          <w:p w14:paraId="670DC122" w14:textId="14A6BD55"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Ávila capital</w:t>
            </w:r>
          </w:p>
        </w:tc>
        <w:tc>
          <w:tcPr>
            <w:tcW w:w="1701" w:type="dxa"/>
            <w:vAlign w:val="bottom"/>
          </w:tcPr>
          <w:p w14:paraId="15B717A9" w14:textId="3D4026C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2C136DDC" w14:textId="259BB36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140.664 € </w:t>
            </w:r>
          </w:p>
        </w:tc>
        <w:tc>
          <w:tcPr>
            <w:tcW w:w="1701" w:type="dxa"/>
            <w:shd w:val="clear" w:color="auto" w:fill="auto"/>
            <w:vAlign w:val="bottom"/>
          </w:tcPr>
          <w:p w14:paraId="006A64FF" w14:textId="2955A24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95.249 € </w:t>
            </w:r>
          </w:p>
        </w:tc>
        <w:tc>
          <w:tcPr>
            <w:tcW w:w="1814" w:type="dxa"/>
            <w:vAlign w:val="bottom"/>
          </w:tcPr>
          <w:p w14:paraId="0CB13679" w14:textId="1EAF6DCB"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92.633 € </w:t>
            </w:r>
          </w:p>
        </w:tc>
      </w:tr>
      <w:tr w:rsidR="00D87C72" w:rsidRPr="00F815F1" w14:paraId="025AA5B7" w14:textId="77777777" w:rsidTr="00091B1D">
        <w:trPr>
          <w:trHeight w:val="226"/>
        </w:trPr>
        <w:tc>
          <w:tcPr>
            <w:tcW w:w="2117" w:type="dxa"/>
            <w:shd w:val="clear" w:color="auto" w:fill="auto"/>
            <w:vAlign w:val="bottom"/>
          </w:tcPr>
          <w:p w14:paraId="206E954D" w14:textId="0FD86DCD"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Badajoz capital</w:t>
            </w:r>
          </w:p>
        </w:tc>
        <w:tc>
          <w:tcPr>
            <w:tcW w:w="1701" w:type="dxa"/>
            <w:vAlign w:val="bottom"/>
          </w:tcPr>
          <w:p w14:paraId="4D6261A2" w14:textId="528026F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2485DF4" w14:textId="3E1953E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147.041 € </w:t>
            </w:r>
          </w:p>
        </w:tc>
        <w:tc>
          <w:tcPr>
            <w:tcW w:w="1701" w:type="dxa"/>
            <w:shd w:val="clear" w:color="auto" w:fill="auto"/>
            <w:vAlign w:val="bottom"/>
          </w:tcPr>
          <w:p w14:paraId="3D49308F" w14:textId="4DDB19E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98.203 € </w:t>
            </w:r>
          </w:p>
        </w:tc>
        <w:tc>
          <w:tcPr>
            <w:tcW w:w="1814" w:type="dxa"/>
            <w:vAlign w:val="bottom"/>
          </w:tcPr>
          <w:p w14:paraId="3BD8AC66" w14:textId="4068D8F6"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110.322 € </w:t>
            </w:r>
          </w:p>
        </w:tc>
      </w:tr>
      <w:tr w:rsidR="00D87C72" w:rsidRPr="00F815F1" w14:paraId="45A418EA" w14:textId="77777777" w:rsidTr="0046373C">
        <w:trPr>
          <w:trHeight w:val="226"/>
        </w:trPr>
        <w:tc>
          <w:tcPr>
            <w:tcW w:w="2117" w:type="dxa"/>
            <w:shd w:val="clear" w:color="auto" w:fill="auto"/>
            <w:vAlign w:val="bottom"/>
          </w:tcPr>
          <w:p w14:paraId="6A941D18" w14:textId="77037E2C"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Barcelona capital</w:t>
            </w:r>
          </w:p>
        </w:tc>
        <w:tc>
          <w:tcPr>
            <w:tcW w:w="1701" w:type="dxa"/>
            <w:vAlign w:val="bottom"/>
          </w:tcPr>
          <w:p w14:paraId="4F2D03BA" w14:textId="7FFDCB9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403.360 € </w:t>
            </w:r>
          </w:p>
        </w:tc>
        <w:tc>
          <w:tcPr>
            <w:tcW w:w="1701" w:type="dxa"/>
            <w:vAlign w:val="bottom"/>
          </w:tcPr>
          <w:p w14:paraId="0CF4D788" w14:textId="7E4F9FE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306.005 € </w:t>
            </w:r>
          </w:p>
        </w:tc>
        <w:tc>
          <w:tcPr>
            <w:tcW w:w="1701" w:type="dxa"/>
            <w:shd w:val="clear" w:color="auto" w:fill="auto"/>
            <w:vAlign w:val="bottom"/>
          </w:tcPr>
          <w:p w14:paraId="27FD3188" w14:textId="47EBE77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284.458 € </w:t>
            </w:r>
          </w:p>
        </w:tc>
        <w:tc>
          <w:tcPr>
            <w:tcW w:w="1814" w:type="dxa"/>
            <w:vAlign w:val="bottom"/>
          </w:tcPr>
          <w:p w14:paraId="3761FFEE" w14:textId="0FC448F9"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350.222 € </w:t>
            </w:r>
          </w:p>
        </w:tc>
      </w:tr>
      <w:tr w:rsidR="00D87C72" w:rsidRPr="00F815F1" w14:paraId="503D30FB" w14:textId="77777777" w:rsidTr="0046373C">
        <w:trPr>
          <w:trHeight w:val="226"/>
        </w:trPr>
        <w:tc>
          <w:tcPr>
            <w:tcW w:w="2117" w:type="dxa"/>
            <w:shd w:val="clear" w:color="auto" w:fill="auto"/>
            <w:vAlign w:val="bottom"/>
          </w:tcPr>
          <w:p w14:paraId="435C9F7A" w14:textId="6066B61D"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Bilbao</w:t>
            </w:r>
          </w:p>
        </w:tc>
        <w:tc>
          <w:tcPr>
            <w:tcW w:w="1701" w:type="dxa"/>
            <w:vAlign w:val="bottom"/>
          </w:tcPr>
          <w:p w14:paraId="535ED653" w14:textId="6E007FB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334.104 € </w:t>
            </w:r>
          </w:p>
        </w:tc>
        <w:tc>
          <w:tcPr>
            <w:tcW w:w="1701" w:type="dxa"/>
            <w:vAlign w:val="bottom"/>
          </w:tcPr>
          <w:p w14:paraId="7851012B" w14:textId="183E742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310.043 € </w:t>
            </w:r>
          </w:p>
        </w:tc>
        <w:tc>
          <w:tcPr>
            <w:tcW w:w="1701" w:type="dxa"/>
            <w:shd w:val="clear" w:color="auto" w:fill="auto"/>
            <w:vAlign w:val="bottom"/>
          </w:tcPr>
          <w:p w14:paraId="56A6D8B6" w14:textId="4F7F15F1"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238.443 € </w:t>
            </w:r>
          </w:p>
        </w:tc>
        <w:tc>
          <w:tcPr>
            <w:tcW w:w="1814" w:type="dxa"/>
            <w:vAlign w:val="bottom"/>
          </w:tcPr>
          <w:p w14:paraId="59D4B554" w14:textId="27F4F038"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269.455 € </w:t>
            </w:r>
          </w:p>
        </w:tc>
      </w:tr>
      <w:tr w:rsidR="00D87C72" w:rsidRPr="00F815F1" w14:paraId="690C7340" w14:textId="77777777" w:rsidTr="00091B1D">
        <w:trPr>
          <w:trHeight w:val="226"/>
        </w:trPr>
        <w:tc>
          <w:tcPr>
            <w:tcW w:w="2117" w:type="dxa"/>
            <w:shd w:val="clear" w:color="auto" w:fill="auto"/>
            <w:vAlign w:val="bottom"/>
          </w:tcPr>
          <w:p w14:paraId="568CE260" w14:textId="5207A827"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Burgos capital</w:t>
            </w:r>
          </w:p>
        </w:tc>
        <w:tc>
          <w:tcPr>
            <w:tcW w:w="1701" w:type="dxa"/>
            <w:vAlign w:val="bottom"/>
          </w:tcPr>
          <w:p w14:paraId="75D56ADE" w14:textId="5A7A958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1771B95E" w14:textId="1F43B3D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187.694 € </w:t>
            </w:r>
          </w:p>
        </w:tc>
        <w:tc>
          <w:tcPr>
            <w:tcW w:w="1701" w:type="dxa"/>
            <w:shd w:val="clear" w:color="auto" w:fill="auto"/>
            <w:vAlign w:val="bottom"/>
          </w:tcPr>
          <w:p w14:paraId="00E1023A" w14:textId="46667CE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128.862 € </w:t>
            </w:r>
          </w:p>
        </w:tc>
        <w:tc>
          <w:tcPr>
            <w:tcW w:w="1814" w:type="dxa"/>
            <w:vAlign w:val="bottom"/>
          </w:tcPr>
          <w:p w14:paraId="531F0B97" w14:textId="63D746DA"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134.616 € </w:t>
            </w:r>
          </w:p>
        </w:tc>
      </w:tr>
      <w:tr w:rsidR="00D87C72" w:rsidRPr="00F815F1" w14:paraId="0E8AFA09" w14:textId="77777777" w:rsidTr="00091B1D">
        <w:trPr>
          <w:trHeight w:val="226"/>
        </w:trPr>
        <w:tc>
          <w:tcPr>
            <w:tcW w:w="2117" w:type="dxa"/>
            <w:shd w:val="clear" w:color="auto" w:fill="auto"/>
            <w:vAlign w:val="bottom"/>
          </w:tcPr>
          <w:p w14:paraId="1DAE49ED" w14:textId="1D491C2B"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Cáceres capital</w:t>
            </w:r>
          </w:p>
        </w:tc>
        <w:tc>
          <w:tcPr>
            <w:tcW w:w="1701" w:type="dxa"/>
            <w:vAlign w:val="bottom"/>
          </w:tcPr>
          <w:p w14:paraId="4256BD3F" w14:textId="4B0EDAA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14A703EA" w14:textId="31FD674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144.876 € </w:t>
            </w:r>
          </w:p>
        </w:tc>
        <w:tc>
          <w:tcPr>
            <w:tcW w:w="1701" w:type="dxa"/>
            <w:shd w:val="clear" w:color="auto" w:fill="auto"/>
            <w:vAlign w:val="bottom"/>
          </w:tcPr>
          <w:p w14:paraId="664DDC4E" w14:textId="181D9B8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85.931 € </w:t>
            </w:r>
          </w:p>
        </w:tc>
        <w:tc>
          <w:tcPr>
            <w:tcW w:w="1814" w:type="dxa"/>
            <w:vAlign w:val="bottom"/>
          </w:tcPr>
          <w:p w14:paraId="5409944C" w14:textId="20B27A4E"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104.233 € </w:t>
            </w:r>
          </w:p>
        </w:tc>
      </w:tr>
      <w:tr w:rsidR="00D87C72" w:rsidRPr="00F815F1" w14:paraId="544C4D2F" w14:textId="77777777" w:rsidTr="0046373C">
        <w:trPr>
          <w:trHeight w:val="226"/>
        </w:trPr>
        <w:tc>
          <w:tcPr>
            <w:tcW w:w="2117" w:type="dxa"/>
            <w:shd w:val="clear" w:color="auto" w:fill="auto"/>
            <w:vAlign w:val="bottom"/>
          </w:tcPr>
          <w:p w14:paraId="04A6D742" w14:textId="28F9EB30"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Cádiz capital</w:t>
            </w:r>
          </w:p>
        </w:tc>
        <w:tc>
          <w:tcPr>
            <w:tcW w:w="1701" w:type="dxa"/>
            <w:vAlign w:val="bottom"/>
          </w:tcPr>
          <w:p w14:paraId="0F9CA3FF" w14:textId="0AC21DA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074C16C7" w14:textId="7001FB8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220.985 € </w:t>
            </w:r>
          </w:p>
        </w:tc>
        <w:tc>
          <w:tcPr>
            <w:tcW w:w="1701" w:type="dxa"/>
            <w:shd w:val="clear" w:color="auto" w:fill="auto"/>
            <w:vAlign w:val="bottom"/>
          </w:tcPr>
          <w:p w14:paraId="0D12790F" w14:textId="656D8378"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165.240 € </w:t>
            </w:r>
          </w:p>
        </w:tc>
        <w:tc>
          <w:tcPr>
            <w:tcW w:w="1814" w:type="dxa"/>
            <w:vAlign w:val="bottom"/>
          </w:tcPr>
          <w:p w14:paraId="18BAE0BC" w14:textId="456D6FCB"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201.993 € </w:t>
            </w:r>
          </w:p>
        </w:tc>
      </w:tr>
      <w:tr w:rsidR="00D87C72" w:rsidRPr="00F815F1" w14:paraId="54767E3A" w14:textId="77777777" w:rsidTr="0046373C">
        <w:trPr>
          <w:trHeight w:val="226"/>
        </w:trPr>
        <w:tc>
          <w:tcPr>
            <w:tcW w:w="2117" w:type="dxa"/>
            <w:shd w:val="clear" w:color="auto" w:fill="auto"/>
            <w:vAlign w:val="bottom"/>
          </w:tcPr>
          <w:p w14:paraId="0E39E975" w14:textId="6EA5D85E"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lastRenderedPageBreak/>
              <w:t>Castellón de la Plana / Castelló de la Plana</w:t>
            </w:r>
          </w:p>
        </w:tc>
        <w:tc>
          <w:tcPr>
            <w:tcW w:w="1701" w:type="dxa"/>
            <w:vAlign w:val="bottom"/>
          </w:tcPr>
          <w:p w14:paraId="5EBDD7C3" w14:textId="065A144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177.086 € </w:t>
            </w:r>
          </w:p>
        </w:tc>
        <w:tc>
          <w:tcPr>
            <w:tcW w:w="1701" w:type="dxa"/>
            <w:vAlign w:val="bottom"/>
          </w:tcPr>
          <w:p w14:paraId="340B3EC3" w14:textId="3AAFEF7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140.226 € </w:t>
            </w:r>
          </w:p>
        </w:tc>
        <w:tc>
          <w:tcPr>
            <w:tcW w:w="1701" w:type="dxa"/>
            <w:shd w:val="clear" w:color="auto" w:fill="auto"/>
            <w:vAlign w:val="bottom"/>
          </w:tcPr>
          <w:p w14:paraId="2E73A066" w14:textId="537B855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93.532 € </w:t>
            </w:r>
          </w:p>
        </w:tc>
        <w:tc>
          <w:tcPr>
            <w:tcW w:w="1814" w:type="dxa"/>
            <w:vAlign w:val="bottom"/>
          </w:tcPr>
          <w:p w14:paraId="24DD2F90" w14:textId="66F91140"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102.466 € </w:t>
            </w:r>
          </w:p>
        </w:tc>
      </w:tr>
      <w:tr w:rsidR="00D87C72" w:rsidRPr="00F815F1" w14:paraId="0FB578ED" w14:textId="77777777" w:rsidTr="0046373C">
        <w:trPr>
          <w:trHeight w:val="226"/>
        </w:trPr>
        <w:tc>
          <w:tcPr>
            <w:tcW w:w="2117" w:type="dxa"/>
            <w:shd w:val="clear" w:color="auto" w:fill="auto"/>
            <w:vAlign w:val="bottom"/>
          </w:tcPr>
          <w:p w14:paraId="60D56BE2" w14:textId="706595B7"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Ciudad Real capital</w:t>
            </w:r>
          </w:p>
        </w:tc>
        <w:tc>
          <w:tcPr>
            <w:tcW w:w="1701" w:type="dxa"/>
            <w:vAlign w:val="bottom"/>
          </w:tcPr>
          <w:p w14:paraId="76989DC2" w14:textId="7C17B3E4"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7E90174" w14:textId="744A063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153.750 € </w:t>
            </w:r>
          </w:p>
        </w:tc>
        <w:tc>
          <w:tcPr>
            <w:tcW w:w="1701" w:type="dxa"/>
            <w:shd w:val="clear" w:color="auto" w:fill="auto"/>
            <w:vAlign w:val="bottom"/>
          </w:tcPr>
          <w:p w14:paraId="20E9A139" w14:textId="5DB2DAB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99.564 € </w:t>
            </w:r>
          </w:p>
        </w:tc>
        <w:tc>
          <w:tcPr>
            <w:tcW w:w="1814" w:type="dxa"/>
            <w:vAlign w:val="bottom"/>
          </w:tcPr>
          <w:p w14:paraId="3DDAD8A1" w14:textId="5FBE6CCE"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98.255 € </w:t>
            </w:r>
          </w:p>
        </w:tc>
      </w:tr>
      <w:tr w:rsidR="00D87C72" w:rsidRPr="00F815F1" w14:paraId="4635800A" w14:textId="77777777" w:rsidTr="0046373C">
        <w:trPr>
          <w:trHeight w:val="226"/>
        </w:trPr>
        <w:tc>
          <w:tcPr>
            <w:tcW w:w="2117" w:type="dxa"/>
            <w:shd w:val="clear" w:color="auto" w:fill="auto"/>
            <w:vAlign w:val="bottom"/>
          </w:tcPr>
          <w:p w14:paraId="3FECC6CF" w14:textId="60905C1E"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Córdoba capital</w:t>
            </w:r>
          </w:p>
        </w:tc>
        <w:tc>
          <w:tcPr>
            <w:tcW w:w="1701" w:type="dxa"/>
            <w:vAlign w:val="bottom"/>
          </w:tcPr>
          <w:p w14:paraId="7993BB34" w14:textId="51F5903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199.475 € </w:t>
            </w:r>
          </w:p>
        </w:tc>
        <w:tc>
          <w:tcPr>
            <w:tcW w:w="1701" w:type="dxa"/>
            <w:vAlign w:val="bottom"/>
          </w:tcPr>
          <w:p w14:paraId="3381A916" w14:textId="23C609D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162.060 € </w:t>
            </w:r>
          </w:p>
        </w:tc>
        <w:tc>
          <w:tcPr>
            <w:tcW w:w="1701" w:type="dxa"/>
            <w:shd w:val="clear" w:color="auto" w:fill="auto"/>
            <w:vAlign w:val="bottom"/>
          </w:tcPr>
          <w:p w14:paraId="104079C0" w14:textId="43C72FC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113.900 € </w:t>
            </w:r>
          </w:p>
        </w:tc>
        <w:tc>
          <w:tcPr>
            <w:tcW w:w="1814" w:type="dxa"/>
            <w:vAlign w:val="bottom"/>
          </w:tcPr>
          <w:p w14:paraId="148B7C8A" w14:textId="1ABA458F"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118.075 € </w:t>
            </w:r>
          </w:p>
        </w:tc>
      </w:tr>
      <w:tr w:rsidR="00D87C72" w:rsidRPr="00F815F1" w14:paraId="78162279" w14:textId="77777777" w:rsidTr="0046373C">
        <w:trPr>
          <w:trHeight w:val="226"/>
        </w:trPr>
        <w:tc>
          <w:tcPr>
            <w:tcW w:w="2117" w:type="dxa"/>
            <w:shd w:val="clear" w:color="auto" w:fill="auto"/>
            <w:vAlign w:val="bottom"/>
          </w:tcPr>
          <w:p w14:paraId="0D7DEB88" w14:textId="0C6B7C9A"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Cuenca capital</w:t>
            </w:r>
          </w:p>
        </w:tc>
        <w:tc>
          <w:tcPr>
            <w:tcW w:w="1701" w:type="dxa"/>
            <w:vAlign w:val="bottom"/>
          </w:tcPr>
          <w:p w14:paraId="32C18976" w14:textId="04358A4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45C35187" w14:textId="46BA4AA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144.151 € </w:t>
            </w:r>
          </w:p>
        </w:tc>
        <w:tc>
          <w:tcPr>
            <w:tcW w:w="1701" w:type="dxa"/>
            <w:shd w:val="clear" w:color="auto" w:fill="auto"/>
            <w:vAlign w:val="bottom"/>
          </w:tcPr>
          <w:p w14:paraId="711B83D4" w14:textId="0469CCD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94.355 € </w:t>
            </w:r>
          </w:p>
        </w:tc>
        <w:tc>
          <w:tcPr>
            <w:tcW w:w="1814" w:type="dxa"/>
            <w:vAlign w:val="bottom"/>
          </w:tcPr>
          <w:p w14:paraId="479D4969" w14:textId="13396D33"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106.188 € </w:t>
            </w:r>
          </w:p>
        </w:tc>
      </w:tr>
      <w:tr w:rsidR="00D87C72" w:rsidRPr="00F815F1" w14:paraId="5231290A" w14:textId="77777777" w:rsidTr="0046373C">
        <w:trPr>
          <w:trHeight w:val="226"/>
        </w:trPr>
        <w:tc>
          <w:tcPr>
            <w:tcW w:w="2117" w:type="dxa"/>
            <w:shd w:val="clear" w:color="auto" w:fill="auto"/>
            <w:vAlign w:val="bottom"/>
          </w:tcPr>
          <w:p w14:paraId="04357A4A" w14:textId="68A76499"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Donostia - San Sebastián</w:t>
            </w:r>
          </w:p>
        </w:tc>
        <w:tc>
          <w:tcPr>
            <w:tcW w:w="1701" w:type="dxa"/>
            <w:vAlign w:val="bottom"/>
          </w:tcPr>
          <w:p w14:paraId="12A125F4" w14:textId="4652CD9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4B39B68A" w14:textId="6A370B3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420.814 € </w:t>
            </w:r>
          </w:p>
        </w:tc>
        <w:tc>
          <w:tcPr>
            <w:tcW w:w="1701" w:type="dxa"/>
            <w:shd w:val="clear" w:color="auto" w:fill="auto"/>
            <w:vAlign w:val="bottom"/>
          </w:tcPr>
          <w:p w14:paraId="001CAF1E" w14:textId="71544ED8"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335.841 € </w:t>
            </w:r>
          </w:p>
        </w:tc>
        <w:tc>
          <w:tcPr>
            <w:tcW w:w="1814" w:type="dxa"/>
            <w:vAlign w:val="bottom"/>
          </w:tcPr>
          <w:p w14:paraId="6776C359" w14:textId="1FE74D0C"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445.558 € </w:t>
            </w:r>
          </w:p>
        </w:tc>
      </w:tr>
      <w:tr w:rsidR="00D87C72" w:rsidRPr="00F815F1" w14:paraId="6FA1EF64" w14:textId="77777777" w:rsidTr="0046373C">
        <w:trPr>
          <w:trHeight w:val="226"/>
        </w:trPr>
        <w:tc>
          <w:tcPr>
            <w:tcW w:w="2117" w:type="dxa"/>
            <w:shd w:val="clear" w:color="auto" w:fill="auto"/>
            <w:vAlign w:val="bottom"/>
          </w:tcPr>
          <w:p w14:paraId="43004896" w14:textId="26B64411"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Girona capital</w:t>
            </w:r>
          </w:p>
        </w:tc>
        <w:tc>
          <w:tcPr>
            <w:tcW w:w="1701" w:type="dxa"/>
            <w:vAlign w:val="bottom"/>
          </w:tcPr>
          <w:p w14:paraId="7CED882B" w14:textId="5A85D27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269.146 € </w:t>
            </w:r>
          </w:p>
        </w:tc>
        <w:tc>
          <w:tcPr>
            <w:tcW w:w="1701" w:type="dxa"/>
            <w:vAlign w:val="bottom"/>
          </w:tcPr>
          <w:p w14:paraId="3F8DC61E" w14:textId="361965C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203.029 € </w:t>
            </w:r>
          </w:p>
        </w:tc>
        <w:tc>
          <w:tcPr>
            <w:tcW w:w="1701" w:type="dxa"/>
            <w:shd w:val="clear" w:color="auto" w:fill="auto"/>
            <w:vAlign w:val="bottom"/>
          </w:tcPr>
          <w:p w14:paraId="3CF64756" w14:textId="59D403A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142.459 € </w:t>
            </w:r>
          </w:p>
        </w:tc>
        <w:tc>
          <w:tcPr>
            <w:tcW w:w="1814" w:type="dxa"/>
            <w:vAlign w:val="bottom"/>
          </w:tcPr>
          <w:p w14:paraId="4F1B914C" w14:textId="763CBCA7"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187.697 € </w:t>
            </w:r>
          </w:p>
        </w:tc>
      </w:tr>
      <w:tr w:rsidR="00D87C72" w:rsidRPr="00F815F1" w14:paraId="4E3BC79E" w14:textId="77777777" w:rsidTr="0046373C">
        <w:trPr>
          <w:trHeight w:val="226"/>
        </w:trPr>
        <w:tc>
          <w:tcPr>
            <w:tcW w:w="2117" w:type="dxa"/>
            <w:shd w:val="clear" w:color="auto" w:fill="auto"/>
            <w:vAlign w:val="bottom"/>
          </w:tcPr>
          <w:p w14:paraId="3269C6EA" w14:textId="67A63951"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Granada capital</w:t>
            </w:r>
          </w:p>
        </w:tc>
        <w:tc>
          <w:tcPr>
            <w:tcW w:w="1701" w:type="dxa"/>
            <w:vAlign w:val="bottom"/>
          </w:tcPr>
          <w:p w14:paraId="1F00D4F4" w14:textId="0AFF81F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211.324 € </w:t>
            </w:r>
          </w:p>
        </w:tc>
        <w:tc>
          <w:tcPr>
            <w:tcW w:w="1701" w:type="dxa"/>
            <w:vAlign w:val="bottom"/>
          </w:tcPr>
          <w:p w14:paraId="7DF6553A" w14:textId="7069F72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178.634 € </w:t>
            </w:r>
          </w:p>
        </w:tc>
        <w:tc>
          <w:tcPr>
            <w:tcW w:w="1701" w:type="dxa"/>
            <w:shd w:val="clear" w:color="auto" w:fill="auto"/>
            <w:vAlign w:val="bottom"/>
          </w:tcPr>
          <w:p w14:paraId="6E3081F0" w14:textId="1B934C3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131.163 € </w:t>
            </w:r>
          </w:p>
        </w:tc>
        <w:tc>
          <w:tcPr>
            <w:tcW w:w="1814" w:type="dxa"/>
            <w:vAlign w:val="bottom"/>
          </w:tcPr>
          <w:p w14:paraId="55F5B55E" w14:textId="0F9443ED"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153.059 € </w:t>
            </w:r>
          </w:p>
        </w:tc>
      </w:tr>
      <w:tr w:rsidR="00D87C72" w:rsidRPr="00F815F1" w14:paraId="11608F9A" w14:textId="77777777" w:rsidTr="0046373C">
        <w:trPr>
          <w:trHeight w:val="226"/>
        </w:trPr>
        <w:tc>
          <w:tcPr>
            <w:tcW w:w="2117" w:type="dxa"/>
            <w:shd w:val="clear" w:color="auto" w:fill="auto"/>
            <w:vAlign w:val="bottom"/>
          </w:tcPr>
          <w:p w14:paraId="6665C486" w14:textId="4BA6917A"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Guadalajara capital</w:t>
            </w:r>
          </w:p>
        </w:tc>
        <w:tc>
          <w:tcPr>
            <w:tcW w:w="1701" w:type="dxa"/>
            <w:vAlign w:val="bottom"/>
          </w:tcPr>
          <w:p w14:paraId="6931377F" w14:textId="54CF8B1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234.211 € </w:t>
            </w:r>
          </w:p>
        </w:tc>
        <w:tc>
          <w:tcPr>
            <w:tcW w:w="1701" w:type="dxa"/>
            <w:vAlign w:val="bottom"/>
          </w:tcPr>
          <w:p w14:paraId="202AF5C7" w14:textId="0F90F4D8"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165.957 € </w:t>
            </w:r>
          </w:p>
        </w:tc>
        <w:tc>
          <w:tcPr>
            <w:tcW w:w="1701" w:type="dxa"/>
            <w:shd w:val="clear" w:color="auto" w:fill="auto"/>
            <w:vAlign w:val="bottom"/>
          </w:tcPr>
          <w:p w14:paraId="2B23A9B0" w14:textId="74B08F1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106.590 € </w:t>
            </w:r>
          </w:p>
        </w:tc>
        <w:tc>
          <w:tcPr>
            <w:tcW w:w="1814" w:type="dxa"/>
            <w:vAlign w:val="bottom"/>
          </w:tcPr>
          <w:p w14:paraId="123188FA" w14:textId="7D570529"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116.682 € </w:t>
            </w:r>
          </w:p>
        </w:tc>
      </w:tr>
      <w:tr w:rsidR="00D87C72" w:rsidRPr="00F815F1" w14:paraId="17B00C1C" w14:textId="77777777" w:rsidTr="00091B1D">
        <w:trPr>
          <w:trHeight w:val="226"/>
        </w:trPr>
        <w:tc>
          <w:tcPr>
            <w:tcW w:w="2117" w:type="dxa"/>
            <w:shd w:val="clear" w:color="auto" w:fill="auto"/>
            <w:vAlign w:val="bottom"/>
          </w:tcPr>
          <w:p w14:paraId="4071C3F0" w14:textId="203DC0D9"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Huelva capital</w:t>
            </w:r>
          </w:p>
        </w:tc>
        <w:tc>
          <w:tcPr>
            <w:tcW w:w="1701" w:type="dxa"/>
            <w:vAlign w:val="bottom"/>
          </w:tcPr>
          <w:p w14:paraId="6776A27B" w14:textId="2898B0A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4D442FC9" w14:textId="08F0A0F4"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134.730 € </w:t>
            </w:r>
          </w:p>
        </w:tc>
        <w:tc>
          <w:tcPr>
            <w:tcW w:w="1701" w:type="dxa"/>
            <w:shd w:val="clear" w:color="auto" w:fill="auto"/>
            <w:vAlign w:val="bottom"/>
          </w:tcPr>
          <w:p w14:paraId="4BEA0976" w14:textId="54E09E4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94.222 € </w:t>
            </w:r>
          </w:p>
        </w:tc>
        <w:tc>
          <w:tcPr>
            <w:tcW w:w="1814" w:type="dxa"/>
            <w:vAlign w:val="bottom"/>
          </w:tcPr>
          <w:p w14:paraId="6C79CCBB" w14:textId="749547D5"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98.706 € </w:t>
            </w:r>
          </w:p>
        </w:tc>
      </w:tr>
      <w:tr w:rsidR="00D87C72" w:rsidRPr="00F815F1" w14:paraId="14C9CD0E" w14:textId="77777777" w:rsidTr="00091B1D">
        <w:trPr>
          <w:trHeight w:val="226"/>
        </w:trPr>
        <w:tc>
          <w:tcPr>
            <w:tcW w:w="2117" w:type="dxa"/>
            <w:shd w:val="clear" w:color="auto" w:fill="auto"/>
            <w:vAlign w:val="bottom"/>
          </w:tcPr>
          <w:p w14:paraId="57CD507B" w14:textId="59EEEAE7"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Huesca capital</w:t>
            </w:r>
          </w:p>
        </w:tc>
        <w:tc>
          <w:tcPr>
            <w:tcW w:w="1701" w:type="dxa"/>
            <w:vAlign w:val="bottom"/>
          </w:tcPr>
          <w:p w14:paraId="7A95755E" w14:textId="5C63AA6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2C48C8F" w14:textId="13253A2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156.904 € </w:t>
            </w:r>
          </w:p>
        </w:tc>
        <w:tc>
          <w:tcPr>
            <w:tcW w:w="1701" w:type="dxa"/>
            <w:shd w:val="clear" w:color="auto" w:fill="auto"/>
            <w:vAlign w:val="bottom"/>
          </w:tcPr>
          <w:p w14:paraId="59513C10" w14:textId="1A20F49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106.819 € </w:t>
            </w:r>
          </w:p>
        </w:tc>
        <w:tc>
          <w:tcPr>
            <w:tcW w:w="1814" w:type="dxa"/>
            <w:vAlign w:val="bottom"/>
          </w:tcPr>
          <w:p w14:paraId="1C7A2428" w14:textId="1CC8FFC1"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119.958 € </w:t>
            </w:r>
          </w:p>
        </w:tc>
      </w:tr>
      <w:tr w:rsidR="00D87C72" w:rsidRPr="00F815F1" w14:paraId="4D118CF6" w14:textId="77777777" w:rsidTr="00091B1D">
        <w:trPr>
          <w:trHeight w:val="226"/>
        </w:trPr>
        <w:tc>
          <w:tcPr>
            <w:tcW w:w="2117" w:type="dxa"/>
            <w:shd w:val="clear" w:color="auto" w:fill="auto"/>
            <w:vAlign w:val="bottom"/>
          </w:tcPr>
          <w:p w14:paraId="1CCC403F" w14:textId="1D4FCECE"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Jaén capital</w:t>
            </w:r>
          </w:p>
        </w:tc>
        <w:tc>
          <w:tcPr>
            <w:tcW w:w="1701" w:type="dxa"/>
            <w:vAlign w:val="bottom"/>
          </w:tcPr>
          <w:p w14:paraId="62C9602A" w14:textId="6A5639D4"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627B1CB3" w14:textId="4BAC5009"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157.540 € </w:t>
            </w:r>
          </w:p>
        </w:tc>
        <w:tc>
          <w:tcPr>
            <w:tcW w:w="1701" w:type="dxa"/>
            <w:shd w:val="clear" w:color="auto" w:fill="auto"/>
            <w:vAlign w:val="bottom"/>
          </w:tcPr>
          <w:p w14:paraId="2808D905" w14:textId="5A20F21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110.651 € </w:t>
            </w:r>
          </w:p>
        </w:tc>
        <w:tc>
          <w:tcPr>
            <w:tcW w:w="1814" w:type="dxa"/>
            <w:vAlign w:val="bottom"/>
          </w:tcPr>
          <w:p w14:paraId="767A4E0F" w14:textId="2FAB06A6"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100.989 € </w:t>
            </w:r>
          </w:p>
        </w:tc>
      </w:tr>
      <w:tr w:rsidR="00D87C72" w:rsidRPr="00F815F1" w14:paraId="52E4868B" w14:textId="77777777" w:rsidTr="0031452E">
        <w:trPr>
          <w:trHeight w:val="226"/>
        </w:trPr>
        <w:tc>
          <w:tcPr>
            <w:tcW w:w="2117" w:type="dxa"/>
            <w:shd w:val="clear" w:color="auto" w:fill="auto"/>
            <w:vAlign w:val="bottom"/>
          </w:tcPr>
          <w:p w14:paraId="3559886B" w14:textId="149C3C9D"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Las Palmas de Gran Canaria</w:t>
            </w:r>
          </w:p>
        </w:tc>
        <w:tc>
          <w:tcPr>
            <w:tcW w:w="1701" w:type="dxa"/>
            <w:vAlign w:val="bottom"/>
          </w:tcPr>
          <w:p w14:paraId="46D33C8C" w14:textId="3CFE9AC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187.831 € </w:t>
            </w:r>
          </w:p>
        </w:tc>
        <w:tc>
          <w:tcPr>
            <w:tcW w:w="1701" w:type="dxa"/>
            <w:vAlign w:val="bottom"/>
          </w:tcPr>
          <w:p w14:paraId="30C6B23C" w14:textId="01B8BC8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165.122 € </w:t>
            </w:r>
          </w:p>
        </w:tc>
        <w:tc>
          <w:tcPr>
            <w:tcW w:w="1701" w:type="dxa"/>
            <w:shd w:val="clear" w:color="auto" w:fill="auto"/>
            <w:vAlign w:val="bottom"/>
          </w:tcPr>
          <w:p w14:paraId="51B06670" w14:textId="78AAF3C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129.651 € </w:t>
            </w:r>
          </w:p>
        </w:tc>
        <w:tc>
          <w:tcPr>
            <w:tcW w:w="1814" w:type="dxa"/>
            <w:vAlign w:val="bottom"/>
          </w:tcPr>
          <w:p w14:paraId="7756AAD4" w14:textId="0DF12597"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172.466 € </w:t>
            </w:r>
          </w:p>
        </w:tc>
      </w:tr>
      <w:tr w:rsidR="00D87C72" w:rsidRPr="00F815F1" w14:paraId="0F2B8124" w14:textId="77777777" w:rsidTr="0031452E">
        <w:trPr>
          <w:trHeight w:val="226"/>
        </w:trPr>
        <w:tc>
          <w:tcPr>
            <w:tcW w:w="2117" w:type="dxa"/>
            <w:shd w:val="clear" w:color="auto" w:fill="auto"/>
            <w:vAlign w:val="bottom"/>
          </w:tcPr>
          <w:p w14:paraId="240A6255" w14:textId="24860E20"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León capital</w:t>
            </w:r>
          </w:p>
        </w:tc>
        <w:tc>
          <w:tcPr>
            <w:tcW w:w="1701" w:type="dxa"/>
            <w:vAlign w:val="bottom"/>
          </w:tcPr>
          <w:p w14:paraId="3D6B1692" w14:textId="773BC7F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04DA1A6" w14:textId="0B7DB7D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160.069 € </w:t>
            </w:r>
          </w:p>
        </w:tc>
        <w:tc>
          <w:tcPr>
            <w:tcW w:w="1701" w:type="dxa"/>
            <w:shd w:val="clear" w:color="auto" w:fill="auto"/>
            <w:vAlign w:val="bottom"/>
          </w:tcPr>
          <w:p w14:paraId="4D3F4980" w14:textId="27E977E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113.843 € </w:t>
            </w:r>
          </w:p>
        </w:tc>
        <w:tc>
          <w:tcPr>
            <w:tcW w:w="1814" w:type="dxa"/>
            <w:vAlign w:val="bottom"/>
          </w:tcPr>
          <w:p w14:paraId="0FF3986F" w14:textId="7CA15A30"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120.302 € </w:t>
            </w:r>
          </w:p>
        </w:tc>
      </w:tr>
      <w:tr w:rsidR="00D87C72" w:rsidRPr="00F815F1" w14:paraId="511E56E7" w14:textId="77777777" w:rsidTr="0046373C">
        <w:trPr>
          <w:trHeight w:val="226"/>
        </w:trPr>
        <w:tc>
          <w:tcPr>
            <w:tcW w:w="2117" w:type="dxa"/>
            <w:shd w:val="clear" w:color="auto" w:fill="auto"/>
            <w:vAlign w:val="bottom"/>
          </w:tcPr>
          <w:p w14:paraId="1305F901" w14:textId="2161122C"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Lleida capital</w:t>
            </w:r>
          </w:p>
        </w:tc>
        <w:tc>
          <w:tcPr>
            <w:tcW w:w="1701" w:type="dxa"/>
            <w:vAlign w:val="bottom"/>
          </w:tcPr>
          <w:p w14:paraId="672E544F" w14:textId="11C3123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189.773 € </w:t>
            </w:r>
          </w:p>
        </w:tc>
        <w:tc>
          <w:tcPr>
            <w:tcW w:w="1701" w:type="dxa"/>
            <w:vAlign w:val="bottom"/>
          </w:tcPr>
          <w:p w14:paraId="77653655" w14:textId="18FDA78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136.506 € </w:t>
            </w:r>
          </w:p>
        </w:tc>
        <w:tc>
          <w:tcPr>
            <w:tcW w:w="1701" w:type="dxa"/>
            <w:shd w:val="clear" w:color="auto" w:fill="auto"/>
            <w:vAlign w:val="bottom"/>
          </w:tcPr>
          <w:p w14:paraId="00E260B4" w14:textId="41A55DE8"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89.114 € </w:t>
            </w:r>
          </w:p>
        </w:tc>
        <w:tc>
          <w:tcPr>
            <w:tcW w:w="1814" w:type="dxa"/>
            <w:vAlign w:val="bottom"/>
          </w:tcPr>
          <w:p w14:paraId="07A49CC1" w14:textId="0D2EE605"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94.253 € </w:t>
            </w:r>
          </w:p>
        </w:tc>
      </w:tr>
      <w:tr w:rsidR="00D87C72" w:rsidRPr="00F815F1" w14:paraId="5484FB23" w14:textId="77777777" w:rsidTr="00091B1D">
        <w:trPr>
          <w:trHeight w:val="226"/>
        </w:trPr>
        <w:tc>
          <w:tcPr>
            <w:tcW w:w="2117" w:type="dxa"/>
            <w:shd w:val="clear" w:color="auto" w:fill="auto"/>
            <w:vAlign w:val="bottom"/>
          </w:tcPr>
          <w:p w14:paraId="13F8C981" w14:textId="1C08DE70"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Logroño</w:t>
            </w:r>
          </w:p>
        </w:tc>
        <w:tc>
          <w:tcPr>
            <w:tcW w:w="1701" w:type="dxa"/>
            <w:vAlign w:val="bottom"/>
          </w:tcPr>
          <w:p w14:paraId="4A57131C" w14:textId="01711C4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0984EA53" w14:textId="0885706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172.636 € </w:t>
            </w:r>
          </w:p>
        </w:tc>
        <w:tc>
          <w:tcPr>
            <w:tcW w:w="1701" w:type="dxa"/>
            <w:shd w:val="clear" w:color="auto" w:fill="auto"/>
            <w:vAlign w:val="bottom"/>
          </w:tcPr>
          <w:p w14:paraId="4B1E1AC3" w14:textId="7C6EA96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113.658 € </w:t>
            </w:r>
          </w:p>
        </w:tc>
        <w:tc>
          <w:tcPr>
            <w:tcW w:w="1814" w:type="dxa"/>
            <w:vAlign w:val="bottom"/>
          </w:tcPr>
          <w:p w14:paraId="5CF595E9" w14:textId="54B8CFD3"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137.914 € </w:t>
            </w:r>
          </w:p>
        </w:tc>
      </w:tr>
      <w:tr w:rsidR="00D87C72" w:rsidRPr="00F815F1" w14:paraId="516467C1" w14:textId="77777777" w:rsidTr="00091B1D">
        <w:trPr>
          <w:trHeight w:val="226"/>
        </w:trPr>
        <w:tc>
          <w:tcPr>
            <w:tcW w:w="2117" w:type="dxa"/>
            <w:shd w:val="clear" w:color="auto" w:fill="auto"/>
            <w:vAlign w:val="bottom"/>
          </w:tcPr>
          <w:p w14:paraId="0CA35259" w14:textId="08691BC6"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Lugo capital</w:t>
            </w:r>
          </w:p>
        </w:tc>
        <w:tc>
          <w:tcPr>
            <w:tcW w:w="1701" w:type="dxa"/>
            <w:vAlign w:val="bottom"/>
          </w:tcPr>
          <w:p w14:paraId="709AD1A2" w14:textId="7C77A1C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7E69219E" w14:textId="63A66F5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151.852 € </w:t>
            </w:r>
          </w:p>
        </w:tc>
        <w:tc>
          <w:tcPr>
            <w:tcW w:w="1701" w:type="dxa"/>
            <w:shd w:val="clear" w:color="auto" w:fill="auto"/>
            <w:vAlign w:val="bottom"/>
          </w:tcPr>
          <w:p w14:paraId="223BAEA6" w14:textId="62F8CB5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100.436 € </w:t>
            </w:r>
          </w:p>
        </w:tc>
        <w:tc>
          <w:tcPr>
            <w:tcW w:w="1814" w:type="dxa"/>
            <w:vAlign w:val="bottom"/>
          </w:tcPr>
          <w:p w14:paraId="66A7E0B5" w14:textId="48CF0990"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117.924 € </w:t>
            </w:r>
          </w:p>
        </w:tc>
      </w:tr>
      <w:tr w:rsidR="00D87C72" w:rsidRPr="00F815F1" w14:paraId="31B52548" w14:textId="77777777" w:rsidTr="0046373C">
        <w:trPr>
          <w:trHeight w:val="226"/>
        </w:trPr>
        <w:tc>
          <w:tcPr>
            <w:tcW w:w="2117" w:type="dxa"/>
            <w:shd w:val="clear" w:color="auto" w:fill="auto"/>
            <w:vAlign w:val="bottom"/>
          </w:tcPr>
          <w:p w14:paraId="13ED3573" w14:textId="1E888101"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Madrid capital</w:t>
            </w:r>
          </w:p>
        </w:tc>
        <w:tc>
          <w:tcPr>
            <w:tcW w:w="1701" w:type="dxa"/>
            <w:vAlign w:val="bottom"/>
          </w:tcPr>
          <w:p w14:paraId="0E284A8E" w14:textId="4EF6270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361.279 € </w:t>
            </w:r>
          </w:p>
        </w:tc>
        <w:tc>
          <w:tcPr>
            <w:tcW w:w="1701" w:type="dxa"/>
            <w:vAlign w:val="bottom"/>
          </w:tcPr>
          <w:p w14:paraId="3AC0F1E4" w14:textId="3A5A02C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269.117 € </w:t>
            </w:r>
          </w:p>
        </w:tc>
        <w:tc>
          <w:tcPr>
            <w:tcW w:w="1701" w:type="dxa"/>
            <w:shd w:val="clear" w:color="auto" w:fill="auto"/>
            <w:vAlign w:val="bottom"/>
          </w:tcPr>
          <w:p w14:paraId="170C9C89" w14:textId="09865101"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221.953 € </w:t>
            </w:r>
          </w:p>
        </w:tc>
        <w:tc>
          <w:tcPr>
            <w:tcW w:w="1814" w:type="dxa"/>
            <w:vAlign w:val="bottom"/>
          </w:tcPr>
          <w:p w14:paraId="59DDEC0A" w14:textId="69B53EC2"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312.261 € </w:t>
            </w:r>
          </w:p>
        </w:tc>
      </w:tr>
      <w:tr w:rsidR="00D87C72" w:rsidRPr="00F815F1" w14:paraId="2DEBD1A7" w14:textId="77777777" w:rsidTr="0046373C">
        <w:trPr>
          <w:trHeight w:val="226"/>
        </w:trPr>
        <w:tc>
          <w:tcPr>
            <w:tcW w:w="2117" w:type="dxa"/>
            <w:shd w:val="clear" w:color="auto" w:fill="auto"/>
            <w:vAlign w:val="bottom"/>
          </w:tcPr>
          <w:p w14:paraId="0D641958" w14:textId="5883503D"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Málaga capital</w:t>
            </w:r>
          </w:p>
        </w:tc>
        <w:tc>
          <w:tcPr>
            <w:tcW w:w="1701" w:type="dxa"/>
            <w:vAlign w:val="bottom"/>
          </w:tcPr>
          <w:p w14:paraId="542D04CF" w14:textId="46F8B65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215.553 € </w:t>
            </w:r>
          </w:p>
        </w:tc>
        <w:tc>
          <w:tcPr>
            <w:tcW w:w="1701" w:type="dxa"/>
            <w:vAlign w:val="bottom"/>
          </w:tcPr>
          <w:p w14:paraId="5E1E49BF" w14:textId="46CE9A5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169.992 € </w:t>
            </w:r>
          </w:p>
        </w:tc>
        <w:tc>
          <w:tcPr>
            <w:tcW w:w="1701" w:type="dxa"/>
            <w:shd w:val="clear" w:color="auto" w:fill="auto"/>
            <w:vAlign w:val="bottom"/>
          </w:tcPr>
          <w:p w14:paraId="4B000857" w14:textId="7F5A93A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132.678 € </w:t>
            </w:r>
          </w:p>
        </w:tc>
        <w:tc>
          <w:tcPr>
            <w:tcW w:w="1814" w:type="dxa"/>
            <w:vAlign w:val="bottom"/>
          </w:tcPr>
          <w:p w14:paraId="5B4CD748" w14:textId="1F402990"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189.914 € </w:t>
            </w:r>
          </w:p>
        </w:tc>
      </w:tr>
      <w:tr w:rsidR="00D87C72" w:rsidRPr="00F815F1" w14:paraId="58B1C59B" w14:textId="77777777" w:rsidTr="0046373C">
        <w:trPr>
          <w:trHeight w:val="226"/>
        </w:trPr>
        <w:tc>
          <w:tcPr>
            <w:tcW w:w="2117" w:type="dxa"/>
            <w:shd w:val="clear" w:color="auto" w:fill="auto"/>
            <w:vAlign w:val="bottom"/>
          </w:tcPr>
          <w:p w14:paraId="4AD6CE1B" w14:textId="596BCAB4"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Murcia capital</w:t>
            </w:r>
          </w:p>
        </w:tc>
        <w:tc>
          <w:tcPr>
            <w:tcW w:w="1701" w:type="dxa"/>
            <w:vAlign w:val="bottom"/>
          </w:tcPr>
          <w:p w14:paraId="2DADC4DE" w14:textId="1048FF7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189.520 € </w:t>
            </w:r>
          </w:p>
        </w:tc>
        <w:tc>
          <w:tcPr>
            <w:tcW w:w="1701" w:type="dxa"/>
            <w:vAlign w:val="bottom"/>
          </w:tcPr>
          <w:p w14:paraId="7E663111" w14:textId="6140CC51"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143.546 € </w:t>
            </w:r>
          </w:p>
        </w:tc>
        <w:tc>
          <w:tcPr>
            <w:tcW w:w="1701" w:type="dxa"/>
            <w:shd w:val="clear" w:color="auto" w:fill="auto"/>
            <w:vAlign w:val="bottom"/>
          </w:tcPr>
          <w:p w14:paraId="317550C3" w14:textId="145F5BE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105.633 € </w:t>
            </w:r>
          </w:p>
        </w:tc>
        <w:tc>
          <w:tcPr>
            <w:tcW w:w="1814" w:type="dxa"/>
            <w:vAlign w:val="bottom"/>
          </w:tcPr>
          <w:p w14:paraId="7CA81EC7" w14:textId="37ADF734"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106.906 € </w:t>
            </w:r>
          </w:p>
        </w:tc>
      </w:tr>
      <w:tr w:rsidR="00D87C72" w:rsidRPr="00F815F1" w14:paraId="7D0C1D7D" w14:textId="77777777" w:rsidTr="0046373C">
        <w:trPr>
          <w:trHeight w:val="226"/>
        </w:trPr>
        <w:tc>
          <w:tcPr>
            <w:tcW w:w="2117" w:type="dxa"/>
            <w:shd w:val="clear" w:color="auto" w:fill="auto"/>
            <w:vAlign w:val="bottom"/>
          </w:tcPr>
          <w:p w14:paraId="36F6BB54" w14:textId="6135AF05"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Ourense capital</w:t>
            </w:r>
          </w:p>
        </w:tc>
        <w:tc>
          <w:tcPr>
            <w:tcW w:w="1701" w:type="dxa"/>
            <w:vAlign w:val="bottom"/>
          </w:tcPr>
          <w:p w14:paraId="327D4E32" w14:textId="6E8881E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0C2DB559" w14:textId="712FF4A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155.272 € </w:t>
            </w:r>
          </w:p>
        </w:tc>
        <w:tc>
          <w:tcPr>
            <w:tcW w:w="1701" w:type="dxa"/>
            <w:shd w:val="clear" w:color="auto" w:fill="auto"/>
            <w:vAlign w:val="bottom"/>
          </w:tcPr>
          <w:p w14:paraId="5092E15C" w14:textId="1B0FDF7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118.969 € </w:t>
            </w:r>
          </w:p>
        </w:tc>
        <w:tc>
          <w:tcPr>
            <w:tcW w:w="1814" w:type="dxa"/>
            <w:vAlign w:val="bottom"/>
          </w:tcPr>
          <w:p w14:paraId="2DDC71F2" w14:textId="51CB3B7E"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124.937 € </w:t>
            </w:r>
          </w:p>
        </w:tc>
      </w:tr>
      <w:tr w:rsidR="00D87C72" w:rsidRPr="00F815F1" w14:paraId="344D0120" w14:textId="77777777" w:rsidTr="0031452E">
        <w:trPr>
          <w:trHeight w:val="226"/>
        </w:trPr>
        <w:tc>
          <w:tcPr>
            <w:tcW w:w="2117" w:type="dxa"/>
            <w:shd w:val="clear" w:color="auto" w:fill="auto"/>
            <w:vAlign w:val="bottom"/>
          </w:tcPr>
          <w:p w14:paraId="54D436AD" w14:textId="7A8D760B"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Oviedo</w:t>
            </w:r>
          </w:p>
        </w:tc>
        <w:tc>
          <w:tcPr>
            <w:tcW w:w="1701" w:type="dxa"/>
            <w:vAlign w:val="bottom"/>
          </w:tcPr>
          <w:p w14:paraId="6C4264D6" w14:textId="722C0A9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220.812 € </w:t>
            </w:r>
          </w:p>
        </w:tc>
        <w:tc>
          <w:tcPr>
            <w:tcW w:w="1701" w:type="dxa"/>
            <w:vAlign w:val="bottom"/>
          </w:tcPr>
          <w:p w14:paraId="4A23455A" w14:textId="7CC60FA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184.258 € </w:t>
            </w:r>
          </w:p>
        </w:tc>
        <w:tc>
          <w:tcPr>
            <w:tcW w:w="1701" w:type="dxa"/>
            <w:shd w:val="clear" w:color="auto" w:fill="auto"/>
            <w:vAlign w:val="bottom"/>
          </w:tcPr>
          <w:p w14:paraId="46285ED8" w14:textId="1573491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130.348 € </w:t>
            </w:r>
          </w:p>
        </w:tc>
        <w:tc>
          <w:tcPr>
            <w:tcW w:w="1814" w:type="dxa"/>
            <w:vAlign w:val="bottom"/>
          </w:tcPr>
          <w:p w14:paraId="15CB5372" w14:textId="5A93F7CC" w:rsidR="00D87C72" w:rsidRPr="00F815F1" w:rsidRDefault="00D87C72" w:rsidP="00D87C72">
            <w:pPr>
              <w:jc w:val="center"/>
              <w:rPr>
                <w:rFonts w:ascii="Open Sans" w:hAnsi="Open Sans" w:cs="Open Sans"/>
                <w:b/>
                <w:bCs/>
                <w:color w:val="2E74B5" w:themeColor="accent5" w:themeShade="BF"/>
                <w:sz w:val="22"/>
                <w:szCs w:val="22"/>
              </w:rPr>
            </w:pPr>
            <w:r>
              <w:rPr>
                <w:rFonts w:ascii="Open Sans" w:hAnsi="Open Sans" w:cs="Open Sans"/>
                <w:color w:val="000000"/>
                <w:sz w:val="22"/>
                <w:szCs w:val="22"/>
              </w:rPr>
              <w:t xml:space="preserve">  134.830 € </w:t>
            </w:r>
          </w:p>
        </w:tc>
      </w:tr>
      <w:tr w:rsidR="00D87C72" w:rsidRPr="00F815F1" w14:paraId="3058590A" w14:textId="77777777" w:rsidTr="0031452E">
        <w:trPr>
          <w:trHeight w:val="226"/>
        </w:trPr>
        <w:tc>
          <w:tcPr>
            <w:tcW w:w="2117" w:type="dxa"/>
            <w:shd w:val="clear" w:color="auto" w:fill="auto"/>
            <w:vAlign w:val="bottom"/>
          </w:tcPr>
          <w:p w14:paraId="0930F1C2" w14:textId="4FECA241"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Palencia capital</w:t>
            </w:r>
          </w:p>
        </w:tc>
        <w:tc>
          <w:tcPr>
            <w:tcW w:w="1701" w:type="dxa"/>
            <w:vAlign w:val="bottom"/>
          </w:tcPr>
          <w:p w14:paraId="35B75DBE" w14:textId="14A84FA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69419B0" w14:textId="29DCEFC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157.544 € </w:t>
            </w:r>
          </w:p>
        </w:tc>
        <w:tc>
          <w:tcPr>
            <w:tcW w:w="1701" w:type="dxa"/>
            <w:shd w:val="clear" w:color="auto" w:fill="auto"/>
            <w:vAlign w:val="bottom"/>
            <w:hideMark/>
          </w:tcPr>
          <w:p w14:paraId="0AAA62B6" w14:textId="17CEF203"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117.760 € </w:t>
            </w:r>
          </w:p>
        </w:tc>
        <w:tc>
          <w:tcPr>
            <w:tcW w:w="1814" w:type="dxa"/>
            <w:vAlign w:val="bottom"/>
          </w:tcPr>
          <w:p w14:paraId="45999790" w14:textId="6EC9AD45"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121.100 € </w:t>
            </w:r>
          </w:p>
        </w:tc>
      </w:tr>
      <w:tr w:rsidR="00D87C72" w:rsidRPr="00F815F1" w14:paraId="2253FDF3" w14:textId="77777777" w:rsidTr="0031452E">
        <w:trPr>
          <w:trHeight w:val="226"/>
        </w:trPr>
        <w:tc>
          <w:tcPr>
            <w:tcW w:w="2117" w:type="dxa"/>
            <w:shd w:val="clear" w:color="auto" w:fill="auto"/>
            <w:vAlign w:val="bottom"/>
          </w:tcPr>
          <w:p w14:paraId="485C936C" w14:textId="22107F10"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Palma de Mallorca</w:t>
            </w:r>
          </w:p>
        </w:tc>
        <w:tc>
          <w:tcPr>
            <w:tcW w:w="1701" w:type="dxa"/>
            <w:vAlign w:val="bottom"/>
          </w:tcPr>
          <w:p w14:paraId="22907851" w14:textId="5CECA00E"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218.974 € </w:t>
            </w:r>
          </w:p>
        </w:tc>
        <w:tc>
          <w:tcPr>
            <w:tcW w:w="1701" w:type="dxa"/>
            <w:vAlign w:val="bottom"/>
          </w:tcPr>
          <w:p w14:paraId="1B648C5A" w14:textId="3084F37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183.261 € </w:t>
            </w:r>
          </w:p>
        </w:tc>
        <w:tc>
          <w:tcPr>
            <w:tcW w:w="1701" w:type="dxa"/>
            <w:shd w:val="clear" w:color="auto" w:fill="auto"/>
            <w:vAlign w:val="bottom"/>
            <w:hideMark/>
          </w:tcPr>
          <w:p w14:paraId="7B6912C3" w14:textId="2B7B655D"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156.447 € </w:t>
            </w:r>
          </w:p>
        </w:tc>
        <w:tc>
          <w:tcPr>
            <w:tcW w:w="1814" w:type="dxa"/>
            <w:vAlign w:val="bottom"/>
          </w:tcPr>
          <w:p w14:paraId="0901BA47" w14:textId="0509AABC"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250.168 € </w:t>
            </w:r>
          </w:p>
        </w:tc>
      </w:tr>
      <w:tr w:rsidR="00D87C72" w:rsidRPr="00F815F1" w14:paraId="12C50A9E" w14:textId="77777777" w:rsidTr="0031452E">
        <w:trPr>
          <w:trHeight w:val="226"/>
        </w:trPr>
        <w:tc>
          <w:tcPr>
            <w:tcW w:w="2117" w:type="dxa"/>
            <w:shd w:val="clear" w:color="auto" w:fill="auto"/>
            <w:vAlign w:val="bottom"/>
          </w:tcPr>
          <w:p w14:paraId="0B422A0C" w14:textId="5AB8D7C9"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Pamplona / Iruña</w:t>
            </w:r>
          </w:p>
        </w:tc>
        <w:tc>
          <w:tcPr>
            <w:tcW w:w="1701" w:type="dxa"/>
            <w:vAlign w:val="bottom"/>
          </w:tcPr>
          <w:p w14:paraId="0453CEE0" w14:textId="75A94C7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282.931 € </w:t>
            </w:r>
          </w:p>
        </w:tc>
        <w:tc>
          <w:tcPr>
            <w:tcW w:w="1701" w:type="dxa"/>
            <w:vAlign w:val="bottom"/>
          </w:tcPr>
          <w:p w14:paraId="1E3429EA" w14:textId="7E24D88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225.445 € </w:t>
            </w:r>
          </w:p>
        </w:tc>
        <w:tc>
          <w:tcPr>
            <w:tcW w:w="1701" w:type="dxa"/>
            <w:shd w:val="clear" w:color="auto" w:fill="auto"/>
            <w:vAlign w:val="bottom"/>
            <w:hideMark/>
          </w:tcPr>
          <w:p w14:paraId="5238B4DF" w14:textId="76575A0E"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158.197 € </w:t>
            </w:r>
          </w:p>
        </w:tc>
        <w:tc>
          <w:tcPr>
            <w:tcW w:w="1814" w:type="dxa"/>
            <w:vAlign w:val="bottom"/>
          </w:tcPr>
          <w:p w14:paraId="647FB80F" w14:textId="389CE6DF"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201.780 € </w:t>
            </w:r>
          </w:p>
        </w:tc>
      </w:tr>
      <w:tr w:rsidR="00D87C72" w:rsidRPr="00F815F1" w14:paraId="59F26CAD" w14:textId="77777777" w:rsidTr="0046373C">
        <w:trPr>
          <w:trHeight w:val="226"/>
        </w:trPr>
        <w:tc>
          <w:tcPr>
            <w:tcW w:w="2117" w:type="dxa"/>
            <w:shd w:val="clear" w:color="auto" w:fill="auto"/>
            <w:vAlign w:val="bottom"/>
          </w:tcPr>
          <w:p w14:paraId="2C3509D8" w14:textId="795843D8"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Pontevedra capital</w:t>
            </w:r>
          </w:p>
        </w:tc>
        <w:tc>
          <w:tcPr>
            <w:tcW w:w="1701" w:type="dxa"/>
            <w:vAlign w:val="bottom"/>
          </w:tcPr>
          <w:p w14:paraId="09C77106" w14:textId="3D7456F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4347A695" w14:textId="29DC12A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153.984 € </w:t>
            </w:r>
          </w:p>
        </w:tc>
        <w:tc>
          <w:tcPr>
            <w:tcW w:w="1701" w:type="dxa"/>
            <w:shd w:val="clear" w:color="auto" w:fill="auto"/>
            <w:vAlign w:val="bottom"/>
            <w:hideMark/>
          </w:tcPr>
          <w:p w14:paraId="2ECE6CD5" w14:textId="748EB684"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126.317 € </w:t>
            </w:r>
          </w:p>
        </w:tc>
        <w:tc>
          <w:tcPr>
            <w:tcW w:w="1814" w:type="dxa"/>
            <w:vAlign w:val="bottom"/>
          </w:tcPr>
          <w:p w14:paraId="403204E4" w14:textId="7EABD78D"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142.146 € </w:t>
            </w:r>
          </w:p>
        </w:tc>
      </w:tr>
      <w:tr w:rsidR="00D87C72" w:rsidRPr="00F815F1" w14:paraId="7E6D882C" w14:textId="77777777" w:rsidTr="0046373C">
        <w:trPr>
          <w:trHeight w:val="226"/>
        </w:trPr>
        <w:tc>
          <w:tcPr>
            <w:tcW w:w="2117" w:type="dxa"/>
            <w:shd w:val="clear" w:color="auto" w:fill="auto"/>
            <w:vAlign w:val="bottom"/>
          </w:tcPr>
          <w:p w14:paraId="44401E7C" w14:textId="2250F384"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Salamanca capital</w:t>
            </w:r>
          </w:p>
        </w:tc>
        <w:tc>
          <w:tcPr>
            <w:tcW w:w="1701" w:type="dxa"/>
            <w:vAlign w:val="bottom"/>
          </w:tcPr>
          <w:p w14:paraId="6ADE5BA1" w14:textId="40ABAEF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227.511 € </w:t>
            </w:r>
          </w:p>
        </w:tc>
        <w:tc>
          <w:tcPr>
            <w:tcW w:w="1701" w:type="dxa"/>
            <w:vAlign w:val="bottom"/>
          </w:tcPr>
          <w:p w14:paraId="6F6E0E7F" w14:textId="3CA5AA5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204.796 € </w:t>
            </w:r>
          </w:p>
        </w:tc>
        <w:tc>
          <w:tcPr>
            <w:tcW w:w="1701" w:type="dxa"/>
            <w:shd w:val="clear" w:color="auto" w:fill="auto"/>
            <w:vAlign w:val="bottom"/>
            <w:hideMark/>
          </w:tcPr>
          <w:p w14:paraId="6C2F0443" w14:textId="723AF594"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147.467 € </w:t>
            </w:r>
          </w:p>
        </w:tc>
        <w:tc>
          <w:tcPr>
            <w:tcW w:w="1814" w:type="dxa"/>
            <w:vAlign w:val="bottom"/>
          </w:tcPr>
          <w:p w14:paraId="62C36E5B" w14:textId="30266530"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153.712 € </w:t>
            </w:r>
          </w:p>
        </w:tc>
      </w:tr>
      <w:tr w:rsidR="00D87C72" w:rsidRPr="00F815F1" w14:paraId="6032AF09" w14:textId="77777777" w:rsidTr="0046373C">
        <w:trPr>
          <w:trHeight w:val="226"/>
        </w:trPr>
        <w:tc>
          <w:tcPr>
            <w:tcW w:w="2117" w:type="dxa"/>
            <w:shd w:val="clear" w:color="auto" w:fill="auto"/>
            <w:vAlign w:val="bottom"/>
          </w:tcPr>
          <w:p w14:paraId="4B0E0E7F" w14:textId="4F772A34"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Santa Cruz de Tenerife capital</w:t>
            </w:r>
          </w:p>
        </w:tc>
        <w:tc>
          <w:tcPr>
            <w:tcW w:w="1701" w:type="dxa"/>
            <w:vAlign w:val="bottom"/>
          </w:tcPr>
          <w:p w14:paraId="754F0A8E" w14:textId="69060C03"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165.004 € </w:t>
            </w:r>
          </w:p>
        </w:tc>
        <w:tc>
          <w:tcPr>
            <w:tcW w:w="1701" w:type="dxa"/>
            <w:vAlign w:val="bottom"/>
          </w:tcPr>
          <w:p w14:paraId="7454E36B" w14:textId="4ACE4E4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155.001 € </w:t>
            </w:r>
          </w:p>
        </w:tc>
        <w:tc>
          <w:tcPr>
            <w:tcW w:w="1701" w:type="dxa"/>
            <w:shd w:val="clear" w:color="auto" w:fill="auto"/>
            <w:vAlign w:val="bottom"/>
            <w:hideMark/>
          </w:tcPr>
          <w:p w14:paraId="77A56732" w14:textId="2BD86A85"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113.513 € </w:t>
            </w:r>
          </w:p>
        </w:tc>
        <w:tc>
          <w:tcPr>
            <w:tcW w:w="1814" w:type="dxa"/>
            <w:vAlign w:val="bottom"/>
          </w:tcPr>
          <w:p w14:paraId="1F74D596" w14:textId="17C84C88"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128.730 € </w:t>
            </w:r>
          </w:p>
        </w:tc>
      </w:tr>
      <w:tr w:rsidR="00D87C72" w:rsidRPr="00F815F1" w14:paraId="5275C092" w14:textId="77777777" w:rsidTr="0031452E">
        <w:trPr>
          <w:trHeight w:val="226"/>
        </w:trPr>
        <w:tc>
          <w:tcPr>
            <w:tcW w:w="2117" w:type="dxa"/>
            <w:shd w:val="clear" w:color="auto" w:fill="auto"/>
            <w:vAlign w:val="bottom"/>
          </w:tcPr>
          <w:p w14:paraId="1371DA6B" w14:textId="365BC810"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Santander</w:t>
            </w:r>
          </w:p>
        </w:tc>
        <w:tc>
          <w:tcPr>
            <w:tcW w:w="1701" w:type="dxa"/>
            <w:vAlign w:val="bottom"/>
          </w:tcPr>
          <w:p w14:paraId="11D4EECD" w14:textId="220BA2F0"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245.843 € </w:t>
            </w:r>
          </w:p>
        </w:tc>
        <w:tc>
          <w:tcPr>
            <w:tcW w:w="1701" w:type="dxa"/>
            <w:vAlign w:val="bottom"/>
          </w:tcPr>
          <w:p w14:paraId="30D9DD3B" w14:textId="64FFFD1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221.779 € </w:t>
            </w:r>
          </w:p>
        </w:tc>
        <w:tc>
          <w:tcPr>
            <w:tcW w:w="1701" w:type="dxa"/>
            <w:shd w:val="clear" w:color="auto" w:fill="auto"/>
            <w:vAlign w:val="bottom"/>
            <w:hideMark/>
          </w:tcPr>
          <w:p w14:paraId="3108E119" w14:textId="7A9E4691"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156.341 € </w:t>
            </w:r>
          </w:p>
        </w:tc>
        <w:tc>
          <w:tcPr>
            <w:tcW w:w="1814" w:type="dxa"/>
            <w:vAlign w:val="bottom"/>
          </w:tcPr>
          <w:p w14:paraId="3CB04C8E" w14:textId="783E52C6"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176.010 € </w:t>
            </w:r>
          </w:p>
        </w:tc>
      </w:tr>
      <w:tr w:rsidR="00D87C72" w:rsidRPr="00F815F1" w14:paraId="5A439E60" w14:textId="77777777" w:rsidTr="0031452E">
        <w:trPr>
          <w:trHeight w:val="226"/>
        </w:trPr>
        <w:tc>
          <w:tcPr>
            <w:tcW w:w="2117" w:type="dxa"/>
            <w:shd w:val="clear" w:color="auto" w:fill="auto"/>
            <w:vAlign w:val="bottom"/>
          </w:tcPr>
          <w:p w14:paraId="0A698AD7" w14:textId="5BECE166"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Segovia capital</w:t>
            </w:r>
          </w:p>
        </w:tc>
        <w:tc>
          <w:tcPr>
            <w:tcW w:w="1701" w:type="dxa"/>
            <w:vAlign w:val="bottom"/>
          </w:tcPr>
          <w:p w14:paraId="0E001FDE" w14:textId="69FA17DB"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   € </w:t>
            </w:r>
          </w:p>
        </w:tc>
        <w:tc>
          <w:tcPr>
            <w:tcW w:w="1701" w:type="dxa"/>
            <w:vAlign w:val="bottom"/>
          </w:tcPr>
          <w:p w14:paraId="35D33F3F" w14:textId="46A5439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189.150 € </w:t>
            </w:r>
          </w:p>
        </w:tc>
        <w:tc>
          <w:tcPr>
            <w:tcW w:w="1701" w:type="dxa"/>
            <w:shd w:val="clear" w:color="auto" w:fill="auto"/>
            <w:vAlign w:val="bottom"/>
            <w:hideMark/>
          </w:tcPr>
          <w:p w14:paraId="042E2530" w14:textId="5006F5C9"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121.332 € </w:t>
            </w:r>
          </w:p>
        </w:tc>
        <w:tc>
          <w:tcPr>
            <w:tcW w:w="1814" w:type="dxa"/>
            <w:vAlign w:val="bottom"/>
          </w:tcPr>
          <w:p w14:paraId="795558FB" w14:textId="1F97CB96"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139.699 € </w:t>
            </w:r>
          </w:p>
        </w:tc>
      </w:tr>
      <w:tr w:rsidR="00D87C72" w:rsidRPr="00F815F1" w14:paraId="66F504C2" w14:textId="77777777" w:rsidTr="0046373C">
        <w:trPr>
          <w:trHeight w:val="226"/>
        </w:trPr>
        <w:tc>
          <w:tcPr>
            <w:tcW w:w="2117" w:type="dxa"/>
            <w:shd w:val="clear" w:color="auto" w:fill="auto"/>
            <w:vAlign w:val="bottom"/>
          </w:tcPr>
          <w:p w14:paraId="6F1FB931" w14:textId="11BACCC7"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Sevilla capital</w:t>
            </w:r>
          </w:p>
        </w:tc>
        <w:tc>
          <w:tcPr>
            <w:tcW w:w="1701" w:type="dxa"/>
            <w:vAlign w:val="bottom"/>
          </w:tcPr>
          <w:p w14:paraId="2F10715B" w14:textId="04D70AB5"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209.186 € </w:t>
            </w:r>
          </w:p>
        </w:tc>
        <w:tc>
          <w:tcPr>
            <w:tcW w:w="1701" w:type="dxa"/>
            <w:vAlign w:val="bottom"/>
          </w:tcPr>
          <w:p w14:paraId="24D980E9" w14:textId="67E440E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195.618 € </w:t>
            </w:r>
          </w:p>
        </w:tc>
        <w:tc>
          <w:tcPr>
            <w:tcW w:w="1701" w:type="dxa"/>
            <w:shd w:val="clear" w:color="auto" w:fill="auto"/>
            <w:vAlign w:val="bottom"/>
            <w:hideMark/>
          </w:tcPr>
          <w:p w14:paraId="47331DBF" w14:textId="7B5ADC25"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140.724 € </w:t>
            </w:r>
          </w:p>
        </w:tc>
        <w:tc>
          <w:tcPr>
            <w:tcW w:w="1814" w:type="dxa"/>
            <w:vAlign w:val="bottom"/>
          </w:tcPr>
          <w:p w14:paraId="0F08FD95" w14:textId="44F05F22"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170.751 € </w:t>
            </w:r>
          </w:p>
        </w:tc>
      </w:tr>
      <w:tr w:rsidR="00D87C72" w:rsidRPr="00F815F1" w14:paraId="04D7CAD3" w14:textId="77777777" w:rsidTr="0046373C">
        <w:trPr>
          <w:trHeight w:val="226"/>
        </w:trPr>
        <w:tc>
          <w:tcPr>
            <w:tcW w:w="2117" w:type="dxa"/>
            <w:shd w:val="clear" w:color="auto" w:fill="auto"/>
            <w:vAlign w:val="bottom"/>
          </w:tcPr>
          <w:p w14:paraId="60C47931" w14:textId="527B4A69"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Soria capital</w:t>
            </w:r>
          </w:p>
        </w:tc>
        <w:tc>
          <w:tcPr>
            <w:tcW w:w="1701" w:type="dxa"/>
            <w:vAlign w:val="bottom"/>
          </w:tcPr>
          <w:p w14:paraId="6C6A2A29" w14:textId="1276C99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3FE04D2C" w14:textId="42ACFEF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159.229 € </w:t>
            </w:r>
          </w:p>
        </w:tc>
        <w:tc>
          <w:tcPr>
            <w:tcW w:w="1701" w:type="dxa"/>
            <w:shd w:val="clear" w:color="auto" w:fill="auto"/>
            <w:vAlign w:val="bottom"/>
            <w:hideMark/>
          </w:tcPr>
          <w:p w14:paraId="1AFD6894" w14:textId="079B2396"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115.282 € </w:t>
            </w:r>
          </w:p>
        </w:tc>
        <w:tc>
          <w:tcPr>
            <w:tcW w:w="1814" w:type="dxa"/>
            <w:vAlign w:val="bottom"/>
          </w:tcPr>
          <w:p w14:paraId="06A1B635" w14:textId="50B40B15"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111.899 € </w:t>
            </w:r>
          </w:p>
        </w:tc>
      </w:tr>
      <w:tr w:rsidR="00D87C72" w:rsidRPr="00F815F1" w14:paraId="0F050D58" w14:textId="77777777" w:rsidTr="0031452E">
        <w:trPr>
          <w:trHeight w:val="226"/>
        </w:trPr>
        <w:tc>
          <w:tcPr>
            <w:tcW w:w="2117" w:type="dxa"/>
            <w:shd w:val="clear" w:color="auto" w:fill="auto"/>
            <w:vAlign w:val="bottom"/>
          </w:tcPr>
          <w:p w14:paraId="658CC3A3" w14:textId="301F1BDC"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Tarragona capital</w:t>
            </w:r>
          </w:p>
        </w:tc>
        <w:tc>
          <w:tcPr>
            <w:tcW w:w="1701" w:type="dxa"/>
            <w:vAlign w:val="bottom"/>
          </w:tcPr>
          <w:p w14:paraId="643A2CE3" w14:textId="505D9B15"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224.910 € </w:t>
            </w:r>
          </w:p>
        </w:tc>
        <w:tc>
          <w:tcPr>
            <w:tcW w:w="1701" w:type="dxa"/>
            <w:vAlign w:val="bottom"/>
          </w:tcPr>
          <w:p w14:paraId="26D8F727" w14:textId="292389D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182.012 € </w:t>
            </w:r>
          </w:p>
        </w:tc>
        <w:tc>
          <w:tcPr>
            <w:tcW w:w="1701" w:type="dxa"/>
            <w:shd w:val="clear" w:color="auto" w:fill="auto"/>
            <w:vAlign w:val="bottom"/>
            <w:hideMark/>
          </w:tcPr>
          <w:p w14:paraId="6C8E6237" w14:textId="0A8F899B"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114.001 € </w:t>
            </w:r>
          </w:p>
        </w:tc>
        <w:tc>
          <w:tcPr>
            <w:tcW w:w="1814" w:type="dxa"/>
            <w:vAlign w:val="bottom"/>
          </w:tcPr>
          <w:p w14:paraId="2D5ACA06" w14:textId="480C65DF"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133.930 € </w:t>
            </w:r>
          </w:p>
        </w:tc>
      </w:tr>
      <w:tr w:rsidR="00D87C72" w:rsidRPr="00F815F1" w14:paraId="48A3B867" w14:textId="77777777" w:rsidTr="00091B1D">
        <w:trPr>
          <w:trHeight w:val="226"/>
        </w:trPr>
        <w:tc>
          <w:tcPr>
            <w:tcW w:w="2117" w:type="dxa"/>
            <w:shd w:val="clear" w:color="auto" w:fill="auto"/>
            <w:vAlign w:val="bottom"/>
          </w:tcPr>
          <w:p w14:paraId="4FDD8F2E" w14:textId="2A364146"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Teruel capital</w:t>
            </w:r>
          </w:p>
        </w:tc>
        <w:tc>
          <w:tcPr>
            <w:tcW w:w="1701" w:type="dxa"/>
            <w:vAlign w:val="bottom"/>
          </w:tcPr>
          <w:p w14:paraId="01CAC9FB" w14:textId="6A9D322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5BB355BC" w14:textId="6481290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shd w:val="clear" w:color="auto" w:fill="auto"/>
            <w:vAlign w:val="bottom"/>
            <w:hideMark/>
          </w:tcPr>
          <w:p w14:paraId="09ECE5F1" w14:textId="557C9F83"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113.100 € </w:t>
            </w:r>
          </w:p>
        </w:tc>
        <w:tc>
          <w:tcPr>
            <w:tcW w:w="1814" w:type="dxa"/>
            <w:vAlign w:val="bottom"/>
          </w:tcPr>
          <w:p w14:paraId="603E1475" w14:textId="0C61915D"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105.178 € </w:t>
            </w:r>
          </w:p>
        </w:tc>
      </w:tr>
      <w:tr w:rsidR="00D87C72" w:rsidRPr="00F815F1" w14:paraId="2536AC11" w14:textId="77777777" w:rsidTr="0046373C">
        <w:trPr>
          <w:trHeight w:val="226"/>
        </w:trPr>
        <w:tc>
          <w:tcPr>
            <w:tcW w:w="2117" w:type="dxa"/>
            <w:shd w:val="clear" w:color="auto" w:fill="auto"/>
            <w:vAlign w:val="bottom"/>
          </w:tcPr>
          <w:p w14:paraId="4BE61079" w14:textId="1A7693B9"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Toledo capital</w:t>
            </w:r>
          </w:p>
        </w:tc>
        <w:tc>
          <w:tcPr>
            <w:tcW w:w="1701" w:type="dxa"/>
            <w:vAlign w:val="bottom"/>
          </w:tcPr>
          <w:p w14:paraId="5412CF9E" w14:textId="5A9D697B"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70B3BC2F" w14:textId="4F0DCB0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167.882 € </w:t>
            </w:r>
          </w:p>
        </w:tc>
        <w:tc>
          <w:tcPr>
            <w:tcW w:w="1701" w:type="dxa"/>
            <w:shd w:val="clear" w:color="auto" w:fill="auto"/>
            <w:vAlign w:val="bottom"/>
            <w:hideMark/>
          </w:tcPr>
          <w:p w14:paraId="3A474478" w14:textId="52733F0D"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108.602 € </w:t>
            </w:r>
          </w:p>
        </w:tc>
        <w:tc>
          <w:tcPr>
            <w:tcW w:w="1814" w:type="dxa"/>
            <w:vAlign w:val="bottom"/>
          </w:tcPr>
          <w:p w14:paraId="5B1A90ED" w14:textId="760ECA5E"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118.069 € </w:t>
            </w:r>
          </w:p>
        </w:tc>
      </w:tr>
      <w:tr w:rsidR="00D87C72" w:rsidRPr="00F815F1" w14:paraId="542640D2" w14:textId="77777777" w:rsidTr="0031452E">
        <w:trPr>
          <w:trHeight w:val="226"/>
        </w:trPr>
        <w:tc>
          <w:tcPr>
            <w:tcW w:w="2117" w:type="dxa"/>
            <w:shd w:val="clear" w:color="auto" w:fill="auto"/>
            <w:vAlign w:val="bottom"/>
          </w:tcPr>
          <w:p w14:paraId="3D73C518" w14:textId="7C07FDFF"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Valencia capital</w:t>
            </w:r>
          </w:p>
        </w:tc>
        <w:tc>
          <w:tcPr>
            <w:tcW w:w="1701" w:type="dxa"/>
            <w:vAlign w:val="bottom"/>
          </w:tcPr>
          <w:p w14:paraId="1D5CF70C" w14:textId="4B16907A"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231.177 € </w:t>
            </w:r>
          </w:p>
        </w:tc>
        <w:tc>
          <w:tcPr>
            <w:tcW w:w="1701" w:type="dxa"/>
            <w:vAlign w:val="bottom"/>
          </w:tcPr>
          <w:p w14:paraId="127E4C39" w14:textId="1F4A9987"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168.954 € </w:t>
            </w:r>
          </w:p>
        </w:tc>
        <w:tc>
          <w:tcPr>
            <w:tcW w:w="1701" w:type="dxa"/>
            <w:shd w:val="clear" w:color="auto" w:fill="auto"/>
            <w:vAlign w:val="bottom"/>
            <w:hideMark/>
          </w:tcPr>
          <w:p w14:paraId="123ED76A" w14:textId="29170745"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129.686 € </w:t>
            </w:r>
          </w:p>
        </w:tc>
        <w:tc>
          <w:tcPr>
            <w:tcW w:w="1814" w:type="dxa"/>
            <w:vAlign w:val="bottom"/>
          </w:tcPr>
          <w:p w14:paraId="0FDAB389" w14:textId="5C3E5004"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167.154 € </w:t>
            </w:r>
          </w:p>
        </w:tc>
      </w:tr>
      <w:tr w:rsidR="00D87C72" w:rsidRPr="00F815F1" w14:paraId="75936D76" w14:textId="77777777" w:rsidTr="0031452E">
        <w:trPr>
          <w:trHeight w:val="226"/>
        </w:trPr>
        <w:tc>
          <w:tcPr>
            <w:tcW w:w="2117" w:type="dxa"/>
            <w:shd w:val="clear" w:color="auto" w:fill="auto"/>
            <w:vAlign w:val="bottom"/>
          </w:tcPr>
          <w:p w14:paraId="5A919F04" w14:textId="1F7EA803"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Valladolid capital</w:t>
            </w:r>
          </w:p>
        </w:tc>
        <w:tc>
          <w:tcPr>
            <w:tcW w:w="1701" w:type="dxa"/>
            <w:vAlign w:val="bottom"/>
          </w:tcPr>
          <w:p w14:paraId="1F8E376B" w14:textId="106AB37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216.585 € </w:t>
            </w:r>
          </w:p>
        </w:tc>
        <w:tc>
          <w:tcPr>
            <w:tcW w:w="1701" w:type="dxa"/>
            <w:vAlign w:val="bottom"/>
          </w:tcPr>
          <w:p w14:paraId="2DF0CAFB" w14:textId="51A59325"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169.631 € </w:t>
            </w:r>
          </w:p>
        </w:tc>
        <w:tc>
          <w:tcPr>
            <w:tcW w:w="1701" w:type="dxa"/>
            <w:shd w:val="clear" w:color="auto" w:fill="auto"/>
            <w:vAlign w:val="bottom"/>
          </w:tcPr>
          <w:p w14:paraId="09A7C120" w14:textId="305482F4"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125.953 € </w:t>
            </w:r>
          </w:p>
        </w:tc>
        <w:tc>
          <w:tcPr>
            <w:tcW w:w="1814" w:type="dxa"/>
            <w:vAlign w:val="bottom"/>
          </w:tcPr>
          <w:p w14:paraId="03A8961C" w14:textId="21B08792"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137.571 € </w:t>
            </w:r>
          </w:p>
        </w:tc>
      </w:tr>
      <w:tr w:rsidR="00D87C72" w:rsidRPr="00F815F1" w14:paraId="77ABCF0E" w14:textId="77777777" w:rsidTr="0031452E">
        <w:trPr>
          <w:trHeight w:val="226"/>
        </w:trPr>
        <w:tc>
          <w:tcPr>
            <w:tcW w:w="2117" w:type="dxa"/>
            <w:shd w:val="clear" w:color="auto" w:fill="auto"/>
            <w:vAlign w:val="bottom"/>
          </w:tcPr>
          <w:p w14:paraId="33DB3809" w14:textId="7B37721B" w:rsidR="00D87C72" w:rsidRPr="00F815F1" w:rsidRDefault="00D87C72" w:rsidP="00D87C72">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Vitoria - Gasteiz</w:t>
            </w:r>
          </w:p>
        </w:tc>
        <w:tc>
          <w:tcPr>
            <w:tcW w:w="1701" w:type="dxa"/>
            <w:vAlign w:val="bottom"/>
          </w:tcPr>
          <w:p w14:paraId="7C0187F5" w14:textId="1BF579B6"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61C9C846" w14:textId="5C990FEC"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241.848 € </w:t>
            </w:r>
          </w:p>
        </w:tc>
        <w:tc>
          <w:tcPr>
            <w:tcW w:w="1701" w:type="dxa"/>
            <w:shd w:val="clear" w:color="auto" w:fill="auto"/>
            <w:vAlign w:val="bottom"/>
          </w:tcPr>
          <w:p w14:paraId="15151274" w14:textId="0DF022F3" w:rsidR="00D87C72" w:rsidRPr="00F815F1" w:rsidRDefault="00D87C72" w:rsidP="00D87C72">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164.736 € </w:t>
            </w:r>
          </w:p>
        </w:tc>
        <w:tc>
          <w:tcPr>
            <w:tcW w:w="1814" w:type="dxa"/>
            <w:vAlign w:val="bottom"/>
          </w:tcPr>
          <w:p w14:paraId="6471AAA1" w14:textId="61106078" w:rsidR="00D87C72" w:rsidRPr="00F815F1" w:rsidRDefault="00D87C72" w:rsidP="00D87C72">
            <w:pPr>
              <w:jc w:val="center"/>
              <w:rPr>
                <w:rFonts w:ascii="Open Sans" w:eastAsia="Times New Roman" w:hAnsi="Open Sans" w:cs="Open Sans"/>
                <w:b/>
                <w:bCs/>
                <w:color w:val="2E74B5" w:themeColor="accent5" w:themeShade="BF"/>
                <w:sz w:val="22"/>
                <w:szCs w:val="22"/>
                <w:lang w:val="es-ES" w:eastAsia="es-ES"/>
              </w:rPr>
            </w:pPr>
            <w:r>
              <w:rPr>
                <w:rFonts w:ascii="Open Sans" w:hAnsi="Open Sans" w:cs="Open Sans"/>
                <w:color w:val="000000"/>
                <w:sz w:val="22"/>
                <w:szCs w:val="22"/>
              </w:rPr>
              <w:t xml:space="preserve">  212.554 € </w:t>
            </w:r>
          </w:p>
        </w:tc>
      </w:tr>
      <w:tr w:rsidR="00D87C72" w:rsidRPr="00F815F1" w14:paraId="3B1126FF" w14:textId="77777777" w:rsidTr="0031452E">
        <w:trPr>
          <w:trHeight w:val="226"/>
        </w:trPr>
        <w:tc>
          <w:tcPr>
            <w:tcW w:w="2117" w:type="dxa"/>
            <w:shd w:val="clear" w:color="auto" w:fill="auto"/>
            <w:vAlign w:val="bottom"/>
          </w:tcPr>
          <w:p w14:paraId="153353DC" w14:textId="33434837" w:rsidR="00D87C72" w:rsidRPr="00F815F1" w:rsidRDefault="00D87C72" w:rsidP="00D87C72">
            <w:pPr>
              <w:rPr>
                <w:rFonts w:ascii="Open Sans" w:hAnsi="Open Sans" w:cs="Open Sans"/>
                <w:sz w:val="22"/>
                <w:szCs w:val="22"/>
              </w:rPr>
            </w:pPr>
            <w:r>
              <w:rPr>
                <w:rFonts w:ascii="Open Sans" w:hAnsi="Open Sans" w:cs="Open Sans"/>
                <w:color w:val="000000"/>
                <w:sz w:val="22"/>
                <w:szCs w:val="22"/>
              </w:rPr>
              <w:t>Zamora capital</w:t>
            </w:r>
          </w:p>
        </w:tc>
        <w:tc>
          <w:tcPr>
            <w:tcW w:w="1701" w:type="dxa"/>
            <w:vAlign w:val="bottom"/>
          </w:tcPr>
          <w:p w14:paraId="6D24D77E" w14:textId="7A39407D"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   € </w:t>
            </w:r>
          </w:p>
        </w:tc>
        <w:tc>
          <w:tcPr>
            <w:tcW w:w="1701" w:type="dxa"/>
            <w:vAlign w:val="bottom"/>
          </w:tcPr>
          <w:p w14:paraId="396BDBEF" w14:textId="2308B12B"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147.770 € </w:t>
            </w:r>
          </w:p>
        </w:tc>
        <w:tc>
          <w:tcPr>
            <w:tcW w:w="1701" w:type="dxa"/>
            <w:shd w:val="clear" w:color="auto" w:fill="auto"/>
            <w:vAlign w:val="bottom"/>
          </w:tcPr>
          <w:p w14:paraId="79E12DAC" w14:textId="4725022C"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111.652 € </w:t>
            </w:r>
          </w:p>
        </w:tc>
        <w:tc>
          <w:tcPr>
            <w:tcW w:w="1814" w:type="dxa"/>
            <w:vAlign w:val="bottom"/>
          </w:tcPr>
          <w:p w14:paraId="4EA2151F" w14:textId="02D6E4D8"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104.982 € </w:t>
            </w:r>
          </w:p>
        </w:tc>
      </w:tr>
      <w:tr w:rsidR="00D87C72" w:rsidRPr="00F815F1" w14:paraId="7B8B58FE" w14:textId="77777777" w:rsidTr="0031452E">
        <w:trPr>
          <w:trHeight w:val="226"/>
        </w:trPr>
        <w:tc>
          <w:tcPr>
            <w:tcW w:w="2117" w:type="dxa"/>
            <w:shd w:val="clear" w:color="auto" w:fill="auto"/>
            <w:vAlign w:val="bottom"/>
          </w:tcPr>
          <w:p w14:paraId="1C11CB39" w14:textId="35D3DD21" w:rsidR="00D87C72" w:rsidRPr="00F815F1" w:rsidRDefault="00D87C72" w:rsidP="00D87C72">
            <w:pPr>
              <w:rPr>
                <w:rFonts w:ascii="Open Sans" w:hAnsi="Open Sans" w:cs="Open Sans"/>
                <w:sz w:val="22"/>
                <w:szCs w:val="22"/>
              </w:rPr>
            </w:pPr>
            <w:r>
              <w:rPr>
                <w:rFonts w:ascii="Open Sans" w:hAnsi="Open Sans" w:cs="Open Sans"/>
                <w:color w:val="000000"/>
                <w:sz w:val="22"/>
                <w:szCs w:val="22"/>
              </w:rPr>
              <w:t>Zaragoza capital</w:t>
            </w:r>
          </w:p>
        </w:tc>
        <w:tc>
          <w:tcPr>
            <w:tcW w:w="1701" w:type="dxa"/>
            <w:vAlign w:val="bottom"/>
          </w:tcPr>
          <w:p w14:paraId="71AE013A" w14:textId="27BBCB3F"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287.213 € </w:t>
            </w:r>
          </w:p>
        </w:tc>
        <w:tc>
          <w:tcPr>
            <w:tcW w:w="1701" w:type="dxa"/>
            <w:vAlign w:val="bottom"/>
          </w:tcPr>
          <w:p w14:paraId="3B71FEC3" w14:textId="0A6C9E5A"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198.679 € </w:t>
            </w:r>
          </w:p>
        </w:tc>
        <w:tc>
          <w:tcPr>
            <w:tcW w:w="1701" w:type="dxa"/>
            <w:shd w:val="clear" w:color="auto" w:fill="auto"/>
            <w:vAlign w:val="bottom"/>
          </w:tcPr>
          <w:p w14:paraId="1F475FE0" w14:textId="1B7C26F0" w:rsidR="00D87C72" w:rsidRPr="00F815F1" w:rsidRDefault="00D87C72" w:rsidP="00D87C72">
            <w:pPr>
              <w:jc w:val="center"/>
              <w:rPr>
                <w:rFonts w:ascii="Open Sans" w:hAnsi="Open Sans" w:cs="Open Sans"/>
                <w:color w:val="9C0006"/>
                <w:sz w:val="22"/>
                <w:szCs w:val="22"/>
              </w:rPr>
            </w:pPr>
            <w:r>
              <w:rPr>
                <w:rFonts w:ascii="Open Sans" w:hAnsi="Open Sans" w:cs="Open Sans"/>
                <w:color w:val="000000"/>
                <w:sz w:val="22"/>
                <w:szCs w:val="22"/>
              </w:rPr>
              <w:t xml:space="preserve">  131.497 € </w:t>
            </w:r>
          </w:p>
        </w:tc>
        <w:tc>
          <w:tcPr>
            <w:tcW w:w="1814" w:type="dxa"/>
            <w:vAlign w:val="bottom"/>
          </w:tcPr>
          <w:p w14:paraId="1035D079" w14:textId="5040CDC2" w:rsidR="00D87C72" w:rsidRPr="00F815F1" w:rsidRDefault="00D87C72" w:rsidP="00D87C72">
            <w:pPr>
              <w:jc w:val="center"/>
              <w:rPr>
                <w:rFonts w:ascii="Open Sans" w:hAnsi="Open Sans" w:cs="Open Sans"/>
                <w:color w:val="000000"/>
                <w:sz w:val="22"/>
                <w:szCs w:val="22"/>
              </w:rPr>
            </w:pPr>
            <w:r>
              <w:rPr>
                <w:rFonts w:ascii="Open Sans" w:hAnsi="Open Sans" w:cs="Open Sans"/>
                <w:color w:val="000000"/>
                <w:sz w:val="22"/>
                <w:szCs w:val="22"/>
              </w:rPr>
              <w:t xml:space="preserve">  146.553 € </w:t>
            </w:r>
          </w:p>
        </w:tc>
      </w:tr>
    </w:tbl>
    <w:p w14:paraId="1675F7E0" w14:textId="77777777" w:rsidR="000A6146" w:rsidRDefault="000A6146" w:rsidP="000A6146">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6B30A31" w14:textId="77777777" w:rsidR="000A6146" w:rsidRDefault="000A6146" w:rsidP="000A6146">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5D9ACE05" w14:textId="77777777" w:rsidR="000A6146" w:rsidRDefault="000A6146" w:rsidP="000A6146">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9">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30j0zll" w:colFirst="0" w:colLast="0"/>
    <w:bookmarkEnd w:id="1"/>
    <w:p w14:paraId="16DE75F4" w14:textId="77777777" w:rsidR="000A6146" w:rsidRDefault="000A6146" w:rsidP="000A6146">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Pr>
          <w:rFonts w:ascii="Calibri" w:eastAsia="Calibri" w:hAnsi="Calibri" w:cs="Calibri"/>
        </w:rPr>
        <w:fldChar w:fldCharType="begin"/>
      </w:r>
      <w:r>
        <w:instrText xml:space="preserve"> HYPERLINK "https://www.adevinta.com/" \h </w:instrText>
      </w:r>
      <w:r>
        <w:rPr>
          <w:rFonts w:ascii="Calibri" w:eastAsia="Calibri" w:hAnsi="Calibri" w:cs="Calibri"/>
        </w:rP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F5FC6D6" w14:textId="77777777" w:rsidR="000A6146" w:rsidRDefault="008855BB" w:rsidP="000A6146">
      <w:pPr>
        <w:shd w:val="clear" w:color="auto" w:fill="FFFFFF"/>
        <w:spacing w:before="280" w:after="280" w:line="276" w:lineRule="auto"/>
        <w:ind w:right="-716"/>
        <w:jc w:val="both"/>
        <w:rPr>
          <w:rFonts w:ascii="Open Sans" w:eastAsia="Open Sans" w:hAnsi="Open Sans" w:cs="Open Sans"/>
          <w:color w:val="000000"/>
          <w:sz w:val="22"/>
          <w:szCs w:val="22"/>
        </w:rPr>
      </w:pPr>
      <w:hyperlink r:id="rId20">
        <w:r w:rsidR="000A6146">
          <w:rPr>
            <w:rFonts w:ascii="Open Sans" w:eastAsia="Open Sans" w:hAnsi="Open Sans" w:cs="Open Sans"/>
            <w:color w:val="0000FF"/>
            <w:sz w:val="22"/>
            <w:szCs w:val="22"/>
            <w:u w:val="single"/>
          </w:rPr>
          <w:t>Más información sobre Fotocasa</w:t>
        </w:r>
      </w:hyperlink>
      <w:r w:rsidR="000A6146">
        <w:rPr>
          <w:rFonts w:ascii="Open Sans" w:eastAsia="Open Sans" w:hAnsi="Open Sans" w:cs="Open Sans"/>
          <w:color w:val="000000"/>
          <w:sz w:val="22"/>
          <w:szCs w:val="22"/>
        </w:rPr>
        <w:t xml:space="preserve">. </w:t>
      </w:r>
    </w:p>
    <w:p w14:paraId="485BFE98" w14:textId="77777777" w:rsidR="000A6146" w:rsidRDefault="000A6146" w:rsidP="000A6146">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C42FAFE" w14:textId="77777777" w:rsidR="000A6146" w:rsidRDefault="000A6146" w:rsidP="000A6146">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Pr>
          <w:rFonts w:ascii="Calibri" w:eastAsia="Calibri" w:hAnsi="Calibri" w:cs="Calibri"/>
        </w:rPr>
        <w:fldChar w:fldCharType="begin"/>
      </w:r>
      <w:r>
        <w:instrText xml:space="preserve"> HYPERLINK "https://www.milanuncios.com/" \h </w:instrText>
      </w:r>
      <w:r>
        <w:rPr>
          <w:rFonts w:ascii="Calibri" w:eastAsia="Calibri" w:hAnsi="Calibri" w:cs="Calibri"/>
        </w:rP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00A399B9" w14:textId="77777777" w:rsidR="000A6146" w:rsidRDefault="000A6146" w:rsidP="000A6146">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F4D1192" w14:textId="77777777" w:rsidR="000A6146" w:rsidRDefault="000A6146" w:rsidP="000A6146">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6AA7CCD4" w14:textId="77777777" w:rsidR="000A6146" w:rsidRDefault="000A6146" w:rsidP="000A6146">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4269CE99" w14:textId="77777777" w:rsidR="000A6146" w:rsidRDefault="000A6146" w:rsidP="000A6146">
      <w:pPr>
        <w:spacing w:line="276" w:lineRule="auto"/>
        <w:ind w:right="-716"/>
        <w:rPr>
          <w:rFonts w:ascii="Open Sans Light" w:eastAsia="Open Sans Light" w:hAnsi="Open Sans Light" w:cs="Open Sans Light"/>
          <w:b/>
          <w:color w:val="303AB2"/>
        </w:rPr>
      </w:pPr>
    </w:p>
    <w:p w14:paraId="7027A330" w14:textId="77777777" w:rsidR="000A6146" w:rsidRDefault="000A6146" w:rsidP="000A6146">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3BAC5FF3" w14:textId="77777777" w:rsidR="000A6146" w:rsidRDefault="000A6146" w:rsidP="000A6146">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5EE9BC53" w14:textId="77777777" w:rsidR="000A6146" w:rsidRDefault="008855BB" w:rsidP="000A6146">
      <w:pPr>
        <w:shd w:val="clear" w:color="auto" w:fill="FFFFFF"/>
        <w:spacing w:line="276" w:lineRule="auto"/>
        <w:ind w:right="-716"/>
        <w:rPr>
          <w:rFonts w:ascii="Open Sans" w:eastAsia="Open Sans" w:hAnsi="Open Sans" w:cs="Open Sans"/>
          <w:color w:val="0000FF"/>
          <w:sz w:val="19"/>
          <w:szCs w:val="19"/>
          <w:u w:val="single"/>
        </w:rPr>
      </w:pPr>
      <w:hyperlink r:id="rId27">
        <w:r w:rsidR="000A6146">
          <w:rPr>
            <w:rFonts w:ascii="Open Sans" w:eastAsia="Open Sans" w:hAnsi="Open Sans" w:cs="Open Sans"/>
            <w:color w:val="0000FF"/>
            <w:sz w:val="19"/>
            <w:szCs w:val="19"/>
            <w:u w:val="single"/>
          </w:rPr>
          <w:t>rtorne@llorenteycuenca.com</w:t>
        </w:r>
      </w:hyperlink>
      <w:r w:rsidR="000A6146">
        <w:rPr>
          <w:rFonts w:ascii="Open Sans" w:eastAsia="Open Sans" w:hAnsi="Open Sans" w:cs="Open Sans"/>
          <w:color w:val="0000FF"/>
          <w:sz w:val="19"/>
          <w:szCs w:val="19"/>
        </w:rPr>
        <w:tab/>
      </w:r>
      <w:r w:rsidR="000A6146">
        <w:rPr>
          <w:rFonts w:ascii="Open Sans" w:eastAsia="Open Sans" w:hAnsi="Open Sans" w:cs="Open Sans"/>
          <w:color w:val="0000FF"/>
          <w:sz w:val="19"/>
          <w:szCs w:val="19"/>
        </w:rPr>
        <w:tab/>
      </w:r>
      <w:r w:rsidR="000A6146">
        <w:rPr>
          <w:rFonts w:ascii="Open Sans" w:eastAsia="Open Sans" w:hAnsi="Open Sans" w:cs="Open Sans"/>
          <w:color w:val="0000FF"/>
          <w:sz w:val="19"/>
          <w:szCs w:val="19"/>
        </w:rPr>
        <w:tab/>
        <w:t xml:space="preserve">                                                  </w:t>
      </w:r>
      <w:hyperlink r:id="rId28">
        <w:r w:rsidR="000A6146">
          <w:rPr>
            <w:rFonts w:ascii="Open Sans" w:eastAsia="Open Sans" w:hAnsi="Open Sans" w:cs="Open Sans"/>
            <w:color w:val="0000FF"/>
            <w:sz w:val="19"/>
            <w:szCs w:val="19"/>
            <w:u w:val="single"/>
          </w:rPr>
          <w:t>comunicacion@fotocasa.es</w:t>
        </w:r>
      </w:hyperlink>
    </w:p>
    <w:p w14:paraId="47EAAE31" w14:textId="77777777" w:rsidR="000A6146" w:rsidRDefault="000A6146" w:rsidP="000A6146">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1129792D" w14:textId="77777777" w:rsidR="000A6146" w:rsidRDefault="000A6146" w:rsidP="000A6146">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F1A71FC" w14:textId="77777777" w:rsidR="000A6146" w:rsidRDefault="000A6146" w:rsidP="000A6146">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3493CB0E" w14:textId="77777777" w:rsidR="000A6146" w:rsidRDefault="008855BB" w:rsidP="000A6146">
      <w:pPr>
        <w:shd w:val="clear" w:color="auto" w:fill="FFFFFF"/>
        <w:ind w:right="-716"/>
        <w:rPr>
          <w:rFonts w:ascii="Open Sans" w:eastAsia="Open Sans" w:hAnsi="Open Sans" w:cs="Open Sans"/>
          <w:color w:val="0000FF"/>
          <w:sz w:val="19"/>
          <w:szCs w:val="19"/>
        </w:rPr>
      </w:pPr>
      <w:hyperlink r:id="rId29">
        <w:r w:rsidR="000A6146">
          <w:rPr>
            <w:rFonts w:ascii="Open Sans" w:eastAsia="Open Sans" w:hAnsi="Open Sans" w:cs="Open Sans"/>
            <w:color w:val="0000FF"/>
            <w:sz w:val="19"/>
            <w:szCs w:val="19"/>
            <w:u w:val="single"/>
          </w:rPr>
          <w:t>emerino@llorenteycuenca.com</w:t>
        </w:r>
      </w:hyperlink>
    </w:p>
    <w:p w14:paraId="24E1B154" w14:textId="77777777" w:rsidR="000A6146" w:rsidRDefault="000A6146" w:rsidP="000A6146">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15CA3CF" w14:textId="77777777" w:rsidR="000A6146" w:rsidRDefault="000A6146" w:rsidP="000A6146">
      <w:pPr>
        <w:shd w:val="clear" w:color="auto" w:fill="FFFFFF"/>
        <w:ind w:right="-716"/>
        <w:rPr>
          <w:rFonts w:ascii="Open Sans" w:eastAsia="Open Sans" w:hAnsi="Open Sans" w:cs="Open Sans"/>
          <w:color w:val="000000"/>
          <w:sz w:val="19"/>
          <w:szCs w:val="19"/>
        </w:rPr>
      </w:pPr>
    </w:p>
    <w:p w14:paraId="5A04E9D4" w14:textId="77777777" w:rsidR="000A6146" w:rsidRDefault="000A6146" w:rsidP="000A6146">
      <w:pPr>
        <w:shd w:val="clear" w:color="auto" w:fill="FFFFFF"/>
        <w:ind w:right="-716"/>
        <w:rPr>
          <w:rFonts w:ascii="Open Sans" w:eastAsia="Open Sans" w:hAnsi="Open Sans" w:cs="Open Sans"/>
          <w:color w:val="000000"/>
          <w:sz w:val="19"/>
          <w:szCs w:val="19"/>
        </w:rPr>
      </w:pPr>
    </w:p>
    <w:p w14:paraId="098B5B9D" w14:textId="77777777" w:rsidR="000A6146" w:rsidRDefault="000A6146" w:rsidP="000A6146">
      <w:pPr>
        <w:shd w:val="clear" w:color="auto" w:fill="FFFFFF"/>
        <w:ind w:right="-716"/>
        <w:rPr>
          <w:rFonts w:ascii="Open Sans" w:eastAsia="Open Sans" w:hAnsi="Open Sans" w:cs="Open Sans"/>
          <w:color w:val="000000"/>
          <w:sz w:val="19"/>
          <w:szCs w:val="19"/>
        </w:rPr>
      </w:pPr>
    </w:p>
    <w:p w14:paraId="42463CB3" w14:textId="77777777" w:rsidR="000A6146" w:rsidRDefault="000A6146" w:rsidP="000A6146">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lastRenderedPageBreak/>
        <w:t>Laura Lázaro</w:t>
      </w:r>
    </w:p>
    <w:p w14:paraId="1B936E61" w14:textId="77777777" w:rsidR="000A6146" w:rsidRDefault="008855BB" w:rsidP="000A6146">
      <w:pPr>
        <w:shd w:val="clear" w:color="auto" w:fill="FFFFFF"/>
        <w:ind w:right="-716"/>
        <w:rPr>
          <w:rFonts w:ascii="Open Sans" w:eastAsia="Open Sans" w:hAnsi="Open Sans" w:cs="Open Sans"/>
          <w:color w:val="0000FF"/>
          <w:sz w:val="19"/>
          <w:szCs w:val="19"/>
        </w:rPr>
      </w:pPr>
      <w:hyperlink r:id="rId30">
        <w:r w:rsidR="000A6146">
          <w:rPr>
            <w:rFonts w:ascii="Open Sans" w:eastAsia="Open Sans" w:hAnsi="Open Sans" w:cs="Open Sans"/>
            <w:color w:val="0000FF"/>
            <w:sz w:val="19"/>
            <w:szCs w:val="19"/>
            <w:u w:val="single"/>
          </w:rPr>
          <w:t>llazaro@llorenteycuenca.com</w:t>
        </w:r>
      </w:hyperlink>
    </w:p>
    <w:p w14:paraId="01FE406E" w14:textId="77777777" w:rsidR="000A6146" w:rsidRDefault="000A6146" w:rsidP="000A6146">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11FA707D" w14:textId="77777777" w:rsidR="000A6146" w:rsidRDefault="000A6146" w:rsidP="000A6146">
      <w:pPr>
        <w:shd w:val="clear" w:color="auto" w:fill="FFFFFF"/>
        <w:spacing w:line="276" w:lineRule="auto"/>
        <w:ind w:right="-716"/>
        <w:jc w:val="both"/>
        <w:rPr>
          <w:rFonts w:ascii="Open Sans" w:eastAsia="Open Sans" w:hAnsi="Open Sans" w:cs="Open Sans"/>
          <w:color w:val="000000"/>
          <w:sz w:val="21"/>
          <w:szCs w:val="21"/>
        </w:rPr>
      </w:pPr>
    </w:p>
    <w:p w14:paraId="76417EC0" w14:textId="45061C3C" w:rsidR="002E4DF7" w:rsidRDefault="002E4DF7" w:rsidP="000A6146">
      <w:pPr>
        <w:spacing w:line="276" w:lineRule="auto"/>
        <w:ind w:right="-574"/>
        <w:jc w:val="right"/>
        <w:rPr>
          <w:rFonts w:ascii="Open Sans" w:hAnsi="Open Sans" w:cs="Open Sans"/>
          <w:color w:val="000000"/>
          <w:sz w:val="21"/>
          <w:szCs w:val="21"/>
        </w:rPr>
      </w:pPr>
    </w:p>
    <w:sectPr w:rsidR="002E4DF7" w:rsidSect="007937D5">
      <w:footerReference w:type="default" r:id="rId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3FEE" w14:textId="77777777" w:rsidR="008855BB" w:rsidRDefault="008855BB" w:rsidP="00DD4CA4">
      <w:r>
        <w:separator/>
      </w:r>
    </w:p>
  </w:endnote>
  <w:endnote w:type="continuationSeparator" w:id="0">
    <w:p w14:paraId="64353AF3" w14:textId="77777777" w:rsidR="008855BB" w:rsidRDefault="008855BB"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A755" w14:textId="77777777" w:rsidR="00E07AE5" w:rsidRDefault="00E07AE5">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1B81" w14:textId="77777777" w:rsidR="008855BB" w:rsidRDefault="008855BB" w:rsidP="00DD4CA4">
      <w:r>
        <w:separator/>
      </w:r>
    </w:p>
  </w:footnote>
  <w:footnote w:type="continuationSeparator" w:id="0">
    <w:p w14:paraId="7BD792D7" w14:textId="77777777" w:rsidR="008855BB" w:rsidRDefault="008855BB"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974"/>
    <w:multiLevelType w:val="hybridMultilevel"/>
    <w:tmpl w:val="72048E24"/>
    <w:lvl w:ilvl="0" w:tplc="75E2E8E4">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10ECE"/>
    <w:rsid w:val="00011CB7"/>
    <w:rsid w:val="00013487"/>
    <w:rsid w:val="00014CED"/>
    <w:rsid w:val="00014EC0"/>
    <w:rsid w:val="00022A98"/>
    <w:rsid w:val="000329E0"/>
    <w:rsid w:val="00034E35"/>
    <w:rsid w:val="0005599B"/>
    <w:rsid w:val="0006155E"/>
    <w:rsid w:val="00063144"/>
    <w:rsid w:val="00066012"/>
    <w:rsid w:val="00066D4E"/>
    <w:rsid w:val="00066FF0"/>
    <w:rsid w:val="00073F7A"/>
    <w:rsid w:val="00077B7C"/>
    <w:rsid w:val="00084308"/>
    <w:rsid w:val="00091F4C"/>
    <w:rsid w:val="0009642A"/>
    <w:rsid w:val="00097638"/>
    <w:rsid w:val="000A3C1F"/>
    <w:rsid w:val="000A6146"/>
    <w:rsid w:val="000B58AA"/>
    <w:rsid w:val="000C053A"/>
    <w:rsid w:val="000C290A"/>
    <w:rsid w:val="000C7646"/>
    <w:rsid w:val="000D60D7"/>
    <w:rsid w:val="000E0424"/>
    <w:rsid w:val="00110839"/>
    <w:rsid w:val="0011127D"/>
    <w:rsid w:val="00130D58"/>
    <w:rsid w:val="001316A7"/>
    <w:rsid w:val="00133A7B"/>
    <w:rsid w:val="001361DC"/>
    <w:rsid w:val="00136259"/>
    <w:rsid w:val="00137E55"/>
    <w:rsid w:val="0014007A"/>
    <w:rsid w:val="0014287C"/>
    <w:rsid w:val="00144A77"/>
    <w:rsid w:val="00152120"/>
    <w:rsid w:val="00152FC9"/>
    <w:rsid w:val="001651B5"/>
    <w:rsid w:val="00170702"/>
    <w:rsid w:val="00196144"/>
    <w:rsid w:val="00197C54"/>
    <w:rsid w:val="001A3470"/>
    <w:rsid w:val="001B2CC7"/>
    <w:rsid w:val="001B3A44"/>
    <w:rsid w:val="001B56F0"/>
    <w:rsid w:val="001B69A0"/>
    <w:rsid w:val="001C6AC4"/>
    <w:rsid w:val="001D1DE2"/>
    <w:rsid w:val="001D46B5"/>
    <w:rsid w:val="001D49F8"/>
    <w:rsid w:val="001E009C"/>
    <w:rsid w:val="001E1375"/>
    <w:rsid w:val="001E18D5"/>
    <w:rsid w:val="001E69C0"/>
    <w:rsid w:val="00210DBA"/>
    <w:rsid w:val="0021639C"/>
    <w:rsid w:val="00223856"/>
    <w:rsid w:val="00223F7F"/>
    <w:rsid w:val="002252B3"/>
    <w:rsid w:val="00226CA0"/>
    <w:rsid w:val="00227100"/>
    <w:rsid w:val="00242192"/>
    <w:rsid w:val="00247090"/>
    <w:rsid w:val="002564C0"/>
    <w:rsid w:val="0026392E"/>
    <w:rsid w:val="002763B0"/>
    <w:rsid w:val="00281F6A"/>
    <w:rsid w:val="00284D38"/>
    <w:rsid w:val="00285782"/>
    <w:rsid w:val="00291B1B"/>
    <w:rsid w:val="00292293"/>
    <w:rsid w:val="002A35C0"/>
    <w:rsid w:val="002A4DFB"/>
    <w:rsid w:val="002A6116"/>
    <w:rsid w:val="002A62A4"/>
    <w:rsid w:val="002B6E3D"/>
    <w:rsid w:val="002C1563"/>
    <w:rsid w:val="002C2F40"/>
    <w:rsid w:val="002D35EA"/>
    <w:rsid w:val="002D671A"/>
    <w:rsid w:val="002D672F"/>
    <w:rsid w:val="002E4DF7"/>
    <w:rsid w:val="002F0A40"/>
    <w:rsid w:val="002F439B"/>
    <w:rsid w:val="002F4C9D"/>
    <w:rsid w:val="002F6402"/>
    <w:rsid w:val="00301D18"/>
    <w:rsid w:val="0030786F"/>
    <w:rsid w:val="00307DF9"/>
    <w:rsid w:val="00312FDC"/>
    <w:rsid w:val="003145A9"/>
    <w:rsid w:val="00351CB1"/>
    <w:rsid w:val="003646FD"/>
    <w:rsid w:val="00364946"/>
    <w:rsid w:val="0037410B"/>
    <w:rsid w:val="00376DE0"/>
    <w:rsid w:val="003827F7"/>
    <w:rsid w:val="00392ACD"/>
    <w:rsid w:val="00394847"/>
    <w:rsid w:val="003A7FF3"/>
    <w:rsid w:val="003C4D3B"/>
    <w:rsid w:val="003D4FE5"/>
    <w:rsid w:val="003F4390"/>
    <w:rsid w:val="003F535B"/>
    <w:rsid w:val="003F66EE"/>
    <w:rsid w:val="004029F8"/>
    <w:rsid w:val="00403021"/>
    <w:rsid w:val="00412163"/>
    <w:rsid w:val="004278CB"/>
    <w:rsid w:val="00431221"/>
    <w:rsid w:val="00435FBF"/>
    <w:rsid w:val="004372BE"/>
    <w:rsid w:val="0043796C"/>
    <w:rsid w:val="004419C5"/>
    <w:rsid w:val="00441F4B"/>
    <w:rsid w:val="004577E7"/>
    <w:rsid w:val="00476920"/>
    <w:rsid w:val="00491040"/>
    <w:rsid w:val="00491F19"/>
    <w:rsid w:val="00494660"/>
    <w:rsid w:val="00495FB5"/>
    <w:rsid w:val="00497F29"/>
    <w:rsid w:val="004A0180"/>
    <w:rsid w:val="004B0602"/>
    <w:rsid w:val="004B0DEC"/>
    <w:rsid w:val="004D0E4B"/>
    <w:rsid w:val="004D3A6F"/>
    <w:rsid w:val="004E6B54"/>
    <w:rsid w:val="005025F0"/>
    <w:rsid w:val="005029E9"/>
    <w:rsid w:val="00503F5B"/>
    <w:rsid w:val="00504F5F"/>
    <w:rsid w:val="005103F9"/>
    <w:rsid w:val="005149BB"/>
    <w:rsid w:val="00516F9C"/>
    <w:rsid w:val="00524A6B"/>
    <w:rsid w:val="005266EF"/>
    <w:rsid w:val="00540B00"/>
    <w:rsid w:val="00540CE5"/>
    <w:rsid w:val="00557205"/>
    <w:rsid w:val="00566CD3"/>
    <w:rsid w:val="00570DFA"/>
    <w:rsid w:val="00574A33"/>
    <w:rsid w:val="00581903"/>
    <w:rsid w:val="00583D8D"/>
    <w:rsid w:val="00587182"/>
    <w:rsid w:val="00592313"/>
    <w:rsid w:val="00593D08"/>
    <w:rsid w:val="0059651E"/>
    <w:rsid w:val="005A1AD1"/>
    <w:rsid w:val="005A4CB5"/>
    <w:rsid w:val="005B11DB"/>
    <w:rsid w:val="005B738A"/>
    <w:rsid w:val="005C2370"/>
    <w:rsid w:val="005C2A66"/>
    <w:rsid w:val="005C3319"/>
    <w:rsid w:val="005C4777"/>
    <w:rsid w:val="005C4FC4"/>
    <w:rsid w:val="005C5838"/>
    <w:rsid w:val="005D019A"/>
    <w:rsid w:val="005D12D9"/>
    <w:rsid w:val="005D15CF"/>
    <w:rsid w:val="005D67F7"/>
    <w:rsid w:val="005E255E"/>
    <w:rsid w:val="005E2F87"/>
    <w:rsid w:val="005E3F7B"/>
    <w:rsid w:val="005E5649"/>
    <w:rsid w:val="005F3812"/>
    <w:rsid w:val="005F6A96"/>
    <w:rsid w:val="005F6CA3"/>
    <w:rsid w:val="006051CC"/>
    <w:rsid w:val="00606A1A"/>
    <w:rsid w:val="006251BA"/>
    <w:rsid w:val="00637401"/>
    <w:rsid w:val="00646E7D"/>
    <w:rsid w:val="006501B3"/>
    <w:rsid w:val="00651664"/>
    <w:rsid w:val="00655584"/>
    <w:rsid w:val="00663524"/>
    <w:rsid w:val="00667733"/>
    <w:rsid w:val="00667D75"/>
    <w:rsid w:val="00670A43"/>
    <w:rsid w:val="006841D0"/>
    <w:rsid w:val="006A3C97"/>
    <w:rsid w:val="006D041E"/>
    <w:rsid w:val="006D1BBC"/>
    <w:rsid w:val="006D2A3C"/>
    <w:rsid w:val="006E1AA8"/>
    <w:rsid w:val="006E22D8"/>
    <w:rsid w:val="006E6BA4"/>
    <w:rsid w:val="006F1858"/>
    <w:rsid w:val="006F46EF"/>
    <w:rsid w:val="006F6575"/>
    <w:rsid w:val="00701597"/>
    <w:rsid w:val="007027AA"/>
    <w:rsid w:val="0070542A"/>
    <w:rsid w:val="00705AE7"/>
    <w:rsid w:val="00712D25"/>
    <w:rsid w:val="00713A9F"/>
    <w:rsid w:val="007225B4"/>
    <w:rsid w:val="00725C0B"/>
    <w:rsid w:val="00736472"/>
    <w:rsid w:val="00736F3A"/>
    <w:rsid w:val="00740970"/>
    <w:rsid w:val="00751009"/>
    <w:rsid w:val="00753088"/>
    <w:rsid w:val="00757904"/>
    <w:rsid w:val="0076156F"/>
    <w:rsid w:val="00782B87"/>
    <w:rsid w:val="00785BD2"/>
    <w:rsid w:val="00793775"/>
    <w:rsid w:val="007937D5"/>
    <w:rsid w:val="0079503E"/>
    <w:rsid w:val="007A16BE"/>
    <w:rsid w:val="007A2DB6"/>
    <w:rsid w:val="007A55E0"/>
    <w:rsid w:val="007A7D8D"/>
    <w:rsid w:val="007B12E2"/>
    <w:rsid w:val="007B45F9"/>
    <w:rsid w:val="007B609F"/>
    <w:rsid w:val="007C2926"/>
    <w:rsid w:val="007C3422"/>
    <w:rsid w:val="007D3B4D"/>
    <w:rsid w:val="007D46B3"/>
    <w:rsid w:val="007E1D5C"/>
    <w:rsid w:val="007E2FC5"/>
    <w:rsid w:val="007E3662"/>
    <w:rsid w:val="007E37CA"/>
    <w:rsid w:val="007E6ABA"/>
    <w:rsid w:val="007E7286"/>
    <w:rsid w:val="007F2290"/>
    <w:rsid w:val="007F702A"/>
    <w:rsid w:val="008011C5"/>
    <w:rsid w:val="00802470"/>
    <w:rsid w:val="00813145"/>
    <w:rsid w:val="00816950"/>
    <w:rsid w:val="00821FF7"/>
    <w:rsid w:val="008246FE"/>
    <w:rsid w:val="008337A1"/>
    <w:rsid w:val="00833BF4"/>
    <w:rsid w:val="00835015"/>
    <w:rsid w:val="00835805"/>
    <w:rsid w:val="00836729"/>
    <w:rsid w:val="00847032"/>
    <w:rsid w:val="00863400"/>
    <w:rsid w:val="008855BB"/>
    <w:rsid w:val="00885EA3"/>
    <w:rsid w:val="00897D7E"/>
    <w:rsid w:val="008A34D5"/>
    <w:rsid w:val="008B009B"/>
    <w:rsid w:val="008B17A7"/>
    <w:rsid w:val="008B478E"/>
    <w:rsid w:val="008B777B"/>
    <w:rsid w:val="008C10BF"/>
    <w:rsid w:val="008C2B02"/>
    <w:rsid w:val="008D1286"/>
    <w:rsid w:val="008D20D0"/>
    <w:rsid w:val="008D2DD9"/>
    <w:rsid w:val="008D3E30"/>
    <w:rsid w:val="008D78BC"/>
    <w:rsid w:val="008E1900"/>
    <w:rsid w:val="008F1782"/>
    <w:rsid w:val="009004F0"/>
    <w:rsid w:val="00900FF2"/>
    <w:rsid w:val="0090117E"/>
    <w:rsid w:val="00902060"/>
    <w:rsid w:val="009053ED"/>
    <w:rsid w:val="0091359C"/>
    <w:rsid w:val="00925217"/>
    <w:rsid w:val="0092690F"/>
    <w:rsid w:val="009309B9"/>
    <w:rsid w:val="00932C07"/>
    <w:rsid w:val="00935B41"/>
    <w:rsid w:val="0093735E"/>
    <w:rsid w:val="009409BA"/>
    <w:rsid w:val="00941F79"/>
    <w:rsid w:val="00964BED"/>
    <w:rsid w:val="00970F0F"/>
    <w:rsid w:val="00972E67"/>
    <w:rsid w:val="00975125"/>
    <w:rsid w:val="00983C68"/>
    <w:rsid w:val="00991F54"/>
    <w:rsid w:val="009A20A5"/>
    <w:rsid w:val="009A5AF1"/>
    <w:rsid w:val="009A5E1C"/>
    <w:rsid w:val="009A635C"/>
    <w:rsid w:val="009B3099"/>
    <w:rsid w:val="009C0542"/>
    <w:rsid w:val="009D2F77"/>
    <w:rsid w:val="009D4647"/>
    <w:rsid w:val="009E08E6"/>
    <w:rsid w:val="009E79C2"/>
    <w:rsid w:val="00A060EF"/>
    <w:rsid w:val="00A2422E"/>
    <w:rsid w:val="00A279C7"/>
    <w:rsid w:val="00A338CE"/>
    <w:rsid w:val="00A3516A"/>
    <w:rsid w:val="00A35C1D"/>
    <w:rsid w:val="00A36820"/>
    <w:rsid w:val="00A36A97"/>
    <w:rsid w:val="00A448AD"/>
    <w:rsid w:val="00A449CC"/>
    <w:rsid w:val="00A50985"/>
    <w:rsid w:val="00A523A1"/>
    <w:rsid w:val="00A70933"/>
    <w:rsid w:val="00A70F9F"/>
    <w:rsid w:val="00A76E50"/>
    <w:rsid w:val="00A84CA7"/>
    <w:rsid w:val="00A90CF9"/>
    <w:rsid w:val="00A9236A"/>
    <w:rsid w:val="00AA2566"/>
    <w:rsid w:val="00AA3055"/>
    <w:rsid w:val="00AA5C40"/>
    <w:rsid w:val="00AB29CC"/>
    <w:rsid w:val="00AB37C2"/>
    <w:rsid w:val="00AD0C78"/>
    <w:rsid w:val="00AD0F7C"/>
    <w:rsid w:val="00AD3095"/>
    <w:rsid w:val="00AD48D0"/>
    <w:rsid w:val="00AD62DD"/>
    <w:rsid w:val="00AE00EF"/>
    <w:rsid w:val="00AE23F4"/>
    <w:rsid w:val="00AF163D"/>
    <w:rsid w:val="00B10769"/>
    <w:rsid w:val="00B1179B"/>
    <w:rsid w:val="00B22FD3"/>
    <w:rsid w:val="00B231C2"/>
    <w:rsid w:val="00B26B84"/>
    <w:rsid w:val="00B3267F"/>
    <w:rsid w:val="00B41A97"/>
    <w:rsid w:val="00B45915"/>
    <w:rsid w:val="00B53ED5"/>
    <w:rsid w:val="00B54B63"/>
    <w:rsid w:val="00B55E8E"/>
    <w:rsid w:val="00B6101B"/>
    <w:rsid w:val="00B63DBE"/>
    <w:rsid w:val="00B6601B"/>
    <w:rsid w:val="00B668EA"/>
    <w:rsid w:val="00B772CA"/>
    <w:rsid w:val="00B77EF0"/>
    <w:rsid w:val="00B82525"/>
    <w:rsid w:val="00B94F8A"/>
    <w:rsid w:val="00B97DF8"/>
    <w:rsid w:val="00BA7479"/>
    <w:rsid w:val="00BB4584"/>
    <w:rsid w:val="00BC1D19"/>
    <w:rsid w:val="00BC5595"/>
    <w:rsid w:val="00BD2FBF"/>
    <w:rsid w:val="00BD4A31"/>
    <w:rsid w:val="00BD7CBC"/>
    <w:rsid w:val="00BE6596"/>
    <w:rsid w:val="00BF134A"/>
    <w:rsid w:val="00C071FE"/>
    <w:rsid w:val="00C159C1"/>
    <w:rsid w:val="00C255EA"/>
    <w:rsid w:val="00C31EC9"/>
    <w:rsid w:val="00C37BEA"/>
    <w:rsid w:val="00C45CC5"/>
    <w:rsid w:val="00C56E16"/>
    <w:rsid w:val="00C709FD"/>
    <w:rsid w:val="00C72CF4"/>
    <w:rsid w:val="00C767B9"/>
    <w:rsid w:val="00C80691"/>
    <w:rsid w:val="00CA4213"/>
    <w:rsid w:val="00CB1FB4"/>
    <w:rsid w:val="00CB39E7"/>
    <w:rsid w:val="00CB6EB1"/>
    <w:rsid w:val="00CC2113"/>
    <w:rsid w:val="00CD1A17"/>
    <w:rsid w:val="00CE47E3"/>
    <w:rsid w:val="00CE563D"/>
    <w:rsid w:val="00CE6A58"/>
    <w:rsid w:val="00CF7667"/>
    <w:rsid w:val="00D00F1E"/>
    <w:rsid w:val="00D075BB"/>
    <w:rsid w:val="00D15B89"/>
    <w:rsid w:val="00D210B8"/>
    <w:rsid w:val="00D215AC"/>
    <w:rsid w:val="00D227BE"/>
    <w:rsid w:val="00D25CD3"/>
    <w:rsid w:val="00D31A57"/>
    <w:rsid w:val="00D3495E"/>
    <w:rsid w:val="00D41C3C"/>
    <w:rsid w:val="00D442CA"/>
    <w:rsid w:val="00D52203"/>
    <w:rsid w:val="00D61A99"/>
    <w:rsid w:val="00D62129"/>
    <w:rsid w:val="00D65A3C"/>
    <w:rsid w:val="00D842F0"/>
    <w:rsid w:val="00D8519D"/>
    <w:rsid w:val="00D860D3"/>
    <w:rsid w:val="00D86387"/>
    <w:rsid w:val="00D87C72"/>
    <w:rsid w:val="00D91C64"/>
    <w:rsid w:val="00DA246F"/>
    <w:rsid w:val="00DA2686"/>
    <w:rsid w:val="00DA34F8"/>
    <w:rsid w:val="00DB36B2"/>
    <w:rsid w:val="00DB76F9"/>
    <w:rsid w:val="00DC29E7"/>
    <w:rsid w:val="00DC68F0"/>
    <w:rsid w:val="00DC7AC3"/>
    <w:rsid w:val="00DD4CA4"/>
    <w:rsid w:val="00DD5010"/>
    <w:rsid w:val="00DD77FD"/>
    <w:rsid w:val="00DE052F"/>
    <w:rsid w:val="00DE7CE6"/>
    <w:rsid w:val="00DF3362"/>
    <w:rsid w:val="00E054C5"/>
    <w:rsid w:val="00E07AE5"/>
    <w:rsid w:val="00E30D8F"/>
    <w:rsid w:val="00E43660"/>
    <w:rsid w:val="00E43CE5"/>
    <w:rsid w:val="00E600D8"/>
    <w:rsid w:val="00E72108"/>
    <w:rsid w:val="00E7535B"/>
    <w:rsid w:val="00E94830"/>
    <w:rsid w:val="00EA721E"/>
    <w:rsid w:val="00EB0728"/>
    <w:rsid w:val="00EB4922"/>
    <w:rsid w:val="00EB7EA5"/>
    <w:rsid w:val="00EC3A5C"/>
    <w:rsid w:val="00EC5C56"/>
    <w:rsid w:val="00EC667B"/>
    <w:rsid w:val="00ED0035"/>
    <w:rsid w:val="00ED1A5D"/>
    <w:rsid w:val="00ED419C"/>
    <w:rsid w:val="00ED6CFA"/>
    <w:rsid w:val="00EE12AE"/>
    <w:rsid w:val="00EE364A"/>
    <w:rsid w:val="00EE6A9A"/>
    <w:rsid w:val="00EF123D"/>
    <w:rsid w:val="00EF48E8"/>
    <w:rsid w:val="00EF6A37"/>
    <w:rsid w:val="00F0228F"/>
    <w:rsid w:val="00F04F96"/>
    <w:rsid w:val="00F208DC"/>
    <w:rsid w:val="00F21780"/>
    <w:rsid w:val="00F23500"/>
    <w:rsid w:val="00F24975"/>
    <w:rsid w:val="00F368E2"/>
    <w:rsid w:val="00F42007"/>
    <w:rsid w:val="00F47061"/>
    <w:rsid w:val="00F54D14"/>
    <w:rsid w:val="00F65A5B"/>
    <w:rsid w:val="00F815F1"/>
    <w:rsid w:val="00F90078"/>
    <w:rsid w:val="00F966FA"/>
    <w:rsid w:val="00F9754E"/>
    <w:rsid w:val="00FA4744"/>
    <w:rsid w:val="00FA5FE1"/>
    <w:rsid w:val="00FB324D"/>
    <w:rsid w:val="00FB61E9"/>
    <w:rsid w:val="00FD442F"/>
    <w:rsid w:val="00FD586C"/>
    <w:rsid w:val="00FE2C08"/>
    <w:rsid w:val="00FE3160"/>
    <w:rsid w:val="00FE31CB"/>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fojobs.net/"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prensa.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habitaclia.com/" TargetMode="External"/><Relationship Id="rId27" Type="http://schemas.openxmlformats.org/officeDocument/2006/relationships/hyperlink" Target="mailto:rtorne@llorenteycuenca.com" TargetMode="External"/><Relationship Id="rId30" Type="http://schemas.openxmlformats.org/officeDocument/2006/relationships/hyperlink" Target="mailto:llazar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INCREMENTOS%20A&#209;OS\VENTA\JUNIO%202021\ACUMULATIVO%20VENTA%20JUNI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0"/>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637718653229108E-2"/>
          <c:y val="9.6833507636362948E-2"/>
          <c:w val="0.93192320472184076"/>
          <c:h val="0.68358407768198937"/>
        </c:manualLayout>
      </c:layout>
      <c:barChart>
        <c:barDir val="col"/>
        <c:grouping val="clustered"/>
        <c:varyColors val="0"/>
        <c:ser>
          <c:idx val="0"/>
          <c:order val="0"/>
          <c:spPr>
            <a:solidFill>
              <a:srgbClr val="44546A">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CCAA!$G$1:$J$1</c:f>
              <c:strCache>
                <c:ptCount val="4"/>
                <c:pt idx="0">
                  <c:v> 15 AÑOS               (2021 VS 2006)</c:v>
                </c:pt>
                <c:pt idx="1">
                  <c:v> 10 AÑOS              (2021 VS 2011)</c:v>
                </c:pt>
                <c:pt idx="2">
                  <c:v>5 AÑOS                 (2021 VS 2016)</c:v>
                </c:pt>
                <c:pt idx="3">
                  <c:v> 1 AÑO                  (2021 VS 2020)</c:v>
                </c:pt>
              </c:strCache>
            </c:strRef>
          </c:cat>
          <c:val>
            <c:numRef>
              <c:f>CCAA!$G$19:$J$19</c:f>
              <c:numCache>
                <c:formatCode>0%</c:formatCode>
                <c:ptCount val="4"/>
                <c:pt idx="0">
                  <c:v>-0.33015147185312782</c:v>
                </c:pt>
                <c:pt idx="1">
                  <c:v>-0.13609430284525248</c:v>
                </c:pt>
                <c:pt idx="2">
                  <c:v>0.1618322023442319</c:v>
                </c:pt>
                <c:pt idx="3">
                  <c:v>5.1556570794215918E-3</c:v>
                </c:pt>
              </c:numCache>
            </c:numRef>
          </c:val>
          <c:extLst>
            <c:ext xmlns:c16="http://schemas.microsoft.com/office/drawing/2014/chart" uri="{C3380CC4-5D6E-409C-BE32-E72D297353CC}">
              <c16:uniqueId val="{00000000-ABB3-42BC-91F5-3D9B9D229D36}"/>
            </c:ext>
          </c:extLst>
        </c:ser>
        <c:dLbls>
          <c:showLegendKey val="0"/>
          <c:showVal val="0"/>
          <c:showCatName val="0"/>
          <c:showSerName val="0"/>
          <c:showPercent val="0"/>
          <c:showBubbleSize val="0"/>
        </c:dLbls>
        <c:gapWidth val="81"/>
        <c:overlap val="-1"/>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BC09-2AA0-4378-A83A-7E269E93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46</cp:revision>
  <dcterms:created xsi:type="dcterms:W3CDTF">2021-02-17T13:43:00Z</dcterms:created>
  <dcterms:modified xsi:type="dcterms:W3CDTF">2021-08-05T08:57:00Z</dcterms:modified>
</cp:coreProperties>
</file>