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4D9E" w14:textId="77777777" w:rsidR="00F60E84" w:rsidRDefault="003356FE">
      <w:r>
        <w:rPr>
          <w:noProof/>
        </w:rPr>
        <w:drawing>
          <wp:anchor distT="0" distB="0" distL="0" distR="0" simplePos="0" relativeHeight="251658240" behindDoc="0" locked="0" layoutInCell="1" hidden="0" allowOverlap="1" wp14:anchorId="34DDBDF8" wp14:editId="39CDAAB0">
            <wp:simplePos x="0" y="0"/>
            <wp:positionH relativeFrom="column">
              <wp:posOffset>-1056064</wp:posOffset>
            </wp:positionH>
            <wp:positionV relativeFrom="paragraph">
              <wp:posOffset>-346333</wp:posOffset>
            </wp:positionV>
            <wp:extent cx="7711147" cy="1037167"/>
            <wp:effectExtent l="0" t="0" r="0" b="0"/>
            <wp:wrapSquare wrapText="bothSides" distT="0" distB="0" distL="0" distR="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711147" cy="1037167"/>
                    </a:xfrm>
                    <a:prstGeom prst="rect">
                      <a:avLst/>
                    </a:prstGeom>
                    <a:ln/>
                  </pic:spPr>
                </pic:pic>
              </a:graphicData>
            </a:graphic>
          </wp:anchor>
        </w:drawing>
      </w:r>
    </w:p>
    <w:p w14:paraId="709566FC" w14:textId="77777777" w:rsidR="00F60E84" w:rsidRDefault="00F60E84">
      <w:pPr>
        <w:jc w:val="center"/>
        <w:rPr>
          <w:rFonts w:ascii="National" w:eastAsia="National" w:hAnsi="National" w:cs="National"/>
          <w:color w:val="303AB2"/>
          <w:sz w:val="36"/>
          <w:szCs w:val="36"/>
        </w:rPr>
      </w:pPr>
    </w:p>
    <w:p w14:paraId="2E9CC16B" w14:textId="77777777" w:rsidR="00F60E84" w:rsidRDefault="003356FE">
      <w:pPr>
        <w:pBdr>
          <w:top w:val="nil"/>
          <w:left w:val="nil"/>
          <w:bottom w:val="nil"/>
          <w:right w:val="nil"/>
          <w:between w:val="nil"/>
        </w:pBdr>
        <w:shd w:val="clear" w:color="auto" w:fill="FFFFFF"/>
        <w:spacing w:after="225" w:line="276" w:lineRule="auto"/>
        <w:ind w:left="708" w:hanging="708"/>
        <w:jc w:val="center"/>
        <w:rPr>
          <w:rFonts w:ascii="National" w:eastAsia="National" w:hAnsi="National" w:cs="National"/>
          <w:b/>
          <w:color w:val="303AB2"/>
          <w:sz w:val="46"/>
          <w:szCs w:val="46"/>
        </w:rPr>
      </w:pPr>
      <w:r>
        <w:rPr>
          <w:rFonts w:ascii="National" w:eastAsia="National" w:hAnsi="National" w:cs="National"/>
          <w:b/>
          <w:color w:val="303AB2"/>
          <w:sz w:val="46"/>
          <w:szCs w:val="46"/>
        </w:rPr>
        <w:t>"La firma de hipotecas presenta el sexto mes consecutivo por encima de las 30.000 operaciones, volviendo a niveles de 2011"</w:t>
      </w:r>
    </w:p>
    <w:p w14:paraId="0C1CB055" w14:textId="604600CD" w:rsidR="00F60E84" w:rsidRDefault="003356FE">
      <w:pPr>
        <w:pBdr>
          <w:top w:val="nil"/>
          <w:left w:val="nil"/>
          <w:bottom w:val="nil"/>
          <w:right w:val="nil"/>
          <w:between w:val="nil"/>
        </w:pBdr>
        <w:shd w:val="clear" w:color="auto" w:fill="FFFFFF"/>
        <w:spacing w:after="225" w:line="276" w:lineRule="auto"/>
        <w:jc w:val="both"/>
        <w:rPr>
          <w:rFonts w:ascii="Open Sans" w:eastAsia="Open Sans" w:hAnsi="Open Sans" w:cs="Open Sans"/>
          <w:color w:val="000000"/>
          <w:sz w:val="20"/>
          <w:szCs w:val="20"/>
        </w:rPr>
      </w:pPr>
      <w:r>
        <w:rPr>
          <w:rFonts w:ascii="Open Sans" w:eastAsia="Open Sans" w:hAnsi="Open Sans" w:cs="Open Sans"/>
          <w:b/>
          <w:color w:val="303AB2"/>
        </w:rPr>
        <w:t xml:space="preserve">  Madrid, 28 de septiembre de 2021</w:t>
      </w:r>
    </w:p>
    <w:p w14:paraId="43A5720A" w14:textId="77777777" w:rsidR="00F60E84" w:rsidRDefault="003356FE">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color w:val="000000"/>
          <w:sz w:val="21"/>
          <w:szCs w:val="21"/>
        </w:rPr>
        <w:t xml:space="preserve">Los datos de Hipotecas correspondientes al pasado mes de </w:t>
      </w:r>
      <w:r>
        <w:rPr>
          <w:rFonts w:ascii="Open Sans" w:eastAsia="Open Sans" w:hAnsi="Open Sans" w:cs="Open Sans"/>
          <w:sz w:val="21"/>
          <w:szCs w:val="21"/>
        </w:rPr>
        <w:t>julio</w:t>
      </w:r>
      <w:r>
        <w:rPr>
          <w:rFonts w:ascii="Open Sans" w:eastAsia="Open Sans" w:hAnsi="Open Sans" w:cs="Open Sans"/>
          <w:color w:val="000000"/>
          <w:sz w:val="21"/>
          <w:szCs w:val="21"/>
        </w:rPr>
        <w:t xml:space="preserve"> dados a conocer hoy por el INE, reflejan </w:t>
      </w:r>
      <w:r>
        <w:rPr>
          <w:rFonts w:ascii="Open Sans" w:eastAsia="Open Sans" w:hAnsi="Open Sans" w:cs="Open Sans"/>
          <w:sz w:val="21"/>
          <w:szCs w:val="21"/>
        </w:rPr>
        <w:t xml:space="preserve">un descenso mensual del </w:t>
      </w:r>
      <w:r>
        <w:rPr>
          <w:rFonts w:ascii="Open Sans" w:eastAsia="Open Sans" w:hAnsi="Open Sans" w:cs="Open Sans"/>
          <w:b/>
          <w:sz w:val="21"/>
          <w:szCs w:val="21"/>
        </w:rPr>
        <w:t>6,9%</w:t>
      </w:r>
      <w:r>
        <w:rPr>
          <w:rFonts w:ascii="Open Sans" w:eastAsia="Open Sans" w:hAnsi="Open Sans" w:cs="Open Sans"/>
          <w:sz w:val="21"/>
          <w:szCs w:val="21"/>
        </w:rPr>
        <w:t>, y</w:t>
      </w:r>
      <w:r>
        <w:rPr>
          <w:rFonts w:ascii="Open Sans" w:eastAsia="Open Sans" w:hAnsi="Open Sans" w:cs="Open Sans"/>
          <w:color w:val="000000"/>
          <w:sz w:val="21"/>
          <w:szCs w:val="21"/>
        </w:rPr>
        <w:t xml:space="preserve"> una </w:t>
      </w:r>
      <w:r>
        <w:rPr>
          <w:rFonts w:ascii="Open Sans" w:eastAsia="Open Sans" w:hAnsi="Open Sans" w:cs="Open Sans"/>
          <w:sz w:val="21"/>
          <w:szCs w:val="21"/>
        </w:rPr>
        <w:t>subida</w:t>
      </w:r>
      <w:r>
        <w:rPr>
          <w:rFonts w:ascii="Open Sans" w:eastAsia="Open Sans" w:hAnsi="Open Sans" w:cs="Open Sans"/>
          <w:color w:val="000000"/>
          <w:sz w:val="21"/>
          <w:szCs w:val="21"/>
        </w:rPr>
        <w:t xml:space="preserve"> </w:t>
      </w:r>
      <w:r>
        <w:rPr>
          <w:rFonts w:ascii="Open Sans" w:eastAsia="Open Sans" w:hAnsi="Open Sans" w:cs="Open Sans"/>
          <w:sz w:val="21"/>
          <w:szCs w:val="21"/>
        </w:rPr>
        <w:t>interanual</w:t>
      </w:r>
      <w:r>
        <w:rPr>
          <w:rFonts w:ascii="Open Sans" w:eastAsia="Open Sans" w:hAnsi="Open Sans" w:cs="Open Sans"/>
          <w:color w:val="000000"/>
          <w:sz w:val="21"/>
          <w:szCs w:val="21"/>
        </w:rPr>
        <w:t xml:space="preserve"> del</w:t>
      </w:r>
      <w:r>
        <w:rPr>
          <w:rFonts w:ascii="Open Sans" w:eastAsia="Open Sans" w:hAnsi="Open Sans" w:cs="Open Sans"/>
          <w:sz w:val="21"/>
          <w:szCs w:val="21"/>
        </w:rPr>
        <w:t xml:space="preserve"> </w:t>
      </w:r>
      <w:r>
        <w:rPr>
          <w:rFonts w:ascii="Open Sans" w:eastAsia="Open Sans" w:hAnsi="Open Sans" w:cs="Open Sans"/>
          <w:b/>
          <w:sz w:val="21"/>
          <w:szCs w:val="21"/>
        </w:rPr>
        <w:t>36,8</w:t>
      </w:r>
      <w:r>
        <w:rPr>
          <w:rFonts w:ascii="Open Sans" w:eastAsia="Open Sans" w:hAnsi="Open Sans" w:cs="Open Sans"/>
          <w:b/>
          <w:color w:val="000000"/>
          <w:sz w:val="21"/>
          <w:szCs w:val="21"/>
        </w:rPr>
        <w:t>%</w:t>
      </w:r>
      <w:r>
        <w:rPr>
          <w:rFonts w:ascii="Open Sans" w:eastAsia="Open Sans" w:hAnsi="Open Sans" w:cs="Open Sans"/>
          <w:sz w:val="21"/>
          <w:szCs w:val="21"/>
        </w:rPr>
        <w:t xml:space="preserve">, encadenando cinco meses de ascensos interanuales consecutivos. Así, julio cierra con </w:t>
      </w:r>
      <w:r>
        <w:rPr>
          <w:rFonts w:ascii="Open Sans" w:eastAsia="Open Sans" w:hAnsi="Open Sans" w:cs="Open Sans"/>
          <w:b/>
          <w:sz w:val="21"/>
          <w:szCs w:val="21"/>
        </w:rPr>
        <w:t xml:space="preserve">35.329 </w:t>
      </w:r>
      <w:r>
        <w:rPr>
          <w:rFonts w:ascii="Open Sans" w:eastAsia="Open Sans" w:hAnsi="Open Sans" w:cs="Open Sans"/>
          <w:b/>
          <w:color w:val="000000"/>
          <w:sz w:val="21"/>
          <w:szCs w:val="21"/>
        </w:rPr>
        <w:t>hipotecas concedidas</w:t>
      </w:r>
      <w:r>
        <w:rPr>
          <w:rFonts w:ascii="Open Sans" w:eastAsia="Open Sans" w:hAnsi="Open Sans" w:cs="Open Sans"/>
          <w:color w:val="000000"/>
          <w:sz w:val="21"/>
          <w:szCs w:val="21"/>
        </w:rPr>
        <w:t>,</w:t>
      </w:r>
      <w:r>
        <w:rPr>
          <w:rFonts w:ascii="Open Sans" w:eastAsia="Open Sans" w:hAnsi="Open Sans" w:cs="Open Sans"/>
          <w:sz w:val="21"/>
          <w:szCs w:val="21"/>
        </w:rPr>
        <w:t xml:space="preserve"> una cifra que sitúa la contratación de estos préstamos en niveles superiores no solo a los registrados en 2019, sino a los de los últimos 10 años. “La variación interanual </w:t>
      </w:r>
      <w:r>
        <w:rPr>
          <w:rFonts w:ascii="Open Sans" w:eastAsia="Open Sans" w:hAnsi="Open Sans" w:cs="Open Sans"/>
          <w:color w:val="000000"/>
          <w:sz w:val="21"/>
          <w:szCs w:val="21"/>
        </w:rPr>
        <w:t xml:space="preserve">tan elevada se debe a que la comparativa se realiza con </w:t>
      </w:r>
      <w:r>
        <w:rPr>
          <w:rFonts w:ascii="Open Sans" w:eastAsia="Open Sans" w:hAnsi="Open Sans" w:cs="Open Sans"/>
          <w:sz w:val="21"/>
          <w:szCs w:val="21"/>
        </w:rPr>
        <w:t>julio</w:t>
      </w:r>
      <w:r>
        <w:rPr>
          <w:rFonts w:ascii="Open Sans" w:eastAsia="Open Sans" w:hAnsi="Open Sans" w:cs="Open Sans"/>
          <w:color w:val="000000"/>
          <w:sz w:val="21"/>
          <w:szCs w:val="21"/>
        </w:rPr>
        <w:t xml:space="preserve"> de 2020, hay que contextualizarla y explicar que puede tratarse del arranque de las operaciones embalsadas. Es decir, las </w:t>
      </w:r>
      <w:r>
        <w:rPr>
          <w:rFonts w:ascii="Open Sans" w:eastAsia="Open Sans" w:hAnsi="Open Sans" w:cs="Open Sans"/>
          <w:sz w:val="21"/>
          <w:szCs w:val="21"/>
        </w:rPr>
        <w:t>hipotecas</w:t>
      </w:r>
      <w:r>
        <w:rPr>
          <w:rFonts w:ascii="Open Sans" w:eastAsia="Open Sans" w:hAnsi="Open Sans" w:cs="Open Sans"/>
          <w:color w:val="000000"/>
          <w:sz w:val="21"/>
          <w:szCs w:val="21"/>
        </w:rPr>
        <w:t xml:space="preserve"> que no se pudieron </w:t>
      </w:r>
      <w:r>
        <w:rPr>
          <w:rFonts w:ascii="Open Sans" w:eastAsia="Open Sans" w:hAnsi="Open Sans" w:cs="Open Sans"/>
          <w:sz w:val="21"/>
          <w:szCs w:val="21"/>
        </w:rPr>
        <w:t xml:space="preserve">firmar </w:t>
      </w:r>
      <w:r>
        <w:rPr>
          <w:rFonts w:ascii="Open Sans" w:eastAsia="Open Sans" w:hAnsi="Open Sans" w:cs="Open Sans"/>
          <w:color w:val="000000"/>
          <w:sz w:val="21"/>
          <w:szCs w:val="21"/>
        </w:rPr>
        <w:t>durante el estado de alarma, comenzaron a ejecutarse a partir de juli</w:t>
      </w:r>
      <w:r>
        <w:rPr>
          <w:rFonts w:ascii="Open Sans" w:eastAsia="Open Sans" w:hAnsi="Open Sans" w:cs="Open Sans"/>
          <w:sz w:val="21"/>
          <w:szCs w:val="21"/>
        </w:rPr>
        <w:t>o del año pasado</w:t>
      </w:r>
      <w:r>
        <w:rPr>
          <w:rFonts w:ascii="Open Sans" w:eastAsia="Open Sans" w:hAnsi="Open Sans" w:cs="Open Sans"/>
          <w:color w:val="000000"/>
          <w:sz w:val="21"/>
          <w:szCs w:val="21"/>
        </w:rPr>
        <w:t xml:space="preserve">”, explica </w:t>
      </w:r>
      <w:r>
        <w:rPr>
          <w:rFonts w:ascii="Open Sans" w:eastAsia="Open Sans" w:hAnsi="Open Sans" w:cs="Open Sans"/>
          <w:sz w:val="21"/>
          <w:szCs w:val="21"/>
        </w:rPr>
        <w:t>María Matos, directora</w:t>
      </w:r>
      <w:r>
        <w:rPr>
          <w:rFonts w:ascii="Open Sans" w:eastAsia="Open Sans" w:hAnsi="Open Sans" w:cs="Open Sans"/>
          <w:color w:val="000000"/>
          <w:sz w:val="21"/>
          <w:szCs w:val="21"/>
        </w:rPr>
        <w:t xml:space="preserve"> de </w:t>
      </w:r>
      <w:r>
        <w:rPr>
          <w:rFonts w:ascii="Open Sans" w:eastAsia="Open Sans" w:hAnsi="Open Sans" w:cs="Open Sans"/>
          <w:sz w:val="21"/>
          <w:szCs w:val="21"/>
        </w:rPr>
        <w:t>Estudios y Portavoz</w:t>
      </w:r>
      <w:r>
        <w:rPr>
          <w:rFonts w:ascii="Open Sans" w:eastAsia="Open Sans" w:hAnsi="Open Sans" w:cs="Open Sans"/>
          <w:color w:val="000000"/>
          <w:sz w:val="21"/>
          <w:szCs w:val="21"/>
        </w:rPr>
        <w:t xml:space="preserve"> de </w:t>
      </w:r>
      <w:hyperlink r:id="rId8">
        <w:r>
          <w:rPr>
            <w:rFonts w:ascii="Open Sans" w:eastAsia="Open Sans" w:hAnsi="Open Sans" w:cs="Open Sans"/>
            <w:b/>
            <w:color w:val="0563C1"/>
            <w:sz w:val="21"/>
            <w:szCs w:val="21"/>
            <w:u w:val="single"/>
          </w:rPr>
          <w:t>Fotocasa</w:t>
        </w:r>
      </w:hyperlink>
      <w:r>
        <w:rPr>
          <w:rFonts w:ascii="Open Sans" w:eastAsia="Open Sans" w:hAnsi="Open Sans" w:cs="Open Sans"/>
          <w:color w:val="000000"/>
          <w:sz w:val="21"/>
          <w:szCs w:val="21"/>
        </w:rPr>
        <w:t>.</w:t>
      </w:r>
    </w:p>
    <w:p w14:paraId="3D14B636" w14:textId="0865FD44" w:rsidR="00F60E84" w:rsidRDefault="003356FE">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r>
        <w:rPr>
          <w:rFonts w:ascii="Open Sans" w:eastAsia="Open Sans" w:hAnsi="Open Sans" w:cs="Open Sans"/>
          <w:sz w:val="21"/>
          <w:szCs w:val="21"/>
        </w:rPr>
        <w:t>Con el mes de julio ya son seis los meses en que de forma consecutiva se cierra con más de 30.000 hipotecas firmadas, unas cifras mes a mes que no veíamos desde 2011. “El cierre de operaciones del mes de julio supera la barrera de las 3</w:t>
      </w:r>
      <w:r w:rsidR="00282B7A">
        <w:rPr>
          <w:rFonts w:ascii="Open Sans" w:eastAsia="Open Sans" w:hAnsi="Open Sans" w:cs="Open Sans"/>
          <w:sz w:val="21"/>
          <w:szCs w:val="21"/>
        </w:rPr>
        <w:t>0</w:t>
      </w:r>
      <w:r>
        <w:rPr>
          <w:rFonts w:ascii="Open Sans" w:eastAsia="Open Sans" w:hAnsi="Open Sans" w:cs="Open Sans"/>
          <w:sz w:val="21"/>
          <w:szCs w:val="21"/>
        </w:rPr>
        <w:t>.000 hipotecas firmadas por sexta vez este año. Lo que indica que el ritmo se está manteniendo estable en las mejores cifras de los últimos años. Son datos muy positivos que dejan claro que el impacto de la pandemia ha impulsado la firma de hipotecas, elevando las operaciones a cifras que no veíamos desde hace una década. La percepción de incertidumbre va decreciendo y los españoles vuelven a tener un comportamiento muy activo, algo que evidencia que el sector se ha restablecido a muy buen ritmo de la paralización producida por la pandemia. Son los mejores datos tras la recuperación de la crisis económica en 2014</w:t>
      </w:r>
      <w:r>
        <w:rPr>
          <w:rFonts w:ascii="Open Sans" w:eastAsia="Open Sans" w:hAnsi="Open Sans" w:cs="Open Sans"/>
          <w:color w:val="000000"/>
          <w:sz w:val="21"/>
          <w:szCs w:val="21"/>
        </w:rPr>
        <w:t xml:space="preserve">”, explica la directora de </w:t>
      </w:r>
      <w:r>
        <w:rPr>
          <w:rFonts w:ascii="Open Sans" w:eastAsia="Open Sans" w:hAnsi="Open Sans" w:cs="Open Sans"/>
          <w:sz w:val="21"/>
          <w:szCs w:val="21"/>
        </w:rPr>
        <w:t>Estudios</w:t>
      </w:r>
      <w:r>
        <w:rPr>
          <w:rFonts w:ascii="Open Sans" w:eastAsia="Open Sans" w:hAnsi="Open Sans" w:cs="Open Sans"/>
          <w:color w:val="000000"/>
          <w:sz w:val="21"/>
          <w:szCs w:val="21"/>
        </w:rPr>
        <w:t>.</w:t>
      </w:r>
    </w:p>
    <w:p w14:paraId="41432113" w14:textId="77777777" w:rsidR="00F60E84" w:rsidRDefault="003356FE">
      <w:pPr>
        <w:shd w:val="clear" w:color="auto" w:fill="FFFFFF"/>
        <w:spacing w:before="280" w:after="280" w:line="276" w:lineRule="auto"/>
        <w:jc w:val="both"/>
        <w:rPr>
          <w:rFonts w:ascii="Open Sans" w:eastAsia="Open Sans" w:hAnsi="Open Sans" w:cs="Open Sans"/>
          <w:color w:val="000000"/>
          <w:sz w:val="21"/>
          <w:szCs w:val="21"/>
        </w:rPr>
      </w:pPr>
      <w:r>
        <w:rPr>
          <w:rFonts w:ascii="Open Sans" w:eastAsia="Open Sans" w:hAnsi="Open Sans" w:cs="Open Sans"/>
          <w:sz w:val="21"/>
          <w:szCs w:val="21"/>
        </w:rPr>
        <w:lastRenderedPageBreak/>
        <w:t xml:space="preserve">“Esperamos seguir viendo esta mejora en los datos hipotecarios, ya que el sector bancario ha estado trabajando para favorecer este impulso, abaratando los precios para estimular las ventas. De hecho, estos últimos meses, hemos visto a varias entidades con las mayores bajadas de precios que se recuerdan. Las buenas condiciones de rebaja de intereses actuales están haciendo que muchos pequeños ahorradores se lancen a comprar vivienda” comenta María Matos y añade que “la salud de la banca es crucial para que la financiación siga llegando al bolsillo de las familias españolas. Es una prueba de que los bancos encaran esta situación con las cuentas saneadas y con unos cimientos sólidos”. </w:t>
      </w:r>
    </w:p>
    <w:p w14:paraId="4758AB2C" w14:textId="77777777" w:rsidR="00F60E84" w:rsidRDefault="003356FE">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De hecho, </w:t>
      </w:r>
      <w:r>
        <w:rPr>
          <w:rFonts w:ascii="Open Sans" w:eastAsia="Open Sans" w:hAnsi="Open Sans" w:cs="Open Sans"/>
          <w:sz w:val="21"/>
          <w:szCs w:val="21"/>
        </w:rPr>
        <w:t>el pasado mes de mayo</w:t>
      </w:r>
      <w:r>
        <w:rPr>
          <w:rFonts w:ascii="Open Sans" w:eastAsia="Open Sans" w:hAnsi="Open Sans" w:cs="Open Sans"/>
          <w:color w:val="000000"/>
          <w:sz w:val="21"/>
          <w:szCs w:val="21"/>
        </w:rPr>
        <w:t xml:space="preserve"> </w:t>
      </w:r>
      <w:hyperlink r:id="rId9">
        <w:r>
          <w:rPr>
            <w:rFonts w:ascii="Open Sans" w:eastAsia="Open Sans" w:hAnsi="Open Sans" w:cs="Open Sans"/>
            <w:b/>
            <w:color w:val="0563C1"/>
            <w:sz w:val="21"/>
            <w:szCs w:val="21"/>
            <w:u w:val="single"/>
          </w:rPr>
          <w:t>Fotocasa</w:t>
        </w:r>
      </w:hyperlink>
      <w:r>
        <w:rPr>
          <w:rFonts w:ascii="Open Sans" w:eastAsia="Open Sans" w:hAnsi="Open Sans" w:cs="Open Sans"/>
          <w:color w:val="000000"/>
          <w:sz w:val="21"/>
          <w:szCs w:val="21"/>
        </w:rPr>
        <w:t xml:space="preserve"> publicaba el informe “</w:t>
      </w:r>
      <w:hyperlink r:id="rId10">
        <w:r>
          <w:rPr>
            <w:rFonts w:ascii="Open Sans" w:eastAsia="Open Sans" w:hAnsi="Open Sans" w:cs="Open Sans"/>
            <w:b/>
            <w:color w:val="0563C1"/>
            <w:sz w:val="21"/>
            <w:szCs w:val="21"/>
            <w:u w:val="single"/>
          </w:rPr>
          <w:t>Radiografía de la vivienda: un año de pandemia</w:t>
        </w:r>
      </w:hyperlink>
      <w:r>
        <w:rPr>
          <w:rFonts w:ascii="Open Sans" w:eastAsia="Open Sans" w:hAnsi="Open Sans" w:cs="Open Sans"/>
          <w:color w:val="000000"/>
          <w:sz w:val="21"/>
          <w:szCs w:val="21"/>
        </w:rPr>
        <w:t xml:space="preserve">” </w:t>
      </w:r>
      <w:r>
        <w:rPr>
          <w:rFonts w:ascii="Open Sans" w:eastAsia="Open Sans" w:hAnsi="Open Sans" w:cs="Open Sans"/>
          <w:sz w:val="21"/>
          <w:szCs w:val="21"/>
        </w:rPr>
        <w:t xml:space="preserve">en el que se muestra que </w:t>
      </w:r>
      <w:r>
        <w:rPr>
          <w:rFonts w:ascii="Open Sans" w:eastAsia="Open Sans" w:hAnsi="Open Sans" w:cs="Open Sans"/>
          <w:color w:val="000000"/>
          <w:sz w:val="21"/>
          <w:szCs w:val="21"/>
        </w:rPr>
        <w:t xml:space="preserve">la participación de los españoles en el mercado </w:t>
      </w:r>
      <w:r>
        <w:rPr>
          <w:rFonts w:ascii="Open Sans" w:eastAsia="Open Sans" w:hAnsi="Open Sans" w:cs="Open Sans"/>
          <w:sz w:val="21"/>
          <w:szCs w:val="21"/>
        </w:rPr>
        <w:t xml:space="preserve">de la compra no solo se ha recuperado, sino que presenta datos superiores a los registrados antes de que el coronavirus impactase en España. (en febrero de 2020 el 39% de la demanda de vivienda buscaba comprar y en 2021 ha aumentado al 40%). </w:t>
      </w:r>
      <w:r>
        <w:rPr>
          <w:rFonts w:ascii="Open Sans" w:eastAsia="Open Sans" w:hAnsi="Open Sans" w:cs="Open Sans"/>
          <w:color w:val="000000"/>
          <w:sz w:val="21"/>
          <w:szCs w:val="21"/>
        </w:rPr>
        <w:t>“La demanda de compra está viviendo un auge sin precedentes y muchos españoles se han pasado a la compra de vivienda y se han animado a buscar una vivienda mayor</w:t>
      </w:r>
      <w:r>
        <w:rPr>
          <w:rFonts w:ascii="Open Sans" w:eastAsia="Open Sans" w:hAnsi="Open Sans" w:cs="Open Sans"/>
          <w:sz w:val="21"/>
          <w:szCs w:val="21"/>
        </w:rPr>
        <w:t xml:space="preserve">” </w:t>
      </w:r>
      <w:r>
        <w:rPr>
          <w:rFonts w:ascii="Open Sans" w:eastAsia="Open Sans" w:hAnsi="Open Sans" w:cs="Open Sans"/>
          <w:color w:val="000000"/>
          <w:sz w:val="21"/>
          <w:szCs w:val="21"/>
        </w:rPr>
        <w:t xml:space="preserve">remarca </w:t>
      </w:r>
      <w:r>
        <w:rPr>
          <w:rFonts w:ascii="Open Sans" w:eastAsia="Open Sans" w:hAnsi="Open Sans" w:cs="Open Sans"/>
          <w:sz w:val="21"/>
          <w:szCs w:val="21"/>
        </w:rPr>
        <w:t>María Matos</w:t>
      </w:r>
      <w:r>
        <w:rPr>
          <w:rFonts w:ascii="Open Sans" w:eastAsia="Open Sans" w:hAnsi="Open Sans" w:cs="Open Sans"/>
          <w:color w:val="000000"/>
          <w:sz w:val="21"/>
          <w:szCs w:val="21"/>
        </w:rPr>
        <w:t>.</w:t>
      </w:r>
    </w:p>
    <w:p w14:paraId="2FAB8596" w14:textId="77777777" w:rsidR="00F60E84" w:rsidRDefault="003356FE">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r>
        <w:rPr>
          <w:rFonts w:ascii="Open Sans" w:eastAsia="Open Sans" w:hAnsi="Open Sans" w:cs="Open Sans"/>
          <w:sz w:val="21"/>
          <w:szCs w:val="21"/>
        </w:rPr>
        <w:t>“Estos datos acompañan al buen ritmo al que está evolucionando el sector inmobiliario, que también se refleja en la compraventa de viviendas. Si continuamos así, podremos cerrar el año con muy buenas cifras de actividad inmobiliaria</w:t>
      </w:r>
      <w:r>
        <w:rPr>
          <w:rFonts w:ascii="Open Sans" w:eastAsia="Open Sans" w:hAnsi="Open Sans" w:cs="Open Sans"/>
          <w:color w:val="000000"/>
          <w:sz w:val="21"/>
          <w:szCs w:val="21"/>
        </w:rPr>
        <w:t xml:space="preserve">”, concluye </w:t>
      </w:r>
      <w:r>
        <w:rPr>
          <w:rFonts w:ascii="Open Sans" w:eastAsia="Open Sans" w:hAnsi="Open Sans" w:cs="Open Sans"/>
          <w:sz w:val="21"/>
          <w:szCs w:val="21"/>
        </w:rPr>
        <w:t xml:space="preserve">la directora de Estudios y Portavoz de </w:t>
      </w:r>
      <w:hyperlink r:id="rId11">
        <w:r>
          <w:rPr>
            <w:rFonts w:ascii="Open Sans" w:eastAsia="Open Sans" w:hAnsi="Open Sans" w:cs="Open Sans"/>
            <w:b/>
            <w:color w:val="0563C1"/>
            <w:sz w:val="21"/>
            <w:szCs w:val="21"/>
            <w:u w:val="single"/>
          </w:rPr>
          <w:t>Fotocasa</w:t>
        </w:r>
      </w:hyperlink>
      <w:r>
        <w:rPr>
          <w:rFonts w:ascii="Open Sans" w:eastAsia="Open Sans" w:hAnsi="Open Sans" w:cs="Open Sans"/>
          <w:color w:val="000000"/>
          <w:sz w:val="21"/>
          <w:szCs w:val="21"/>
        </w:rPr>
        <w:t>.</w:t>
      </w:r>
    </w:p>
    <w:p w14:paraId="623093B9" w14:textId="77777777" w:rsidR="00F60E84" w:rsidRDefault="00F60E84">
      <w:pPr>
        <w:pBdr>
          <w:top w:val="nil"/>
          <w:left w:val="nil"/>
          <w:bottom w:val="nil"/>
          <w:right w:val="nil"/>
          <w:between w:val="nil"/>
        </w:pBdr>
        <w:shd w:val="clear" w:color="auto" w:fill="FFFFFF"/>
        <w:spacing w:before="280" w:after="280" w:line="276" w:lineRule="auto"/>
        <w:ind w:right="-7"/>
        <w:jc w:val="both"/>
        <w:rPr>
          <w:rFonts w:ascii="Open Sans" w:eastAsia="Open Sans" w:hAnsi="Open Sans" w:cs="Open Sans"/>
          <w:color w:val="000000"/>
          <w:sz w:val="21"/>
          <w:szCs w:val="21"/>
        </w:rPr>
      </w:pPr>
    </w:p>
    <w:p w14:paraId="7C9FFDF0" w14:textId="77777777" w:rsidR="00F60E84" w:rsidRDefault="003356FE">
      <w:pPr>
        <w:spacing w:line="276" w:lineRule="auto"/>
        <w:ind w:right="-7"/>
        <w:jc w:val="right"/>
        <w:rPr>
          <w:rFonts w:ascii="Open Sans Light" w:eastAsia="Open Sans Light" w:hAnsi="Open Sans Light" w:cs="Open Sans Light"/>
          <w:b/>
          <w:color w:val="303AB2"/>
        </w:rPr>
      </w:pPr>
      <w:r>
        <w:rPr>
          <w:rFonts w:ascii="Open Sans Light" w:eastAsia="Open Sans Light" w:hAnsi="Open Sans Light" w:cs="Open Sans Light"/>
          <w:b/>
          <w:color w:val="303AB2"/>
        </w:rPr>
        <w:t>Departamento de Comunicación de Fotocasa</w:t>
      </w:r>
    </w:p>
    <w:p w14:paraId="20DDE94F" w14:textId="77777777" w:rsidR="00F60E84" w:rsidRDefault="003356FE">
      <w:pPr>
        <w:pBdr>
          <w:top w:val="nil"/>
          <w:left w:val="nil"/>
          <w:bottom w:val="nil"/>
          <w:right w:val="nil"/>
          <w:between w:val="nil"/>
        </w:pBdr>
        <w:shd w:val="clear" w:color="auto" w:fill="FFFFFF"/>
        <w:spacing w:line="276" w:lineRule="auto"/>
        <w:ind w:right="-7"/>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14:paraId="7C4C3EC2" w14:textId="77777777" w:rsidR="00F60E84" w:rsidRDefault="003356FE">
      <w:pPr>
        <w:pBdr>
          <w:top w:val="nil"/>
          <w:left w:val="nil"/>
          <w:bottom w:val="nil"/>
          <w:right w:val="nil"/>
          <w:between w:val="nil"/>
        </w:pBdr>
        <w:shd w:val="clear" w:color="auto" w:fill="FFFFFF"/>
        <w:spacing w:line="276" w:lineRule="auto"/>
        <w:ind w:right="-7"/>
        <w:jc w:val="right"/>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14:paraId="1410881F" w14:textId="77777777" w:rsidR="00F60E84" w:rsidRDefault="008A3624">
      <w:pPr>
        <w:pBdr>
          <w:top w:val="nil"/>
          <w:left w:val="nil"/>
          <w:bottom w:val="nil"/>
          <w:right w:val="nil"/>
          <w:between w:val="nil"/>
        </w:pBdr>
        <w:shd w:val="clear" w:color="auto" w:fill="FFFFFF"/>
        <w:spacing w:line="276" w:lineRule="auto"/>
        <w:ind w:right="-7"/>
        <w:jc w:val="right"/>
        <w:rPr>
          <w:rFonts w:ascii="Open Sans" w:eastAsia="Open Sans" w:hAnsi="Open Sans" w:cs="Open Sans"/>
          <w:color w:val="000000"/>
          <w:sz w:val="21"/>
          <w:szCs w:val="21"/>
        </w:rPr>
      </w:pPr>
      <w:hyperlink r:id="rId12">
        <w:r w:rsidR="003356FE">
          <w:rPr>
            <w:rFonts w:ascii="Open Sans" w:eastAsia="Open Sans" w:hAnsi="Open Sans" w:cs="Open Sans"/>
            <w:color w:val="0563C1"/>
            <w:sz w:val="21"/>
            <w:szCs w:val="21"/>
            <w:u w:val="single"/>
          </w:rPr>
          <w:t>comunicacion@fotocasa.es</w:t>
        </w:r>
      </w:hyperlink>
    </w:p>
    <w:p w14:paraId="5942D99D" w14:textId="77777777" w:rsidR="00F60E84" w:rsidRDefault="008A3624">
      <w:pPr>
        <w:pBdr>
          <w:top w:val="nil"/>
          <w:left w:val="nil"/>
          <w:bottom w:val="nil"/>
          <w:right w:val="nil"/>
          <w:between w:val="nil"/>
        </w:pBdr>
        <w:shd w:val="clear" w:color="auto" w:fill="FFFFFF"/>
        <w:spacing w:line="276" w:lineRule="auto"/>
        <w:ind w:right="-7"/>
        <w:jc w:val="right"/>
        <w:rPr>
          <w:rFonts w:ascii="Open Sans" w:eastAsia="Open Sans" w:hAnsi="Open Sans" w:cs="Open Sans"/>
          <w:color w:val="000000"/>
          <w:sz w:val="21"/>
          <w:szCs w:val="21"/>
        </w:rPr>
      </w:pPr>
      <w:hyperlink r:id="rId13">
        <w:r w:rsidR="003356FE">
          <w:rPr>
            <w:rFonts w:ascii="Open Sans" w:eastAsia="Open Sans" w:hAnsi="Open Sans" w:cs="Open Sans"/>
            <w:color w:val="0563C1"/>
            <w:sz w:val="21"/>
            <w:szCs w:val="21"/>
            <w:u w:val="single"/>
          </w:rPr>
          <w:t>http://prensa.fotocasa.es</w:t>
        </w:r>
      </w:hyperlink>
    </w:p>
    <w:p w14:paraId="74A33965" w14:textId="77777777" w:rsidR="00F60E84" w:rsidRDefault="003356FE">
      <w:pPr>
        <w:pBdr>
          <w:top w:val="nil"/>
          <w:left w:val="nil"/>
          <w:bottom w:val="nil"/>
          <w:right w:val="nil"/>
          <w:between w:val="nil"/>
        </w:pBdr>
        <w:shd w:val="clear" w:color="auto" w:fill="FFFFFF"/>
        <w:spacing w:line="276" w:lineRule="auto"/>
        <w:ind w:right="-7"/>
        <w:jc w:val="right"/>
        <w:rPr>
          <w:rFonts w:ascii="Open Sans" w:eastAsia="Open Sans" w:hAnsi="Open Sans" w:cs="Open Sans"/>
          <w:color w:val="000000"/>
          <w:sz w:val="21"/>
          <w:szCs w:val="21"/>
        </w:rPr>
      </w:pPr>
      <w:r>
        <w:rPr>
          <w:rFonts w:ascii="Open Sans" w:eastAsia="Open Sans" w:hAnsi="Open Sans" w:cs="Open Sans"/>
          <w:color w:val="000000"/>
          <w:sz w:val="21"/>
          <w:szCs w:val="21"/>
        </w:rPr>
        <w:t>twitter: @fotocasa</w:t>
      </w:r>
    </w:p>
    <w:sectPr w:rsidR="00F60E84">
      <w:footerReference w:type="default" r:id="rId14"/>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ADC77" w14:textId="77777777" w:rsidR="008A3624" w:rsidRDefault="008A3624">
      <w:r>
        <w:separator/>
      </w:r>
    </w:p>
  </w:endnote>
  <w:endnote w:type="continuationSeparator" w:id="0">
    <w:p w14:paraId="57BB8CB0" w14:textId="77777777" w:rsidR="008A3624" w:rsidRDefault="008A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DE0C" w14:textId="77777777" w:rsidR="00F60E84" w:rsidRDefault="003356FE">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6BB63B36" wp14:editId="490A804D">
          <wp:simplePos x="0" y="0"/>
          <wp:positionH relativeFrom="column">
            <wp:posOffset>-1106162</wp:posOffset>
          </wp:positionH>
          <wp:positionV relativeFrom="paragraph">
            <wp:posOffset>148705</wp:posOffset>
          </wp:positionV>
          <wp:extent cx="7670550" cy="451315"/>
          <wp:effectExtent l="0" t="0" r="0" b="0"/>
          <wp:wrapSquare wrapText="bothSides" distT="0" distB="0" distL="0" distR="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2129D" w14:textId="77777777" w:rsidR="008A3624" w:rsidRDefault="008A3624">
      <w:r>
        <w:separator/>
      </w:r>
    </w:p>
  </w:footnote>
  <w:footnote w:type="continuationSeparator" w:id="0">
    <w:p w14:paraId="07DB9CFA" w14:textId="77777777" w:rsidR="008A3624" w:rsidRDefault="008A3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E84"/>
    <w:rsid w:val="00282B7A"/>
    <w:rsid w:val="003356FE"/>
    <w:rsid w:val="003D0916"/>
    <w:rsid w:val="008A3624"/>
    <w:rsid w:val="00F60E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17545"/>
  <w15:docId w15:val="{C27EA0C9-3A3B-43A5-AABE-43704CAC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hyperlink" Target="http://prensa.fotocasa.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omunicacion@fotocasa.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otocasa.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36360.pcdn.co/wp-content/uploads/2021/05/RadiografiaMercadoVivienda2020-2021.pdf" TargetMode="External"/><Relationship Id="rId4" Type="http://schemas.openxmlformats.org/officeDocument/2006/relationships/webSettings" Target="webSettings.xml"/><Relationship Id="rId9" Type="http://schemas.openxmlformats.org/officeDocument/2006/relationships/hyperlink" Target="https://www.fotocasa.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bNmtmiBLzChLi+P3yjhCjp4I4g==">AMUW2mV4KCyEd/F33NjkZsib+zt457d/bozqgw3e3T9ixXibknc5/FeJys3aX+hYBEEzxTGUQDeY8bXY8ksYqcoAul7r0s+ENtQ0kd3/RCKzIXg4EjBus7o=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3350</Characters>
  <Application>Microsoft Office Word</Application>
  <DocSecurity>0</DocSecurity>
  <Lines>27</Lines>
  <Paragraphs>7</Paragraphs>
  <ScaleCrop>false</ScaleCrop>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cp:revision>
  <dcterms:created xsi:type="dcterms:W3CDTF">2018-08-31T08:21:00Z</dcterms:created>
  <dcterms:modified xsi:type="dcterms:W3CDTF">2021-09-28T07:41:00Z</dcterms:modified>
</cp:coreProperties>
</file>