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74A5" w14:textId="77777777" w:rsidR="00DD5508" w:rsidRDefault="0008049B">
      <w:pPr>
        <w:ind w:right="-574"/>
      </w:pPr>
      <w:r>
        <w:rPr>
          <w:noProof/>
        </w:rPr>
        <w:drawing>
          <wp:anchor distT="0" distB="0" distL="114300" distR="114300" simplePos="0" relativeHeight="251658240" behindDoc="0" locked="0" layoutInCell="1" hidden="0" allowOverlap="1" wp14:anchorId="16D41C41" wp14:editId="624CB5E3">
            <wp:simplePos x="0" y="0"/>
            <wp:positionH relativeFrom="column">
              <wp:posOffset>-1078856</wp:posOffset>
            </wp:positionH>
            <wp:positionV relativeFrom="paragraph">
              <wp:posOffset>-350444</wp:posOffset>
            </wp:positionV>
            <wp:extent cx="7581265" cy="1019175"/>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F25D90C" w14:textId="77777777" w:rsidR="00DD5508" w:rsidRDefault="00DD5508">
      <w:pPr>
        <w:ind w:right="-574"/>
        <w:jc w:val="right"/>
        <w:rPr>
          <w:rFonts w:ascii="National" w:eastAsia="National" w:hAnsi="National" w:cs="National"/>
          <w:color w:val="303AB2"/>
          <w:sz w:val="36"/>
          <w:szCs w:val="36"/>
        </w:rPr>
      </w:pPr>
    </w:p>
    <w:p w14:paraId="6A048BFB" w14:textId="77777777" w:rsidR="00DD5508" w:rsidRDefault="00DD5508">
      <w:pPr>
        <w:ind w:right="-574"/>
        <w:jc w:val="right"/>
        <w:rPr>
          <w:rFonts w:ascii="National" w:eastAsia="National" w:hAnsi="National" w:cs="National"/>
          <w:color w:val="303AB2"/>
          <w:sz w:val="36"/>
          <w:szCs w:val="36"/>
        </w:rPr>
      </w:pPr>
    </w:p>
    <w:p w14:paraId="4B7B084E" w14:textId="77777777" w:rsidR="00DD5508" w:rsidRDefault="00DD5508">
      <w:pPr>
        <w:spacing w:line="276" w:lineRule="auto"/>
        <w:ind w:right="-574"/>
        <w:jc w:val="center"/>
        <w:rPr>
          <w:rFonts w:ascii="National" w:eastAsia="National" w:hAnsi="National" w:cs="National"/>
          <w:b/>
          <w:color w:val="1DBDC5"/>
          <w:sz w:val="20"/>
          <w:szCs w:val="20"/>
        </w:rPr>
      </w:pPr>
    </w:p>
    <w:p w14:paraId="49FA764C" w14:textId="77777777" w:rsidR="00DD5508" w:rsidRDefault="0008049B">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ANÁLISIS PRECIOS CATALUÑA: UN AÑO DE LIMITACIÓN DE LAS RENTAS</w:t>
      </w:r>
    </w:p>
    <w:p w14:paraId="289912E9" w14:textId="77777777" w:rsidR="00DD5508" w:rsidRDefault="0008049B">
      <w:pPr>
        <w:shd w:val="clear" w:color="auto" w:fill="FFFFFF"/>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El precio del alquiler en Barcelona desciende al mismo ritmo que Madrid, a pesar de la limitación de precios</w:t>
      </w:r>
    </w:p>
    <w:p w14:paraId="13772B32" w14:textId="77777777" w:rsidR="00DD5508" w:rsidRDefault="00DD5508">
      <w:pPr>
        <w:pBdr>
          <w:top w:val="nil"/>
          <w:left w:val="nil"/>
          <w:bottom w:val="nil"/>
          <w:right w:val="nil"/>
          <w:between w:val="nil"/>
        </w:pBdr>
        <w:spacing w:line="276" w:lineRule="auto"/>
        <w:ind w:right="-574"/>
        <w:jc w:val="both"/>
        <w:rPr>
          <w:rFonts w:ascii="Open Sans" w:eastAsia="Open Sans" w:hAnsi="Open Sans" w:cs="Open Sans"/>
          <w:color w:val="000000"/>
          <w:sz w:val="22"/>
          <w:szCs w:val="22"/>
          <w:highlight w:val="yellow"/>
        </w:rPr>
      </w:pPr>
    </w:p>
    <w:p w14:paraId="5DC0D9A1" w14:textId="77777777" w:rsidR="00DD5508" w:rsidRDefault="0008049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La Comunidad de Madrid y la de Cataluña empezaron a caer en agosto de 2020 pero Madrid lo hizo a un ritmo más elevado que Cataluña </w:t>
      </w:r>
    </w:p>
    <w:p w14:paraId="4A69E5BB" w14:textId="77777777" w:rsidR="00DD5508" w:rsidRDefault="0008049B">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ciudad de B</w:t>
      </w:r>
      <w:r>
        <w:rPr>
          <w:rFonts w:ascii="Open Sans" w:eastAsia="Open Sans" w:hAnsi="Open Sans" w:cs="Open Sans"/>
          <w:sz w:val="22"/>
          <w:szCs w:val="22"/>
        </w:rPr>
        <w:t>arcelona empezó a caer en junio de 2020 y desde entonces no ha parado de descender el precio del alquiler</w:t>
      </w:r>
    </w:p>
    <w:p w14:paraId="5B9F1485" w14:textId="77777777" w:rsidR="00DD5508" w:rsidRDefault="0008049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Madrid y Barcelona han caído en 2021 a un ritmo muy similar, aunque en Madrid algún mes ha caído más (-12,8%) que en Barcelona (-11,4%)</w:t>
      </w:r>
    </w:p>
    <w:p w14:paraId="00E30724" w14:textId="77777777" w:rsidR="00DD5508" w:rsidRDefault="00DD5508">
      <w:pPr>
        <w:spacing w:line="276" w:lineRule="auto"/>
        <w:ind w:right="-574"/>
        <w:rPr>
          <w:rFonts w:ascii="Open Sans" w:eastAsia="Open Sans" w:hAnsi="Open Sans" w:cs="Open Sans"/>
          <w:sz w:val="22"/>
          <w:szCs w:val="22"/>
        </w:rPr>
      </w:pPr>
    </w:p>
    <w:p w14:paraId="209594DF" w14:textId="77777777" w:rsidR="00DD5508" w:rsidRDefault="0008049B">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Madrid, 22 de septiembre de 2021</w:t>
      </w:r>
    </w:p>
    <w:p w14:paraId="257CE99C" w14:textId="77777777" w:rsidR="00DD5508" w:rsidRDefault="0008049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Esta semana se cumple un año de la entrada en vigor de la Ley de contención de rentas en los contratos de arrendamiento de vivienda y desde </w:t>
      </w:r>
      <w:hyperlink r:id="rId9">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se ha elaborado un análisis</w:t>
      </w:r>
      <w:r>
        <w:rPr>
          <w:rFonts w:ascii="Open Sans" w:eastAsia="Open Sans" w:hAnsi="Open Sans" w:cs="Open Sans"/>
          <w:sz w:val="22"/>
          <w:szCs w:val="22"/>
        </w:rPr>
        <w:t xml:space="preserve">, a partir del </w:t>
      </w:r>
      <w:hyperlink r:id="rId10">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para ver cómo se han comportado los precios del alquiler en Cataluña y en sus principales municipios afectados. Para ello, se han comparado con o</w:t>
      </w:r>
      <w:r>
        <w:rPr>
          <w:rFonts w:ascii="Open Sans" w:eastAsia="Open Sans" w:hAnsi="Open Sans" w:cs="Open Sans"/>
          <w:sz w:val="22"/>
          <w:szCs w:val="22"/>
        </w:rPr>
        <w:t xml:space="preserve">tras comunidades y municipios donde las rentas no están limitadas. </w:t>
      </w:r>
    </w:p>
    <w:p w14:paraId="441AC64C" w14:textId="77777777" w:rsidR="00DD5508" w:rsidRDefault="00DD5508">
      <w:pPr>
        <w:spacing w:line="276" w:lineRule="auto"/>
        <w:ind w:right="-574"/>
        <w:jc w:val="both"/>
        <w:rPr>
          <w:rFonts w:ascii="Open Sans" w:eastAsia="Open Sans" w:hAnsi="Open Sans" w:cs="Open Sans"/>
          <w:sz w:val="22"/>
          <w:szCs w:val="22"/>
        </w:rPr>
      </w:pPr>
    </w:p>
    <w:p w14:paraId="523631C7" w14:textId="77777777" w:rsidR="00DD5508" w:rsidRDefault="0008049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 nivel de Comunidades Autónomas, se han analizado Cataluña, Madrid, Andalucía, la Comunidad Valenciana y también se ha incluido la media nacional. Así, de este análisis se observa que Ca</w:t>
      </w:r>
      <w:r>
        <w:rPr>
          <w:rFonts w:ascii="Open Sans" w:eastAsia="Open Sans" w:hAnsi="Open Sans" w:cs="Open Sans"/>
          <w:sz w:val="22"/>
          <w:szCs w:val="22"/>
        </w:rPr>
        <w:t>taluña y Madrid empezaron a caer el mismo mes, en concreto en agosto de 2020, pero Madrid lo hizo a un ritmo más elevado que Cataluña. En concreto, Madrid empezó a descender a un ritmo de un -1,4% y Cataluña a un ritmo de un -0,3%. Desde ese mes, agosto de</w:t>
      </w:r>
      <w:r>
        <w:rPr>
          <w:rFonts w:ascii="Open Sans" w:eastAsia="Open Sans" w:hAnsi="Open Sans" w:cs="Open Sans"/>
          <w:sz w:val="22"/>
          <w:szCs w:val="22"/>
        </w:rPr>
        <w:t xml:space="preserve"> 2020, el precio del alquiler en la Comunidad de Madrid no ha dejado de caer. En cambio, en Cataluña aún hubo dos meses en que el precio subió (septiembre y octubre de 2020) y a partir de noviembre de 2020 el precio no ha dejado de mostrar descensos intera</w:t>
      </w:r>
      <w:r>
        <w:rPr>
          <w:rFonts w:ascii="Open Sans" w:eastAsia="Open Sans" w:hAnsi="Open Sans" w:cs="Open Sans"/>
          <w:sz w:val="22"/>
          <w:szCs w:val="22"/>
        </w:rPr>
        <w:t>nuales.</w:t>
      </w:r>
    </w:p>
    <w:p w14:paraId="0420917D" w14:textId="77777777" w:rsidR="00DD5508" w:rsidRDefault="00DD5508">
      <w:pPr>
        <w:spacing w:line="276" w:lineRule="auto"/>
        <w:ind w:right="-574"/>
        <w:jc w:val="both"/>
        <w:rPr>
          <w:rFonts w:ascii="Open Sans" w:eastAsia="Open Sans" w:hAnsi="Open Sans" w:cs="Open Sans"/>
          <w:sz w:val="22"/>
          <w:szCs w:val="22"/>
        </w:rPr>
      </w:pPr>
    </w:p>
    <w:p w14:paraId="707A14FD" w14:textId="77777777" w:rsidR="00DD5508" w:rsidRDefault="0008049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Respecto al resto de comunidades analizadas, la Comunidad Valenciana empezó a caer a principios de año, al igual que Andalucía y la media nacional de España y no ha dejado de caer desde entonces.</w:t>
      </w:r>
    </w:p>
    <w:p w14:paraId="1684310A" w14:textId="77777777" w:rsidR="00DD5508" w:rsidRDefault="0008049B">
      <w:pPr>
        <w:spacing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Variación interanual del precio de la vivienda en a</w:t>
      </w:r>
      <w:r>
        <w:rPr>
          <w:rFonts w:ascii="Open Sans Light" w:eastAsia="Open Sans Light" w:hAnsi="Open Sans Light" w:cs="Open Sans Light"/>
          <w:b/>
          <w:color w:val="303AB2"/>
          <w:sz w:val="26"/>
          <w:szCs w:val="26"/>
        </w:rPr>
        <w:t>lquiler por CCAA</w:t>
      </w:r>
    </w:p>
    <w:p w14:paraId="6859FB50" w14:textId="77777777" w:rsidR="00DD5508" w:rsidRDefault="00DD5508">
      <w:pPr>
        <w:spacing w:line="276" w:lineRule="auto"/>
        <w:ind w:right="-574"/>
        <w:jc w:val="both"/>
        <w:rPr>
          <w:rFonts w:ascii="Open Sans" w:eastAsia="Open Sans" w:hAnsi="Open Sans" w:cs="Open Sans"/>
          <w:sz w:val="22"/>
          <w:szCs w:val="22"/>
        </w:rPr>
      </w:pPr>
    </w:p>
    <w:tbl>
      <w:tblPr>
        <w:tblStyle w:val="a"/>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418"/>
        <w:gridCol w:w="1259"/>
        <w:gridCol w:w="1350"/>
        <w:gridCol w:w="1643"/>
        <w:gridCol w:w="1276"/>
      </w:tblGrid>
      <w:tr w:rsidR="00DD5508" w14:paraId="756F989F" w14:textId="77777777" w:rsidTr="00DD5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0B0C1E" w14:textId="77777777" w:rsidR="00DD5508" w:rsidRDefault="00DD5508">
            <w:pPr>
              <w:spacing w:line="276" w:lineRule="auto"/>
              <w:ind w:right="-574"/>
              <w:jc w:val="both"/>
              <w:rPr>
                <w:rFonts w:ascii="Open Sans" w:eastAsia="Open Sans" w:hAnsi="Open Sans" w:cs="Open Sans"/>
              </w:rPr>
            </w:pPr>
          </w:p>
        </w:tc>
        <w:tc>
          <w:tcPr>
            <w:tcW w:w="1418" w:type="dxa"/>
          </w:tcPr>
          <w:p w14:paraId="45DCD5DB" w14:textId="77777777" w:rsidR="00DD5508" w:rsidRDefault="0008049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Cataluña</w:t>
            </w:r>
          </w:p>
        </w:tc>
        <w:tc>
          <w:tcPr>
            <w:tcW w:w="1259" w:type="dxa"/>
          </w:tcPr>
          <w:p w14:paraId="44050F2C" w14:textId="77777777" w:rsidR="00DD5508" w:rsidRDefault="0008049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Madrid</w:t>
            </w:r>
          </w:p>
        </w:tc>
        <w:tc>
          <w:tcPr>
            <w:tcW w:w="1350" w:type="dxa"/>
          </w:tcPr>
          <w:p w14:paraId="1123D1F2" w14:textId="77777777" w:rsidR="00DD5508" w:rsidRDefault="0008049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Andalucía</w:t>
            </w:r>
          </w:p>
        </w:tc>
        <w:tc>
          <w:tcPr>
            <w:tcW w:w="1643" w:type="dxa"/>
          </w:tcPr>
          <w:p w14:paraId="2639E4EB" w14:textId="77777777" w:rsidR="00DD5508" w:rsidRDefault="0008049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C. Valenciana</w:t>
            </w:r>
          </w:p>
        </w:tc>
        <w:tc>
          <w:tcPr>
            <w:tcW w:w="1276" w:type="dxa"/>
          </w:tcPr>
          <w:p w14:paraId="160FC119" w14:textId="77777777" w:rsidR="00DD5508" w:rsidRDefault="0008049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España</w:t>
            </w:r>
          </w:p>
        </w:tc>
      </w:tr>
      <w:tr w:rsidR="00DD5508" w14:paraId="614BB424"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53F02F9"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Mayo 2020</w:t>
            </w:r>
          </w:p>
        </w:tc>
        <w:tc>
          <w:tcPr>
            <w:tcW w:w="1418" w:type="dxa"/>
            <w:vAlign w:val="bottom"/>
          </w:tcPr>
          <w:p w14:paraId="6D61E3FE"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4,2%</w:t>
            </w:r>
          </w:p>
        </w:tc>
        <w:tc>
          <w:tcPr>
            <w:tcW w:w="1259" w:type="dxa"/>
            <w:vAlign w:val="bottom"/>
          </w:tcPr>
          <w:p w14:paraId="5F7489CC"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5,7%</w:t>
            </w:r>
          </w:p>
        </w:tc>
        <w:tc>
          <w:tcPr>
            <w:tcW w:w="1350" w:type="dxa"/>
            <w:vAlign w:val="bottom"/>
          </w:tcPr>
          <w:p w14:paraId="14D74123"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11,5%</w:t>
            </w:r>
          </w:p>
        </w:tc>
        <w:tc>
          <w:tcPr>
            <w:tcW w:w="1643" w:type="dxa"/>
            <w:vAlign w:val="bottom"/>
          </w:tcPr>
          <w:p w14:paraId="20EA9004"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11,0%</w:t>
            </w:r>
          </w:p>
        </w:tc>
        <w:tc>
          <w:tcPr>
            <w:tcW w:w="1276" w:type="dxa"/>
            <w:vAlign w:val="bottom"/>
          </w:tcPr>
          <w:p w14:paraId="61A3BB0C"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9,8%</w:t>
            </w:r>
          </w:p>
        </w:tc>
      </w:tr>
      <w:tr w:rsidR="00DD5508" w14:paraId="04F820D6"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304AC1CA"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Junio 2020</w:t>
            </w:r>
          </w:p>
        </w:tc>
        <w:tc>
          <w:tcPr>
            <w:tcW w:w="1418" w:type="dxa"/>
            <w:vAlign w:val="bottom"/>
          </w:tcPr>
          <w:p w14:paraId="3EF92DC3"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2,7%</w:t>
            </w:r>
          </w:p>
        </w:tc>
        <w:tc>
          <w:tcPr>
            <w:tcW w:w="1259" w:type="dxa"/>
            <w:vAlign w:val="bottom"/>
          </w:tcPr>
          <w:p w14:paraId="785D6156"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4,4%</w:t>
            </w:r>
          </w:p>
        </w:tc>
        <w:tc>
          <w:tcPr>
            <w:tcW w:w="1350" w:type="dxa"/>
            <w:vAlign w:val="bottom"/>
          </w:tcPr>
          <w:p w14:paraId="316C15BB"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9,3%</w:t>
            </w:r>
          </w:p>
        </w:tc>
        <w:tc>
          <w:tcPr>
            <w:tcW w:w="1643" w:type="dxa"/>
            <w:vAlign w:val="bottom"/>
          </w:tcPr>
          <w:p w14:paraId="1A8A7995"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9,3%</w:t>
            </w:r>
          </w:p>
        </w:tc>
        <w:tc>
          <w:tcPr>
            <w:tcW w:w="1276" w:type="dxa"/>
            <w:vAlign w:val="bottom"/>
          </w:tcPr>
          <w:p w14:paraId="4D670A04"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9,1%</w:t>
            </w:r>
          </w:p>
        </w:tc>
      </w:tr>
      <w:tr w:rsidR="00DD5508" w14:paraId="20CA17B8"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E105C01"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Julio 2020</w:t>
            </w:r>
          </w:p>
        </w:tc>
        <w:tc>
          <w:tcPr>
            <w:tcW w:w="1418" w:type="dxa"/>
            <w:vAlign w:val="bottom"/>
          </w:tcPr>
          <w:p w14:paraId="14A656ED"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0,3%</w:t>
            </w:r>
          </w:p>
        </w:tc>
        <w:tc>
          <w:tcPr>
            <w:tcW w:w="1259" w:type="dxa"/>
            <w:vAlign w:val="bottom"/>
          </w:tcPr>
          <w:p w14:paraId="4C617D4A"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1,6%</w:t>
            </w:r>
          </w:p>
        </w:tc>
        <w:tc>
          <w:tcPr>
            <w:tcW w:w="1350" w:type="dxa"/>
            <w:vAlign w:val="bottom"/>
          </w:tcPr>
          <w:p w14:paraId="53106CC1"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8,9%</w:t>
            </w:r>
          </w:p>
        </w:tc>
        <w:tc>
          <w:tcPr>
            <w:tcW w:w="1643" w:type="dxa"/>
            <w:vAlign w:val="bottom"/>
          </w:tcPr>
          <w:p w14:paraId="3828FF08"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8,0%</w:t>
            </w:r>
          </w:p>
        </w:tc>
        <w:tc>
          <w:tcPr>
            <w:tcW w:w="1276" w:type="dxa"/>
            <w:vAlign w:val="bottom"/>
          </w:tcPr>
          <w:p w14:paraId="17CCA45C"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7,9%</w:t>
            </w:r>
          </w:p>
        </w:tc>
      </w:tr>
      <w:tr w:rsidR="00DD5508" w14:paraId="5D4D0246"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03FCAD76"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Agosto 2020</w:t>
            </w:r>
          </w:p>
        </w:tc>
        <w:tc>
          <w:tcPr>
            <w:tcW w:w="1418" w:type="dxa"/>
            <w:vAlign w:val="bottom"/>
          </w:tcPr>
          <w:p w14:paraId="0F974383"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-0,3%</w:t>
            </w:r>
          </w:p>
        </w:tc>
        <w:tc>
          <w:tcPr>
            <w:tcW w:w="1259" w:type="dxa"/>
            <w:vAlign w:val="bottom"/>
          </w:tcPr>
          <w:p w14:paraId="3905C28B"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-1,4%</w:t>
            </w:r>
          </w:p>
        </w:tc>
        <w:tc>
          <w:tcPr>
            <w:tcW w:w="1350" w:type="dxa"/>
            <w:vAlign w:val="bottom"/>
          </w:tcPr>
          <w:p w14:paraId="2D05330D"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9,3%</w:t>
            </w:r>
          </w:p>
        </w:tc>
        <w:tc>
          <w:tcPr>
            <w:tcW w:w="1643" w:type="dxa"/>
            <w:vAlign w:val="bottom"/>
          </w:tcPr>
          <w:p w14:paraId="3B844A6C"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7,1%</w:t>
            </w:r>
          </w:p>
        </w:tc>
        <w:tc>
          <w:tcPr>
            <w:tcW w:w="1276" w:type="dxa"/>
            <w:vAlign w:val="bottom"/>
          </w:tcPr>
          <w:p w14:paraId="5D27DCC3"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8,6%</w:t>
            </w:r>
          </w:p>
        </w:tc>
      </w:tr>
      <w:tr w:rsidR="00DD5508" w14:paraId="126A12DD"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E5D24AC"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Sept. 2020</w:t>
            </w:r>
          </w:p>
        </w:tc>
        <w:tc>
          <w:tcPr>
            <w:tcW w:w="1418" w:type="dxa"/>
            <w:vAlign w:val="bottom"/>
          </w:tcPr>
          <w:p w14:paraId="0654D43F"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3,7%</w:t>
            </w:r>
          </w:p>
        </w:tc>
        <w:tc>
          <w:tcPr>
            <w:tcW w:w="1259" w:type="dxa"/>
            <w:vAlign w:val="bottom"/>
          </w:tcPr>
          <w:p w14:paraId="7F5F2ECE"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-0,5%</w:t>
            </w:r>
          </w:p>
        </w:tc>
        <w:tc>
          <w:tcPr>
            <w:tcW w:w="1350" w:type="dxa"/>
            <w:vAlign w:val="bottom"/>
          </w:tcPr>
          <w:p w14:paraId="01937E57"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8,8%</w:t>
            </w:r>
          </w:p>
        </w:tc>
        <w:tc>
          <w:tcPr>
            <w:tcW w:w="1643" w:type="dxa"/>
            <w:vAlign w:val="bottom"/>
          </w:tcPr>
          <w:p w14:paraId="1262797E"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8,4%</w:t>
            </w:r>
          </w:p>
        </w:tc>
        <w:tc>
          <w:tcPr>
            <w:tcW w:w="1276" w:type="dxa"/>
            <w:vAlign w:val="bottom"/>
          </w:tcPr>
          <w:p w14:paraId="66DB9EDB"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12,0%</w:t>
            </w:r>
          </w:p>
        </w:tc>
      </w:tr>
      <w:tr w:rsidR="00DD5508" w14:paraId="5CD6C141"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0A62553F"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Octubre 2020</w:t>
            </w:r>
          </w:p>
        </w:tc>
        <w:tc>
          <w:tcPr>
            <w:tcW w:w="1418" w:type="dxa"/>
            <w:vAlign w:val="bottom"/>
          </w:tcPr>
          <w:p w14:paraId="796D04C3"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3,2%</w:t>
            </w:r>
          </w:p>
        </w:tc>
        <w:tc>
          <w:tcPr>
            <w:tcW w:w="1259" w:type="dxa"/>
            <w:vAlign w:val="bottom"/>
          </w:tcPr>
          <w:p w14:paraId="665C937D"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-2,1%</w:t>
            </w:r>
          </w:p>
        </w:tc>
        <w:tc>
          <w:tcPr>
            <w:tcW w:w="1350" w:type="dxa"/>
            <w:vAlign w:val="bottom"/>
          </w:tcPr>
          <w:p w14:paraId="08931CEC"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6,6%</w:t>
            </w:r>
          </w:p>
        </w:tc>
        <w:tc>
          <w:tcPr>
            <w:tcW w:w="1643" w:type="dxa"/>
            <w:vAlign w:val="bottom"/>
          </w:tcPr>
          <w:p w14:paraId="0EC93C8A"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5,4%</w:t>
            </w:r>
          </w:p>
        </w:tc>
        <w:tc>
          <w:tcPr>
            <w:tcW w:w="1276" w:type="dxa"/>
            <w:vAlign w:val="bottom"/>
          </w:tcPr>
          <w:p w14:paraId="59243374"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9,6%</w:t>
            </w:r>
          </w:p>
        </w:tc>
      </w:tr>
      <w:tr w:rsidR="00DD5508" w14:paraId="2FD117C4"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5C0CBD5"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Nov. 2020</w:t>
            </w:r>
          </w:p>
        </w:tc>
        <w:tc>
          <w:tcPr>
            <w:tcW w:w="1418" w:type="dxa"/>
            <w:vAlign w:val="bottom"/>
          </w:tcPr>
          <w:p w14:paraId="40586F77"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-0,7%</w:t>
            </w:r>
          </w:p>
        </w:tc>
        <w:tc>
          <w:tcPr>
            <w:tcW w:w="1259" w:type="dxa"/>
            <w:vAlign w:val="bottom"/>
          </w:tcPr>
          <w:p w14:paraId="1BB8EDD7"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-5,0%</w:t>
            </w:r>
          </w:p>
        </w:tc>
        <w:tc>
          <w:tcPr>
            <w:tcW w:w="1350" w:type="dxa"/>
            <w:vAlign w:val="bottom"/>
          </w:tcPr>
          <w:p w14:paraId="20892122"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4,5%</w:t>
            </w:r>
          </w:p>
        </w:tc>
        <w:tc>
          <w:tcPr>
            <w:tcW w:w="1643" w:type="dxa"/>
            <w:vAlign w:val="bottom"/>
          </w:tcPr>
          <w:p w14:paraId="47C8C887"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4,4%</w:t>
            </w:r>
          </w:p>
        </w:tc>
        <w:tc>
          <w:tcPr>
            <w:tcW w:w="1276" w:type="dxa"/>
            <w:vAlign w:val="bottom"/>
          </w:tcPr>
          <w:p w14:paraId="7CC1BF34"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5,7%</w:t>
            </w:r>
          </w:p>
        </w:tc>
      </w:tr>
      <w:tr w:rsidR="00DD5508" w14:paraId="5227D272"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03898702"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Dic. 2020</w:t>
            </w:r>
          </w:p>
        </w:tc>
        <w:tc>
          <w:tcPr>
            <w:tcW w:w="1418" w:type="dxa"/>
            <w:vAlign w:val="bottom"/>
          </w:tcPr>
          <w:p w14:paraId="4E0D122C"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-1,0%</w:t>
            </w:r>
          </w:p>
        </w:tc>
        <w:tc>
          <w:tcPr>
            <w:tcW w:w="1259" w:type="dxa"/>
            <w:vAlign w:val="bottom"/>
          </w:tcPr>
          <w:p w14:paraId="667EEF88"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-5,1%</w:t>
            </w:r>
          </w:p>
        </w:tc>
        <w:tc>
          <w:tcPr>
            <w:tcW w:w="1350" w:type="dxa"/>
            <w:vAlign w:val="bottom"/>
          </w:tcPr>
          <w:p w14:paraId="2EB83489"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3,1%</w:t>
            </w:r>
          </w:p>
        </w:tc>
        <w:tc>
          <w:tcPr>
            <w:tcW w:w="1643" w:type="dxa"/>
            <w:vAlign w:val="bottom"/>
          </w:tcPr>
          <w:p w14:paraId="6BC43678"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3,1%</w:t>
            </w:r>
          </w:p>
        </w:tc>
        <w:tc>
          <w:tcPr>
            <w:tcW w:w="1276" w:type="dxa"/>
            <w:vAlign w:val="bottom"/>
          </w:tcPr>
          <w:p w14:paraId="616A9D77"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4,6%</w:t>
            </w:r>
          </w:p>
        </w:tc>
      </w:tr>
      <w:tr w:rsidR="00DD5508" w14:paraId="798D99D0"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CC12EB0"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Enero 2021</w:t>
            </w:r>
          </w:p>
        </w:tc>
        <w:tc>
          <w:tcPr>
            <w:tcW w:w="1418" w:type="dxa"/>
            <w:vAlign w:val="bottom"/>
          </w:tcPr>
          <w:p w14:paraId="7A28F684"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-5,2%</w:t>
            </w:r>
          </w:p>
        </w:tc>
        <w:tc>
          <w:tcPr>
            <w:tcW w:w="1259" w:type="dxa"/>
            <w:vAlign w:val="bottom"/>
          </w:tcPr>
          <w:p w14:paraId="10862B54"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-7,5%</w:t>
            </w:r>
          </w:p>
        </w:tc>
        <w:tc>
          <w:tcPr>
            <w:tcW w:w="1350" w:type="dxa"/>
            <w:vAlign w:val="bottom"/>
          </w:tcPr>
          <w:p w14:paraId="0638F549"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0,0%</w:t>
            </w:r>
          </w:p>
        </w:tc>
        <w:tc>
          <w:tcPr>
            <w:tcW w:w="1643" w:type="dxa"/>
            <w:vAlign w:val="bottom"/>
          </w:tcPr>
          <w:p w14:paraId="522694BC"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-0,8%</w:t>
            </w:r>
          </w:p>
        </w:tc>
        <w:tc>
          <w:tcPr>
            <w:tcW w:w="1276" w:type="dxa"/>
            <w:vAlign w:val="bottom"/>
          </w:tcPr>
          <w:p w14:paraId="2D24D860"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0,0%</w:t>
            </w:r>
          </w:p>
        </w:tc>
      </w:tr>
      <w:tr w:rsidR="00DD5508" w14:paraId="3D3F3CEE"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4852B095"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Febrero 2021</w:t>
            </w:r>
          </w:p>
        </w:tc>
        <w:tc>
          <w:tcPr>
            <w:tcW w:w="1418" w:type="dxa"/>
            <w:vAlign w:val="bottom"/>
          </w:tcPr>
          <w:p w14:paraId="274D0CE3"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-6,7%</w:t>
            </w:r>
          </w:p>
        </w:tc>
        <w:tc>
          <w:tcPr>
            <w:tcW w:w="1259" w:type="dxa"/>
            <w:vAlign w:val="bottom"/>
          </w:tcPr>
          <w:p w14:paraId="51F42240"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-7,9%</w:t>
            </w:r>
          </w:p>
        </w:tc>
        <w:tc>
          <w:tcPr>
            <w:tcW w:w="1350" w:type="dxa"/>
            <w:vAlign w:val="bottom"/>
          </w:tcPr>
          <w:p w14:paraId="1DD2DD86"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-0,8%</w:t>
            </w:r>
          </w:p>
        </w:tc>
        <w:tc>
          <w:tcPr>
            <w:tcW w:w="1643" w:type="dxa"/>
            <w:vAlign w:val="bottom"/>
          </w:tcPr>
          <w:p w14:paraId="3D892337"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-1,4%</w:t>
            </w:r>
          </w:p>
        </w:tc>
        <w:tc>
          <w:tcPr>
            <w:tcW w:w="1276" w:type="dxa"/>
            <w:vAlign w:val="bottom"/>
          </w:tcPr>
          <w:p w14:paraId="5118BE09"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-1,7%</w:t>
            </w:r>
          </w:p>
        </w:tc>
      </w:tr>
      <w:tr w:rsidR="00DD5508" w14:paraId="3D6BC790"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E115240"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Marzo 2021</w:t>
            </w:r>
          </w:p>
        </w:tc>
        <w:tc>
          <w:tcPr>
            <w:tcW w:w="1418" w:type="dxa"/>
            <w:vAlign w:val="bottom"/>
          </w:tcPr>
          <w:p w14:paraId="398D2848"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-8,7%</w:t>
            </w:r>
          </w:p>
        </w:tc>
        <w:tc>
          <w:tcPr>
            <w:tcW w:w="1259" w:type="dxa"/>
            <w:vAlign w:val="bottom"/>
          </w:tcPr>
          <w:p w14:paraId="774F337C"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-8,6%</w:t>
            </w:r>
          </w:p>
        </w:tc>
        <w:tc>
          <w:tcPr>
            <w:tcW w:w="1350" w:type="dxa"/>
            <w:vAlign w:val="bottom"/>
          </w:tcPr>
          <w:p w14:paraId="34771A61"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-1,8%</w:t>
            </w:r>
          </w:p>
        </w:tc>
        <w:tc>
          <w:tcPr>
            <w:tcW w:w="1643" w:type="dxa"/>
            <w:vAlign w:val="bottom"/>
          </w:tcPr>
          <w:p w14:paraId="583BB84E"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-4,1%</w:t>
            </w:r>
          </w:p>
        </w:tc>
        <w:tc>
          <w:tcPr>
            <w:tcW w:w="1276" w:type="dxa"/>
            <w:vAlign w:val="bottom"/>
          </w:tcPr>
          <w:p w14:paraId="061A639A"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-3,6%</w:t>
            </w:r>
          </w:p>
        </w:tc>
      </w:tr>
      <w:tr w:rsidR="00DD5508" w14:paraId="71A6401F"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6AD3B720"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Abril 2021</w:t>
            </w:r>
          </w:p>
        </w:tc>
        <w:tc>
          <w:tcPr>
            <w:tcW w:w="1418" w:type="dxa"/>
            <w:vAlign w:val="bottom"/>
          </w:tcPr>
          <w:p w14:paraId="57254255"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-8,9%</w:t>
            </w:r>
          </w:p>
        </w:tc>
        <w:tc>
          <w:tcPr>
            <w:tcW w:w="1259" w:type="dxa"/>
            <w:vAlign w:val="bottom"/>
          </w:tcPr>
          <w:p w14:paraId="4B6E8C86"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-10,7%</w:t>
            </w:r>
          </w:p>
        </w:tc>
        <w:tc>
          <w:tcPr>
            <w:tcW w:w="1350" w:type="dxa"/>
            <w:vAlign w:val="bottom"/>
          </w:tcPr>
          <w:p w14:paraId="6B11BBC1"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-4,0%</w:t>
            </w:r>
          </w:p>
        </w:tc>
        <w:tc>
          <w:tcPr>
            <w:tcW w:w="1643" w:type="dxa"/>
            <w:vAlign w:val="bottom"/>
          </w:tcPr>
          <w:p w14:paraId="225CDB78"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-4,6%</w:t>
            </w:r>
          </w:p>
        </w:tc>
        <w:tc>
          <w:tcPr>
            <w:tcW w:w="1276" w:type="dxa"/>
            <w:vAlign w:val="bottom"/>
          </w:tcPr>
          <w:p w14:paraId="5F5C43EA"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-5,6%</w:t>
            </w:r>
          </w:p>
        </w:tc>
      </w:tr>
      <w:tr w:rsidR="00DD5508" w14:paraId="326344E2"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1F6D67B"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Mayo 2021</w:t>
            </w:r>
          </w:p>
        </w:tc>
        <w:tc>
          <w:tcPr>
            <w:tcW w:w="1418" w:type="dxa"/>
            <w:vAlign w:val="bottom"/>
          </w:tcPr>
          <w:p w14:paraId="458EF1D8"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-7,5%</w:t>
            </w:r>
          </w:p>
        </w:tc>
        <w:tc>
          <w:tcPr>
            <w:tcW w:w="1259" w:type="dxa"/>
            <w:vAlign w:val="bottom"/>
          </w:tcPr>
          <w:p w14:paraId="17E0B80C"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-10,5%</w:t>
            </w:r>
          </w:p>
        </w:tc>
        <w:tc>
          <w:tcPr>
            <w:tcW w:w="1350" w:type="dxa"/>
            <w:vAlign w:val="bottom"/>
          </w:tcPr>
          <w:p w14:paraId="23017044"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-3,4%</w:t>
            </w:r>
          </w:p>
        </w:tc>
        <w:tc>
          <w:tcPr>
            <w:tcW w:w="1643" w:type="dxa"/>
            <w:vAlign w:val="bottom"/>
          </w:tcPr>
          <w:p w14:paraId="093C9442"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-3,5%</w:t>
            </w:r>
          </w:p>
        </w:tc>
        <w:tc>
          <w:tcPr>
            <w:tcW w:w="1276" w:type="dxa"/>
            <w:vAlign w:val="bottom"/>
          </w:tcPr>
          <w:p w14:paraId="74105A40"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-4,5%</w:t>
            </w:r>
          </w:p>
        </w:tc>
      </w:tr>
      <w:tr w:rsidR="00DD5508" w14:paraId="72C2E5E2"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255660DA"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Junio 2021</w:t>
            </w:r>
          </w:p>
        </w:tc>
        <w:tc>
          <w:tcPr>
            <w:tcW w:w="1418" w:type="dxa"/>
            <w:vAlign w:val="bottom"/>
          </w:tcPr>
          <w:p w14:paraId="7DCE615C"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-5,7%</w:t>
            </w:r>
          </w:p>
        </w:tc>
        <w:tc>
          <w:tcPr>
            <w:tcW w:w="1259" w:type="dxa"/>
            <w:vAlign w:val="bottom"/>
          </w:tcPr>
          <w:p w14:paraId="717A0247"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-9,9%</w:t>
            </w:r>
          </w:p>
        </w:tc>
        <w:tc>
          <w:tcPr>
            <w:tcW w:w="1350" w:type="dxa"/>
            <w:vAlign w:val="bottom"/>
          </w:tcPr>
          <w:p w14:paraId="70B6415F"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-2,3%</w:t>
            </w:r>
          </w:p>
        </w:tc>
        <w:tc>
          <w:tcPr>
            <w:tcW w:w="1643" w:type="dxa"/>
            <w:vAlign w:val="bottom"/>
          </w:tcPr>
          <w:p w14:paraId="1AF6C2CA"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-2,9%</w:t>
            </w:r>
          </w:p>
        </w:tc>
        <w:tc>
          <w:tcPr>
            <w:tcW w:w="1276" w:type="dxa"/>
            <w:vAlign w:val="bottom"/>
          </w:tcPr>
          <w:p w14:paraId="079B7ACE"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-3,5%</w:t>
            </w:r>
          </w:p>
        </w:tc>
      </w:tr>
      <w:tr w:rsidR="00DD5508" w14:paraId="51110A42"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9FA0005"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Julio 2021</w:t>
            </w:r>
          </w:p>
        </w:tc>
        <w:tc>
          <w:tcPr>
            <w:tcW w:w="1418" w:type="dxa"/>
            <w:vAlign w:val="bottom"/>
          </w:tcPr>
          <w:p w14:paraId="46DF8F77"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-4,2%</w:t>
            </w:r>
          </w:p>
        </w:tc>
        <w:tc>
          <w:tcPr>
            <w:tcW w:w="1259" w:type="dxa"/>
            <w:vAlign w:val="bottom"/>
          </w:tcPr>
          <w:p w14:paraId="098FA54C"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-7,8%</w:t>
            </w:r>
          </w:p>
        </w:tc>
        <w:tc>
          <w:tcPr>
            <w:tcW w:w="1350" w:type="dxa"/>
            <w:vAlign w:val="bottom"/>
          </w:tcPr>
          <w:p w14:paraId="66C4F8A6"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-2,2%</w:t>
            </w:r>
          </w:p>
        </w:tc>
        <w:tc>
          <w:tcPr>
            <w:tcW w:w="1643" w:type="dxa"/>
            <w:vAlign w:val="bottom"/>
          </w:tcPr>
          <w:p w14:paraId="2D83E04E"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-1,5%</w:t>
            </w:r>
          </w:p>
        </w:tc>
        <w:tc>
          <w:tcPr>
            <w:tcW w:w="1276" w:type="dxa"/>
            <w:vAlign w:val="bottom"/>
          </w:tcPr>
          <w:p w14:paraId="3740EEAC"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-2,7%</w:t>
            </w:r>
          </w:p>
        </w:tc>
      </w:tr>
    </w:tbl>
    <w:p w14:paraId="15C374A6" w14:textId="77777777" w:rsidR="00DD5508" w:rsidRDefault="00DD5508">
      <w:pPr>
        <w:spacing w:line="276" w:lineRule="auto"/>
        <w:ind w:right="-574"/>
        <w:rPr>
          <w:rFonts w:ascii="Open Sans Light" w:eastAsia="Open Sans Light" w:hAnsi="Open Sans Light" w:cs="Open Sans Light"/>
          <w:b/>
          <w:color w:val="303AB2"/>
          <w:sz w:val="26"/>
          <w:szCs w:val="26"/>
        </w:rPr>
      </w:pPr>
    </w:p>
    <w:p w14:paraId="065EC2A6" w14:textId="77777777" w:rsidR="00DD5508" w:rsidRDefault="0008049B">
      <w:pPr>
        <w:spacing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Evolución de la variación interanual del precio del alquiler por CCAA</w:t>
      </w:r>
    </w:p>
    <w:p w14:paraId="7C5E1293" w14:textId="77777777" w:rsidR="00DD5508" w:rsidRDefault="00DD5508">
      <w:pPr>
        <w:spacing w:line="276" w:lineRule="auto"/>
        <w:ind w:right="-574"/>
        <w:jc w:val="both"/>
        <w:rPr>
          <w:rFonts w:ascii="Open Sans" w:eastAsia="Open Sans" w:hAnsi="Open Sans" w:cs="Open Sans"/>
          <w:sz w:val="22"/>
          <w:szCs w:val="22"/>
        </w:rPr>
      </w:pPr>
    </w:p>
    <w:p w14:paraId="3FFB7B0D" w14:textId="77777777" w:rsidR="00DD5508" w:rsidRDefault="0008049B">
      <w:pPr>
        <w:spacing w:line="276" w:lineRule="auto"/>
        <w:ind w:right="-574"/>
        <w:jc w:val="both"/>
        <w:rPr>
          <w:rFonts w:ascii="Open Sans" w:eastAsia="Open Sans" w:hAnsi="Open Sans" w:cs="Open Sans"/>
          <w:sz w:val="22"/>
          <w:szCs w:val="22"/>
        </w:rPr>
      </w:pPr>
      <w:r>
        <w:rPr>
          <w:noProof/>
        </w:rPr>
        <w:drawing>
          <wp:inline distT="0" distB="0" distL="0" distR="0" wp14:anchorId="33EAC239" wp14:editId="5029C8BE">
            <wp:extent cx="5719703" cy="3505992"/>
            <wp:effectExtent l="0" t="0" r="0" b="0"/>
            <wp:docPr id="36" name="image2.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líneas&#10;&#10;Descripción generada automáticamente"/>
                    <pic:cNvPicPr preferRelativeResize="0"/>
                  </pic:nvPicPr>
                  <pic:blipFill>
                    <a:blip r:embed="rId11"/>
                    <a:srcRect/>
                    <a:stretch>
                      <a:fillRect/>
                    </a:stretch>
                  </pic:blipFill>
                  <pic:spPr>
                    <a:xfrm>
                      <a:off x="0" y="0"/>
                      <a:ext cx="5719703" cy="3505992"/>
                    </a:xfrm>
                    <a:prstGeom prst="rect">
                      <a:avLst/>
                    </a:prstGeom>
                    <a:ln/>
                  </pic:spPr>
                </pic:pic>
              </a:graphicData>
            </a:graphic>
          </wp:inline>
        </w:drawing>
      </w:r>
    </w:p>
    <w:p w14:paraId="2DAC800F" w14:textId="77777777" w:rsidR="00DD5508" w:rsidRDefault="0008049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“Estos datos nos muestran que la tendencia del alquiler para 2020 y 2021 era la del descenso de los precios del alquiler a nivel generalizado de toda España. Es cierto que el mercado </w:t>
      </w:r>
      <w:r>
        <w:rPr>
          <w:rFonts w:ascii="Open Sans" w:eastAsia="Open Sans" w:hAnsi="Open Sans" w:cs="Open Sans"/>
          <w:sz w:val="22"/>
          <w:szCs w:val="22"/>
        </w:rPr>
        <w:t>inmobiliario se mueve a distintas velocidades y precisamente, las comunidades de Madrid y Cataluña son las que suelen liderar los cambios y avanzar las tendencias en cuanto a precios, mientras que el resto de comunidades muestran los cambios meses después.</w:t>
      </w:r>
      <w:r>
        <w:rPr>
          <w:rFonts w:ascii="Open Sans" w:eastAsia="Open Sans" w:hAnsi="Open Sans" w:cs="Open Sans"/>
          <w:sz w:val="22"/>
          <w:szCs w:val="22"/>
        </w:rPr>
        <w:t xml:space="preserve"> Con estos datos es difícil ver cuál ha sido realmente el impacto de la Ley de contención de rentas en Cataluña, ya que cae al mismo tiempo y nivel que Madrid, donde no hay ninguna limitación de precios. Además, incluso en la Comunidad de Madrid el precio </w:t>
      </w:r>
      <w:r>
        <w:rPr>
          <w:rFonts w:ascii="Open Sans" w:eastAsia="Open Sans" w:hAnsi="Open Sans" w:cs="Open Sans"/>
          <w:sz w:val="22"/>
          <w:szCs w:val="22"/>
        </w:rPr>
        <w:t xml:space="preserve">desciende a mayor ritmo que en Cataluña”, explica María Matos, directora de Estudios y Portavoz de </w:t>
      </w:r>
      <w:hyperlink r:id="rId12">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4DB98D39" w14:textId="77777777" w:rsidR="00DD5508" w:rsidRDefault="00DD5508">
      <w:pPr>
        <w:spacing w:line="276" w:lineRule="auto"/>
        <w:ind w:right="-574"/>
        <w:rPr>
          <w:rFonts w:ascii="Open Sans Light" w:eastAsia="Open Sans Light" w:hAnsi="Open Sans Light" w:cs="Open Sans Light"/>
          <w:b/>
          <w:color w:val="303AB2"/>
          <w:sz w:val="28"/>
          <w:szCs w:val="28"/>
        </w:rPr>
      </w:pPr>
    </w:p>
    <w:p w14:paraId="626BB260" w14:textId="77777777" w:rsidR="00DD5508" w:rsidRDefault="0008049B">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Análisis precios en las principales ciudades españolas</w:t>
      </w:r>
    </w:p>
    <w:p w14:paraId="58A6F194" w14:textId="77777777" w:rsidR="00DD5508" w:rsidRDefault="00DD5508">
      <w:pPr>
        <w:spacing w:line="276" w:lineRule="auto"/>
        <w:ind w:right="-574"/>
        <w:jc w:val="both"/>
        <w:rPr>
          <w:rFonts w:ascii="Open Sans" w:eastAsia="Open Sans" w:hAnsi="Open Sans" w:cs="Open Sans"/>
          <w:sz w:val="22"/>
          <w:szCs w:val="22"/>
        </w:rPr>
      </w:pPr>
    </w:p>
    <w:p w14:paraId="178E9967" w14:textId="77777777" w:rsidR="00DD5508" w:rsidRDefault="0008049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análisis realizado por </w:t>
      </w:r>
      <w:hyperlink r:id="rId13">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pone foco, además, en el precio del alquiler de las principales ciudades españolas para ver su evolución durante este último año. Como referencia de ciudad con el precio limi</w:t>
      </w:r>
      <w:r>
        <w:rPr>
          <w:rFonts w:ascii="Open Sans" w:eastAsia="Open Sans" w:hAnsi="Open Sans" w:cs="Open Sans"/>
          <w:sz w:val="22"/>
          <w:szCs w:val="22"/>
        </w:rPr>
        <w:t>tado, se ha escogido Barcelona, y se ha comparado con otras ciudades tensionadas como Madrid, Málaga o Valencia en las que no existe control de precios. Así, se ve que la tendencia de la caída de precios en la vivienda en alquiler en Barcelona se detectó a</w:t>
      </w:r>
      <w:r>
        <w:rPr>
          <w:rFonts w:ascii="Open Sans" w:eastAsia="Open Sans" w:hAnsi="Open Sans" w:cs="Open Sans"/>
          <w:sz w:val="22"/>
          <w:szCs w:val="22"/>
        </w:rPr>
        <w:t>ntes de la entrada en vigor de la Ley, en concreto, el precio del alquiler empezó a descender en junio de 2020 un -1,5% y desde entonces no ha parado de presentar bajadas interanualmente. Sólo un mes más tarde, se reducía también en Málaga un -1,2% y en Ma</w:t>
      </w:r>
      <w:r>
        <w:rPr>
          <w:rFonts w:ascii="Open Sans" w:eastAsia="Open Sans" w:hAnsi="Open Sans" w:cs="Open Sans"/>
          <w:sz w:val="22"/>
          <w:szCs w:val="22"/>
        </w:rPr>
        <w:t>drid un -0,2% (julio de 2020) y desde entonces no ha cesado de caer el precio en ninguna de las dos ciudades. En el caso de Valencia, el precio empezó a descender en septiembre de 2020 y continúa ahora con descensos interanuales en cadena.</w:t>
      </w:r>
    </w:p>
    <w:p w14:paraId="549FC7B4" w14:textId="77777777" w:rsidR="00DD5508" w:rsidRDefault="00DD5508">
      <w:pPr>
        <w:spacing w:line="276" w:lineRule="auto"/>
        <w:ind w:right="-574"/>
        <w:jc w:val="both"/>
        <w:rPr>
          <w:rFonts w:ascii="Open Sans" w:eastAsia="Open Sans" w:hAnsi="Open Sans" w:cs="Open Sans"/>
          <w:sz w:val="22"/>
          <w:szCs w:val="22"/>
        </w:rPr>
      </w:pPr>
    </w:p>
    <w:p w14:paraId="10BD2294" w14:textId="77777777" w:rsidR="00DD5508" w:rsidRDefault="0008049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 que sí que s</w:t>
      </w:r>
      <w:r>
        <w:rPr>
          <w:rFonts w:ascii="Open Sans" w:eastAsia="Open Sans" w:hAnsi="Open Sans" w:cs="Open Sans"/>
          <w:sz w:val="22"/>
          <w:szCs w:val="22"/>
        </w:rPr>
        <w:t>e ve desde la entrada en vigor de la Ley de contención de rentas en Cataluña es que las caídas en la ciudad de Barcelona fueron más acusadas a partir de octubre de 2020 y de pasar en junio de 2020 a caer un -1,5% a caer un 11,8% en noviembre de 2020. Es de</w:t>
      </w:r>
      <w:r>
        <w:rPr>
          <w:rFonts w:ascii="Open Sans" w:eastAsia="Open Sans" w:hAnsi="Open Sans" w:cs="Open Sans"/>
          <w:sz w:val="22"/>
          <w:szCs w:val="22"/>
        </w:rPr>
        <w:t>cir, en sólo seis meses la caída del precio del alquiler se aceleró en 10 puntos porcentuales en la ciudad de Barcelona mientras que en el resto de las ciudades las caídas fueron mucho más escalonadas. No obstante, la evolución de precios en la ciudad de M</w:t>
      </w:r>
      <w:r>
        <w:rPr>
          <w:rFonts w:ascii="Open Sans" w:eastAsia="Open Sans" w:hAnsi="Open Sans" w:cs="Open Sans"/>
          <w:sz w:val="22"/>
          <w:szCs w:val="22"/>
        </w:rPr>
        <w:t>adrid ha sido muy similar a la de la ciudad condal e incluso durante 2021 los descensos en Madrid han sido más acusadas que en Barcelona. En Madrid han llegado a caer hasta un -12,8% y en Barcelona la caída máxima este 2021 ha sido de un -11,4% interanual.</w:t>
      </w:r>
    </w:p>
    <w:p w14:paraId="42E4479B" w14:textId="77777777" w:rsidR="00DD5508" w:rsidRDefault="00DD5508">
      <w:pPr>
        <w:spacing w:line="276" w:lineRule="auto"/>
        <w:ind w:right="-574"/>
        <w:jc w:val="both"/>
        <w:rPr>
          <w:rFonts w:ascii="Open Sans" w:eastAsia="Open Sans" w:hAnsi="Open Sans" w:cs="Open Sans"/>
          <w:sz w:val="22"/>
          <w:szCs w:val="22"/>
        </w:rPr>
      </w:pPr>
    </w:p>
    <w:p w14:paraId="4A9BD5DB" w14:textId="77777777" w:rsidR="00DD5508" w:rsidRDefault="00DD5508">
      <w:pPr>
        <w:spacing w:line="276" w:lineRule="auto"/>
        <w:ind w:right="-574"/>
        <w:jc w:val="both"/>
        <w:rPr>
          <w:rFonts w:ascii="Open Sans" w:eastAsia="Open Sans" w:hAnsi="Open Sans" w:cs="Open Sans"/>
          <w:sz w:val="22"/>
          <w:szCs w:val="22"/>
        </w:rPr>
      </w:pPr>
    </w:p>
    <w:p w14:paraId="4F348544" w14:textId="77777777" w:rsidR="00DD5508" w:rsidRDefault="0008049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“Es difícil atribuir estas abultadas caídas que ha habido en Barcelona desde noviembre de 2020 solo a la Ley de contención de rentas, ya que la tendencia desde hacía meses era la de la caída de precios, después de muchos meses de intensas subidas. Además, </w:t>
      </w:r>
      <w:r>
        <w:rPr>
          <w:rFonts w:ascii="Open Sans" w:eastAsia="Open Sans" w:hAnsi="Open Sans" w:cs="Open Sans"/>
          <w:sz w:val="22"/>
          <w:szCs w:val="22"/>
        </w:rPr>
        <w:t xml:space="preserve">la pandemia también ha golpeado al mercado del alquiler propiciando que durante meses la oferta de vivienda aumentase, debido a los pisos turísticos que se pasaron al alquiler residencial, y la demanda de vivienda en alquiler descendió, por lo que también </w:t>
      </w:r>
      <w:r>
        <w:rPr>
          <w:rFonts w:ascii="Open Sans" w:eastAsia="Open Sans" w:hAnsi="Open Sans" w:cs="Open Sans"/>
          <w:sz w:val="22"/>
          <w:szCs w:val="22"/>
        </w:rPr>
        <w:t>son factores determinantes en la caída de los precios. En paralelo, el precio de la vivienda en alquiler en Madrid ha caído casi de forma idéntica a Barcelona y ahora mismo ambas ciudades se encuentran con caídas interanuales del -8%, por lo que el comport</w:t>
      </w:r>
      <w:r>
        <w:rPr>
          <w:rFonts w:ascii="Open Sans" w:eastAsia="Open Sans" w:hAnsi="Open Sans" w:cs="Open Sans"/>
          <w:sz w:val="22"/>
          <w:szCs w:val="22"/>
        </w:rPr>
        <w:t xml:space="preserve">amiento es casi el mismo”, explica María Matos. </w:t>
      </w:r>
    </w:p>
    <w:p w14:paraId="2CE96E33" w14:textId="77777777" w:rsidR="00DD5508" w:rsidRDefault="00DD5508">
      <w:pPr>
        <w:spacing w:line="276" w:lineRule="auto"/>
        <w:ind w:right="-574"/>
        <w:jc w:val="both"/>
        <w:rPr>
          <w:rFonts w:ascii="Open Sans" w:eastAsia="Open Sans" w:hAnsi="Open Sans" w:cs="Open Sans"/>
          <w:sz w:val="22"/>
          <w:szCs w:val="22"/>
        </w:rPr>
      </w:pPr>
    </w:p>
    <w:p w14:paraId="123574F8" w14:textId="77777777" w:rsidR="00DD5508" w:rsidRDefault="0008049B">
      <w:pPr>
        <w:spacing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Variación interanual del precio de la vivienda en alquiler por CCAA</w:t>
      </w:r>
    </w:p>
    <w:p w14:paraId="27D50ACA" w14:textId="77777777" w:rsidR="00DD5508" w:rsidRDefault="00DD5508">
      <w:pPr>
        <w:spacing w:line="276" w:lineRule="auto"/>
        <w:ind w:right="-574"/>
        <w:jc w:val="both"/>
        <w:rPr>
          <w:rFonts w:ascii="Open Sans" w:eastAsia="Open Sans" w:hAnsi="Open Sans" w:cs="Open Sans"/>
          <w:sz w:val="22"/>
          <w:szCs w:val="22"/>
        </w:rPr>
      </w:pPr>
    </w:p>
    <w:tbl>
      <w:tblPr>
        <w:tblStyle w:val="a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843"/>
        <w:gridCol w:w="1701"/>
        <w:gridCol w:w="1701"/>
        <w:gridCol w:w="1701"/>
      </w:tblGrid>
      <w:tr w:rsidR="00DD5508" w14:paraId="6CB92280" w14:textId="77777777" w:rsidTr="00DD5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30B9FCE" w14:textId="77777777" w:rsidR="00DD5508" w:rsidRDefault="00DD5508">
            <w:pPr>
              <w:spacing w:line="276" w:lineRule="auto"/>
              <w:ind w:right="-574"/>
              <w:jc w:val="both"/>
              <w:rPr>
                <w:rFonts w:ascii="Open Sans" w:eastAsia="Open Sans" w:hAnsi="Open Sans" w:cs="Open Sans"/>
              </w:rPr>
            </w:pPr>
          </w:p>
        </w:tc>
        <w:tc>
          <w:tcPr>
            <w:tcW w:w="1843" w:type="dxa"/>
          </w:tcPr>
          <w:p w14:paraId="5FFE730E" w14:textId="77777777" w:rsidR="00DD5508" w:rsidRDefault="0008049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Barcelona</w:t>
            </w:r>
          </w:p>
        </w:tc>
        <w:tc>
          <w:tcPr>
            <w:tcW w:w="1701" w:type="dxa"/>
          </w:tcPr>
          <w:p w14:paraId="3F90DC64" w14:textId="77777777" w:rsidR="00DD5508" w:rsidRDefault="0008049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Madrid</w:t>
            </w:r>
          </w:p>
        </w:tc>
        <w:tc>
          <w:tcPr>
            <w:tcW w:w="1701" w:type="dxa"/>
          </w:tcPr>
          <w:p w14:paraId="3363CF48" w14:textId="77777777" w:rsidR="00DD5508" w:rsidRDefault="0008049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Valencia</w:t>
            </w:r>
          </w:p>
        </w:tc>
        <w:tc>
          <w:tcPr>
            <w:tcW w:w="1701" w:type="dxa"/>
          </w:tcPr>
          <w:p w14:paraId="1713C6AA" w14:textId="77777777" w:rsidR="00DD5508" w:rsidRDefault="0008049B">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Málaga</w:t>
            </w:r>
          </w:p>
        </w:tc>
      </w:tr>
      <w:tr w:rsidR="00DD5508" w14:paraId="4FB11775"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56D71ED"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Enero 2020</w:t>
            </w:r>
          </w:p>
        </w:tc>
        <w:tc>
          <w:tcPr>
            <w:tcW w:w="1843" w:type="dxa"/>
            <w:vAlign w:val="bottom"/>
          </w:tcPr>
          <w:p w14:paraId="22B85A74" w14:textId="77777777" w:rsidR="00DD5508" w:rsidRDefault="0008049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2,7%</w:t>
            </w:r>
          </w:p>
        </w:tc>
        <w:tc>
          <w:tcPr>
            <w:tcW w:w="1701" w:type="dxa"/>
            <w:vAlign w:val="bottom"/>
          </w:tcPr>
          <w:p w14:paraId="1572E750" w14:textId="77777777" w:rsidR="00DD5508" w:rsidRDefault="0008049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3,0%</w:t>
            </w:r>
          </w:p>
        </w:tc>
        <w:tc>
          <w:tcPr>
            <w:tcW w:w="1701" w:type="dxa"/>
            <w:vAlign w:val="bottom"/>
          </w:tcPr>
          <w:p w14:paraId="7420B35D" w14:textId="77777777" w:rsidR="00DD5508" w:rsidRDefault="0008049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12,5%</w:t>
            </w:r>
          </w:p>
        </w:tc>
        <w:tc>
          <w:tcPr>
            <w:tcW w:w="1701" w:type="dxa"/>
            <w:vAlign w:val="bottom"/>
          </w:tcPr>
          <w:p w14:paraId="258DE5AE" w14:textId="77777777" w:rsidR="00DD5508" w:rsidRDefault="0008049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3,7%</w:t>
            </w:r>
          </w:p>
        </w:tc>
      </w:tr>
      <w:tr w:rsidR="00DD5508" w14:paraId="062890EE"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57DDB5C6"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Febrero 2020</w:t>
            </w:r>
          </w:p>
        </w:tc>
        <w:tc>
          <w:tcPr>
            <w:tcW w:w="1843" w:type="dxa"/>
            <w:vAlign w:val="bottom"/>
          </w:tcPr>
          <w:p w14:paraId="6F9357B3" w14:textId="77777777" w:rsidR="00DD5508" w:rsidRDefault="0008049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3,0%</w:t>
            </w:r>
          </w:p>
        </w:tc>
        <w:tc>
          <w:tcPr>
            <w:tcW w:w="1701" w:type="dxa"/>
            <w:vAlign w:val="bottom"/>
          </w:tcPr>
          <w:p w14:paraId="02986804" w14:textId="77777777" w:rsidR="00DD5508" w:rsidRDefault="0008049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3,3%</w:t>
            </w:r>
          </w:p>
        </w:tc>
        <w:tc>
          <w:tcPr>
            <w:tcW w:w="1701" w:type="dxa"/>
            <w:vAlign w:val="bottom"/>
          </w:tcPr>
          <w:p w14:paraId="2BDB09D7" w14:textId="77777777" w:rsidR="00DD5508" w:rsidRDefault="0008049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11,5%</w:t>
            </w:r>
          </w:p>
        </w:tc>
        <w:tc>
          <w:tcPr>
            <w:tcW w:w="1701" w:type="dxa"/>
            <w:vAlign w:val="bottom"/>
          </w:tcPr>
          <w:p w14:paraId="0D155347" w14:textId="77777777" w:rsidR="00DD5508" w:rsidRDefault="0008049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4,2%</w:t>
            </w:r>
          </w:p>
        </w:tc>
      </w:tr>
      <w:tr w:rsidR="00DD5508" w14:paraId="79675371"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D4CAE89"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Marzo 2020</w:t>
            </w:r>
          </w:p>
        </w:tc>
        <w:tc>
          <w:tcPr>
            <w:tcW w:w="1843" w:type="dxa"/>
            <w:vAlign w:val="bottom"/>
          </w:tcPr>
          <w:p w14:paraId="61D0A0D3" w14:textId="77777777" w:rsidR="00DD5508" w:rsidRDefault="0008049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3,3%</w:t>
            </w:r>
          </w:p>
        </w:tc>
        <w:tc>
          <w:tcPr>
            <w:tcW w:w="1701" w:type="dxa"/>
            <w:vAlign w:val="bottom"/>
          </w:tcPr>
          <w:p w14:paraId="1BB69D70" w14:textId="77777777" w:rsidR="00DD5508" w:rsidRDefault="0008049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3,2%</w:t>
            </w:r>
          </w:p>
        </w:tc>
        <w:tc>
          <w:tcPr>
            <w:tcW w:w="1701" w:type="dxa"/>
            <w:vAlign w:val="bottom"/>
          </w:tcPr>
          <w:p w14:paraId="47C2A2E9" w14:textId="77777777" w:rsidR="00DD5508" w:rsidRDefault="0008049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12,7%</w:t>
            </w:r>
          </w:p>
        </w:tc>
        <w:tc>
          <w:tcPr>
            <w:tcW w:w="1701" w:type="dxa"/>
            <w:vAlign w:val="bottom"/>
          </w:tcPr>
          <w:p w14:paraId="10F09A97" w14:textId="77777777" w:rsidR="00DD5508" w:rsidRDefault="0008049B">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6,6%</w:t>
            </w:r>
          </w:p>
        </w:tc>
      </w:tr>
      <w:tr w:rsidR="00DD5508" w14:paraId="600728F2"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0BF905EC"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Abril 2020</w:t>
            </w:r>
          </w:p>
        </w:tc>
        <w:tc>
          <w:tcPr>
            <w:tcW w:w="1843" w:type="dxa"/>
            <w:vAlign w:val="bottom"/>
          </w:tcPr>
          <w:p w14:paraId="6B64E98D" w14:textId="77777777" w:rsidR="00DD5508" w:rsidRDefault="0008049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3,5%</w:t>
            </w:r>
          </w:p>
        </w:tc>
        <w:tc>
          <w:tcPr>
            <w:tcW w:w="1701" w:type="dxa"/>
            <w:vAlign w:val="bottom"/>
          </w:tcPr>
          <w:p w14:paraId="1960B69E" w14:textId="77777777" w:rsidR="00DD5508" w:rsidRDefault="0008049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4,6%</w:t>
            </w:r>
          </w:p>
        </w:tc>
        <w:tc>
          <w:tcPr>
            <w:tcW w:w="1701" w:type="dxa"/>
            <w:vAlign w:val="bottom"/>
          </w:tcPr>
          <w:p w14:paraId="2E4A908F" w14:textId="77777777" w:rsidR="00DD5508" w:rsidRDefault="0008049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9,7%</w:t>
            </w:r>
          </w:p>
        </w:tc>
        <w:tc>
          <w:tcPr>
            <w:tcW w:w="1701" w:type="dxa"/>
            <w:vAlign w:val="bottom"/>
          </w:tcPr>
          <w:p w14:paraId="7D988A86" w14:textId="77777777" w:rsidR="00DD5508" w:rsidRDefault="0008049B">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5,3%</w:t>
            </w:r>
          </w:p>
        </w:tc>
      </w:tr>
      <w:tr w:rsidR="00DD5508" w14:paraId="5FDBAA7E"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DBAA5E8"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Mayo 2020</w:t>
            </w:r>
          </w:p>
        </w:tc>
        <w:tc>
          <w:tcPr>
            <w:tcW w:w="1843" w:type="dxa"/>
            <w:vAlign w:val="bottom"/>
          </w:tcPr>
          <w:p w14:paraId="4C7B6E87"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2,2%</w:t>
            </w:r>
          </w:p>
        </w:tc>
        <w:tc>
          <w:tcPr>
            <w:tcW w:w="1701" w:type="dxa"/>
            <w:vAlign w:val="bottom"/>
          </w:tcPr>
          <w:p w14:paraId="364C0231"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4,8%</w:t>
            </w:r>
          </w:p>
        </w:tc>
        <w:tc>
          <w:tcPr>
            <w:tcW w:w="1701" w:type="dxa"/>
            <w:vAlign w:val="bottom"/>
          </w:tcPr>
          <w:p w14:paraId="1CFCE0C7"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8,4%</w:t>
            </w:r>
          </w:p>
        </w:tc>
        <w:tc>
          <w:tcPr>
            <w:tcW w:w="1701" w:type="dxa"/>
            <w:vAlign w:val="bottom"/>
          </w:tcPr>
          <w:p w14:paraId="2C47F701"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2,4%</w:t>
            </w:r>
          </w:p>
        </w:tc>
      </w:tr>
      <w:tr w:rsidR="00DD5508" w14:paraId="799997C4"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09288868"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Junio 2020</w:t>
            </w:r>
          </w:p>
        </w:tc>
        <w:tc>
          <w:tcPr>
            <w:tcW w:w="1843" w:type="dxa"/>
            <w:vAlign w:val="bottom"/>
          </w:tcPr>
          <w:p w14:paraId="7305AF15"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-1,5%</w:t>
            </w:r>
          </w:p>
        </w:tc>
        <w:tc>
          <w:tcPr>
            <w:tcW w:w="1701" w:type="dxa"/>
            <w:vAlign w:val="bottom"/>
          </w:tcPr>
          <w:p w14:paraId="3C1AA666"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2,7%</w:t>
            </w:r>
          </w:p>
        </w:tc>
        <w:tc>
          <w:tcPr>
            <w:tcW w:w="1701" w:type="dxa"/>
            <w:vAlign w:val="bottom"/>
          </w:tcPr>
          <w:p w14:paraId="656E74F0"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4,4%</w:t>
            </w:r>
          </w:p>
        </w:tc>
        <w:tc>
          <w:tcPr>
            <w:tcW w:w="1701" w:type="dxa"/>
            <w:vAlign w:val="bottom"/>
          </w:tcPr>
          <w:p w14:paraId="59890BE1"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0,4%</w:t>
            </w:r>
          </w:p>
        </w:tc>
      </w:tr>
      <w:tr w:rsidR="00DD5508" w14:paraId="13382445"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4604306"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Julio 2020</w:t>
            </w:r>
          </w:p>
        </w:tc>
        <w:tc>
          <w:tcPr>
            <w:tcW w:w="1843" w:type="dxa"/>
            <w:vAlign w:val="bottom"/>
          </w:tcPr>
          <w:p w14:paraId="4BF80ABB"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-3,6%</w:t>
            </w:r>
          </w:p>
        </w:tc>
        <w:tc>
          <w:tcPr>
            <w:tcW w:w="1701" w:type="dxa"/>
            <w:vAlign w:val="bottom"/>
          </w:tcPr>
          <w:p w14:paraId="05C081B4"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-0,2%</w:t>
            </w:r>
          </w:p>
        </w:tc>
        <w:tc>
          <w:tcPr>
            <w:tcW w:w="1701" w:type="dxa"/>
            <w:vAlign w:val="bottom"/>
          </w:tcPr>
          <w:p w14:paraId="453C7ABB"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000000"/>
              </w:rPr>
              <w:t>2,3%</w:t>
            </w:r>
          </w:p>
        </w:tc>
        <w:tc>
          <w:tcPr>
            <w:tcW w:w="1701" w:type="dxa"/>
            <w:vAlign w:val="bottom"/>
          </w:tcPr>
          <w:p w14:paraId="3C3D3572"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-1,2%</w:t>
            </w:r>
          </w:p>
        </w:tc>
      </w:tr>
      <w:tr w:rsidR="00DD5508" w14:paraId="279DC616"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6BD413FA"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Agosto 2020</w:t>
            </w:r>
          </w:p>
        </w:tc>
        <w:tc>
          <w:tcPr>
            <w:tcW w:w="1843" w:type="dxa"/>
            <w:vAlign w:val="bottom"/>
          </w:tcPr>
          <w:p w14:paraId="420F3E67"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-4,9%</w:t>
            </w:r>
          </w:p>
        </w:tc>
        <w:tc>
          <w:tcPr>
            <w:tcW w:w="1701" w:type="dxa"/>
            <w:vAlign w:val="bottom"/>
          </w:tcPr>
          <w:p w14:paraId="5DD9D480"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-3,2%</w:t>
            </w:r>
          </w:p>
        </w:tc>
        <w:tc>
          <w:tcPr>
            <w:tcW w:w="1701" w:type="dxa"/>
            <w:vAlign w:val="bottom"/>
          </w:tcPr>
          <w:p w14:paraId="08BA1F99"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000000"/>
              </w:rPr>
              <w:t>0,4%</w:t>
            </w:r>
          </w:p>
        </w:tc>
        <w:tc>
          <w:tcPr>
            <w:tcW w:w="1701" w:type="dxa"/>
            <w:vAlign w:val="bottom"/>
          </w:tcPr>
          <w:p w14:paraId="675AF60A"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-0,6%</w:t>
            </w:r>
          </w:p>
        </w:tc>
      </w:tr>
      <w:tr w:rsidR="00DD5508" w14:paraId="2DF7A142"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AC4F568"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Sept. 2020</w:t>
            </w:r>
          </w:p>
        </w:tc>
        <w:tc>
          <w:tcPr>
            <w:tcW w:w="1843" w:type="dxa"/>
            <w:vAlign w:val="bottom"/>
          </w:tcPr>
          <w:p w14:paraId="2107988F"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-4,8%</w:t>
            </w:r>
          </w:p>
        </w:tc>
        <w:tc>
          <w:tcPr>
            <w:tcW w:w="1701" w:type="dxa"/>
            <w:vAlign w:val="bottom"/>
          </w:tcPr>
          <w:p w14:paraId="3B747081"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-2,6%</w:t>
            </w:r>
          </w:p>
        </w:tc>
        <w:tc>
          <w:tcPr>
            <w:tcW w:w="1701" w:type="dxa"/>
            <w:vAlign w:val="bottom"/>
          </w:tcPr>
          <w:p w14:paraId="7D0CD46F"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-1,1%</w:t>
            </w:r>
          </w:p>
        </w:tc>
        <w:tc>
          <w:tcPr>
            <w:tcW w:w="1701" w:type="dxa"/>
            <w:vAlign w:val="bottom"/>
          </w:tcPr>
          <w:p w14:paraId="703EA2C7"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-2,4%</w:t>
            </w:r>
          </w:p>
        </w:tc>
      </w:tr>
      <w:tr w:rsidR="00DD5508" w14:paraId="6162BC62"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0FF22949"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Octubre 2020</w:t>
            </w:r>
          </w:p>
        </w:tc>
        <w:tc>
          <w:tcPr>
            <w:tcW w:w="1843" w:type="dxa"/>
            <w:vAlign w:val="bottom"/>
          </w:tcPr>
          <w:p w14:paraId="582693DC"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-7,3%</w:t>
            </w:r>
          </w:p>
        </w:tc>
        <w:tc>
          <w:tcPr>
            <w:tcW w:w="1701" w:type="dxa"/>
            <w:vAlign w:val="bottom"/>
          </w:tcPr>
          <w:p w14:paraId="5B033D8E"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-4,1%</w:t>
            </w:r>
          </w:p>
        </w:tc>
        <w:tc>
          <w:tcPr>
            <w:tcW w:w="1701" w:type="dxa"/>
            <w:vAlign w:val="bottom"/>
          </w:tcPr>
          <w:p w14:paraId="265D5A3D"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-2,4%</w:t>
            </w:r>
          </w:p>
        </w:tc>
        <w:tc>
          <w:tcPr>
            <w:tcW w:w="1701" w:type="dxa"/>
            <w:vAlign w:val="bottom"/>
          </w:tcPr>
          <w:p w14:paraId="665B8DFB"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-4,2%</w:t>
            </w:r>
          </w:p>
        </w:tc>
      </w:tr>
      <w:tr w:rsidR="00DD5508" w14:paraId="6CF8F251"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3E1F284"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Nov. 2020</w:t>
            </w:r>
          </w:p>
        </w:tc>
        <w:tc>
          <w:tcPr>
            <w:tcW w:w="1843" w:type="dxa"/>
            <w:vAlign w:val="bottom"/>
          </w:tcPr>
          <w:p w14:paraId="2E216F8C"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-11,8%</w:t>
            </w:r>
          </w:p>
        </w:tc>
        <w:tc>
          <w:tcPr>
            <w:tcW w:w="1701" w:type="dxa"/>
            <w:vAlign w:val="bottom"/>
          </w:tcPr>
          <w:p w14:paraId="53C10D2C"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-8,0%</w:t>
            </w:r>
          </w:p>
        </w:tc>
        <w:tc>
          <w:tcPr>
            <w:tcW w:w="1701" w:type="dxa"/>
            <w:vAlign w:val="bottom"/>
          </w:tcPr>
          <w:p w14:paraId="30233D7B"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-5,8%</w:t>
            </w:r>
          </w:p>
        </w:tc>
        <w:tc>
          <w:tcPr>
            <w:tcW w:w="1701" w:type="dxa"/>
            <w:vAlign w:val="bottom"/>
          </w:tcPr>
          <w:p w14:paraId="52FA721F"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-7,5%</w:t>
            </w:r>
          </w:p>
        </w:tc>
      </w:tr>
      <w:tr w:rsidR="00DD5508" w14:paraId="09A2164E"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2574EC36"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Dic. 2020</w:t>
            </w:r>
          </w:p>
        </w:tc>
        <w:tc>
          <w:tcPr>
            <w:tcW w:w="1843" w:type="dxa"/>
            <w:vAlign w:val="bottom"/>
          </w:tcPr>
          <w:p w14:paraId="1196A4EB"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-12,1%</w:t>
            </w:r>
          </w:p>
        </w:tc>
        <w:tc>
          <w:tcPr>
            <w:tcW w:w="1701" w:type="dxa"/>
            <w:vAlign w:val="bottom"/>
          </w:tcPr>
          <w:p w14:paraId="5B4181EB"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-8,3%</w:t>
            </w:r>
          </w:p>
        </w:tc>
        <w:tc>
          <w:tcPr>
            <w:tcW w:w="1701" w:type="dxa"/>
            <w:vAlign w:val="bottom"/>
          </w:tcPr>
          <w:p w14:paraId="7B21F733"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-6,9%</w:t>
            </w:r>
          </w:p>
        </w:tc>
        <w:tc>
          <w:tcPr>
            <w:tcW w:w="1701" w:type="dxa"/>
            <w:vAlign w:val="bottom"/>
          </w:tcPr>
          <w:p w14:paraId="61154FC5"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-9,6%</w:t>
            </w:r>
          </w:p>
        </w:tc>
      </w:tr>
      <w:tr w:rsidR="00DD5508" w14:paraId="3BDA5C6F"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A3E6ABB"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Enero 2021</w:t>
            </w:r>
          </w:p>
        </w:tc>
        <w:tc>
          <w:tcPr>
            <w:tcW w:w="1843" w:type="dxa"/>
            <w:vAlign w:val="bottom"/>
          </w:tcPr>
          <w:p w14:paraId="37914AD8"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-12,6%</w:t>
            </w:r>
          </w:p>
        </w:tc>
        <w:tc>
          <w:tcPr>
            <w:tcW w:w="1701" w:type="dxa"/>
            <w:vAlign w:val="bottom"/>
          </w:tcPr>
          <w:p w14:paraId="5BF1222D"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-9,6%</w:t>
            </w:r>
          </w:p>
        </w:tc>
        <w:tc>
          <w:tcPr>
            <w:tcW w:w="1701" w:type="dxa"/>
            <w:vAlign w:val="bottom"/>
          </w:tcPr>
          <w:p w14:paraId="4CB8ECCB"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-7,4%</w:t>
            </w:r>
          </w:p>
        </w:tc>
        <w:tc>
          <w:tcPr>
            <w:tcW w:w="1701" w:type="dxa"/>
            <w:vAlign w:val="bottom"/>
          </w:tcPr>
          <w:p w14:paraId="6D60F66B"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-9,5%</w:t>
            </w:r>
          </w:p>
        </w:tc>
      </w:tr>
      <w:tr w:rsidR="00DD5508" w14:paraId="2BA93613"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4318E803"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Febrero 2021</w:t>
            </w:r>
          </w:p>
        </w:tc>
        <w:tc>
          <w:tcPr>
            <w:tcW w:w="1843" w:type="dxa"/>
            <w:vAlign w:val="bottom"/>
          </w:tcPr>
          <w:p w14:paraId="2D89A531"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-14,1%</w:t>
            </w:r>
          </w:p>
        </w:tc>
        <w:tc>
          <w:tcPr>
            <w:tcW w:w="1701" w:type="dxa"/>
            <w:vAlign w:val="bottom"/>
          </w:tcPr>
          <w:p w14:paraId="14930412"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-10,1%</w:t>
            </w:r>
          </w:p>
        </w:tc>
        <w:tc>
          <w:tcPr>
            <w:tcW w:w="1701" w:type="dxa"/>
            <w:vAlign w:val="bottom"/>
          </w:tcPr>
          <w:p w14:paraId="670FF403"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-8,2%</w:t>
            </w:r>
          </w:p>
        </w:tc>
        <w:tc>
          <w:tcPr>
            <w:tcW w:w="1701" w:type="dxa"/>
            <w:vAlign w:val="bottom"/>
          </w:tcPr>
          <w:p w14:paraId="6A11103F"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-10,2%</w:t>
            </w:r>
          </w:p>
        </w:tc>
      </w:tr>
      <w:tr w:rsidR="00DD5508" w14:paraId="6C45BCC9"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58C540B"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Marzo 2021</w:t>
            </w:r>
          </w:p>
        </w:tc>
        <w:tc>
          <w:tcPr>
            <w:tcW w:w="1843" w:type="dxa"/>
            <w:vAlign w:val="bottom"/>
          </w:tcPr>
          <w:p w14:paraId="4380D501"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-15,4%</w:t>
            </w:r>
          </w:p>
        </w:tc>
        <w:tc>
          <w:tcPr>
            <w:tcW w:w="1701" w:type="dxa"/>
            <w:vAlign w:val="bottom"/>
          </w:tcPr>
          <w:p w14:paraId="40786B3E"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-10,6%</w:t>
            </w:r>
          </w:p>
        </w:tc>
        <w:tc>
          <w:tcPr>
            <w:tcW w:w="1701" w:type="dxa"/>
            <w:vAlign w:val="bottom"/>
          </w:tcPr>
          <w:p w14:paraId="66B7083B"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-9,7%</w:t>
            </w:r>
          </w:p>
        </w:tc>
        <w:tc>
          <w:tcPr>
            <w:tcW w:w="1701" w:type="dxa"/>
            <w:vAlign w:val="bottom"/>
          </w:tcPr>
          <w:p w14:paraId="16C3B00E"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-11,1%</w:t>
            </w:r>
          </w:p>
        </w:tc>
      </w:tr>
      <w:tr w:rsidR="00DD5508" w14:paraId="16868A4B"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4A685199"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Abril 2021</w:t>
            </w:r>
          </w:p>
        </w:tc>
        <w:tc>
          <w:tcPr>
            <w:tcW w:w="1843" w:type="dxa"/>
            <w:vAlign w:val="bottom"/>
          </w:tcPr>
          <w:p w14:paraId="1F0F27B0"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-15,7%</w:t>
            </w:r>
          </w:p>
        </w:tc>
        <w:tc>
          <w:tcPr>
            <w:tcW w:w="1701" w:type="dxa"/>
            <w:vAlign w:val="bottom"/>
          </w:tcPr>
          <w:p w14:paraId="23723AE5"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-12,8%</w:t>
            </w:r>
          </w:p>
        </w:tc>
        <w:tc>
          <w:tcPr>
            <w:tcW w:w="1701" w:type="dxa"/>
            <w:vAlign w:val="bottom"/>
          </w:tcPr>
          <w:p w14:paraId="704A2041"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-8,1%</w:t>
            </w:r>
          </w:p>
        </w:tc>
        <w:tc>
          <w:tcPr>
            <w:tcW w:w="1701" w:type="dxa"/>
            <w:vAlign w:val="bottom"/>
          </w:tcPr>
          <w:p w14:paraId="66C45F3D"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-11,4%</w:t>
            </w:r>
          </w:p>
        </w:tc>
      </w:tr>
      <w:tr w:rsidR="00DD5508" w14:paraId="4AD2B48C"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2741EA3"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Mayo 2021</w:t>
            </w:r>
          </w:p>
        </w:tc>
        <w:tc>
          <w:tcPr>
            <w:tcW w:w="1843" w:type="dxa"/>
            <w:vAlign w:val="bottom"/>
          </w:tcPr>
          <w:p w14:paraId="7BC82050"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-14,7%</w:t>
            </w:r>
          </w:p>
        </w:tc>
        <w:tc>
          <w:tcPr>
            <w:tcW w:w="1701" w:type="dxa"/>
            <w:vAlign w:val="bottom"/>
          </w:tcPr>
          <w:p w14:paraId="478C99BE"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-12,5%</w:t>
            </w:r>
          </w:p>
        </w:tc>
        <w:tc>
          <w:tcPr>
            <w:tcW w:w="1701" w:type="dxa"/>
            <w:vAlign w:val="bottom"/>
          </w:tcPr>
          <w:p w14:paraId="77F2F173"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-7,4%</w:t>
            </w:r>
          </w:p>
        </w:tc>
        <w:tc>
          <w:tcPr>
            <w:tcW w:w="1701" w:type="dxa"/>
            <w:vAlign w:val="bottom"/>
          </w:tcPr>
          <w:p w14:paraId="3E25CA67"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-9,3%</w:t>
            </w:r>
          </w:p>
        </w:tc>
      </w:tr>
      <w:tr w:rsidR="00DD5508" w14:paraId="54E274D8" w14:textId="77777777" w:rsidTr="00DD5508">
        <w:tc>
          <w:tcPr>
            <w:cnfStyle w:val="001000000000" w:firstRow="0" w:lastRow="0" w:firstColumn="1" w:lastColumn="0" w:oddVBand="0" w:evenVBand="0" w:oddHBand="0" w:evenHBand="0" w:firstRowFirstColumn="0" w:firstRowLastColumn="0" w:lastRowFirstColumn="0" w:lastRowLastColumn="0"/>
            <w:tcW w:w="1696" w:type="dxa"/>
          </w:tcPr>
          <w:p w14:paraId="1065449D"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Junio 2021</w:t>
            </w:r>
          </w:p>
        </w:tc>
        <w:tc>
          <w:tcPr>
            <w:tcW w:w="1843" w:type="dxa"/>
            <w:vAlign w:val="bottom"/>
          </w:tcPr>
          <w:p w14:paraId="18060824"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-11,2%</w:t>
            </w:r>
          </w:p>
        </w:tc>
        <w:tc>
          <w:tcPr>
            <w:tcW w:w="1701" w:type="dxa"/>
            <w:vAlign w:val="bottom"/>
          </w:tcPr>
          <w:p w14:paraId="3A72FD08"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-11,0%</w:t>
            </w:r>
          </w:p>
        </w:tc>
        <w:tc>
          <w:tcPr>
            <w:tcW w:w="1701" w:type="dxa"/>
            <w:vAlign w:val="bottom"/>
          </w:tcPr>
          <w:p w14:paraId="6861FF55"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-4,9%</w:t>
            </w:r>
          </w:p>
        </w:tc>
        <w:tc>
          <w:tcPr>
            <w:tcW w:w="1701" w:type="dxa"/>
            <w:vAlign w:val="bottom"/>
          </w:tcPr>
          <w:p w14:paraId="128D6182" w14:textId="77777777" w:rsidR="00DD5508" w:rsidRDefault="0008049B">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color w:val="9C0006"/>
              </w:rPr>
              <w:t>-7,2%</w:t>
            </w:r>
          </w:p>
        </w:tc>
      </w:tr>
      <w:tr w:rsidR="00DD5508" w14:paraId="79D95FAA" w14:textId="77777777" w:rsidTr="00DD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EA95A4A" w14:textId="77777777" w:rsidR="00DD5508" w:rsidRDefault="0008049B">
            <w:pPr>
              <w:spacing w:line="276" w:lineRule="auto"/>
              <w:ind w:right="-574"/>
              <w:jc w:val="both"/>
              <w:rPr>
                <w:rFonts w:ascii="Open Sans" w:eastAsia="Open Sans" w:hAnsi="Open Sans" w:cs="Open Sans"/>
              </w:rPr>
            </w:pPr>
            <w:r>
              <w:rPr>
                <w:rFonts w:ascii="Open Sans" w:eastAsia="Open Sans" w:hAnsi="Open Sans" w:cs="Open Sans"/>
              </w:rPr>
              <w:t>Julio 2021</w:t>
            </w:r>
          </w:p>
        </w:tc>
        <w:tc>
          <w:tcPr>
            <w:tcW w:w="1843" w:type="dxa"/>
            <w:vAlign w:val="bottom"/>
          </w:tcPr>
          <w:p w14:paraId="11F977DE"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-8,1%</w:t>
            </w:r>
          </w:p>
        </w:tc>
        <w:tc>
          <w:tcPr>
            <w:tcW w:w="1701" w:type="dxa"/>
            <w:vAlign w:val="bottom"/>
          </w:tcPr>
          <w:p w14:paraId="2A782EDB"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-8,8%</w:t>
            </w:r>
          </w:p>
        </w:tc>
        <w:tc>
          <w:tcPr>
            <w:tcW w:w="1701" w:type="dxa"/>
            <w:vAlign w:val="bottom"/>
          </w:tcPr>
          <w:p w14:paraId="5FAA4BAB"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-2,2%</w:t>
            </w:r>
          </w:p>
        </w:tc>
        <w:tc>
          <w:tcPr>
            <w:tcW w:w="1701" w:type="dxa"/>
            <w:vAlign w:val="bottom"/>
          </w:tcPr>
          <w:p w14:paraId="2325BD3C" w14:textId="77777777" w:rsidR="00DD5508" w:rsidRDefault="0008049B">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color w:val="9C0006"/>
              </w:rPr>
              <w:t>-5,0%</w:t>
            </w:r>
          </w:p>
        </w:tc>
      </w:tr>
    </w:tbl>
    <w:p w14:paraId="2337F7CB" w14:textId="77777777" w:rsidR="00DD5508" w:rsidRDefault="00DD5508">
      <w:pPr>
        <w:spacing w:line="276" w:lineRule="auto"/>
        <w:ind w:right="-574"/>
        <w:jc w:val="both"/>
        <w:rPr>
          <w:rFonts w:ascii="Open Sans" w:eastAsia="Open Sans" w:hAnsi="Open Sans" w:cs="Open Sans"/>
          <w:sz w:val="22"/>
          <w:szCs w:val="22"/>
        </w:rPr>
      </w:pPr>
    </w:p>
    <w:p w14:paraId="3529E41D" w14:textId="77777777" w:rsidR="00DD5508" w:rsidRDefault="00DD5508">
      <w:pPr>
        <w:spacing w:line="276" w:lineRule="auto"/>
        <w:ind w:right="-574"/>
        <w:jc w:val="both"/>
        <w:rPr>
          <w:rFonts w:ascii="Open Sans" w:eastAsia="Open Sans" w:hAnsi="Open Sans" w:cs="Open Sans"/>
          <w:sz w:val="22"/>
          <w:szCs w:val="22"/>
        </w:rPr>
      </w:pPr>
    </w:p>
    <w:p w14:paraId="2320FD4F" w14:textId="77777777" w:rsidR="00DD5508" w:rsidRDefault="00DD5508">
      <w:pPr>
        <w:spacing w:line="276" w:lineRule="auto"/>
        <w:ind w:right="-574"/>
        <w:jc w:val="both"/>
        <w:rPr>
          <w:rFonts w:ascii="Open Sans" w:eastAsia="Open Sans" w:hAnsi="Open Sans" w:cs="Open Sans"/>
          <w:sz w:val="22"/>
          <w:szCs w:val="22"/>
        </w:rPr>
      </w:pPr>
    </w:p>
    <w:p w14:paraId="43A29232" w14:textId="77777777" w:rsidR="00DD5508" w:rsidRDefault="00DD5508">
      <w:pPr>
        <w:spacing w:line="276" w:lineRule="auto"/>
        <w:ind w:right="-574"/>
        <w:jc w:val="both"/>
        <w:rPr>
          <w:rFonts w:ascii="Open Sans" w:eastAsia="Open Sans" w:hAnsi="Open Sans" w:cs="Open Sans"/>
          <w:sz w:val="22"/>
          <w:szCs w:val="22"/>
        </w:rPr>
      </w:pPr>
    </w:p>
    <w:p w14:paraId="4ECF617A" w14:textId="77777777" w:rsidR="00DD5508" w:rsidRDefault="00DD5508">
      <w:pPr>
        <w:spacing w:line="276" w:lineRule="auto"/>
        <w:ind w:right="-574"/>
        <w:jc w:val="both"/>
        <w:rPr>
          <w:rFonts w:ascii="Open Sans" w:eastAsia="Open Sans" w:hAnsi="Open Sans" w:cs="Open Sans"/>
          <w:sz w:val="22"/>
          <w:szCs w:val="22"/>
        </w:rPr>
      </w:pPr>
    </w:p>
    <w:p w14:paraId="04DB72F2" w14:textId="77777777" w:rsidR="00DD5508" w:rsidRDefault="0008049B">
      <w:pPr>
        <w:spacing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Evolución de la variación interanual del precio del alquiler por ciudades</w:t>
      </w:r>
    </w:p>
    <w:p w14:paraId="71D5576C" w14:textId="77777777" w:rsidR="00DD5508" w:rsidRDefault="00DD5508">
      <w:pPr>
        <w:spacing w:line="276" w:lineRule="auto"/>
        <w:ind w:right="-574"/>
        <w:jc w:val="both"/>
        <w:rPr>
          <w:rFonts w:ascii="Open Sans" w:eastAsia="Open Sans" w:hAnsi="Open Sans" w:cs="Open Sans"/>
          <w:sz w:val="22"/>
          <w:szCs w:val="22"/>
        </w:rPr>
      </w:pPr>
    </w:p>
    <w:p w14:paraId="2087BC34" w14:textId="77777777" w:rsidR="00DD5508" w:rsidRDefault="0008049B">
      <w:pPr>
        <w:spacing w:line="276" w:lineRule="auto"/>
        <w:ind w:right="-574"/>
        <w:jc w:val="both"/>
        <w:rPr>
          <w:rFonts w:ascii="Open Sans" w:eastAsia="Open Sans" w:hAnsi="Open Sans" w:cs="Open Sans"/>
          <w:sz w:val="22"/>
          <w:szCs w:val="22"/>
        </w:rPr>
      </w:pPr>
      <w:r>
        <w:rPr>
          <w:noProof/>
        </w:rPr>
        <w:drawing>
          <wp:inline distT="0" distB="0" distL="0" distR="0" wp14:anchorId="6E06F82A" wp14:editId="1C6B469E">
            <wp:extent cx="5396230" cy="3278505"/>
            <wp:effectExtent l="0" t="0" r="0" b="0"/>
            <wp:docPr id="35" name="image3.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líneas&#10;&#10;Descripción generada automáticamente"/>
                    <pic:cNvPicPr preferRelativeResize="0"/>
                  </pic:nvPicPr>
                  <pic:blipFill>
                    <a:blip r:embed="rId14"/>
                    <a:srcRect/>
                    <a:stretch>
                      <a:fillRect/>
                    </a:stretch>
                  </pic:blipFill>
                  <pic:spPr>
                    <a:xfrm>
                      <a:off x="0" y="0"/>
                      <a:ext cx="5396230" cy="3278505"/>
                    </a:xfrm>
                    <a:prstGeom prst="rect">
                      <a:avLst/>
                    </a:prstGeom>
                    <a:ln/>
                  </pic:spPr>
                </pic:pic>
              </a:graphicData>
            </a:graphic>
          </wp:inline>
        </w:drawing>
      </w:r>
    </w:p>
    <w:p w14:paraId="124BD502" w14:textId="77777777" w:rsidR="00DD5508" w:rsidRDefault="00DD5508">
      <w:pPr>
        <w:spacing w:line="276" w:lineRule="auto"/>
        <w:ind w:right="-574"/>
        <w:jc w:val="both"/>
        <w:rPr>
          <w:rFonts w:ascii="Open Sans" w:eastAsia="Open Sans" w:hAnsi="Open Sans" w:cs="Open Sans"/>
          <w:sz w:val="22"/>
          <w:szCs w:val="22"/>
        </w:rPr>
      </w:pPr>
    </w:p>
    <w:p w14:paraId="02377776" w14:textId="77777777" w:rsidR="00DD5508" w:rsidRDefault="0008049B">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¿Cómo está evolucionando el precio en otras ciudades catalanas con limitación?</w:t>
      </w:r>
    </w:p>
    <w:p w14:paraId="24EE9328" w14:textId="77777777" w:rsidR="00DD5508" w:rsidRDefault="00DD5508">
      <w:pPr>
        <w:spacing w:line="276" w:lineRule="auto"/>
        <w:ind w:right="-574"/>
        <w:jc w:val="both"/>
        <w:rPr>
          <w:rFonts w:ascii="Open Sans" w:eastAsia="Open Sans" w:hAnsi="Open Sans" w:cs="Open Sans"/>
          <w:sz w:val="22"/>
          <w:szCs w:val="22"/>
        </w:rPr>
      </w:pPr>
    </w:p>
    <w:p w14:paraId="6F901C3B" w14:textId="77777777" w:rsidR="00DD5508" w:rsidRDefault="0008049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Si ponemos foco en otras ciudades catalanas en las que también hay limitación de precios vemos que no en todas ellas el precio del alquiler está cayendo. Es el caso de ciudades</w:t>
      </w:r>
      <w:r>
        <w:rPr>
          <w:rFonts w:ascii="Open Sans" w:eastAsia="Open Sans" w:hAnsi="Open Sans" w:cs="Open Sans"/>
          <w:sz w:val="22"/>
          <w:szCs w:val="22"/>
        </w:rPr>
        <w:t xml:space="preserve"> como Badalona, donde actualmente el precio del alquiler sube un 2,3%, o Castelldefels, donde el precio sube todavía un 1,9% interanualmente. </w:t>
      </w:r>
    </w:p>
    <w:p w14:paraId="0697E4D8" w14:textId="77777777" w:rsidR="00DD5508" w:rsidRDefault="00DD5508">
      <w:pPr>
        <w:spacing w:line="276" w:lineRule="auto"/>
        <w:ind w:right="-574"/>
        <w:jc w:val="both"/>
        <w:rPr>
          <w:rFonts w:ascii="Open Sans" w:eastAsia="Open Sans" w:hAnsi="Open Sans" w:cs="Open Sans"/>
          <w:sz w:val="22"/>
          <w:szCs w:val="22"/>
        </w:rPr>
      </w:pPr>
    </w:p>
    <w:p w14:paraId="0C32EB0B" w14:textId="77777777" w:rsidR="00DD5508" w:rsidRDefault="0008049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No obstante, la tendencia generalizada en las ciudades tensionadas catalanas es el descenso de precios. En el ca</w:t>
      </w:r>
      <w:r>
        <w:rPr>
          <w:rFonts w:ascii="Open Sans" w:eastAsia="Open Sans" w:hAnsi="Open Sans" w:cs="Open Sans"/>
          <w:sz w:val="22"/>
          <w:szCs w:val="22"/>
        </w:rPr>
        <w:t>so de L’Hospitalet de Llobregat el precio cae interanualmente un -7,8%, en Reus desciende un -7,5%, en Mataró lo hace un -5,3% interanual o en Manresa desciende un -4,5%. Pero es la ciudad de Barcelona la que lidera las bajadas de precio con un -8% de caíd</w:t>
      </w:r>
      <w:r>
        <w:rPr>
          <w:rFonts w:ascii="Open Sans" w:eastAsia="Open Sans" w:hAnsi="Open Sans" w:cs="Open Sans"/>
          <w:sz w:val="22"/>
          <w:szCs w:val="22"/>
        </w:rPr>
        <w:t xml:space="preserve">a en estos momentos después de 8 meses consecutivos con caídas de doble dígito. </w:t>
      </w:r>
    </w:p>
    <w:p w14:paraId="186FBDCB" w14:textId="77777777" w:rsidR="00DD5508" w:rsidRDefault="00DD5508">
      <w:pPr>
        <w:spacing w:line="276" w:lineRule="auto"/>
        <w:ind w:right="-574"/>
        <w:jc w:val="both"/>
        <w:rPr>
          <w:rFonts w:ascii="Open Sans" w:eastAsia="Open Sans" w:hAnsi="Open Sans" w:cs="Open Sans"/>
          <w:sz w:val="22"/>
          <w:szCs w:val="22"/>
        </w:rPr>
      </w:pPr>
    </w:p>
    <w:p w14:paraId="11D0E273" w14:textId="77777777" w:rsidR="00DD5508" w:rsidRDefault="00DD5508">
      <w:pPr>
        <w:spacing w:line="276" w:lineRule="auto"/>
        <w:ind w:right="-574"/>
        <w:jc w:val="both"/>
        <w:rPr>
          <w:rFonts w:ascii="Open Sans" w:eastAsia="Open Sans" w:hAnsi="Open Sans" w:cs="Open Sans"/>
          <w:sz w:val="22"/>
          <w:szCs w:val="22"/>
        </w:rPr>
      </w:pPr>
    </w:p>
    <w:p w14:paraId="158C171E" w14:textId="77777777" w:rsidR="00DD5508" w:rsidRDefault="00DD5508">
      <w:pPr>
        <w:spacing w:line="276" w:lineRule="auto"/>
        <w:ind w:right="-574"/>
        <w:jc w:val="both"/>
        <w:rPr>
          <w:rFonts w:ascii="Open Sans" w:eastAsia="Open Sans" w:hAnsi="Open Sans" w:cs="Open Sans"/>
          <w:sz w:val="22"/>
          <w:szCs w:val="22"/>
        </w:rPr>
      </w:pPr>
    </w:p>
    <w:p w14:paraId="3A5F9C5C" w14:textId="77777777" w:rsidR="00DD5508" w:rsidRDefault="00DD5508">
      <w:pPr>
        <w:spacing w:line="276" w:lineRule="auto"/>
        <w:ind w:right="-574"/>
        <w:jc w:val="both"/>
        <w:rPr>
          <w:rFonts w:ascii="Open Sans" w:eastAsia="Open Sans" w:hAnsi="Open Sans" w:cs="Open Sans"/>
          <w:sz w:val="22"/>
          <w:szCs w:val="22"/>
        </w:rPr>
      </w:pPr>
    </w:p>
    <w:p w14:paraId="00FE53B0" w14:textId="77777777" w:rsidR="00DD5508" w:rsidRDefault="00DD5508">
      <w:pPr>
        <w:spacing w:line="276" w:lineRule="auto"/>
        <w:ind w:right="-574"/>
        <w:jc w:val="both"/>
        <w:rPr>
          <w:rFonts w:ascii="Open Sans" w:eastAsia="Open Sans" w:hAnsi="Open Sans" w:cs="Open Sans"/>
          <w:sz w:val="22"/>
          <w:szCs w:val="22"/>
        </w:rPr>
      </w:pPr>
    </w:p>
    <w:p w14:paraId="37DD2762" w14:textId="77777777" w:rsidR="00DD5508" w:rsidRDefault="00DD5508">
      <w:pPr>
        <w:spacing w:line="276" w:lineRule="auto"/>
        <w:ind w:right="-716"/>
        <w:jc w:val="right"/>
        <w:rPr>
          <w:rFonts w:ascii="Open Sans Light" w:eastAsia="Open Sans Light" w:hAnsi="Open Sans Light" w:cs="Open Sans Light"/>
          <w:b/>
          <w:color w:val="303AB2"/>
        </w:rPr>
      </w:pPr>
    </w:p>
    <w:p w14:paraId="3A3CA708" w14:textId="77777777" w:rsidR="00DD5508" w:rsidRDefault="00DD5508">
      <w:pPr>
        <w:spacing w:line="276" w:lineRule="auto"/>
        <w:ind w:right="-716"/>
        <w:jc w:val="right"/>
        <w:rPr>
          <w:rFonts w:ascii="Open Sans Light" w:eastAsia="Open Sans Light" w:hAnsi="Open Sans Light" w:cs="Open Sans Light"/>
          <w:b/>
          <w:color w:val="303AB2"/>
        </w:rPr>
      </w:pPr>
    </w:p>
    <w:p w14:paraId="43E0A756" w14:textId="77777777" w:rsidR="00DD5508" w:rsidRDefault="0008049B">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1C806862" w14:textId="77777777" w:rsidR="00DD5508" w:rsidRDefault="0008049B">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w:t>
      </w:r>
      <w:r>
        <w:rPr>
          <w:rFonts w:ascii="Open Sans" w:eastAsia="Open Sans" w:hAnsi="Open Sans" w:cs="Open Sans"/>
          <w:color w:val="000000"/>
          <w:sz w:val="22"/>
          <w:szCs w:val="22"/>
        </w:rPr>
        <w:t>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0" w:name="_heading=h.30j0zll" w:colFirst="0" w:colLast="0"/>
    <w:bookmarkEnd w:id="0"/>
    <w:p w14:paraId="05313ECA" w14:textId="77777777" w:rsidR="00DD5508" w:rsidRDefault="0008049B">
      <w:pP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6">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w:t>
      </w:r>
      <w:r>
        <w:rPr>
          <w:rFonts w:ascii="Open Sans" w:eastAsia="Open Sans" w:hAnsi="Open Sans" w:cs="Open Sans"/>
          <w:color w:val="000000"/>
          <w:sz w:val="22"/>
          <w:szCs w:val="22"/>
        </w:rPr>
        <w:t>% especializada en Marketplace digitales y el único “pure player” del sector a nivel mundial. Con presencia en 12 países de Europa, América Latina y África del Norte, el conjunto de sus plataformas locales recibe un promedio de 1.500 millones de visitas ca</w:t>
      </w:r>
      <w:r>
        <w:rPr>
          <w:rFonts w:ascii="Open Sans" w:eastAsia="Open Sans" w:hAnsi="Open Sans" w:cs="Open Sans"/>
          <w:color w:val="000000"/>
          <w:sz w:val="22"/>
          <w:szCs w:val="22"/>
        </w:rPr>
        <w:t>da mes.</w:t>
      </w:r>
    </w:p>
    <w:p w14:paraId="4D426DED" w14:textId="77777777" w:rsidR="00DD5508" w:rsidRDefault="0008049B">
      <w:pPr>
        <w:shd w:val="clear" w:color="auto" w:fill="FFFFFF"/>
        <w:spacing w:before="280" w:after="280"/>
        <w:ind w:right="-716"/>
        <w:jc w:val="both"/>
        <w:rPr>
          <w:rFonts w:ascii="Times New Roman" w:eastAsia="Times New Roman" w:hAnsi="Times New Roman" w:cs="Times New Roman"/>
          <w:color w:val="222222"/>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087FECD3" w14:textId="77777777" w:rsidR="00DD5508" w:rsidRDefault="0008049B">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hyperlink r:id="rId18">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antes Schibsted Spain, es una de las principales empresas del sector tecnológico del país</w:t>
      </w:r>
      <w:r>
        <w:rPr>
          <w:rFonts w:ascii="Open Sans" w:eastAsia="Open Sans" w:hAnsi="Open Sans" w:cs="Open Sans"/>
          <w:color w:val="000000"/>
          <w:sz w:val="22"/>
          <w:szCs w:val="22"/>
        </w:rPr>
        <w:t xml:space="preserve"> y un referente de transformación digital. En sus 40 años de trayectoria en el mercado español de clasificados, los negocios de Adevinta han evolucionado del papel al online hasta convertirse en el referente de Internet en sectores relevantes como inmobili</w:t>
      </w:r>
      <w:r>
        <w:rPr>
          <w:rFonts w:ascii="Open Sans" w:eastAsia="Open Sans" w:hAnsi="Open Sans" w:cs="Open Sans"/>
          <w:color w:val="000000"/>
          <w:sz w:val="22"/>
          <w:szCs w:val="22"/>
        </w:rPr>
        <w:t>aria (</w:t>
      </w:r>
      <w:hyperlink r:id="rId1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hyperlink r:id="rId20">
        <w:r>
          <w:rPr>
            <w:rFonts w:ascii="Open Sans" w:eastAsia="Open Sans" w:hAnsi="Open Sans" w:cs="Open Sans"/>
            <w:color w:val="0000FF"/>
            <w:sz w:val="22"/>
            <w:szCs w:val="22"/>
            <w:u w:val="single"/>
          </w:rPr>
          <w:t>habitaclia</w:t>
        </w:r>
      </w:hyperlink>
      <w:r>
        <w:rPr>
          <w:rFonts w:ascii="Open Sans" w:eastAsia="Open Sans" w:hAnsi="Open Sans" w:cs="Open Sans"/>
          <w:color w:val="000000"/>
          <w:sz w:val="22"/>
          <w:szCs w:val="22"/>
        </w:rPr>
        <w:t>), empleo (</w:t>
      </w:r>
      <w:hyperlink r:id="rId21">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2">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3">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hyperlink r:id="rId24">
        <w:r>
          <w:rPr>
            <w:rFonts w:ascii="Open Sans" w:eastAsia="Open Sans" w:hAnsi="Open Sans" w:cs="Open Sans"/>
            <w:color w:val="0000FF"/>
            <w:sz w:val="22"/>
            <w:szCs w:val="22"/>
            <w:u w:val="single"/>
          </w:rPr>
          <w:t>Milanuncios</w:t>
        </w:r>
      </w:hyperlink>
      <w:r>
        <w:rPr>
          <w:rFonts w:ascii="Open Sans" w:eastAsia="Open Sans" w:hAnsi="Open Sans" w:cs="Open Sans"/>
          <w:color w:val="000000"/>
          <w:sz w:val="22"/>
          <w:szCs w:val="22"/>
        </w:rPr>
        <w:t> y </w:t>
      </w:r>
      <w:hyperlink r:id="rId25">
        <w:r>
          <w:rPr>
            <w:rFonts w:ascii="Open Sans" w:eastAsia="Open Sans" w:hAnsi="Open Sans" w:cs="Open Sans"/>
            <w:color w:val="0000FF"/>
            <w:sz w:val="22"/>
            <w:szCs w:val="22"/>
            <w:u w:val="single"/>
          </w:rPr>
          <w:t>vibbo</w:t>
        </w:r>
      </w:hyperlink>
      <w:r>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2EAD1852" w14:textId="77777777" w:rsidR="00DD5508" w:rsidRDefault="00DD5508">
      <w:pPr>
        <w:shd w:val="clear" w:color="auto" w:fill="FFFFFF"/>
        <w:spacing w:line="276" w:lineRule="auto"/>
        <w:ind w:right="-716"/>
        <w:jc w:val="both"/>
        <w:rPr>
          <w:rFonts w:ascii="Open Sans" w:eastAsia="Open Sans" w:hAnsi="Open Sans" w:cs="Open Sans"/>
          <w:color w:val="000000"/>
          <w:sz w:val="21"/>
          <w:szCs w:val="21"/>
        </w:rPr>
      </w:pPr>
    </w:p>
    <w:p w14:paraId="418AC812" w14:textId="77777777" w:rsidR="00DD5508" w:rsidRDefault="0008049B">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6">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042A42EB" w14:textId="77777777" w:rsidR="00DD5508" w:rsidRDefault="00DD5508">
      <w:pPr>
        <w:shd w:val="clear" w:color="auto" w:fill="FFFFFF"/>
        <w:spacing w:line="276" w:lineRule="auto"/>
        <w:ind w:right="-716"/>
        <w:jc w:val="both"/>
        <w:rPr>
          <w:rFonts w:ascii="Open Sans" w:eastAsia="Open Sans" w:hAnsi="Open Sans" w:cs="Open Sans"/>
          <w:color w:val="000000"/>
          <w:sz w:val="21"/>
          <w:szCs w:val="21"/>
        </w:rPr>
      </w:pPr>
    </w:p>
    <w:p w14:paraId="6455E5D2" w14:textId="77777777" w:rsidR="00DD5508" w:rsidRDefault="00DD5508">
      <w:pPr>
        <w:spacing w:line="276" w:lineRule="auto"/>
        <w:ind w:right="-716"/>
        <w:rPr>
          <w:rFonts w:ascii="Open Sans Light" w:eastAsia="Open Sans Light" w:hAnsi="Open Sans Light" w:cs="Open Sans Light"/>
          <w:b/>
          <w:color w:val="303AB2"/>
          <w:sz w:val="22"/>
          <w:szCs w:val="22"/>
        </w:rPr>
      </w:pPr>
    </w:p>
    <w:p w14:paraId="4E5E88D2" w14:textId="77777777" w:rsidR="00DD5508" w:rsidRDefault="0008049B">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1BB3D0D5" w14:textId="77777777" w:rsidR="00DD5508" w:rsidRDefault="0008049B">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 xml:space="preserve">                                Anaïs López </w:t>
      </w:r>
    </w:p>
    <w:p w14:paraId="5C5F4E79" w14:textId="77777777" w:rsidR="00DD5508" w:rsidRDefault="0008049B">
      <w:pPr>
        <w:shd w:val="clear" w:color="auto" w:fill="FFFFFF"/>
        <w:spacing w:line="276" w:lineRule="auto"/>
        <w:ind w:right="-716"/>
        <w:rPr>
          <w:rFonts w:ascii="Open Sans" w:eastAsia="Open Sans" w:hAnsi="Open Sans" w:cs="Open Sans"/>
          <w:color w:val="0000FF"/>
          <w:sz w:val="19"/>
          <w:szCs w:val="19"/>
          <w:u w:val="single"/>
        </w:rPr>
      </w:pPr>
      <w:hyperlink r:id="rId27">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8">
        <w:r>
          <w:rPr>
            <w:rFonts w:ascii="Open Sans" w:eastAsia="Open Sans" w:hAnsi="Open Sans" w:cs="Open Sans"/>
            <w:color w:val="0000FF"/>
            <w:sz w:val="19"/>
            <w:szCs w:val="19"/>
            <w:u w:val="single"/>
          </w:rPr>
          <w:t>comunicacion@fotocasa.es</w:t>
        </w:r>
      </w:hyperlink>
    </w:p>
    <w:p w14:paraId="4F5262A8" w14:textId="77777777" w:rsidR="00DD5508" w:rsidRDefault="0008049B">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269F93AF" w14:textId="77777777" w:rsidR="00DD5508" w:rsidRDefault="0008049B">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2F17372" w14:textId="77777777" w:rsidR="00DD5508" w:rsidRDefault="0008049B">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13E6B236" w14:textId="77777777" w:rsidR="00DD5508" w:rsidRDefault="0008049B">
      <w:pPr>
        <w:shd w:val="clear" w:color="auto" w:fill="FFFFFF"/>
        <w:ind w:right="-716"/>
        <w:rPr>
          <w:rFonts w:ascii="Open Sans" w:eastAsia="Open Sans" w:hAnsi="Open Sans" w:cs="Open Sans"/>
          <w:color w:val="0000FF"/>
          <w:sz w:val="19"/>
          <w:szCs w:val="19"/>
        </w:rPr>
      </w:pPr>
      <w:hyperlink r:id="rId29">
        <w:r>
          <w:rPr>
            <w:rFonts w:ascii="Open Sans" w:eastAsia="Open Sans" w:hAnsi="Open Sans" w:cs="Open Sans"/>
            <w:color w:val="0000FF"/>
            <w:sz w:val="19"/>
            <w:szCs w:val="19"/>
            <w:u w:val="single"/>
          </w:rPr>
          <w:t>emerino@lloren</w:t>
        </w:r>
        <w:r>
          <w:rPr>
            <w:rFonts w:ascii="Open Sans" w:eastAsia="Open Sans" w:hAnsi="Open Sans" w:cs="Open Sans"/>
            <w:color w:val="0000FF"/>
            <w:sz w:val="19"/>
            <w:szCs w:val="19"/>
            <w:u w:val="single"/>
          </w:rPr>
          <w:t>teycuenca.com</w:t>
        </w:r>
      </w:hyperlink>
    </w:p>
    <w:p w14:paraId="144F7446" w14:textId="77777777" w:rsidR="00DD5508" w:rsidRDefault="0008049B">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472C4CD0" w14:textId="77777777" w:rsidR="00DD5508" w:rsidRDefault="00DD5508">
      <w:pPr>
        <w:shd w:val="clear" w:color="auto" w:fill="FFFFFF"/>
        <w:ind w:right="-716"/>
        <w:rPr>
          <w:rFonts w:ascii="Open Sans" w:eastAsia="Open Sans" w:hAnsi="Open Sans" w:cs="Open Sans"/>
          <w:color w:val="000000"/>
          <w:sz w:val="19"/>
          <w:szCs w:val="19"/>
        </w:rPr>
      </w:pPr>
    </w:p>
    <w:p w14:paraId="098BA7ED" w14:textId="77777777" w:rsidR="00DD5508" w:rsidRDefault="0008049B">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4DB5D2D7" w14:textId="77777777" w:rsidR="00DD5508" w:rsidRDefault="0008049B">
      <w:pPr>
        <w:shd w:val="clear" w:color="auto" w:fill="FFFFFF"/>
        <w:ind w:right="-716"/>
        <w:rPr>
          <w:rFonts w:ascii="Open Sans" w:eastAsia="Open Sans" w:hAnsi="Open Sans" w:cs="Open Sans"/>
          <w:color w:val="0000FF"/>
          <w:sz w:val="19"/>
          <w:szCs w:val="19"/>
        </w:rPr>
      </w:pPr>
      <w:hyperlink r:id="rId30">
        <w:r>
          <w:rPr>
            <w:rFonts w:ascii="Open Sans" w:eastAsia="Open Sans" w:hAnsi="Open Sans" w:cs="Open Sans"/>
            <w:color w:val="0000FF"/>
            <w:sz w:val="19"/>
            <w:szCs w:val="19"/>
            <w:u w:val="single"/>
          </w:rPr>
          <w:t>llazaro@llorenteycuenca.com</w:t>
        </w:r>
      </w:hyperlink>
    </w:p>
    <w:p w14:paraId="53664E3B" w14:textId="77777777" w:rsidR="00DD5508" w:rsidRDefault="0008049B">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sectPr w:rsidR="00DD5508">
      <w:footerReference w:type="default" r:id="rId3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BEDF" w14:textId="77777777" w:rsidR="0008049B" w:rsidRDefault="0008049B">
      <w:r>
        <w:separator/>
      </w:r>
    </w:p>
  </w:endnote>
  <w:endnote w:type="continuationSeparator" w:id="0">
    <w:p w14:paraId="56EF463E" w14:textId="77777777" w:rsidR="0008049B" w:rsidRDefault="0008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DDB" w14:textId="77777777" w:rsidR="00DD5508" w:rsidRDefault="0008049B">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0FF47AE3" wp14:editId="311B0572">
          <wp:simplePos x="0" y="0"/>
          <wp:positionH relativeFrom="column">
            <wp:posOffset>-1068061</wp:posOffset>
          </wp:positionH>
          <wp:positionV relativeFrom="paragraph">
            <wp:posOffset>174608</wp:posOffset>
          </wp:positionV>
          <wp:extent cx="7670550" cy="451315"/>
          <wp:effectExtent l="0" t="0" r="0" b="0"/>
          <wp:wrapSquare wrapText="bothSides" distT="0" distB="0" distL="0" distR="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6F5F" w14:textId="77777777" w:rsidR="0008049B" w:rsidRDefault="0008049B">
      <w:r>
        <w:separator/>
      </w:r>
    </w:p>
  </w:footnote>
  <w:footnote w:type="continuationSeparator" w:id="0">
    <w:p w14:paraId="5050F1DF" w14:textId="77777777" w:rsidR="0008049B" w:rsidRDefault="0008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F5E56"/>
    <w:multiLevelType w:val="multilevel"/>
    <w:tmpl w:val="B22E167E"/>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08"/>
    <w:rsid w:val="0008049B"/>
    <w:rsid w:val="00DD5508"/>
    <w:rsid w:val="00EE4A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76A9"/>
  <w15:docId w15:val="{B6338554-9A84-47D2-B74F-DDE1E77E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18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hyperlink" Target="https://www.adevinta.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quienes-somos/" TargetMode="External"/><Relationship Id="rId25" Type="http://schemas.openxmlformats.org/officeDocument/2006/relationships/hyperlink" Target="https://www.vibbo.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habitaclia.com/"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milanuncios.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comunicacion@fotocasa.es" TargetMode="External"/><Relationship Id="rId10" Type="http://schemas.openxmlformats.org/officeDocument/2006/relationships/hyperlink" Target="https://www.fotocasa.es/indice-precio-vivienda" TargetMode="External"/><Relationship Id="rId19" Type="http://schemas.openxmlformats.org/officeDocument/2006/relationships/hyperlink" Target="http://www.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image" Target="media/image3.png"/><Relationship Id="rId22" Type="http://schemas.openxmlformats.org/officeDocument/2006/relationships/hyperlink" Target="https://www.coches.net/" TargetMode="External"/><Relationship Id="rId27" Type="http://schemas.openxmlformats.org/officeDocument/2006/relationships/hyperlink" Target="mailto:rtorne@llorenteycuenca.com" TargetMode="External"/><Relationship Id="rId30" Type="http://schemas.openxmlformats.org/officeDocument/2006/relationships/hyperlink" Target="mailto:llazar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zjhUuWbQVQJZ42P+XVGnp+hMg==">AMUW2mURWyvvJj8f+Ju6tW63N8B9v8aR+yQau40lUQZ6ul3oggUO20InRmHgu5Uo0Xf7oLkfjqDRfElEXc0OWxkHFi54b/VXsAI3cx9q7r3lAUmjWyINPK4v6sdmn2Nqdf0YVsAu3Z7k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9227</Characters>
  <Application>Microsoft Office Word</Application>
  <DocSecurity>0</DocSecurity>
  <Lines>76</Lines>
  <Paragraphs>21</Paragraphs>
  <ScaleCrop>false</ScaleCrop>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2021-05-04T14:46:00Z</dcterms:created>
  <dcterms:modified xsi:type="dcterms:W3CDTF">2021-09-21T14:23:00Z</dcterms:modified>
</cp:coreProperties>
</file>