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1398" w14:textId="77777777" w:rsidR="0031300E" w:rsidRDefault="00055ADB">
      <w:r>
        <w:rPr>
          <w:noProof/>
        </w:rPr>
        <w:drawing>
          <wp:anchor distT="0" distB="0" distL="0" distR="0" simplePos="0" relativeHeight="251658240" behindDoc="0" locked="0" layoutInCell="1" hidden="0" allowOverlap="1" wp14:anchorId="60A84606" wp14:editId="32932B2C">
            <wp:simplePos x="0" y="0"/>
            <wp:positionH relativeFrom="column">
              <wp:posOffset>-1056063</wp:posOffset>
            </wp:positionH>
            <wp:positionV relativeFrom="paragraph">
              <wp:posOffset>-346332</wp:posOffset>
            </wp:positionV>
            <wp:extent cx="7711147" cy="1037167"/>
            <wp:effectExtent l="0" t="0" r="0" b="0"/>
            <wp:wrapSquare wrapText="bothSides" distT="0" distB="0" distL="0" distR="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5F06A727" w14:textId="77777777" w:rsidR="0031300E" w:rsidRDefault="0031300E">
      <w:pPr>
        <w:jc w:val="center"/>
        <w:rPr>
          <w:rFonts w:ascii="National" w:eastAsia="National" w:hAnsi="National" w:cs="National"/>
          <w:color w:val="303AB2"/>
          <w:sz w:val="36"/>
          <w:szCs w:val="36"/>
        </w:rPr>
      </w:pPr>
    </w:p>
    <w:p w14:paraId="1D476374" w14:textId="77777777" w:rsidR="0031300E" w:rsidRDefault="00055ADB">
      <w:pPr>
        <w:pBdr>
          <w:top w:val="nil"/>
          <w:left w:val="nil"/>
          <w:bottom w:val="nil"/>
          <w:right w:val="nil"/>
          <w:between w:val="nil"/>
        </w:pBdr>
        <w:shd w:val="clear" w:color="auto" w:fill="FFFFFF"/>
        <w:spacing w:after="225" w:line="276" w:lineRule="auto"/>
        <w:ind w:left="708" w:hanging="708"/>
        <w:jc w:val="center"/>
        <w:rPr>
          <w:rFonts w:ascii="National" w:eastAsia="National" w:hAnsi="National" w:cs="National"/>
          <w:b/>
          <w:color w:val="303AB2"/>
          <w:sz w:val="46"/>
          <w:szCs w:val="46"/>
        </w:rPr>
      </w:pPr>
      <w:r>
        <w:rPr>
          <w:rFonts w:ascii="National" w:eastAsia="National" w:hAnsi="National" w:cs="National"/>
          <w:b/>
          <w:color w:val="303AB2"/>
          <w:sz w:val="46"/>
          <w:szCs w:val="46"/>
        </w:rPr>
        <w:t>"La firma de hipotecas supera las 30.000 operaciones firmadas por séptima vez este año"</w:t>
      </w:r>
    </w:p>
    <w:p w14:paraId="56BF1C46" w14:textId="77777777" w:rsidR="0031300E" w:rsidRDefault="00055ADB">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 xml:space="preserve"> Madrid, 27 de octubre de 2021</w:t>
      </w:r>
    </w:p>
    <w:p w14:paraId="7CACA00A" w14:textId="77777777" w:rsidR="0031300E" w:rsidRDefault="00055ADB">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Hipotecas correspondientes al pasado mes de </w:t>
      </w:r>
      <w:r>
        <w:rPr>
          <w:rFonts w:ascii="Open Sans" w:eastAsia="Open Sans" w:hAnsi="Open Sans" w:cs="Open Sans"/>
          <w:sz w:val="21"/>
          <w:szCs w:val="21"/>
        </w:rPr>
        <w:t>agosto</w:t>
      </w:r>
      <w:r>
        <w:rPr>
          <w:rFonts w:ascii="Open Sans" w:eastAsia="Open Sans" w:hAnsi="Open Sans" w:cs="Open Sans"/>
          <w:color w:val="000000"/>
          <w:sz w:val="21"/>
          <w:szCs w:val="21"/>
        </w:rPr>
        <w:t xml:space="preserve"> dados a conocer hoy por el INE, reflejan </w:t>
      </w:r>
      <w:r>
        <w:rPr>
          <w:rFonts w:ascii="Open Sans" w:eastAsia="Open Sans" w:hAnsi="Open Sans" w:cs="Open Sans"/>
          <w:sz w:val="21"/>
          <w:szCs w:val="21"/>
        </w:rPr>
        <w:t>un descenso mensual del -</w:t>
      </w:r>
      <w:r>
        <w:rPr>
          <w:rFonts w:ascii="Open Sans" w:eastAsia="Open Sans" w:hAnsi="Open Sans" w:cs="Open Sans"/>
          <w:b/>
          <w:sz w:val="21"/>
          <w:szCs w:val="21"/>
        </w:rPr>
        <w:t>6,3%</w:t>
      </w:r>
      <w:r>
        <w:rPr>
          <w:rFonts w:ascii="Open Sans" w:eastAsia="Open Sans" w:hAnsi="Open Sans" w:cs="Open Sans"/>
          <w:sz w:val="21"/>
          <w:szCs w:val="21"/>
        </w:rPr>
        <w:t>, y</w:t>
      </w:r>
      <w:r>
        <w:rPr>
          <w:rFonts w:ascii="Open Sans" w:eastAsia="Open Sans" w:hAnsi="Open Sans" w:cs="Open Sans"/>
          <w:color w:val="000000"/>
          <w:sz w:val="21"/>
          <w:szCs w:val="21"/>
        </w:rPr>
        <w:t xml:space="preserve"> una </w:t>
      </w:r>
      <w:r>
        <w:rPr>
          <w:rFonts w:ascii="Open Sans" w:eastAsia="Open Sans" w:hAnsi="Open Sans" w:cs="Open Sans"/>
          <w:sz w:val="21"/>
          <w:szCs w:val="21"/>
        </w:rPr>
        <w:t>subida</w:t>
      </w:r>
      <w:r>
        <w:rPr>
          <w:rFonts w:ascii="Open Sans" w:eastAsia="Open Sans" w:hAnsi="Open Sans" w:cs="Open Sans"/>
          <w:color w:val="000000"/>
          <w:sz w:val="21"/>
          <w:szCs w:val="21"/>
        </w:rPr>
        <w:t xml:space="preserve">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w:t>
      </w:r>
      <w:r>
        <w:rPr>
          <w:rFonts w:ascii="Open Sans" w:eastAsia="Open Sans" w:hAnsi="Open Sans" w:cs="Open Sans"/>
          <w:sz w:val="21"/>
          <w:szCs w:val="21"/>
        </w:rPr>
        <w:t xml:space="preserve"> </w:t>
      </w:r>
      <w:r>
        <w:rPr>
          <w:rFonts w:ascii="Open Sans" w:eastAsia="Open Sans" w:hAnsi="Open Sans" w:cs="Open Sans"/>
          <w:b/>
          <w:sz w:val="21"/>
          <w:szCs w:val="21"/>
        </w:rPr>
        <w:t>66,9</w:t>
      </w:r>
      <w:r>
        <w:rPr>
          <w:rFonts w:ascii="Open Sans" w:eastAsia="Open Sans" w:hAnsi="Open Sans" w:cs="Open Sans"/>
          <w:b/>
          <w:color w:val="000000"/>
          <w:sz w:val="21"/>
          <w:szCs w:val="21"/>
        </w:rPr>
        <w:t>%</w:t>
      </w:r>
      <w:r>
        <w:rPr>
          <w:rFonts w:ascii="Open Sans" w:eastAsia="Open Sans" w:hAnsi="Open Sans" w:cs="Open Sans"/>
          <w:sz w:val="21"/>
          <w:szCs w:val="21"/>
        </w:rPr>
        <w:t xml:space="preserve">, encadenando siete meses de ascensos interanuales consecutivos. Así, agosto cierra con </w:t>
      </w:r>
      <w:r>
        <w:rPr>
          <w:rFonts w:ascii="Open Sans" w:eastAsia="Open Sans" w:hAnsi="Open Sans" w:cs="Open Sans"/>
          <w:b/>
          <w:sz w:val="21"/>
          <w:szCs w:val="21"/>
        </w:rPr>
        <w:t xml:space="preserve">33.105 </w:t>
      </w:r>
      <w:r>
        <w:rPr>
          <w:rFonts w:ascii="Open Sans" w:eastAsia="Open Sans" w:hAnsi="Open Sans" w:cs="Open Sans"/>
          <w:b/>
          <w:color w:val="000000"/>
          <w:sz w:val="21"/>
          <w:szCs w:val="21"/>
        </w:rPr>
        <w:t>hipotecas concedidas</w:t>
      </w:r>
      <w:r>
        <w:rPr>
          <w:rFonts w:ascii="Open Sans" w:eastAsia="Open Sans" w:hAnsi="Open Sans" w:cs="Open Sans"/>
          <w:color w:val="000000"/>
          <w:sz w:val="21"/>
          <w:szCs w:val="21"/>
        </w:rPr>
        <w:t>,</w:t>
      </w:r>
      <w:r>
        <w:rPr>
          <w:rFonts w:ascii="Open Sans" w:eastAsia="Open Sans" w:hAnsi="Open Sans" w:cs="Open Sans"/>
          <w:sz w:val="21"/>
          <w:szCs w:val="21"/>
        </w:rPr>
        <w:t xml:space="preserve"> una cifra que sitúa la contratación de estos préstamos en niveles superiores a los que vimos durante el impacto de la pandemia. “Esta variación interanual tan elevada pone de manifiesto el gran dinamismo que está viviendo el sector inmobiliario y, en conc</w:t>
      </w:r>
      <w:r>
        <w:rPr>
          <w:rFonts w:ascii="Open Sans" w:eastAsia="Open Sans" w:hAnsi="Open Sans" w:cs="Open Sans"/>
          <w:sz w:val="21"/>
          <w:szCs w:val="21"/>
        </w:rPr>
        <w:t>reto, la compra de vivienda. Y es que en agosto de 2020 ya se habían reactivado, en parte, las operaciones que se habían quedado paralizadas por el estado de alarma y aún así, un año después, la variación es de un 67% ”, explica María Matos, directora de E</w:t>
      </w:r>
      <w:r>
        <w:rPr>
          <w:rFonts w:ascii="Open Sans" w:eastAsia="Open Sans" w:hAnsi="Open Sans" w:cs="Open Sans"/>
          <w:sz w:val="21"/>
          <w:szCs w:val="21"/>
        </w:rPr>
        <w:t xml:space="preserve">studios y Portavoz de </w:t>
      </w:r>
      <w:hyperlink r:id="rId8">
        <w:r>
          <w:rPr>
            <w:rFonts w:ascii="Open Sans" w:eastAsia="Open Sans" w:hAnsi="Open Sans" w:cs="Open Sans"/>
            <w:b/>
            <w:color w:val="0563C1"/>
            <w:sz w:val="21"/>
            <w:szCs w:val="21"/>
            <w:u w:val="single"/>
          </w:rPr>
          <w:t>Fotocasa</w:t>
        </w:r>
      </w:hyperlink>
      <w:r>
        <w:rPr>
          <w:rFonts w:ascii="Open Sans" w:eastAsia="Open Sans" w:hAnsi="Open Sans" w:cs="Open Sans"/>
          <w:sz w:val="21"/>
          <w:szCs w:val="21"/>
        </w:rPr>
        <w:t>.</w:t>
      </w:r>
    </w:p>
    <w:p w14:paraId="05848E15" w14:textId="033F4FBA" w:rsidR="0031300E" w:rsidRDefault="00055ADB">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t>Con el mes de agosto ya son siete los meses en que de forma consecutiva se cierra con más de 30.000 hipotecas firmadas, unas cifras mes a mes que no veíamos desde 2011. “El cierre d</w:t>
      </w:r>
      <w:r>
        <w:rPr>
          <w:rFonts w:ascii="Open Sans" w:eastAsia="Open Sans" w:hAnsi="Open Sans" w:cs="Open Sans"/>
          <w:sz w:val="21"/>
          <w:szCs w:val="21"/>
        </w:rPr>
        <w:t xml:space="preserve">e operaciones del mes de agosto supera la barrera de las 30.000 hipotecas firmadas por séptima vez este año. Lo que indica que el ritmo se está manteniendo estable </w:t>
      </w:r>
      <w:r w:rsidR="00DF32A3">
        <w:rPr>
          <w:rFonts w:ascii="Open Sans" w:eastAsia="Open Sans" w:hAnsi="Open Sans" w:cs="Open Sans"/>
          <w:sz w:val="21"/>
          <w:szCs w:val="21"/>
        </w:rPr>
        <w:t>y con</w:t>
      </w:r>
      <w:r>
        <w:rPr>
          <w:rFonts w:ascii="Open Sans" w:eastAsia="Open Sans" w:hAnsi="Open Sans" w:cs="Open Sans"/>
          <w:sz w:val="21"/>
          <w:szCs w:val="21"/>
        </w:rPr>
        <w:t xml:space="preserve"> cifras muy positivas”. Son datos que dejan claro que el impacto de la pandemia ha impulsa</w:t>
      </w:r>
      <w:r>
        <w:rPr>
          <w:rFonts w:ascii="Open Sans" w:eastAsia="Open Sans" w:hAnsi="Open Sans" w:cs="Open Sans"/>
          <w:sz w:val="21"/>
          <w:szCs w:val="21"/>
        </w:rPr>
        <w:t xml:space="preserve">do </w:t>
      </w:r>
      <w:r w:rsidR="00DF32A3">
        <w:rPr>
          <w:rFonts w:ascii="Open Sans" w:eastAsia="Open Sans" w:hAnsi="Open Sans" w:cs="Open Sans"/>
          <w:sz w:val="21"/>
          <w:szCs w:val="21"/>
        </w:rPr>
        <w:t>la compra de vivienda</w:t>
      </w:r>
      <w:r>
        <w:rPr>
          <w:rFonts w:ascii="Open Sans" w:eastAsia="Open Sans" w:hAnsi="Open Sans" w:cs="Open Sans"/>
          <w:sz w:val="21"/>
          <w:szCs w:val="21"/>
        </w:rPr>
        <w:t xml:space="preserve">, aún en un mes de época estival como es agosto, </w:t>
      </w:r>
      <w:r w:rsidR="00DF32A3">
        <w:rPr>
          <w:rFonts w:ascii="Open Sans" w:eastAsia="Open Sans" w:hAnsi="Open Sans" w:cs="Open Sans"/>
          <w:sz w:val="21"/>
          <w:szCs w:val="21"/>
        </w:rPr>
        <w:t>en el que</w:t>
      </w:r>
      <w:r>
        <w:rPr>
          <w:rFonts w:ascii="Open Sans" w:eastAsia="Open Sans" w:hAnsi="Open Sans" w:cs="Open Sans"/>
          <w:sz w:val="21"/>
          <w:szCs w:val="21"/>
        </w:rPr>
        <w:t xml:space="preserve"> generalmente suele haber menos actividad. </w:t>
      </w:r>
      <w:r w:rsidR="00957F89">
        <w:rPr>
          <w:rFonts w:ascii="Open Sans" w:eastAsia="Open Sans" w:hAnsi="Open Sans" w:cs="Open Sans"/>
          <w:sz w:val="21"/>
          <w:szCs w:val="21"/>
        </w:rPr>
        <w:t xml:space="preserve">Así, </w:t>
      </w:r>
      <w:r>
        <w:rPr>
          <w:rFonts w:ascii="Open Sans" w:eastAsia="Open Sans" w:hAnsi="Open Sans" w:cs="Open Sans"/>
          <w:sz w:val="21"/>
          <w:szCs w:val="21"/>
        </w:rPr>
        <w:t>los datos muestran que la percepción de incertidumbre va decreciendo y los españoles vuelven a</w:t>
      </w:r>
      <w:r>
        <w:rPr>
          <w:rFonts w:ascii="Open Sans" w:eastAsia="Open Sans" w:hAnsi="Open Sans" w:cs="Open Sans"/>
          <w:sz w:val="21"/>
          <w:szCs w:val="21"/>
        </w:rPr>
        <w:t xml:space="preserve"> tener un comportamiento muy activo, algo que evidencia que el sector se ha restablecido a muy buen ritmo de la paralización producida por la pandemia</w:t>
      </w:r>
      <w:r>
        <w:rPr>
          <w:rFonts w:ascii="Open Sans" w:eastAsia="Open Sans" w:hAnsi="Open Sans" w:cs="Open Sans"/>
          <w:color w:val="000000"/>
          <w:sz w:val="21"/>
          <w:szCs w:val="21"/>
        </w:rPr>
        <w:t xml:space="preserve">”, explica la directora de </w:t>
      </w:r>
      <w:r>
        <w:rPr>
          <w:rFonts w:ascii="Open Sans" w:eastAsia="Open Sans" w:hAnsi="Open Sans" w:cs="Open Sans"/>
          <w:sz w:val="21"/>
          <w:szCs w:val="21"/>
        </w:rPr>
        <w:t>Estudios</w:t>
      </w:r>
      <w:r>
        <w:rPr>
          <w:rFonts w:ascii="Open Sans" w:eastAsia="Open Sans" w:hAnsi="Open Sans" w:cs="Open Sans"/>
          <w:color w:val="000000"/>
          <w:sz w:val="21"/>
          <w:szCs w:val="21"/>
        </w:rPr>
        <w:t>.</w:t>
      </w:r>
    </w:p>
    <w:p w14:paraId="22F6EFEE" w14:textId="77777777" w:rsidR="00DF32A3" w:rsidRDefault="00DF32A3">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p>
    <w:p w14:paraId="494B6537" w14:textId="77777777" w:rsidR="0031300E" w:rsidRDefault="00055ADB">
      <w:pP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lastRenderedPageBreak/>
        <w:t xml:space="preserve">“Esperamos seguir viendo esta mejora en los datos hipotecarios, ya que el sector bancario ha estado trabajando para favorecer este impulso, abaratando los precios para estimular las ventas. De hecho, estos últimos meses, hemos visto a varias entidades con </w:t>
      </w:r>
      <w:r>
        <w:rPr>
          <w:rFonts w:ascii="Open Sans" w:eastAsia="Open Sans" w:hAnsi="Open Sans" w:cs="Open Sans"/>
          <w:sz w:val="21"/>
          <w:szCs w:val="21"/>
        </w:rPr>
        <w:t>las mayores bajadas de precios que se recuerdan. Las buenas condiciones de rebaja de intereses actuales están haciendo que muchos pequeños ahorradores se lancen a comprar vivienda” comenta María Matos y añade que “la salud de la banca es crucial para que l</w:t>
      </w:r>
      <w:r>
        <w:rPr>
          <w:rFonts w:ascii="Open Sans" w:eastAsia="Open Sans" w:hAnsi="Open Sans" w:cs="Open Sans"/>
          <w:sz w:val="21"/>
          <w:szCs w:val="21"/>
        </w:rPr>
        <w:t xml:space="preserve">a financiación siga llegando al bolsillo de las familias españolas. Es una prueba de que los bancos encaran esta situación con las cuentas saneadas y con unos cimientos sólidos”. </w:t>
      </w:r>
    </w:p>
    <w:p w14:paraId="6C76C18D" w14:textId="1927EFB5" w:rsidR="0031300E" w:rsidRDefault="00957F89">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color w:val="000000"/>
          <w:sz w:val="21"/>
          <w:szCs w:val="21"/>
        </w:rPr>
        <w:t>En esta línea,</w:t>
      </w:r>
      <w:r w:rsidR="00055ADB">
        <w:rPr>
          <w:rFonts w:ascii="Open Sans" w:eastAsia="Open Sans" w:hAnsi="Open Sans" w:cs="Open Sans"/>
          <w:color w:val="000000"/>
          <w:sz w:val="21"/>
          <w:szCs w:val="21"/>
        </w:rPr>
        <w:t xml:space="preserve"> </w:t>
      </w:r>
      <w:r w:rsidR="00055ADB">
        <w:rPr>
          <w:rFonts w:ascii="Open Sans" w:eastAsia="Open Sans" w:hAnsi="Open Sans" w:cs="Open Sans"/>
          <w:sz w:val="21"/>
          <w:szCs w:val="21"/>
        </w:rPr>
        <w:t>la pasada semana</w:t>
      </w:r>
      <w:r w:rsidR="00055ADB">
        <w:rPr>
          <w:rFonts w:ascii="Open Sans" w:eastAsia="Open Sans" w:hAnsi="Open Sans" w:cs="Open Sans"/>
          <w:color w:val="000000"/>
          <w:sz w:val="21"/>
          <w:szCs w:val="21"/>
        </w:rPr>
        <w:t xml:space="preserve"> </w:t>
      </w:r>
      <w:hyperlink r:id="rId9">
        <w:r w:rsidR="00055ADB">
          <w:rPr>
            <w:rFonts w:ascii="Open Sans" w:eastAsia="Open Sans" w:hAnsi="Open Sans" w:cs="Open Sans"/>
            <w:b/>
            <w:color w:val="0563C1"/>
            <w:sz w:val="21"/>
            <w:szCs w:val="21"/>
            <w:u w:val="single"/>
          </w:rPr>
          <w:t>Fotoca</w:t>
        </w:r>
        <w:r w:rsidR="00055ADB">
          <w:rPr>
            <w:rFonts w:ascii="Open Sans" w:eastAsia="Open Sans" w:hAnsi="Open Sans" w:cs="Open Sans"/>
            <w:b/>
            <w:color w:val="0563C1"/>
            <w:sz w:val="21"/>
            <w:szCs w:val="21"/>
            <w:u w:val="single"/>
          </w:rPr>
          <w:t>sa</w:t>
        </w:r>
      </w:hyperlink>
      <w:r w:rsidR="00055ADB">
        <w:rPr>
          <w:rFonts w:ascii="Open Sans" w:eastAsia="Open Sans" w:hAnsi="Open Sans" w:cs="Open Sans"/>
          <w:color w:val="000000"/>
          <w:sz w:val="21"/>
          <w:szCs w:val="21"/>
        </w:rPr>
        <w:t xml:space="preserve"> publicaba el informe </w:t>
      </w:r>
      <w:r w:rsidR="00055ADB">
        <w:rPr>
          <w:rFonts w:ascii="Open Sans" w:eastAsia="Open Sans" w:hAnsi="Open Sans" w:cs="Open Sans"/>
          <w:color w:val="000000"/>
          <w:sz w:val="21"/>
          <w:szCs w:val="21"/>
        </w:rPr>
        <w:t>“</w:t>
      </w:r>
      <w:r w:rsidR="00055ADB">
        <w:rPr>
          <w:rFonts w:ascii="Open Sans" w:eastAsia="Open Sans" w:hAnsi="Open Sans" w:cs="Open Sans"/>
          <w:b/>
          <w:color w:val="1155CC"/>
          <w:sz w:val="21"/>
          <w:szCs w:val="21"/>
          <w:u w:val="single"/>
        </w:rPr>
        <w:t>Radiografía de la vivienda</w:t>
      </w:r>
      <w:r>
        <w:rPr>
          <w:rFonts w:ascii="Open Sans" w:eastAsia="Open Sans" w:hAnsi="Open Sans" w:cs="Open Sans"/>
          <w:b/>
          <w:color w:val="1155CC"/>
          <w:sz w:val="21"/>
          <w:szCs w:val="21"/>
          <w:u w:val="single"/>
        </w:rPr>
        <w:t xml:space="preserve"> en el segundo semestre del año</w:t>
      </w:r>
      <w:r w:rsidR="00055ADB">
        <w:rPr>
          <w:rFonts w:ascii="Open Sans" w:eastAsia="Open Sans" w:hAnsi="Open Sans" w:cs="Open Sans"/>
          <w:color w:val="000000"/>
          <w:sz w:val="21"/>
          <w:szCs w:val="21"/>
        </w:rPr>
        <w:t xml:space="preserve">” </w:t>
      </w:r>
      <w:r w:rsidR="00055ADB">
        <w:rPr>
          <w:rFonts w:ascii="Open Sans" w:eastAsia="Open Sans" w:hAnsi="Open Sans" w:cs="Open Sans"/>
          <w:sz w:val="21"/>
          <w:szCs w:val="21"/>
        </w:rPr>
        <w:t xml:space="preserve">en el que se muestra que </w:t>
      </w:r>
      <w:r w:rsidR="00055ADB">
        <w:rPr>
          <w:rFonts w:ascii="Open Sans" w:eastAsia="Open Sans" w:hAnsi="Open Sans" w:cs="Open Sans"/>
          <w:color w:val="000000"/>
          <w:sz w:val="21"/>
          <w:szCs w:val="21"/>
        </w:rPr>
        <w:t>la participació</w:t>
      </w:r>
      <w:r w:rsidR="00055ADB">
        <w:rPr>
          <w:rFonts w:ascii="Open Sans" w:eastAsia="Open Sans" w:hAnsi="Open Sans" w:cs="Open Sans"/>
          <w:color w:val="000000"/>
          <w:sz w:val="21"/>
          <w:szCs w:val="21"/>
        </w:rPr>
        <w:t xml:space="preserve">n de los españoles en el mercado </w:t>
      </w:r>
      <w:r w:rsidR="00055ADB">
        <w:rPr>
          <w:rFonts w:ascii="Open Sans" w:eastAsia="Open Sans" w:hAnsi="Open Sans" w:cs="Open Sans"/>
          <w:sz w:val="21"/>
          <w:szCs w:val="21"/>
        </w:rPr>
        <w:t>de la compra no solo se ha recuperado, sino que presenta datos superiores a los registrados antes de que el coronavirus impactase en España</w:t>
      </w:r>
      <w:r>
        <w:rPr>
          <w:rFonts w:ascii="Open Sans" w:eastAsia="Open Sans" w:hAnsi="Open Sans" w:cs="Open Sans"/>
          <w:sz w:val="21"/>
          <w:szCs w:val="21"/>
        </w:rPr>
        <w:t xml:space="preserve">. Así, el informe muestra que si </w:t>
      </w:r>
      <w:r w:rsidR="00055ADB">
        <w:rPr>
          <w:rFonts w:ascii="Open Sans" w:eastAsia="Open Sans" w:hAnsi="Open Sans" w:cs="Open Sans"/>
          <w:sz w:val="21"/>
          <w:szCs w:val="21"/>
        </w:rPr>
        <w:t xml:space="preserve">en febrero de 2020 el 39% de la demanda de vivienda buscaba comprar y </w:t>
      </w:r>
      <w:r>
        <w:rPr>
          <w:rFonts w:ascii="Open Sans" w:eastAsia="Open Sans" w:hAnsi="Open Sans" w:cs="Open Sans"/>
          <w:sz w:val="21"/>
          <w:szCs w:val="21"/>
        </w:rPr>
        <w:t>en septiembre de 2021</w:t>
      </w:r>
      <w:r w:rsidR="00055ADB">
        <w:rPr>
          <w:rFonts w:ascii="Open Sans" w:eastAsia="Open Sans" w:hAnsi="Open Sans" w:cs="Open Sans"/>
          <w:sz w:val="21"/>
          <w:szCs w:val="21"/>
        </w:rPr>
        <w:t xml:space="preserve"> ha </w:t>
      </w:r>
      <w:r w:rsidR="00055ADB">
        <w:rPr>
          <w:rFonts w:ascii="Open Sans" w:eastAsia="Open Sans" w:hAnsi="Open Sans" w:cs="Open Sans"/>
          <w:sz w:val="21"/>
          <w:szCs w:val="21"/>
        </w:rPr>
        <w:t>aumentado al 44%</w:t>
      </w:r>
      <w:r w:rsidR="00055ADB">
        <w:rPr>
          <w:rFonts w:ascii="Open Sans" w:eastAsia="Open Sans" w:hAnsi="Open Sans" w:cs="Open Sans"/>
          <w:sz w:val="21"/>
          <w:szCs w:val="21"/>
        </w:rPr>
        <w:t xml:space="preserve">. </w:t>
      </w:r>
      <w:r w:rsidR="00055ADB">
        <w:rPr>
          <w:rFonts w:ascii="Open Sans" w:eastAsia="Open Sans" w:hAnsi="Open Sans" w:cs="Open Sans"/>
          <w:color w:val="000000"/>
          <w:sz w:val="21"/>
          <w:szCs w:val="21"/>
        </w:rPr>
        <w:t xml:space="preserve">“La demanda de compra está viviendo un auge sin precedentes. </w:t>
      </w:r>
      <w:r w:rsidR="00055ADB">
        <w:rPr>
          <w:rFonts w:ascii="Open Sans" w:eastAsia="Open Sans" w:hAnsi="Open Sans" w:cs="Open Sans"/>
          <w:sz w:val="21"/>
          <w:szCs w:val="21"/>
        </w:rPr>
        <w:t xml:space="preserve">El interés por comprar está impulsando la recuperación de este mercado y mostrado cifras históricas en cuanto a la participación de la compra” </w:t>
      </w:r>
      <w:r w:rsidR="00055ADB">
        <w:rPr>
          <w:rFonts w:ascii="Open Sans" w:eastAsia="Open Sans" w:hAnsi="Open Sans" w:cs="Open Sans"/>
          <w:color w:val="000000"/>
          <w:sz w:val="21"/>
          <w:szCs w:val="21"/>
        </w:rPr>
        <w:t xml:space="preserve">remarca </w:t>
      </w:r>
      <w:r w:rsidR="00055ADB">
        <w:rPr>
          <w:rFonts w:ascii="Open Sans" w:eastAsia="Open Sans" w:hAnsi="Open Sans" w:cs="Open Sans"/>
          <w:sz w:val="21"/>
          <w:szCs w:val="21"/>
        </w:rPr>
        <w:t>María Matos</w:t>
      </w:r>
      <w:r w:rsidR="00055ADB">
        <w:rPr>
          <w:rFonts w:ascii="Open Sans" w:eastAsia="Open Sans" w:hAnsi="Open Sans" w:cs="Open Sans"/>
          <w:color w:val="000000"/>
          <w:sz w:val="21"/>
          <w:szCs w:val="21"/>
        </w:rPr>
        <w:t>.</w:t>
      </w:r>
    </w:p>
    <w:p w14:paraId="22EC1E82" w14:textId="77777777" w:rsidR="0031300E" w:rsidRDefault="00055ADB">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sz w:val="21"/>
          <w:szCs w:val="21"/>
        </w:rPr>
      </w:pPr>
      <w:r>
        <w:rPr>
          <w:rFonts w:ascii="Open Sans" w:eastAsia="Open Sans" w:hAnsi="Open Sans" w:cs="Open Sans"/>
          <w:sz w:val="21"/>
          <w:szCs w:val="21"/>
        </w:rPr>
        <w:t>“Estos datos</w:t>
      </w:r>
      <w:r>
        <w:rPr>
          <w:rFonts w:ascii="Open Sans" w:eastAsia="Open Sans" w:hAnsi="Open Sans" w:cs="Open Sans"/>
          <w:sz w:val="21"/>
          <w:szCs w:val="21"/>
        </w:rPr>
        <w:t xml:space="preserve"> acompañan al buen ritmo al que está evolucionando el sector inmobiliario, que también se refleja en la compraventa de viviendas. Ya podemos decir, que cerraremos el año con muy buenas cifras de actividad inmobiliaria, a pesar del parón de la pandemia</w:t>
      </w:r>
      <w:r>
        <w:rPr>
          <w:rFonts w:ascii="Open Sans" w:eastAsia="Open Sans" w:hAnsi="Open Sans" w:cs="Open Sans"/>
          <w:color w:val="000000"/>
          <w:sz w:val="21"/>
          <w:szCs w:val="21"/>
        </w:rPr>
        <w:t>”, co</w:t>
      </w:r>
      <w:r>
        <w:rPr>
          <w:rFonts w:ascii="Open Sans" w:eastAsia="Open Sans" w:hAnsi="Open Sans" w:cs="Open Sans"/>
          <w:color w:val="000000"/>
          <w:sz w:val="21"/>
          <w:szCs w:val="21"/>
        </w:rPr>
        <w:t xml:space="preserve">ncluye </w:t>
      </w:r>
      <w:r>
        <w:rPr>
          <w:rFonts w:ascii="Open Sans" w:eastAsia="Open Sans" w:hAnsi="Open Sans" w:cs="Open Sans"/>
          <w:sz w:val="21"/>
          <w:szCs w:val="21"/>
        </w:rPr>
        <w:t xml:space="preserve">la directora de Estudios y Portavoz de </w:t>
      </w:r>
      <w:hyperlink r:id="rId10">
        <w:r>
          <w:rPr>
            <w:rFonts w:ascii="Open Sans" w:eastAsia="Open Sans" w:hAnsi="Open Sans" w:cs="Open Sans"/>
            <w:b/>
            <w:color w:val="0563C1"/>
            <w:sz w:val="21"/>
            <w:szCs w:val="21"/>
            <w:u w:val="single"/>
          </w:rPr>
          <w:t>Fotocasa</w:t>
        </w:r>
      </w:hyperlink>
      <w:r>
        <w:rPr>
          <w:rFonts w:ascii="Open Sans" w:eastAsia="Open Sans" w:hAnsi="Open Sans" w:cs="Open Sans"/>
          <w:color w:val="000000"/>
          <w:sz w:val="21"/>
          <w:szCs w:val="21"/>
        </w:rPr>
        <w:t>.</w:t>
      </w:r>
    </w:p>
    <w:p w14:paraId="575B2470" w14:textId="77777777" w:rsidR="0031300E" w:rsidRDefault="0031300E">
      <w:pPr>
        <w:pBdr>
          <w:top w:val="nil"/>
          <w:left w:val="nil"/>
          <w:bottom w:val="nil"/>
          <w:right w:val="nil"/>
          <w:between w:val="nil"/>
        </w:pBdr>
        <w:shd w:val="clear" w:color="auto" w:fill="FFFFFF"/>
        <w:spacing w:before="280" w:after="280" w:line="276" w:lineRule="auto"/>
        <w:ind w:right="-7"/>
        <w:jc w:val="both"/>
        <w:rPr>
          <w:rFonts w:ascii="Open Sans" w:eastAsia="Open Sans" w:hAnsi="Open Sans" w:cs="Open Sans"/>
          <w:color w:val="000000"/>
          <w:sz w:val="21"/>
          <w:szCs w:val="21"/>
        </w:rPr>
      </w:pPr>
    </w:p>
    <w:p w14:paraId="5E91B3E7" w14:textId="77777777" w:rsidR="0031300E" w:rsidRDefault="00055ADB">
      <w:pPr>
        <w:spacing w:line="276" w:lineRule="auto"/>
        <w:ind w:right="-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16AF8F3E" w14:textId="77777777" w:rsidR="0031300E" w:rsidRDefault="00055ADB">
      <w:pPr>
        <w:pBdr>
          <w:top w:val="nil"/>
          <w:left w:val="nil"/>
          <w:bottom w:val="nil"/>
          <w:right w:val="nil"/>
          <w:between w:val="nil"/>
        </w:pBdr>
        <w:shd w:val="clear" w:color="auto" w:fill="FFFFFF"/>
        <w:spacing w:line="276" w:lineRule="auto"/>
        <w:ind w:right="-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68170DB2" w14:textId="77777777" w:rsidR="0031300E" w:rsidRDefault="00055ADB">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57754D24" w14:textId="77777777" w:rsidR="0031300E" w:rsidRDefault="00055ADB">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hyperlink r:id="rId11">
        <w:r>
          <w:rPr>
            <w:rFonts w:ascii="Open Sans" w:eastAsia="Open Sans" w:hAnsi="Open Sans" w:cs="Open Sans"/>
            <w:color w:val="0563C1"/>
            <w:sz w:val="21"/>
            <w:szCs w:val="21"/>
            <w:u w:val="single"/>
          </w:rPr>
          <w:t>comunicacion@fotocasa.es</w:t>
        </w:r>
      </w:hyperlink>
    </w:p>
    <w:p w14:paraId="4A1D31FF" w14:textId="77777777" w:rsidR="0031300E" w:rsidRDefault="00055ADB">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hyperlink r:id="rId12">
        <w:r>
          <w:rPr>
            <w:rFonts w:ascii="Open Sans" w:eastAsia="Open Sans" w:hAnsi="Open Sans" w:cs="Open Sans"/>
            <w:color w:val="0563C1"/>
            <w:sz w:val="21"/>
            <w:szCs w:val="21"/>
            <w:u w:val="single"/>
          </w:rPr>
          <w:t>http://prensa.fotocasa.es</w:t>
        </w:r>
      </w:hyperlink>
    </w:p>
    <w:p w14:paraId="5D13EE42" w14:textId="77777777" w:rsidR="0031300E" w:rsidRDefault="00055ADB">
      <w:pPr>
        <w:pBdr>
          <w:top w:val="nil"/>
          <w:left w:val="nil"/>
          <w:bottom w:val="nil"/>
          <w:right w:val="nil"/>
          <w:between w:val="nil"/>
        </w:pBdr>
        <w:shd w:val="clear" w:color="auto" w:fill="FFFFFF"/>
        <w:spacing w:line="276" w:lineRule="auto"/>
        <w:ind w:right="-7"/>
        <w:jc w:val="right"/>
        <w:rPr>
          <w:rFonts w:ascii="Open Sans" w:eastAsia="Open Sans" w:hAnsi="Open Sans" w:cs="Open Sans"/>
          <w:color w:val="000000"/>
          <w:sz w:val="21"/>
          <w:szCs w:val="21"/>
        </w:rPr>
      </w:pPr>
      <w:r>
        <w:rPr>
          <w:rFonts w:ascii="Open Sans" w:eastAsia="Open Sans" w:hAnsi="Open Sans" w:cs="Open Sans"/>
          <w:color w:val="000000"/>
          <w:sz w:val="21"/>
          <w:szCs w:val="21"/>
        </w:rPr>
        <w:t>twitter: @fotocasa</w:t>
      </w:r>
    </w:p>
    <w:sectPr w:rsidR="0031300E">
      <w:footerReference w:type="default" r:id="rId1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A53B" w14:textId="77777777" w:rsidR="00055ADB" w:rsidRDefault="00055ADB">
      <w:r>
        <w:separator/>
      </w:r>
    </w:p>
  </w:endnote>
  <w:endnote w:type="continuationSeparator" w:id="0">
    <w:p w14:paraId="490D8ECB" w14:textId="77777777" w:rsidR="00055ADB" w:rsidRDefault="0005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426C" w14:textId="77777777" w:rsidR="0031300E" w:rsidRDefault="00055ADB">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56C753F1" wp14:editId="37EC2150">
          <wp:simplePos x="0" y="0"/>
          <wp:positionH relativeFrom="column">
            <wp:posOffset>-1106161</wp:posOffset>
          </wp:positionH>
          <wp:positionV relativeFrom="paragraph">
            <wp:posOffset>148705</wp:posOffset>
          </wp:positionV>
          <wp:extent cx="7670550" cy="451315"/>
          <wp:effectExtent l="0" t="0" r="0" b="0"/>
          <wp:wrapSquare wrapText="bothSides" distT="0" distB="0" distL="0" distR="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9D38" w14:textId="77777777" w:rsidR="00055ADB" w:rsidRDefault="00055ADB">
      <w:r>
        <w:separator/>
      </w:r>
    </w:p>
  </w:footnote>
  <w:footnote w:type="continuationSeparator" w:id="0">
    <w:p w14:paraId="31B6C7D2" w14:textId="77777777" w:rsidR="00055ADB" w:rsidRDefault="00055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0E"/>
    <w:rsid w:val="00055ADB"/>
    <w:rsid w:val="0031300E"/>
    <w:rsid w:val="00957F89"/>
    <w:rsid w:val="00DF3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5F1F"/>
  <w15:docId w15:val="{B9437925-72FC-4EBF-8CEB-F812646A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otocasa.es" TargetMode="External"/><Relationship Id="rId4" Type="http://schemas.openxmlformats.org/officeDocument/2006/relationships/webSettings" Target="webSettings.xml"/><Relationship Id="rId9" Type="http://schemas.openxmlformats.org/officeDocument/2006/relationships/hyperlink" Target="https://www.fotocas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iOt7er8rkgvKKKYGx+xwpQ5eQw==">AMUW2mV/gJgRPMX2m3FbpZ29CrLLQb3YWQs7SU+eOpeXIqc2X0yPK4A+K4GnQQ//y7K3vaZ8UBly0ZjBu/l6sNJmpQZtFpvGU0hD7Q8GYXmfjsD7Na0ENwY=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3295</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3</cp:revision>
  <dcterms:created xsi:type="dcterms:W3CDTF">2018-08-31T08:21:00Z</dcterms:created>
  <dcterms:modified xsi:type="dcterms:W3CDTF">2021-10-27T07:48:00Z</dcterms:modified>
</cp:coreProperties>
</file>