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EB494" w14:textId="77777777" w:rsidR="004D1193" w:rsidRDefault="00A455FF">
      <w:pPr>
        <w:ind w:right="-574"/>
      </w:pPr>
      <w:r>
        <w:rPr>
          <w:noProof/>
        </w:rPr>
        <w:drawing>
          <wp:anchor distT="0" distB="0" distL="114300" distR="114300" simplePos="0" relativeHeight="251658240" behindDoc="0" locked="0" layoutInCell="1" hidden="0" allowOverlap="1" wp14:anchorId="62FCBB54" wp14:editId="14AB6F3E">
            <wp:simplePos x="0" y="0"/>
            <wp:positionH relativeFrom="column">
              <wp:posOffset>-1078854</wp:posOffset>
            </wp:positionH>
            <wp:positionV relativeFrom="paragraph">
              <wp:posOffset>-350442</wp:posOffset>
            </wp:positionV>
            <wp:extent cx="7581265" cy="1019175"/>
            <wp:effectExtent l="0" t="0" r="0" b="0"/>
            <wp:wrapNone/>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4527D71" w14:textId="77777777" w:rsidR="004D1193" w:rsidRDefault="004D1193">
      <w:pPr>
        <w:ind w:right="-574"/>
        <w:jc w:val="right"/>
        <w:rPr>
          <w:rFonts w:ascii="National" w:eastAsia="National" w:hAnsi="National" w:cs="National"/>
          <w:color w:val="303AB2"/>
          <w:sz w:val="36"/>
          <w:szCs w:val="36"/>
        </w:rPr>
      </w:pPr>
    </w:p>
    <w:p w14:paraId="6BA30C46" w14:textId="77777777" w:rsidR="004D1193" w:rsidRDefault="004D1193">
      <w:pPr>
        <w:ind w:right="-574"/>
        <w:jc w:val="right"/>
        <w:rPr>
          <w:rFonts w:ascii="National" w:eastAsia="National" w:hAnsi="National" w:cs="National"/>
          <w:color w:val="303AB2"/>
          <w:sz w:val="36"/>
          <w:szCs w:val="36"/>
        </w:rPr>
      </w:pPr>
    </w:p>
    <w:p w14:paraId="691ACA6B" w14:textId="77777777" w:rsidR="004D1193" w:rsidRDefault="004D1193">
      <w:pPr>
        <w:spacing w:line="276" w:lineRule="auto"/>
        <w:ind w:right="-574"/>
        <w:jc w:val="center"/>
        <w:rPr>
          <w:rFonts w:ascii="National" w:eastAsia="National" w:hAnsi="National" w:cs="National"/>
          <w:b/>
          <w:color w:val="1DBDC5"/>
          <w:sz w:val="20"/>
          <w:szCs w:val="20"/>
        </w:rPr>
      </w:pPr>
    </w:p>
    <w:p w14:paraId="43D467C7" w14:textId="38ECC854" w:rsidR="004D1193" w:rsidRDefault="00CC77CA">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INFORME “PERFIL DEL COMPRADOR DE OBRA NUEVA EN 2021”</w:t>
      </w:r>
    </w:p>
    <w:p w14:paraId="469E0F44" w14:textId="0FD5536D" w:rsidR="004D1193" w:rsidRDefault="00A455FF">
      <w:pPr>
        <w:shd w:val="clear" w:color="auto" w:fill="FFFFFF"/>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Aumenta el porcentaje de compradores que solo buscan vivienda de </w:t>
      </w:r>
      <w:r w:rsidR="00CC77CA">
        <w:rPr>
          <w:rFonts w:ascii="National" w:eastAsia="National" w:hAnsi="National" w:cs="National"/>
          <w:b/>
          <w:color w:val="303AB2"/>
          <w:sz w:val="46"/>
          <w:szCs w:val="46"/>
        </w:rPr>
        <w:t>o</w:t>
      </w:r>
      <w:r>
        <w:rPr>
          <w:rFonts w:ascii="National" w:eastAsia="National" w:hAnsi="National" w:cs="National"/>
          <w:b/>
          <w:color w:val="303AB2"/>
          <w:sz w:val="46"/>
          <w:szCs w:val="46"/>
        </w:rPr>
        <w:t xml:space="preserve">bra </w:t>
      </w:r>
      <w:r w:rsidR="00CC77CA">
        <w:rPr>
          <w:rFonts w:ascii="National" w:eastAsia="National" w:hAnsi="National" w:cs="National"/>
          <w:b/>
          <w:color w:val="303AB2"/>
          <w:sz w:val="46"/>
          <w:szCs w:val="46"/>
        </w:rPr>
        <w:t>n</w:t>
      </w:r>
      <w:r>
        <w:rPr>
          <w:rFonts w:ascii="National" w:eastAsia="National" w:hAnsi="National" w:cs="National"/>
          <w:b/>
          <w:color w:val="303AB2"/>
          <w:sz w:val="46"/>
          <w:szCs w:val="46"/>
        </w:rPr>
        <w:t>ueva</w:t>
      </w:r>
    </w:p>
    <w:p w14:paraId="38BC729A" w14:textId="77777777" w:rsidR="004D1193" w:rsidRDefault="004D1193">
      <w:pPr>
        <w:pBdr>
          <w:top w:val="nil"/>
          <w:left w:val="nil"/>
          <w:bottom w:val="nil"/>
          <w:right w:val="nil"/>
          <w:between w:val="nil"/>
        </w:pBdr>
        <w:spacing w:line="276" w:lineRule="auto"/>
        <w:ind w:left="644" w:right="-574"/>
        <w:jc w:val="both"/>
        <w:rPr>
          <w:rFonts w:ascii="Open Sans" w:eastAsia="Open Sans" w:hAnsi="Open Sans" w:cs="Open Sans"/>
          <w:color w:val="000000"/>
          <w:sz w:val="22"/>
          <w:szCs w:val="22"/>
          <w:highlight w:val="yellow"/>
        </w:rPr>
      </w:pPr>
    </w:p>
    <w:p w14:paraId="3085620D" w14:textId="77777777" w:rsidR="004D1193" w:rsidRDefault="004D1193">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080F59FA" w14:textId="37E82F29" w:rsidR="004D1193" w:rsidRPr="00CC77CA" w:rsidRDefault="00CC77CA">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w:t>
      </w:r>
      <w:r w:rsidR="00A455FF" w:rsidRPr="00CC77CA">
        <w:rPr>
          <w:rFonts w:ascii="Open Sans" w:eastAsia="Open Sans" w:hAnsi="Open Sans" w:cs="Open Sans"/>
          <w:sz w:val="22"/>
          <w:szCs w:val="22"/>
        </w:rPr>
        <w:t xml:space="preserve"> 61% de los compradores han considerado vivienda de nueva construcción</w:t>
      </w:r>
    </w:p>
    <w:p w14:paraId="4FFB89B6" w14:textId="77777777" w:rsidR="004D1193" w:rsidRDefault="00A455FF">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Desciende en diez puntos el porcentaje de los que han buscado tanto en el mercado de segunda mano como entre las nuevas promociones</w:t>
      </w:r>
    </w:p>
    <w:p w14:paraId="7FDEE64D" w14:textId="77777777" w:rsidR="004D1193" w:rsidRDefault="00A455FF">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La Comunidad de Madrid, donde más se adquiere vivienda de obra nueva</w:t>
      </w:r>
    </w:p>
    <w:p w14:paraId="25361A5A" w14:textId="66DC2922" w:rsidR="004D1193" w:rsidRDefault="00877B8F">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hyperlink r:id="rId9" w:history="1">
        <w:r w:rsidR="00A455FF" w:rsidRPr="008816CD">
          <w:rPr>
            <w:rStyle w:val="Hipervnculo"/>
            <w:rFonts w:ascii="Open Sans" w:eastAsia="Open Sans" w:hAnsi="Open Sans" w:cs="Open Sans"/>
            <w:b/>
            <w:sz w:val="22"/>
            <w:szCs w:val="22"/>
          </w:rPr>
          <w:t>Aquí se puede ver la valoración en vídeo</w:t>
        </w:r>
      </w:hyperlink>
      <w:r w:rsidR="00A455FF">
        <w:rPr>
          <w:rFonts w:ascii="Open Sans" w:eastAsia="Open Sans" w:hAnsi="Open Sans" w:cs="Open Sans"/>
          <w:b/>
          <w:sz w:val="22"/>
          <w:szCs w:val="22"/>
        </w:rPr>
        <w:t xml:space="preserve"> </w:t>
      </w:r>
      <w:r w:rsidR="00A455FF">
        <w:rPr>
          <w:rFonts w:ascii="Open Sans" w:eastAsia="Open Sans" w:hAnsi="Open Sans" w:cs="Open Sans"/>
          <w:sz w:val="22"/>
          <w:szCs w:val="22"/>
        </w:rPr>
        <w:t>de la directora de Estudios de Fotocasa</w:t>
      </w:r>
    </w:p>
    <w:p w14:paraId="279DA445" w14:textId="77777777" w:rsidR="004D1193" w:rsidRDefault="004D1193">
      <w:pPr>
        <w:spacing w:line="276" w:lineRule="auto"/>
        <w:ind w:right="-574"/>
        <w:rPr>
          <w:rFonts w:ascii="Open Sans" w:eastAsia="Open Sans" w:hAnsi="Open Sans" w:cs="Open Sans"/>
          <w:sz w:val="22"/>
          <w:szCs w:val="22"/>
        </w:rPr>
      </w:pPr>
    </w:p>
    <w:p w14:paraId="65B3C008" w14:textId="77777777" w:rsidR="004D1193" w:rsidRDefault="00A455FF">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13 de octubre de 2021</w:t>
      </w:r>
    </w:p>
    <w:p w14:paraId="3BDAF25C" w14:textId="77777777" w:rsidR="004D1193" w:rsidRDefault="004D1193">
      <w:pPr>
        <w:spacing w:line="276" w:lineRule="auto"/>
        <w:ind w:right="-574"/>
        <w:rPr>
          <w:rFonts w:ascii="Open Sans Light" w:eastAsia="Open Sans Light" w:hAnsi="Open Sans Light" w:cs="Open Sans Light"/>
          <w:b/>
          <w:color w:val="303AB2"/>
        </w:rPr>
      </w:pPr>
    </w:p>
    <w:p w14:paraId="59908C23" w14:textId="0469A26A" w:rsidR="004D1193" w:rsidRDefault="00A455FF">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porcentaje de particulares mayores de 18 años que han comprado una vivienda en los últimos doce meses y que únicamente </w:t>
      </w:r>
      <w:r>
        <w:rPr>
          <w:rFonts w:ascii="Open Sans" w:eastAsia="Open Sans" w:hAnsi="Open Sans" w:cs="Open Sans"/>
          <w:b/>
          <w:sz w:val="22"/>
          <w:szCs w:val="22"/>
        </w:rPr>
        <w:t>buscaron en el segmento de obra nueva ha aumentado: del 18% en 2020, al 21% en 2021</w:t>
      </w:r>
      <w:r>
        <w:rPr>
          <w:rFonts w:ascii="Open Sans" w:eastAsia="Open Sans" w:hAnsi="Open Sans" w:cs="Open Sans"/>
          <w:sz w:val="22"/>
          <w:szCs w:val="22"/>
        </w:rPr>
        <w:t xml:space="preserve">, según se desprende del informe </w:t>
      </w:r>
      <w:r>
        <w:rPr>
          <w:rFonts w:ascii="Open Sans" w:eastAsia="Open Sans" w:hAnsi="Open Sans" w:cs="Open Sans"/>
          <w:i/>
          <w:sz w:val="22"/>
          <w:szCs w:val="22"/>
        </w:rPr>
        <w:t>“</w:t>
      </w:r>
      <w:hyperlink r:id="rId10" w:history="1">
        <w:r w:rsidRPr="00901357">
          <w:rPr>
            <w:rStyle w:val="Hipervnculo"/>
            <w:rFonts w:ascii="Open Sans" w:eastAsia="Open Sans" w:hAnsi="Open Sans" w:cs="Open Sans"/>
            <w:b/>
            <w:bCs/>
            <w:i/>
            <w:sz w:val="22"/>
            <w:szCs w:val="22"/>
          </w:rPr>
          <w:t>Perfil del comprador de obra nueva 2020-2021</w:t>
        </w:r>
      </w:hyperlink>
      <w:r>
        <w:rPr>
          <w:rFonts w:ascii="Open Sans" w:eastAsia="Open Sans" w:hAnsi="Open Sans" w:cs="Open Sans"/>
          <w:i/>
          <w:sz w:val="22"/>
          <w:szCs w:val="22"/>
        </w:rPr>
        <w:t xml:space="preserve">” </w:t>
      </w:r>
      <w:r>
        <w:rPr>
          <w:rFonts w:ascii="Open Sans" w:eastAsia="Open Sans" w:hAnsi="Open Sans" w:cs="Open Sans"/>
          <w:sz w:val="22"/>
          <w:szCs w:val="22"/>
        </w:rPr>
        <w:t xml:space="preserve">realizado por </w:t>
      </w:r>
      <w:hyperlink r:id="rId11">
        <w:r>
          <w:rPr>
            <w:rFonts w:ascii="Open Sans" w:eastAsia="Open Sans" w:hAnsi="Open Sans" w:cs="Open Sans"/>
            <w:color w:val="1155CC"/>
            <w:sz w:val="22"/>
            <w:szCs w:val="22"/>
            <w:u w:val="single"/>
          </w:rPr>
          <w:t xml:space="preserve">Fotocasa </w:t>
        </w:r>
        <w:proofErr w:type="spellStart"/>
        <w:r>
          <w:rPr>
            <w:rFonts w:ascii="Open Sans" w:eastAsia="Open Sans" w:hAnsi="Open Sans" w:cs="Open Sans"/>
            <w:color w:val="1155CC"/>
            <w:sz w:val="22"/>
            <w:szCs w:val="22"/>
            <w:u w:val="single"/>
          </w:rPr>
          <w:t>Research</w:t>
        </w:r>
        <w:proofErr w:type="spellEnd"/>
      </w:hyperlink>
      <w:r>
        <w:rPr>
          <w:rFonts w:ascii="Open Sans" w:eastAsia="Open Sans" w:hAnsi="Open Sans" w:cs="Open Sans"/>
          <w:sz w:val="22"/>
          <w:szCs w:val="22"/>
        </w:rPr>
        <w:t xml:space="preserve">. Esto indica que los compradores están cada vez más focalizados en el mercado elegido. </w:t>
      </w:r>
    </w:p>
    <w:p w14:paraId="195CF6F4" w14:textId="77777777" w:rsidR="004D1193" w:rsidRDefault="004D1193">
      <w:pPr>
        <w:spacing w:line="276" w:lineRule="auto"/>
        <w:ind w:right="-574"/>
        <w:jc w:val="both"/>
        <w:rPr>
          <w:rFonts w:ascii="Open Sans" w:eastAsia="Open Sans" w:hAnsi="Open Sans" w:cs="Open Sans"/>
          <w:sz w:val="22"/>
          <w:szCs w:val="22"/>
        </w:rPr>
      </w:pPr>
    </w:p>
    <w:p w14:paraId="1E7AB91F" w14:textId="77777777" w:rsidR="004D1193" w:rsidRDefault="00A455FF">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Sin embargo, si nos fijamos en los demandantes que buscan en ambos mercados, tanto en vivienda de nueva construcción como de segunda mano, los datos muestran que solo un 61% de los que han comprado una vivienda en los últimos 12 meses ha considerado la opción de obra nueva. Este porcentaje es significativamente más bajo que el 68 % de compradores que a comienzos de 2020 —justo antes de que irrumpiera el coronavirus— se planteaban esta opción. Se ha registrado, por tanto, un significativo </w:t>
      </w:r>
      <w:r>
        <w:rPr>
          <w:rFonts w:ascii="Open Sans" w:eastAsia="Open Sans" w:hAnsi="Open Sans" w:cs="Open Sans"/>
          <w:b/>
          <w:sz w:val="22"/>
          <w:szCs w:val="22"/>
        </w:rPr>
        <w:t>descenso del interés de los compradores que buscan en ambos mercados</w:t>
      </w:r>
      <w:r>
        <w:rPr>
          <w:rFonts w:ascii="Open Sans" w:eastAsia="Open Sans" w:hAnsi="Open Sans" w:cs="Open Sans"/>
          <w:sz w:val="22"/>
          <w:szCs w:val="22"/>
        </w:rPr>
        <w:t>.</w:t>
      </w:r>
    </w:p>
    <w:p w14:paraId="651CA2DE" w14:textId="77777777" w:rsidR="004D1193" w:rsidRDefault="00A455FF">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 </w:t>
      </w:r>
    </w:p>
    <w:p w14:paraId="16A0F8DD" w14:textId="77777777" w:rsidR="004D1193" w:rsidRDefault="00A455FF">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En el contexto de pandemia que hemos vivido en el último año ya hemos visto que el nivel de actividad en el alquiler ha sido más alto que en la compraventa. Y el mencionado descenso del interés por la obra nueva tiene que ver tanto con ese retroceso del mercado de la propiedad, como con la evolución de los precios, que en el caso de la nueva construcción se incrementaron un 8,2 % en 2020 (Índice de Precios de Vivienda / INE).</w:t>
      </w:r>
    </w:p>
    <w:p w14:paraId="38780470" w14:textId="77777777" w:rsidR="004D1193" w:rsidRDefault="004D1193">
      <w:pPr>
        <w:spacing w:line="276" w:lineRule="auto"/>
        <w:ind w:left="-992" w:right="-574"/>
        <w:jc w:val="center"/>
        <w:rPr>
          <w:rFonts w:ascii="Open Sans" w:eastAsia="Open Sans" w:hAnsi="Open Sans" w:cs="Open Sans"/>
          <w:sz w:val="22"/>
          <w:szCs w:val="22"/>
        </w:rPr>
      </w:pPr>
    </w:p>
    <w:p w14:paraId="6F4F0178" w14:textId="77777777" w:rsidR="004D1193" w:rsidRDefault="00A455FF">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Una primera pista al respecto la obtenemos si observamos la ruta completa de estos compradores: se ha registrado </w:t>
      </w:r>
      <w:r>
        <w:rPr>
          <w:rFonts w:ascii="Open Sans" w:eastAsia="Open Sans" w:hAnsi="Open Sans" w:cs="Open Sans"/>
          <w:b/>
          <w:sz w:val="22"/>
          <w:szCs w:val="22"/>
        </w:rPr>
        <w:t>descenso de diez puntos de los que han buscado tanto en el mercado de segunda mano como entre las nuevas promociones</w:t>
      </w:r>
      <w:r>
        <w:rPr>
          <w:rFonts w:ascii="Open Sans" w:eastAsia="Open Sans" w:hAnsi="Open Sans" w:cs="Open Sans"/>
          <w:sz w:val="22"/>
          <w:szCs w:val="22"/>
        </w:rPr>
        <w:t xml:space="preserve">. Han pasado de ser el 50 % en 2020 al 40 % en 2021. </w:t>
      </w:r>
    </w:p>
    <w:p w14:paraId="44F84F0E" w14:textId="77777777" w:rsidR="004D1193" w:rsidRDefault="004D1193">
      <w:pPr>
        <w:spacing w:line="276" w:lineRule="auto"/>
        <w:ind w:right="-574"/>
        <w:jc w:val="both"/>
        <w:rPr>
          <w:rFonts w:ascii="Open Sans" w:eastAsia="Open Sans" w:hAnsi="Open Sans" w:cs="Open Sans"/>
          <w:sz w:val="22"/>
          <w:szCs w:val="22"/>
        </w:rPr>
      </w:pPr>
    </w:p>
    <w:p w14:paraId="04FDACAC" w14:textId="77777777" w:rsidR="004D1193" w:rsidRDefault="00A455FF">
      <w:pPr>
        <w:spacing w:line="276" w:lineRule="auto"/>
        <w:ind w:left="-992" w:right="-574"/>
        <w:jc w:val="right"/>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0FD75C51" wp14:editId="53FD4B25">
            <wp:extent cx="5604796" cy="3076575"/>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641" t="5928" r="-3641"/>
                    <a:stretch>
                      <a:fillRect/>
                    </a:stretch>
                  </pic:blipFill>
                  <pic:spPr>
                    <a:xfrm>
                      <a:off x="0" y="0"/>
                      <a:ext cx="5604796" cy="3076575"/>
                    </a:xfrm>
                    <a:prstGeom prst="rect">
                      <a:avLst/>
                    </a:prstGeom>
                    <a:ln/>
                  </pic:spPr>
                </pic:pic>
              </a:graphicData>
            </a:graphic>
          </wp:inline>
        </w:drawing>
      </w:r>
    </w:p>
    <w:p w14:paraId="33586A37" w14:textId="77777777" w:rsidR="008816CD" w:rsidRDefault="008816CD">
      <w:pPr>
        <w:spacing w:line="276" w:lineRule="auto"/>
        <w:ind w:right="-574"/>
        <w:jc w:val="both"/>
        <w:rPr>
          <w:rFonts w:ascii="Open Sans" w:eastAsia="Open Sans" w:hAnsi="Open Sans" w:cs="Open Sans"/>
          <w:sz w:val="22"/>
          <w:szCs w:val="22"/>
        </w:rPr>
      </w:pPr>
    </w:p>
    <w:p w14:paraId="12D5FB22" w14:textId="2081EC71" w:rsidR="004D1193" w:rsidRDefault="00A455FF">
      <w:pPr>
        <w:spacing w:line="276" w:lineRule="auto"/>
        <w:ind w:right="-574"/>
        <w:jc w:val="both"/>
        <w:rPr>
          <w:rFonts w:ascii="Open Sans Light" w:eastAsia="Open Sans Light" w:hAnsi="Open Sans Light" w:cs="Open Sans Light"/>
          <w:b/>
          <w:color w:val="303AB2"/>
          <w:sz w:val="26"/>
          <w:szCs w:val="26"/>
        </w:rPr>
      </w:pPr>
      <w:r>
        <w:rPr>
          <w:rFonts w:ascii="Open Sans" w:eastAsia="Open Sans" w:hAnsi="Open Sans" w:cs="Open Sans"/>
          <w:sz w:val="22"/>
          <w:szCs w:val="22"/>
        </w:rPr>
        <w:t xml:space="preserve">“Aumenta el porcentaje de ciudadanos que buscan solamente vivienda de nueva construcción. El auge de la obra nueva es un fenómeno que se produce justamente un año después del estallido de la Covid-19 en nuestro país. Ahora, las preferencias habitacionales han cambiado y con ellas, los requisitos indispensables en torno a las nuevas características que debe cumplir una vivienda como la amplitud de espacio y zonas exteriores. Todo lo relacionado con terrazas, balcones y patios se ha vuelto lo más cotizado. Los jardines y las zonas comunes son un reclamo de la mayoría, empujada por la búsqueda de luz natural, mucho más fácil de encontrar en promociones de vivienda a estrenar”, explica María Matos, directora de Estudios y portavoz de </w:t>
      </w:r>
      <w:hyperlink r:id="rId13">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w:t>
      </w:r>
    </w:p>
    <w:p w14:paraId="3610071E" w14:textId="77777777" w:rsidR="004D1193" w:rsidRDefault="004D1193">
      <w:pPr>
        <w:spacing w:line="276" w:lineRule="auto"/>
        <w:ind w:right="-574"/>
        <w:jc w:val="both"/>
        <w:rPr>
          <w:rFonts w:ascii="Open Sans Light" w:eastAsia="Open Sans Light" w:hAnsi="Open Sans Light" w:cs="Open Sans Light"/>
          <w:b/>
          <w:color w:val="303AB2"/>
          <w:sz w:val="26"/>
          <w:szCs w:val="26"/>
        </w:rPr>
      </w:pPr>
    </w:p>
    <w:p w14:paraId="1FEDD37B" w14:textId="77777777" w:rsidR="004D1193" w:rsidRDefault="00A455FF">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Por último, dentro de este grupo de compradores de vivienda, un 39 % no consideró la adquisición de una vivienda de obra nueva. Esta cifra es siete puntos más alta que la de febrero de 2020, cuando un 32 % no incluía en sus posibles planes de compra los inmuebles de nueva construcción. </w:t>
      </w:r>
    </w:p>
    <w:p w14:paraId="01D6D766" w14:textId="77777777" w:rsidR="004D1193" w:rsidRDefault="004D1193">
      <w:pPr>
        <w:spacing w:line="276" w:lineRule="auto"/>
        <w:ind w:right="-550"/>
        <w:jc w:val="both"/>
        <w:rPr>
          <w:rFonts w:ascii="Open Sans" w:eastAsia="Open Sans" w:hAnsi="Open Sans" w:cs="Open Sans"/>
          <w:sz w:val="22"/>
          <w:szCs w:val="22"/>
        </w:rPr>
      </w:pPr>
    </w:p>
    <w:p w14:paraId="40A1F6D0" w14:textId="77777777" w:rsidR="008816CD" w:rsidRDefault="008816CD">
      <w:pPr>
        <w:spacing w:line="276" w:lineRule="auto"/>
        <w:ind w:right="-550"/>
        <w:jc w:val="both"/>
        <w:rPr>
          <w:rFonts w:ascii="Open Sans" w:eastAsia="Open Sans" w:hAnsi="Open Sans" w:cs="Open Sans"/>
          <w:sz w:val="22"/>
          <w:szCs w:val="22"/>
        </w:rPr>
      </w:pPr>
    </w:p>
    <w:p w14:paraId="5FE50979" w14:textId="77777777" w:rsidR="008816CD" w:rsidRDefault="008816CD">
      <w:pPr>
        <w:spacing w:line="276" w:lineRule="auto"/>
        <w:ind w:right="-550"/>
        <w:jc w:val="both"/>
        <w:rPr>
          <w:rFonts w:ascii="Open Sans" w:eastAsia="Open Sans" w:hAnsi="Open Sans" w:cs="Open Sans"/>
          <w:sz w:val="22"/>
          <w:szCs w:val="22"/>
        </w:rPr>
      </w:pPr>
    </w:p>
    <w:p w14:paraId="2A1222FF" w14:textId="368C3803" w:rsidR="004D1193" w:rsidRDefault="00A455FF">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lastRenderedPageBreak/>
        <w:t xml:space="preserve">En definitiva, la pandemia parece haber clarificado las posiciones de los compradores de vivienda, que en mayor medida </w:t>
      </w:r>
      <w:r>
        <w:rPr>
          <w:rFonts w:ascii="Open Sans" w:eastAsia="Open Sans" w:hAnsi="Open Sans" w:cs="Open Sans"/>
          <w:b/>
          <w:sz w:val="22"/>
          <w:szCs w:val="22"/>
        </w:rPr>
        <w:t>se han decantado por buscar únicamente obra nueva o únicamente segunda mano</w:t>
      </w:r>
      <w:r>
        <w:rPr>
          <w:rFonts w:ascii="Open Sans" w:eastAsia="Open Sans" w:hAnsi="Open Sans" w:cs="Open Sans"/>
          <w:sz w:val="22"/>
          <w:szCs w:val="22"/>
        </w:rPr>
        <w:t>. Por el contrario, han perdido protagonismo los que han adquirido una vivienda tras una búsqueda en ambos segmentos.</w:t>
      </w:r>
    </w:p>
    <w:p w14:paraId="09E54E53" w14:textId="77777777" w:rsidR="008816CD" w:rsidRDefault="008816CD">
      <w:pPr>
        <w:spacing w:line="276" w:lineRule="auto"/>
        <w:ind w:right="-574"/>
        <w:rPr>
          <w:rFonts w:ascii="Open Sans Light" w:eastAsia="Open Sans Light" w:hAnsi="Open Sans Light" w:cs="Open Sans Light"/>
          <w:b/>
          <w:color w:val="303AB2"/>
          <w:sz w:val="26"/>
          <w:szCs w:val="26"/>
        </w:rPr>
      </w:pPr>
    </w:p>
    <w:p w14:paraId="72E1C716" w14:textId="46FEED13" w:rsidR="008816CD" w:rsidRDefault="008816CD">
      <w:pPr>
        <w:spacing w:line="276" w:lineRule="auto"/>
        <w:ind w:right="-574"/>
        <w:rPr>
          <w:rFonts w:ascii="Open Sans Light" w:eastAsia="Open Sans Light" w:hAnsi="Open Sans Light" w:cs="Open Sans Light"/>
          <w:b/>
          <w:color w:val="303AB2"/>
          <w:sz w:val="26"/>
          <w:szCs w:val="26"/>
        </w:rPr>
      </w:pPr>
      <w:r>
        <w:rPr>
          <w:noProof/>
        </w:rPr>
        <w:drawing>
          <wp:inline distT="0" distB="0" distL="0" distR="0" wp14:anchorId="3CD9DD47" wp14:editId="41C750DD">
            <wp:extent cx="5781675" cy="3958998"/>
            <wp:effectExtent l="0" t="0" r="0" b="3810"/>
            <wp:docPr id="1" name="Imagen 1" descr="Interfaz de usuario gráfica, Aplicación&#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a:hlinkClick r:id="rId9"/>
                    </pic:cNvPr>
                    <pic:cNvPicPr/>
                  </pic:nvPicPr>
                  <pic:blipFill>
                    <a:blip r:embed="rId14"/>
                    <a:stretch>
                      <a:fillRect/>
                    </a:stretch>
                  </pic:blipFill>
                  <pic:spPr>
                    <a:xfrm>
                      <a:off x="0" y="0"/>
                      <a:ext cx="5787619" cy="3963068"/>
                    </a:xfrm>
                    <a:prstGeom prst="rect">
                      <a:avLst/>
                    </a:prstGeom>
                  </pic:spPr>
                </pic:pic>
              </a:graphicData>
            </a:graphic>
          </wp:inline>
        </w:drawing>
      </w:r>
    </w:p>
    <w:p w14:paraId="33B8161B" w14:textId="77777777" w:rsidR="008816CD" w:rsidRDefault="008816CD">
      <w:pPr>
        <w:spacing w:line="276" w:lineRule="auto"/>
        <w:ind w:right="-574"/>
        <w:rPr>
          <w:rFonts w:ascii="Open Sans Light" w:eastAsia="Open Sans Light" w:hAnsi="Open Sans Light" w:cs="Open Sans Light"/>
          <w:b/>
          <w:color w:val="303AB2"/>
          <w:sz w:val="26"/>
          <w:szCs w:val="26"/>
        </w:rPr>
      </w:pPr>
    </w:p>
    <w:p w14:paraId="605605BE" w14:textId="77777777" w:rsidR="008816CD" w:rsidRDefault="008816CD">
      <w:pPr>
        <w:spacing w:line="276" w:lineRule="auto"/>
        <w:ind w:right="-574"/>
        <w:rPr>
          <w:rFonts w:ascii="Open Sans Light" w:eastAsia="Open Sans Light" w:hAnsi="Open Sans Light" w:cs="Open Sans Light"/>
          <w:b/>
          <w:color w:val="303AB2"/>
          <w:sz w:val="26"/>
          <w:szCs w:val="26"/>
        </w:rPr>
      </w:pPr>
    </w:p>
    <w:p w14:paraId="57F5CEEE" w14:textId="3834E586" w:rsidR="004D1193" w:rsidRDefault="00A455FF">
      <w:pPr>
        <w:spacing w:line="276" w:lineRule="auto"/>
        <w:ind w:right="-574"/>
        <w:rPr>
          <w:rFonts w:ascii="Open Sans" w:eastAsia="Open Sans" w:hAnsi="Open Sans" w:cs="Open Sans"/>
          <w:sz w:val="22"/>
          <w:szCs w:val="22"/>
        </w:rPr>
      </w:pPr>
      <w:r>
        <w:rPr>
          <w:rFonts w:ascii="Open Sans Light" w:eastAsia="Open Sans Light" w:hAnsi="Open Sans Light" w:cs="Open Sans Light"/>
          <w:b/>
          <w:color w:val="303AB2"/>
          <w:sz w:val="26"/>
          <w:szCs w:val="26"/>
        </w:rPr>
        <w:t>Consideraciones en la compra de vivienda a estrenar</w:t>
      </w:r>
    </w:p>
    <w:p w14:paraId="0C105895" w14:textId="77777777" w:rsidR="004D1193" w:rsidRDefault="004D1193">
      <w:pPr>
        <w:spacing w:line="276" w:lineRule="auto"/>
        <w:ind w:right="-550"/>
        <w:jc w:val="both"/>
        <w:rPr>
          <w:rFonts w:ascii="Open Sans" w:eastAsia="Open Sans" w:hAnsi="Open Sans" w:cs="Open Sans"/>
          <w:sz w:val="22"/>
          <w:szCs w:val="22"/>
        </w:rPr>
      </w:pPr>
    </w:p>
    <w:p w14:paraId="6A22F09E" w14:textId="77777777" w:rsidR="004D1193" w:rsidRDefault="00A455FF">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Pero de la consideración a la compra hay un trecho y no todos los que buscaron en casa de nueva construcción terminaron comprándola: un 55 % de los que consideraron obra nueva terminaron comprando segunda mano y, en consecuencia, el otro 45 % sí que adquirió obra nueva. Estos porcentajes son idénticos a los del año 2020. </w:t>
      </w:r>
    </w:p>
    <w:p w14:paraId="5975C8D8" w14:textId="32FF5D56" w:rsidR="004D1193" w:rsidRDefault="004D1193">
      <w:pPr>
        <w:spacing w:line="276" w:lineRule="auto"/>
        <w:ind w:right="-550"/>
        <w:jc w:val="both"/>
        <w:rPr>
          <w:rFonts w:ascii="Open Sans" w:eastAsia="Open Sans" w:hAnsi="Open Sans" w:cs="Open Sans"/>
          <w:sz w:val="22"/>
          <w:szCs w:val="22"/>
        </w:rPr>
      </w:pPr>
    </w:p>
    <w:p w14:paraId="377EA962" w14:textId="77777777" w:rsidR="008816CD" w:rsidRDefault="008816CD" w:rsidP="008816CD">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El resultado de todo este proceso es que casi </w:t>
      </w:r>
      <w:r>
        <w:rPr>
          <w:rFonts w:ascii="Open Sans" w:eastAsia="Open Sans" w:hAnsi="Open Sans" w:cs="Open Sans"/>
          <w:b/>
          <w:sz w:val="22"/>
          <w:szCs w:val="22"/>
        </w:rPr>
        <w:t>un tercio (30 %) de los que compraron vivienda en los últimos 12 meses terminó adquiriendo una casa de obra nueva</w:t>
      </w:r>
      <w:r>
        <w:rPr>
          <w:rFonts w:ascii="Open Sans" w:eastAsia="Open Sans" w:hAnsi="Open Sans" w:cs="Open Sans"/>
          <w:sz w:val="22"/>
          <w:szCs w:val="22"/>
        </w:rPr>
        <w:t xml:space="preserve">. Aunque mantiene una tendencia a la baja desde el 37 % que alcanzó en 2019, es un porcentaje muy similar al de 2020, sobre todo teniendo en cuenta la mencionada caída de la consideración. </w:t>
      </w:r>
    </w:p>
    <w:p w14:paraId="09AC712E" w14:textId="77777777" w:rsidR="008816CD" w:rsidRDefault="008816CD">
      <w:pPr>
        <w:spacing w:line="276" w:lineRule="auto"/>
        <w:ind w:right="-550"/>
        <w:jc w:val="both"/>
        <w:rPr>
          <w:rFonts w:ascii="Open Sans" w:eastAsia="Open Sans" w:hAnsi="Open Sans" w:cs="Open Sans"/>
          <w:sz w:val="22"/>
          <w:szCs w:val="22"/>
        </w:rPr>
      </w:pPr>
    </w:p>
    <w:p w14:paraId="16A6F271" w14:textId="77777777" w:rsidR="004D1193" w:rsidRDefault="00A455FF">
      <w:pPr>
        <w:spacing w:line="276" w:lineRule="auto"/>
        <w:ind w:right="-550"/>
        <w:jc w:val="center"/>
        <w:rPr>
          <w:rFonts w:ascii="Open Sans" w:eastAsia="Open Sans" w:hAnsi="Open Sans" w:cs="Open Sans"/>
          <w:sz w:val="22"/>
          <w:szCs w:val="22"/>
        </w:rPr>
      </w:pPr>
      <w:r>
        <w:rPr>
          <w:rFonts w:ascii="Open Sans" w:eastAsia="Open Sans" w:hAnsi="Open Sans" w:cs="Open Sans"/>
          <w:noProof/>
          <w:sz w:val="22"/>
          <w:szCs w:val="22"/>
        </w:rPr>
        <w:lastRenderedPageBreak/>
        <w:drawing>
          <wp:inline distT="114300" distB="114300" distL="114300" distR="114300" wp14:anchorId="37389B5D" wp14:editId="11AD1F39">
            <wp:extent cx="6380798" cy="3320824"/>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380798" cy="3320824"/>
                    </a:xfrm>
                    <a:prstGeom prst="rect">
                      <a:avLst/>
                    </a:prstGeom>
                    <a:ln/>
                  </pic:spPr>
                </pic:pic>
              </a:graphicData>
            </a:graphic>
          </wp:inline>
        </w:drawing>
      </w:r>
    </w:p>
    <w:p w14:paraId="1DAFA914" w14:textId="77777777" w:rsidR="004D1193" w:rsidRDefault="004D1193">
      <w:pPr>
        <w:spacing w:line="276" w:lineRule="auto"/>
        <w:ind w:right="-550"/>
        <w:jc w:val="both"/>
        <w:rPr>
          <w:rFonts w:ascii="Open Sans" w:eastAsia="Open Sans" w:hAnsi="Open Sans" w:cs="Open Sans"/>
          <w:sz w:val="22"/>
          <w:szCs w:val="22"/>
        </w:rPr>
      </w:pPr>
    </w:p>
    <w:p w14:paraId="203CCFA5" w14:textId="77777777" w:rsidR="004D1193" w:rsidRDefault="00A455FF">
      <w:pPr>
        <w:spacing w:line="276" w:lineRule="auto"/>
        <w:ind w:right="-574"/>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Claves de los cambios por territorios</w:t>
      </w:r>
    </w:p>
    <w:p w14:paraId="57F6A13D" w14:textId="77777777" w:rsidR="004D1193" w:rsidRDefault="004D1193">
      <w:pPr>
        <w:spacing w:line="276" w:lineRule="auto"/>
        <w:ind w:right="-574"/>
        <w:rPr>
          <w:rFonts w:ascii="Open Sans Light" w:eastAsia="Open Sans Light" w:hAnsi="Open Sans Light" w:cs="Open Sans Light"/>
          <w:b/>
          <w:color w:val="303AB2"/>
          <w:sz w:val="26"/>
          <w:szCs w:val="26"/>
        </w:rPr>
      </w:pPr>
    </w:p>
    <w:p w14:paraId="2B94991F" w14:textId="77777777" w:rsidR="004D1193" w:rsidRDefault="00A455FF">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Cuando se trata del porcentaje de compradores que finalmente adquiere obra nueva, todos los territorios mantienen una cierta continuidad, pero cada comunidad autónoma en su nivel. </w:t>
      </w:r>
    </w:p>
    <w:p w14:paraId="7EC30CAE" w14:textId="77777777" w:rsidR="004D1193" w:rsidRDefault="004D1193">
      <w:pPr>
        <w:spacing w:line="276" w:lineRule="auto"/>
        <w:ind w:right="-550"/>
        <w:jc w:val="both"/>
        <w:rPr>
          <w:rFonts w:ascii="Open Sans" w:eastAsia="Open Sans" w:hAnsi="Open Sans" w:cs="Open Sans"/>
          <w:sz w:val="22"/>
          <w:szCs w:val="22"/>
        </w:rPr>
      </w:pPr>
    </w:p>
    <w:p w14:paraId="1BCA67EC" w14:textId="77777777" w:rsidR="004D1193" w:rsidRDefault="00A455FF">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Así, es en </w:t>
      </w:r>
      <w:r>
        <w:rPr>
          <w:rFonts w:ascii="Open Sans" w:eastAsia="Open Sans" w:hAnsi="Open Sans" w:cs="Open Sans"/>
          <w:b/>
          <w:sz w:val="22"/>
          <w:szCs w:val="22"/>
        </w:rPr>
        <w:t>la Comunidad de Madrid donde más peso tiene: un 38 % de los particulares que han comprado</w:t>
      </w:r>
      <w:r>
        <w:rPr>
          <w:rFonts w:ascii="Open Sans" w:eastAsia="Open Sans" w:hAnsi="Open Sans" w:cs="Open Sans"/>
          <w:sz w:val="22"/>
          <w:szCs w:val="22"/>
        </w:rPr>
        <w:t xml:space="preserve"> en los últimos doce meses en Madrid ha adquirido una casa de nueva construcción, un porcentaje 17 puntos superior al 21 % de compradores de Cataluña. </w:t>
      </w:r>
    </w:p>
    <w:p w14:paraId="3A9ECBE8" w14:textId="77777777" w:rsidR="004D1193" w:rsidRDefault="004D1193">
      <w:pPr>
        <w:spacing w:line="276" w:lineRule="auto"/>
        <w:ind w:right="-550"/>
        <w:jc w:val="both"/>
        <w:rPr>
          <w:rFonts w:ascii="Open Sans" w:eastAsia="Open Sans" w:hAnsi="Open Sans" w:cs="Open Sans"/>
          <w:sz w:val="22"/>
          <w:szCs w:val="22"/>
        </w:rPr>
      </w:pPr>
    </w:p>
    <w:p w14:paraId="79014E48" w14:textId="77777777" w:rsidR="004D1193" w:rsidRDefault="00A455FF">
      <w:pPr>
        <w:spacing w:line="276" w:lineRule="auto"/>
        <w:ind w:right="-550"/>
        <w:jc w:val="center"/>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3993786B" wp14:editId="2017227A">
            <wp:extent cx="5738813" cy="2514600"/>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1327"/>
                    <a:stretch>
                      <a:fillRect/>
                    </a:stretch>
                  </pic:blipFill>
                  <pic:spPr>
                    <a:xfrm>
                      <a:off x="0" y="0"/>
                      <a:ext cx="5747248" cy="2518296"/>
                    </a:xfrm>
                    <a:prstGeom prst="rect">
                      <a:avLst/>
                    </a:prstGeom>
                    <a:ln/>
                  </pic:spPr>
                </pic:pic>
              </a:graphicData>
            </a:graphic>
          </wp:inline>
        </w:drawing>
      </w:r>
    </w:p>
    <w:p w14:paraId="4225198A" w14:textId="0BE8C548" w:rsidR="004D1193" w:rsidRDefault="00A455FF">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lastRenderedPageBreak/>
        <w:t xml:space="preserve">La segunda variable, la de la edad, nos obliga a prestar atención al segmento de compradores de 25 a 34 años, que es en el que se ha producido esa polarización de las búsquedas: suben mucho los que solo consideran obra nueva y los que solo consideran segunda mano, mientras que descienden casi 20 puntos (del 58 % en 2020 al 39 % en 2021). </w:t>
      </w:r>
    </w:p>
    <w:p w14:paraId="2451A6DD" w14:textId="77777777" w:rsidR="004D1193" w:rsidRDefault="004D1193">
      <w:pPr>
        <w:spacing w:line="276" w:lineRule="auto"/>
        <w:ind w:right="-550"/>
        <w:jc w:val="both"/>
        <w:rPr>
          <w:rFonts w:ascii="Open Sans" w:eastAsia="Open Sans" w:hAnsi="Open Sans" w:cs="Open Sans"/>
          <w:sz w:val="22"/>
          <w:szCs w:val="22"/>
        </w:rPr>
      </w:pPr>
    </w:p>
    <w:p w14:paraId="6B7B3D0E" w14:textId="32925E90" w:rsidR="004D1193" w:rsidRDefault="00A455FF">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Como resultado, es también el tramo de edad en el que más ha descendido la compra de vivienda de nueva construcción: </w:t>
      </w:r>
      <w:r>
        <w:rPr>
          <w:rFonts w:ascii="Open Sans" w:eastAsia="Open Sans" w:hAnsi="Open Sans" w:cs="Open Sans"/>
          <w:b/>
          <w:sz w:val="22"/>
          <w:szCs w:val="22"/>
        </w:rPr>
        <w:t>del 32 % de compradores de 25 a 34 años en 2020 se ha pasado al 25 % en 2021</w:t>
      </w:r>
      <w:r>
        <w:rPr>
          <w:rFonts w:ascii="Open Sans" w:eastAsia="Open Sans" w:hAnsi="Open Sans" w:cs="Open Sans"/>
          <w:sz w:val="22"/>
          <w:szCs w:val="22"/>
        </w:rPr>
        <w:t xml:space="preserve">. </w:t>
      </w:r>
    </w:p>
    <w:p w14:paraId="344295A7" w14:textId="77777777" w:rsidR="008816CD" w:rsidRDefault="008816CD">
      <w:pPr>
        <w:spacing w:line="276" w:lineRule="auto"/>
        <w:ind w:right="-550"/>
        <w:jc w:val="both"/>
        <w:rPr>
          <w:rFonts w:ascii="Open Sans" w:eastAsia="Open Sans" w:hAnsi="Open Sans" w:cs="Open Sans"/>
          <w:sz w:val="22"/>
          <w:szCs w:val="22"/>
        </w:rPr>
      </w:pPr>
    </w:p>
    <w:p w14:paraId="71E23AF1" w14:textId="77777777" w:rsidR="004D1193" w:rsidRDefault="00A455FF">
      <w:pPr>
        <w:spacing w:line="276" w:lineRule="auto"/>
        <w:ind w:right="-550"/>
        <w:jc w:val="both"/>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57E74891" wp14:editId="5ED7D1CB">
            <wp:extent cx="6011155" cy="2629217"/>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011155" cy="2629217"/>
                    </a:xfrm>
                    <a:prstGeom prst="rect">
                      <a:avLst/>
                    </a:prstGeom>
                    <a:ln/>
                  </pic:spPr>
                </pic:pic>
              </a:graphicData>
            </a:graphic>
          </wp:inline>
        </w:drawing>
      </w:r>
    </w:p>
    <w:p w14:paraId="0EFC2F4F" w14:textId="77777777" w:rsidR="004D1193" w:rsidRDefault="004D1193">
      <w:pPr>
        <w:spacing w:line="276" w:lineRule="auto"/>
        <w:ind w:right="-550"/>
        <w:jc w:val="both"/>
        <w:rPr>
          <w:rFonts w:ascii="Open Sans" w:eastAsia="Open Sans" w:hAnsi="Open Sans" w:cs="Open Sans"/>
          <w:sz w:val="22"/>
          <w:szCs w:val="22"/>
        </w:rPr>
      </w:pPr>
    </w:p>
    <w:p w14:paraId="7BAF91A2" w14:textId="7973EB40" w:rsidR="004D1193" w:rsidRDefault="00A455FF">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Hay, por lo tanto, patrones comunes en todos los tramos de edad y todas las comunidades autónomas, pero la de Madrid y el segmento de 25 a 34 años son las claves que explican gran parte de los cambios que se han producido en la consideración de la obra nueva y su efectiva compra con respecto a 2020. </w:t>
      </w:r>
    </w:p>
    <w:p w14:paraId="6F14F04E" w14:textId="1153DC7F" w:rsidR="008816CD" w:rsidRDefault="008816CD">
      <w:pPr>
        <w:spacing w:line="276" w:lineRule="auto"/>
        <w:ind w:right="-550"/>
        <w:jc w:val="both"/>
        <w:rPr>
          <w:rFonts w:ascii="Open Sans" w:eastAsia="Open Sans" w:hAnsi="Open Sans" w:cs="Open Sans"/>
          <w:sz w:val="22"/>
          <w:szCs w:val="22"/>
        </w:rPr>
      </w:pPr>
    </w:p>
    <w:p w14:paraId="7A27ED3C" w14:textId="13FA5B50" w:rsidR="008816CD" w:rsidRDefault="008816CD">
      <w:pPr>
        <w:spacing w:line="276" w:lineRule="auto"/>
        <w:ind w:right="-550"/>
        <w:jc w:val="both"/>
        <w:rPr>
          <w:rFonts w:ascii="Open Sans" w:eastAsia="Open Sans" w:hAnsi="Open Sans" w:cs="Open Sans"/>
          <w:sz w:val="22"/>
          <w:szCs w:val="22"/>
        </w:rPr>
      </w:pPr>
    </w:p>
    <w:p w14:paraId="068DBA72" w14:textId="06366B9A" w:rsidR="00E47516" w:rsidRDefault="00E47516">
      <w:pPr>
        <w:spacing w:line="276" w:lineRule="auto"/>
        <w:ind w:right="-550"/>
        <w:jc w:val="both"/>
        <w:rPr>
          <w:rFonts w:ascii="Open Sans" w:eastAsia="Open Sans" w:hAnsi="Open Sans" w:cs="Open Sans"/>
          <w:sz w:val="22"/>
          <w:szCs w:val="22"/>
        </w:rPr>
      </w:pPr>
    </w:p>
    <w:p w14:paraId="70CAB1A8" w14:textId="2B0E7B82" w:rsidR="00E47516" w:rsidRDefault="00E47516">
      <w:pPr>
        <w:spacing w:line="276" w:lineRule="auto"/>
        <w:ind w:right="-550"/>
        <w:jc w:val="both"/>
        <w:rPr>
          <w:rFonts w:ascii="Open Sans" w:eastAsia="Open Sans" w:hAnsi="Open Sans" w:cs="Open Sans"/>
          <w:sz w:val="22"/>
          <w:szCs w:val="22"/>
        </w:rPr>
      </w:pPr>
    </w:p>
    <w:p w14:paraId="65A4FF45" w14:textId="05E1DA21" w:rsidR="00E47516" w:rsidRDefault="00E47516">
      <w:pPr>
        <w:spacing w:line="276" w:lineRule="auto"/>
        <w:ind w:right="-550"/>
        <w:jc w:val="both"/>
        <w:rPr>
          <w:rFonts w:ascii="Open Sans" w:eastAsia="Open Sans" w:hAnsi="Open Sans" w:cs="Open Sans"/>
          <w:sz w:val="22"/>
          <w:szCs w:val="22"/>
        </w:rPr>
      </w:pPr>
    </w:p>
    <w:p w14:paraId="4479D238" w14:textId="10828AF5" w:rsidR="00E47516" w:rsidRDefault="00E47516">
      <w:pPr>
        <w:spacing w:line="276" w:lineRule="auto"/>
        <w:ind w:right="-550"/>
        <w:jc w:val="both"/>
        <w:rPr>
          <w:rFonts w:ascii="Open Sans" w:eastAsia="Open Sans" w:hAnsi="Open Sans" w:cs="Open Sans"/>
          <w:sz w:val="22"/>
          <w:szCs w:val="22"/>
        </w:rPr>
      </w:pPr>
    </w:p>
    <w:p w14:paraId="7B199FF5" w14:textId="211A7ABC" w:rsidR="00E47516" w:rsidRDefault="00E47516">
      <w:pPr>
        <w:spacing w:line="276" w:lineRule="auto"/>
        <w:ind w:right="-550"/>
        <w:jc w:val="both"/>
        <w:rPr>
          <w:rFonts w:ascii="Open Sans" w:eastAsia="Open Sans" w:hAnsi="Open Sans" w:cs="Open Sans"/>
          <w:sz w:val="22"/>
          <w:szCs w:val="22"/>
        </w:rPr>
      </w:pPr>
    </w:p>
    <w:p w14:paraId="0FE3342C" w14:textId="1A554677" w:rsidR="00E47516" w:rsidRDefault="00E47516">
      <w:pPr>
        <w:spacing w:line="276" w:lineRule="auto"/>
        <w:ind w:right="-550"/>
        <w:jc w:val="both"/>
        <w:rPr>
          <w:rFonts w:ascii="Open Sans" w:eastAsia="Open Sans" w:hAnsi="Open Sans" w:cs="Open Sans"/>
          <w:sz w:val="22"/>
          <w:szCs w:val="22"/>
        </w:rPr>
      </w:pPr>
    </w:p>
    <w:p w14:paraId="547D0BD6" w14:textId="5C3BEAF4" w:rsidR="00E47516" w:rsidRDefault="00E47516">
      <w:pPr>
        <w:spacing w:line="276" w:lineRule="auto"/>
        <w:ind w:right="-550"/>
        <w:jc w:val="both"/>
        <w:rPr>
          <w:rFonts w:ascii="Open Sans" w:eastAsia="Open Sans" w:hAnsi="Open Sans" w:cs="Open Sans"/>
          <w:sz w:val="22"/>
          <w:szCs w:val="22"/>
        </w:rPr>
      </w:pPr>
    </w:p>
    <w:p w14:paraId="01B18729" w14:textId="77777777" w:rsidR="00E47516" w:rsidRDefault="00E47516">
      <w:pPr>
        <w:spacing w:line="276" w:lineRule="auto"/>
        <w:ind w:right="-550"/>
        <w:jc w:val="both"/>
        <w:rPr>
          <w:rFonts w:ascii="Open Sans" w:eastAsia="Open Sans" w:hAnsi="Open Sans" w:cs="Open Sans"/>
          <w:sz w:val="22"/>
          <w:szCs w:val="22"/>
        </w:rPr>
      </w:pPr>
    </w:p>
    <w:p w14:paraId="1972ECF0" w14:textId="77777777" w:rsidR="004D1193" w:rsidRDefault="004D1193">
      <w:pPr>
        <w:spacing w:line="276" w:lineRule="auto"/>
        <w:ind w:right="-716"/>
        <w:jc w:val="both"/>
        <w:rPr>
          <w:rFonts w:ascii="Open Sans Light" w:eastAsia="Open Sans Light" w:hAnsi="Open Sans Light" w:cs="Open Sans Light"/>
          <w:b/>
          <w:color w:val="303AB2"/>
          <w:sz w:val="22"/>
          <w:szCs w:val="22"/>
        </w:rPr>
      </w:pPr>
    </w:p>
    <w:p w14:paraId="68F87B0B" w14:textId="77777777" w:rsidR="004D1193" w:rsidRDefault="00A455FF">
      <w:pPr>
        <w:spacing w:line="276" w:lineRule="auto"/>
        <w:ind w:right="-71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Sobre el informe “Perfil del comprador de obra nueva 2020-2021”</w:t>
      </w:r>
    </w:p>
    <w:p w14:paraId="1F953641" w14:textId="77777777" w:rsidR="004D1193" w:rsidRDefault="004D1193">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3A4F2C9D" w14:textId="77777777" w:rsidR="004D1193" w:rsidRDefault="00A455FF">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portal inmobiliario </w:t>
      </w:r>
      <w:hyperlink r:id="rId18">
        <w:r>
          <w:rPr>
            <w:rFonts w:ascii="Open Sans" w:eastAsia="Open Sans" w:hAnsi="Open Sans" w:cs="Open Sans"/>
            <w:b/>
            <w:color w:val="0000FF"/>
            <w:sz w:val="22"/>
            <w:szCs w:val="22"/>
            <w:u w:val="single"/>
          </w:rPr>
          <w:t>Fotocasa</w:t>
        </w:r>
      </w:hyperlink>
      <w:r>
        <w:rPr>
          <w:rFonts w:ascii="Open Sans" w:eastAsia="Open Sans" w:hAnsi="Open Sans" w:cs="Open Sans"/>
          <w:color w:val="000000"/>
          <w:sz w:val="22"/>
          <w:szCs w:val="22"/>
        </w:rPr>
        <w:t xml:space="preserve"> ha realizado el informe “</w:t>
      </w:r>
      <w:r>
        <w:rPr>
          <w:rFonts w:ascii="Open Sans" w:eastAsia="Open Sans" w:hAnsi="Open Sans" w:cs="Open Sans"/>
          <w:b/>
          <w:sz w:val="22"/>
          <w:szCs w:val="22"/>
        </w:rPr>
        <w:t>Perfil del comprador de obra nueva 2020-2021</w:t>
      </w:r>
      <w:r>
        <w:rPr>
          <w:rFonts w:ascii="Open Sans" w:eastAsia="Open Sans" w:hAnsi="Open Sans" w:cs="Open Sans"/>
          <w:b/>
          <w:i/>
          <w:color w:val="000000"/>
          <w:sz w:val="22"/>
          <w:szCs w:val="22"/>
        </w:rPr>
        <w:t>”</w:t>
      </w:r>
      <w:r>
        <w:rPr>
          <w:rFonts w:ascii="Open Sans" w:eastAsia="Open Sans" w:hAnsi="Open Sans" w:cs="Open Sans"/>
          <w:color w:val="000000"/>
          <w:sz w:val="22"/>
          <w:szCs w:val="22"/>
        </w:rPr>
        <w:t xml:space="preserve">, en base a un exhaustivo análisis del equipo de </w:t>
      </w:r>
      <w:proofErr w:type="spellStart"/>
      <w:r>
        <w:rPr>
          <w:rFonts w:ascii="Open Sans" w:eastAsia="Open Sans" w:hAnsi="Open Sans" w:cs="Open Sans"/>
          <w:color w:val="000000"/>
          <w:sz w:val="22"/>
          <w:szCs w:val="22"/>
        </w:rPr>
        <w:t>Bussiness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Analytics</w:t>
      </w:r>
      <w:proofErr w:type="spellEnd"/>
      <w:r>
        <w:rPr>
          <w:rFonts w:ascii="Open Sans" w:eastAsia="Open Sans" w:hAnsi="Open Sans" w:cs="Open Sans"/>
          <w:color w:val="000000"/>
          <w:sz w:val="22"/>
          <w:szCs w:val="22"/>
        </w:rPr>
        <w:t xml:space="preserve"> de Fotocasa en colaboración con el instituto de investigación </w:t>
      </w:r>
      <w:proofErr w:type="spellStart"/>
      <w:r>
        <w:rPr>
          <w:rFonts w:ascii="Open Sans" w:eastAsia="Open Sans" w:hAnsi="Open Sans" w:cs="Open Sans"/>
          <w:color w:val="000000"/>
          <w:sz w:val="22"/>
          <w:szCs w:val="22"/>
        </w:rPr>
        <w:t>The</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Cocktail</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Analysis</w:t>
      </w:r>
      <w:proofErr w:type="spellEnd"/>
      <w:r>
        <w:rPr>
          <w:rFonts w:ascii="Open Sans" w:eastAsia="Open Sans" w:hAnsi="Open Sans" w:cs="Open Sans"/>
          <w:color w:val="000000"/>
          <w:sz w:val="22"/>
          <w:szCs w:val="22"/>
        </w:rPr>
        <w:t xml:space="preserve">. </w:t>
      </w:r>
    </w:p>
    <w:p w14:paraId="0A6F4414" w14:textId="77777777" w:rsidR="004D1193" w:rsidRDefault="00A455FF">
      <w:pPr>
        <w:spacing w:before="240" w:line="276" w:lineRule="auto"/>
        <w:ind w:right="-574"/>
        <w:jc w:val="both"/>
        <w:rPr>
          <w:rFonts w:ascii="Open Sans Light" w:eastAsia="Open Sans Light" w:hAnsi="Open Sans Light" w:cs="Open Sans Light"/>
          <w:b/>
          <w:color w:val="303AB2"/>
        </w:rPr>
      </w:pPr>
      <w:r>
        <w:rPr>
          <w:rFonts w:ascii="Open Sans" w:eastAsia="Open Sans" w:hAnsi="Open Sans" w:cs="Open Sans"/>
          <w:color w:val="000000"/>
          <w:sz w:val="22"/>
          <w:szCs w:val="22"/>
        </w:rPr>
        <w:t>El estudio pretende dar continuidad a los informes presentados en 2019, 2018 y 2017. Al igual que los anteriores estudios, se ha realizado sobre un panel independiente con una penetraci</w:t>
      </w:r>
      <w:r>
        <w:rPr>
          <w:rFonts w:ascii="Open Sans" w:eastAsia="Open Sans" w:hAnsi="Open Sans" w:cs="Open Sans"/>
          <w:sz w:val="22"/>
          <w:szCs w:val="22"/>
        </w:rPr>
        <w:t xml:space="preserve">ón de </w:t>
      </w:r>
      <w:r>
        <w:rPr>
          <w:rFonts w:ascii="Open Sans" w:eastAsia="Open Sans" w:hAnsi="Open Sans" w:cs="Open Sans"/>
          <w:color w:val="000000"/>
          <w:sz w:val="22"/>
          <w:szCs w:val="22"/>
        </w:rPr>
        <w:t>muestra de 5.000 personas representativas de la sociedad española y que tienen entre 18 y 75 años, y una muestra de 610 personas de 18 a 75 años re</w:t>
      </w:r>
      <w:r>
        <w:rPr>
          <w:rFonts w:ascii="Open Sans" w:eastAsia="Open Sans" w:hAnsi="Open Sans" w:cs="Open Sans"/>
          <w:sz w:val="22"/>
          <w:szCs w:val="22"/>
        </w:rPr>
        <w:t>presentativas de los compradores que han considerado obra nueva</w:t>
      </w:r>
      <w:r>
        <w:rPr>
          <w:rFonts w:ascii="Open Sans" w:eastAsia="Open Sans" w:hAnsi="Open Sans" w:cs="Open Sans"/>
          <w:color w:val="000000"/>
          <w:sz w:val="22"/>
          <w:szCs w:val="22"/>
        </w:rPr>
        <w:t xml:space="preserve"> a través de encuestas online que se efectuaron entre febrero y marzo de 2021. Error muestral: +-1,4%</w:t>
      </w:r>
      <w:r>
        <w:rPr>
          <w:rFonts w:ascii="Open Sans" w:eastAsia="Open Sans" w:hAnsi="Open Sans" w:cs="Open Sans"/>
          <w:sz w:val="22"/>
          <w:szCs w:val="22"/>
        </w:rPr>
        <w:t>.</w:t>
      </w:r>
    </w:p>
    <w:p w14:paraId="699359DA" w14:textId="77777777" w:rsidR="004D1193" w:rsidRDefault="004D1193">
      <w:pPr>
        <w:spacing w:line="276" w:lineRule="auto"/>
        <w:ind w:right="-716"/>
        <w:jc w:val="right"/>
        <w:rPr>
          <w:rFonts w:ascii="Open Sans Light" w:eastAsia="Open Sans Light" w:hAnsi="Open Sans Light" w:cs="Open Sans Light"/>
          <w:b/>
          <w:color w:val="303AB2"/>
        </w:rPr>
      </w:pPr>
    </w:p>
    <w:p w14:paraId="54EAEEF0" w14:textId="77777777" w:rsidR="004D1193" w:rsidRDefault="00A455FF">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3DD58DC" w14:textId="77777777" w:rsidR="004D1193" w:rsidRDefault="00A455FF">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bookmarkStart w:id="0" w:name="_heading=h.30j0zll" w:colFirst="0" w:colLast="0"/>
    <w:bookmarkEnd w:id="0"/>
    <w:p w14:paraId="6DA6CA6F" w14:textId="77777777" w:rsidR="004D1193" w:rsidRDefault="00A455FF">
      <w:pPr>
        <w:shd w:val="clear" w:color="auto" w:fill="FFFFFF"/>
        <w:spacing w:before="280" w:after="280"/>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Marketplace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del sector a nivel mundial. Con presencia en 12 países de Europa, América Latina y África del Norte, el conjunto de sus plataformas locales recibe un promedio de 1.500 millones de visitas cada mes.</w:t>
      </w:r>
    </w:p>
    <w:p w14:paraId="32B0EE59" w14:textId="77777777" w:rsidR="004D1193" w:rsidRDefault="00877B8F">
      <w:pPr>
        <w:shd w:val="clear" w:color="auto" w:fill="FFFFFF"/>
        <w:spacing w:before="280" w:after="280"/>
        <w:ind w:right="-716"/>
        <w:jc w:val="both"/>
        <w:rPr>
          <w:rFonts w:ascii="Times New Roman" w:eastAsia="Times New Roman" w:hAnsi="Times New Roman" w:cs="Times New Roman"/>
          <w:color w:val="222222"/>
          <w:sz w:val="22"/>
          <w:szCs w:val="22"/>
        </w:rPr>
      </w:pPr>
      <w:hyperlink r:id="rId20">
        <w:r w:rsidR="00A455FF">
          <w:rPr>
            <w:rFonts w:ascii="Open Sans" w:eastAsia="Open Sans" w:hAnsi="Open Sans" w:cs="Open Sans"/>
            <w:color w:val="0000FF"/>
            <w:sz w:val="22"/>
            <w:szCs w:val="22"/>
            <w:u w:val="single"/>
          </w:rPr>
          <w:t>Más información sobre Fotocasa</w:t>
        </w:r>
      </w:hyperlink>
      <w:r w:rsidR="00A455FF">
        <w:rPr>
          <w:rFonts w:ascii="Open Sans" w:eastAsia="Open Sans" w:hAnsi="Open Sans" w:cs="Open Sans"/>
          <w:color w:val="000000"/>
          <w:sz w:val="22"/>
          <w:szCs w:val="22"/>
        </w:rPr>
        <w:t>.</w:t>
      </w:r>
    </w:p>
    <w:p w14:paraId="48B4A712" w14:textId="77777777" w:rsidR="004D1193" w:rsidRDefault="00A455FF">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En España,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antes Schibsted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xml:space="preserve">, es una de las principales empresas del sector tecnológico del país y un referente de transformación digital. En sus 40 años de trayectoria en el mercado español de clasificados, 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hasta convertirse en el referente de Internet en sectores relevantes como inmobiliaria (</w:t>
      </w:r>
      <w:hyperlink r:id="rId21">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y </w:t>
      </w:r>
      <w:proofErr w:type="spellStart"/>
      <w:r>
        <w:fldChar w:fldCharType="begin"/>
      </w:r>
      <w:r>
        <w:instrText xml:space="preserve"> HYPERLINK "https://www.habitaclia.com/" \h </w:instrText>
      </w:r>
      <w:r>
        <w:fldChar w:fldCharType="separate"/>
      </w:r>
      <w:r>
        <w:rPr>
          <w:rFonts w:ascii="Open Sans" w:eastAsia="Open Sans" w:hAnsi="Open Sans" w:cs="Open Sans"/>
          <w:color w:val="0000FF"/>
          <w:sz w:val="22"/>
          <w:szCs w:val="22"/>
          <w:u w:val="single"/>
        </w:rPr>
        <w:t>habitaclia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empleo (</w:t>
      </w:r>
      <w:hyperlink r:id="rId22">
        <w:r>
          <w:rPr>
            <w:rFonts w:ascii="Open Sans" w:eastAsia="Open Sans" w:hAnsi="Open Sans" w:cs="Open Sans"/>
            <w:color w:val="0000FF"/>
            <w:sz w:val="22"/>
            <w:szCs w:val="22"/>
            <w:u w:val="single"/>
          </w:rPr>
          <w:t>Infojobs.net</w:t>
        </w:r>
      </w:hyperlink>
      <w:r>
        <w:rPr>
          <w:rFonts w:ascii="Open Sans" w:eastAsia="Open Sans" w:hAnsi="Open Sans" w:cs="Open Sans"/>
          <w:color w:val="000000"/>
          <w:sz w:val="22"/>
          <w:szCs w:val="22"/>
        </w:rPr>
        <w:t>), motor (</w:t>
      </w:r>
      <w:hyperlink r:id="rId23">
        <w:r>
          <w:rPr>
            <w:rFonts w:ascii="Open Sans" w:eastAsia="Open Sans" w:hAnsi="Open Sans" w:cs="Open Sans"/>
            <w:color w:val="0000FF"/>
            <w:sz w:val="22"/>
            <w:szCs w:val="22"/>
            <w:u w:val="single"/>
          </w:rPr>
          <w:t>coches.net</w:t>
        </w:r>
      </w:hyperlink>
      <w:r>
        <w:rPr>
          <w:rFonts w:ascii="Open Sans" w:eastAsia="Open Sans" w:hAnsi="Open Sans" w:cs="Open Sans"/>
          <w:color w:val="000000"/>
          <w:sz w:val="22"/>
          <w:szCs w:val="22"/>
        </w:rPr>
        <w:t> y </w:t>
      </w:r>
      <w:hyperlink r:id="rId24">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color w:val="000000"/>
          <w:sz w:val="22"/>
          <w:szCs w:val="22"/>
        </w:rPr>
        <w:t>) y segunda mano (</w:t>
      </w:r>
      <w:proofErr w:type="spellStart"/>
      <w:r>
        <w:fldChar w:fldCharType="begin"/>
      </w:r>
      <w:r>
        <w:instrText xml:space="preserve"> HYPERLINK "https://www.milanuncios.es/" \h </w:instrText>
      </w:r>
      <w:r>
        <w:fldChar w:fldCharType="separate"/>
      </w:r>
      <w:r>
        <w:rPr>
          <w:rFonts w:ascii="Open Sans" w:eastAsia="Open Sans" w:hAnsi="Open Sans" w:cs="Open Sans"/>
          <w:color w:val="0000FF"/>
          <w:sz w:val="22"/>
          <w:szCs w:val="22"/>
          <w:u w:val="single"/>
        </w:rPr>
        <w:t>Milanuncios</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y </w:t>
      </w:r>
      <w:proofErr w:type="spellStart"/>
      <w:r>
        <w:fldChar w:fldCharType="begin"/>
      </w:r>
      <w:r>
        <w:instrText xml:space="preserve"> HYPERLINK "https://www.vibbo.com/" \h </w:instrText>
      </w:r>
      <w:r>
        <w:fldChar w:fldCharType="separate"/>
      </w:r>
      <w:r>
        <w:rPr>
          <w:rFonts w:ascii="Open Sans" w:eastAsia="Open Sans" w:hAnsi="Open Sans" w:cs="Open Sans"/>
          <w:color w:val="0000FF"/>
          <w:sz w:val="22"/>
          <w:szCs w:val="22"/>
          <w:u w:val="single"/>
        </w:rPr>
        <w:t>vibbo</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Sus más de 18 millones de usuarios al mes sitúan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entre las diez compañías con mayor audiencia de Internet en España (y la mayor empresa digital española).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cuenta en la actualidad con una plantilla de más de 1.000 empleados en España. </w:t>
      </w:r>
    </w:p>
    <w:p w14:paraId="557A361A" w14:textId="77777777" w:rsidR="004D1193" w:rsidRDefault="004D1193">
      <w:pPr>
        <w:shd w:val="clear" w:color="auto" w:fill="FFFFFF"/>
        <w:spacing w:line="276" w:lineRule="auto"/>
        <w:ind w:right="-716"/>
        <w:jc w:val="both"/>
        <w:rPr>
          <w:rFonts w:ascii="Open Sans" w:eastAsia="Open Sans" w:hAnsi="Open Sans" w:cs="Open Sans"/>
          <w:color w:val="000000"/>
          <w:sz w:val="22"/>
          <w:szCs w:val="22"/>
        </w:rPr>
      </w:pPr>
    </w:p>
    <w:p w14:paraId="4C7A781C" w14:textId="77777777" w:rsidR="004D1193" w:rsidRDefault="00A455FF">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25">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p w14:paraId="115E9CE5" w14:textId="77777777" w:rsidR="004D1193" w:rsidRDefault="004D1193">
      <w:pPr>
        <w:shd w:val="clear" w:color="auto" w:fill="FFFFFF"/>
        <w:spacing w:line="276" w:lineRule="auto"/>
        <w:ind w:right="-716"/>
        <w:jc w:val="both"/>
        <w:rPr>
          <w:rFonts w:ascii="Open Sans" w:eastAsia="Open Sans" w:hAnsi="Open Sans" w:cs="Open Sans"/>
          <w:color w:val="000000"/>
          <w:sz w:val="21"/>
          <w:szCs w:val="21"/>
        </w:rPr>
      </w:pPr>
    </w:p>
    <w:p w14:paraId="75B5C50B" w14:textId="77777777" w:rsidR="004D1193" w:rsidRDefault="004D1193">
      <w:pPr>
        <w:spacing w:line="276" w:lineRule="auto"/>
        <w:ind w:right="-716"/>
        <w:rPr>
          <w:rFonts w:ascii="Open Sans Light" w:eastAsia="Open Sans Light" w:hAnsi="Open Sans Light" w:cs="Open Sans Light"/>
          <w:b/>
          <w:color w:val="303AB2"/>
          <w:sz w:val="22"/>
          <w:szCs w:val="22"/>
        </w:rPr>
      </w:pPr>
    </w:p>
    <w:p w14:paraId="59553E9D" w14:textId="77777777" w:rsidR="004D1193" w:rsidRDefault="00A455FF">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lastRenderedPageBreak/>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3650048C" w14:textId="77777777" w:rsidR="004D1193" w:rsidRDefault="00A455FF">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36CB3DD6" w14:textId="77777777" w:rsidR="004D1193" w:rsidRDefault="00877B8F">
      <w:pPr>
        <w:shd w:val="clear" w:color="auto" w:fill="FFFFFF"/>
        <w:spacing w:line="276" w:lineRule="auto"/>
        <w:ind w:right="-716"/>
        <w:rPr>
          <w:rFonts w:ascii="Open Sans" w:eastAsia="Open Sans" w:hAnsi="Open Sans" w:cs="Open Sans"/>
          <w:color w:val="0000FF"/>
          <w:sz w:val="19"/>
          <w:szCs w:val="19"/>
          <w:u w:val="single"/>
        </w:rPr>
      </w:pPr>
      <w:hyperlink r:id="rId26">
        <w:r w:rsidR="00A455FF">
          <w:rPr>
            <w:rFonts w:ascii="Open Sans" w:eastAsia="Open Sans" w:hAnsi="Open Sans" w:cs="Open Sans"/>
            <w:color w:val="0000FF"/>
            <w:sz w:val="19"/>
            <w:szCs w:val="19"/>
            <w:u w:val="single"/>
          </w:rPr>
          <w:t>rtorne@llorenteycuenca.com</w:t>
        </w:r>
      </w:hyperlink>
      <w:r w:rsidR="00A455FF">
        <w:rPr>
          <w:rFonts w:ascii="Open Sans" w:eastAsia="Open Sans" w:hAnsi="Open Sans" w:cs="Open Sans"/>
          <w:color w:val="0000FF"/>
          <w:sz w:val="19"/>
          <w:szCs w:val="19"/>
        </w:rPr>
        <w:tab/>
      </w:r>
      <w:r w:rsidR="00A455FF">
        <w:rPr>
          <w:rFonts w:ascii="Open Sans" w:eastAsia="Open Sans" w:hAnsi="Open Sans" w:cs="Open Sans"/>
          <w:color w:val="0000FF"/>
          <w:sz w:val="19"/>
          <w:szCs w:val="19"/>
        </w:rPr>
        <w:tab/>
      </w:r>
      <w:r w:rsidR="00A455FF">
        <w:rPr>
          <w:rFonts w:ascii="Open Sans" w:eastAsia="Open Sans" w:hAnsi="Open Sans" w:cs="Open Sans"/>
          <w:color w:val="0000FF"/>
          <w:sz w:val="19"/>
          <w:szCs w:val="19"/>
        </w:rPr>
        <w:tab/>
        <w:t xml:space="preserve">                                                  </w:t>
      </w:r>
      <w:hyperlink r:id="rId27">
        <w:r w:rsidR="00A455FF">
          <w:rPr>
            <w:rFonts w:ascii="Open Sans" w:eastAsia="Open Sans" w:hAnsi="Open Sans" w:cs="Open Sans"/>
            <w:color w:val="0000FF"/>
            <w:sz w:val="19"/>
            <w:szCs w:val="19"/>
            <w:u w:val="single"/>
          </w:rPr>
          <w:t>comunicacion@fotocasa.es</w:t>
        </w:r>
      </w:hyperlink>
    </w:p>
    <w:p w14:paraId="2E0FFF74" w14:textId="77777777" w:rsidR="004D1193" w:rsidRDefault="00A455FF">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620 66 29 26</w:t>
      </w:r>
    </w:p>
    <w:p w14:paraId="36C7CE46" w14:textId="77777777" w:rsidR="004D1193" w:rsidRDefault="00A455FF">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2A4111B2" w14:textId="77777777" w:rsidR="004D1193" w:rsidRDefault="00A455FF">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1D50B155" w14:textId="77777777" w:rsidR="004D1193" w:rsidRDefault="00877B8F">
      <w:pPr>
        <w:shd w:val="clear" w:color="auto" w:fill="FFFFFF"/>
        <w:ind w:right="-716"/>
        <w:rPr>
          <w:rFonts w:ascii="Open Sans" w:eastAsia="Open Sans" w:hAnsi="Open Sans" w:cs="Open Sans"/>
          <w:color w:val="0000FF"/>
          <w:sz w:val="19"/>
          <w:szCs w:val="19"/>
        </w:rPr>
      </w:pPr>
      <w:hyperlink r:id="rId28">
        <w:r w:rsidR="00A455FF">
          <w:rPr>
            <w:rFonts w:ascii="Open Sans" w:eastAsia="Open Sans" w:hAnsi="Open Sans" w:cs="Open Sans"/>
            <w:color w:val="0000FF"/>
            <w:sz w:val="19"/>
            <w:szCs w:val="19"/>
            <w:u w:val="single"/>
          </w:rPr>
          <w:t>emerino@llorenteycuenca.com</w:t>
        </w:r>
      </w:hyperlink>
    </w:p>
    <w:p w14:paraId="3BAFD149" w14:textId="77777777" w:rsidR="004D1193" w:rsidRDefault="00A455FF">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663 35 69 75 </w:t>
      </w:r>
    </w:p>
    <w:sectPr w:rsidR="004D1193">
      <w:footerReference w:type="default" r:id="rId29"/>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C3615" w14:textId="77777777" w:rsidR="00877B8F" w:rsidRDefault="00877B8F">
      <w:r>
        <w:separator/>
      </w:r>
    </w:p>
  </w:endnote>
  <w:endnote w:type="continuationSeparator" w:id="0">
    <w:p w14:paraId="0BF84533" w14:textId="77777777" w:rsidR="00877B8F" w:rsidRDefault="00877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altName w:val="Segoe UI"/>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6F84" w14:textId="77777777" w:rsidR="004D1193" w:rsidRDefault="00A455FF">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5ABCFD8D" wp14:editId="1F57ED5B">
          <wp:simplePos x="0" y="0"/>
          <wp:positionH relativeFrom="column">
            <wp:posOffset>-1068059</wp:posOffset>
          </wp:positionH>
          <wp:positionV relativeFrom="paragraph">
            <wp:posOffset>174608</wp:posOffset>
          </wp:positionV>
          <wp:extent cx="7670550" cy="451315"/>
          <wp:effectExtent l="0" t="0" r="0" b="0"/>
          <wp:wrapSquare wrapText="bothSides" distT="0" distB="0" distL="0" distR="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9A747" w14:textId="77777777" w:rsidR="00877B8F" w:rsidRDefault="00877B8F">
      <w:r>
        <w:separator/>
      </w:r>
    </w:p>
  </w:footnote>
  <w:footnote w:type="continuationSeparator" w:id="0">
    <w:p w14:paraId="3D896D9B" w14:textId="77777777" w:rsidR="00877B8F" w:rsidRDefault="00877B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057BD0"/>
    <w:multiLevelType w:val="multilevel"/>
    <w:tmpl w:val="3E20DD44"/>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193"/>
    <w:rsid w:val="000F609A"/>
    <w:rsid w:val="004D1193"/>
    <w:rsid w:val="00877B8F"/>
    <w:rsid w:val="008816CD"/>
    <w:rsid w:val="00901357"/>
    <w:rsid w:val="00A455FF"/>
    <w:rsid w:val="00CC77CA"/>
    <w:rsid w:val="00E475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1B7E1"/>
  <w15:docId w15:val="{C30B09E3-83DE-4E36-9D2D-BE55E1271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3C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www.fotocasa.es" TargetMode="External"/><Relationship Id="rId26" Type="http://schemas.openxmlformats.org/officeDocument/2006/relationships/hyperlink" Target="mailto:rtorne@llorenteycuenca.com" TargetMode="External"/><Relationship Id="rId3" Type="http://schemas.openxmlformats.org/officeDocument/2006/relationships/styles" Target="styles.xml"/><Relationship Id="rId21" Type="http://schemas.openxmlformats.org/officeDocument/2006/relationships/hyperlink" Target="http://www.fotocasa.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prensa.fotocasa.e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otocasa.es/es/quienes-somo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s://motos.coches.ne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oches.net/" TargetMode="External"/><Relationship Id="rId28" Type="http://schemas.openxmlformats.org/officeDocument/2006/relationships/hyperlink" Target="mailto:emerino@llorenteycuenca.com" TargetMode="External"/><Relationship Id="rId10" Type="http://schemas.openxmlformats.org/officeDocument/2006/relationships/hyperlink" Target="https://s36360.pcdn.co/wp-content/uploads/2021/10/Informe-obra-nueva-2021.pdf" TargetMode="External"/><Relationship Id="rId19" Type="http://schemas.openxmlformats.org/officeDocument/2006/relationships/hyperlink" Target="https://www.fotocasa.es/indic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0_wqIqMdPdA" TargetMode="External"/><Relationship Id="rId14" Type="http://schemas.openxmlformats.org/officeDocument/2006/relationships/image" Target="media/image3.png"/><Relationship Id="rId22" Type="http://schemas.openxmlformats.org/officeDocument/2006/relationships/hyperlink" Target="https://www.infojobs.net/" TargetMode="External"/><Relationship Id="rId27" Type="http://schemas.openxmlformats.org/officeDocument/2006/relationships/hyperlink" Target="mailto:comunicacion@fotocasa.es"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oeJq8nickNPaP7+6+cUwrMOMug==">AMUW2mXJUb0ssjlictgo1OHU4fTLS90QvzsyzEoA+rG80YbzY/OS7HDZAlC9s6aR3VuGnHspeUz1t5mf/a2osvXn5At2R2I7QE5wwAhML5f0SXMBsB7iIpXgpJtcAqiltSGCqWfIuSXr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1452</Words>
  <Characters>7992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5</cp:revision>
  <dcterms:created xsi:type="dcterms:W3CDTF">2021-05-04T14:46:00Z</dcterms:created>
  <dcterms:modified xsi:type="dcterms:W3CDTF">2021-10-13T06:28:00Z</dcterms:modified>
</cp:coreProperties>
</file>