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8E13" w14:textId="77777777" w:rsidR="00B96797" w:rsidRDefault="009A3133">
      <w:pPr>
        <w:ind w:right="-574"/>
      </w:pPr>
      <w:r>
        <w:rPr>
          <w:noProof/>
        </w:rPr>
        <w:drawing>
          <wp:anchor distT="0" distB="0" distL="114300" distR="114300" simplePos="0" relativeHeight="251658240" behindDoc="0" locked="0" layoutInCell="1" hidden="0" allowOverlap="1" wp14:anchorId="4CF28908" wp14:editId="0F7FE514">
            <wp:simplePos x="0" y="0"/>
            <wp:positionH relativeFrom="column">
              <wp:posOffset>-1078861</wp:posOffset>
            </wp:positionH>
            <wp:positionV relativeFrom="paragraph">
              <wp:posOffset>-350449</wp:posOffset>
            </wp:positionV>
            <wp:extent cx="7581265" cy="1019175"/>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C71224E" w14:textId="77777777" w:rsidR="00B96797" w:rsidRDefault="00B96797">
      <w:pPr>
        <w:ind w:right="-574"/>
        <w:jc w:val="right"/>
        <w:rPr>
          <w:rFonts w:ascii="National" w:eastAsia="National" w:hAnsi="National" w:cs="National"/>
          <w:color w:val="303AB2"/>
          <w:sz w:val="36"/>
          <w:szCs w:val="36"/>
        </w:rPr>
      </w:pPr>
    </w:p>
    <w:p w14:paraId="5B3DD50A" w14:textId="77777777" w:rsidR="00B96797" w:rsidRDefault="00B96797">
      <w:pPr>
        <w:ind w:right="-574"/>
        <w:jc w:val="right"/>
        <w:rPr>
          <w:rFonts w:ascii="National" w:eastAsia="National" w:hAnsi="National" w:cs="National"/>
          <w:color w:val="303AB2"/>
          <w:sz w:val="36"/>
          <w:szCs w:val="36"/>
        </w:rPr>
      </w:pPr>
    </w:p>
    <w:p w14:paraId="6E22BE24" w14:textId="77777777" w:rsidR="00B96797" w:rsidRDefault="00B96797">
      <w:pPr>
        <w:spacing w:line="276" w:lineRule="auto"/>
        <w:ind w:right="-574"/>
        <w:jc w:val="center"/>
        <w:rPr>
          <w:rFonts w:ascii="National" w:eastAsia="National" w:hAnsi="National" w:cs="National"/>
          <w:b/>
          <w:color w:val="1DBDC5"/>
          <w:sz w:val="20"/>
          <w:szCs w:val="20"/>
        </w:rPr>
      </w:pPr>
    </w:p>
    <w:p w14:paraId="45E55F4B" w14:textId="7DB5551F" w:rsidR="00B96797" w:rsidRPr="008E5510" w:rsidRDefault="009A3133">
      <w:pPr>
        <w:spacing w:line="276" w:lineRule="auto"/>
        <w:ind w:right="-574"/>
        <w:jc w:val="center"/>
        <w:rPr>
          <w:rFonts w:ascii="National" w:eastAsia="National" w:hAnsi="National" w:cs="National"/>
          <w:b/>
          <w:color w:val="1DBDC5"/>
          <w:sz w:val="30"/>
          <w:szCs w:val="30"/>
        </w:rPr>
      </w:pPr>
      <w:r w:rsidRPr="008E5510">
        <w:rPr>
          <w:rFonts w:ascii="National" w:eastAsia="National" w:hAnsi="National" w:cs="National"/>
          <w:b/>
          <w:color w:val="1DBDC5"/>
          <w:sz w:val="30"/>
          <w:szCs w:val="30"/>
        </w:rPr>
        <w:t>RADIOGRAFÍA DEL MERCADO DE LA VIVIENDA</w:t>
      </w:r>
      <w:r w:rsidR="008E5510" w:rsidRPr="008E5510">
        <w:rPr>
          <w:rFonts w:ascii="National" w:eastAsia="National" w:hAnsi="National" w:cs="National"/>
          <w:b/>
          <w:color w:val="1DBDC5"/>
          <w:sz w:val="30"/>
          <w:szCs w:val="30"/>
        </w:rPr>
        <w:t xml:space="preserve"> EN EL SEGUNDO SEMESTRE DEL 2021</w:t>
      </w:r>
    </w:p>
    <w:p w14:paraId="0F1E3AAB" w14:textId="00E4873C" w:rsidR="00AB0DD7" w:rsidRPr="00517C32" w:rsidRDefault="00F63E8E">
      <w:pPr>
        <w:shd w:val="clear" w:color="auto" w:fill="FFFFFF"/>
        <w:ind w:right="-574"/>
        <w:jc w:val="center"/>
        <w:rPr>
          <w:rFonts w:ascii="National" w:eastAsia="National" w:hAnsi="National" w:cs="National"/>
          <w:b/>
          <w:color w:val="303AB2"/>
          <w:sz w:val="50"/>
          <w:szCs w:val="50"/>
        </w:rPr>
      </w:pPr>
      <w:r w:rsidRPr="00F63E8E">
        <w:rPr>
          <w:rFonts w:ascii="National" w:eastAsia="National" w:hAnsi="National" w:cs="National"/>
          <w:b/>
          <w:color w:val="303AB2"/>
          <w:sz w:val="50"/>
          <w:szCs w:val="50"/>
        </w:rPr>
        <w:t xml:space="preserve">Andalucía recupera </w:t>
      </w:r>
      <w:r w:rsidR="00AB0DD7" w:rsidRPr="00F63E8E">
        <w:rPr>
          <w:rFonts w:ascii="National" w:eastAsia="National" w:hAnsi="National" w:cs="National"/>
          <w:b/>
          <w:color w:val="303AB2"/>
          <w:sz w:val="50"/>
          <w:szCs w:val="50"/>
        </w:rPr>
        <w:t>los niveles de actividad inmobiliaria previos a la pandemia</w:t>
      </w:r>
      <w:r w:rsidR="005A12A3" w:rsidRPr="00517C32">
        <w:rPr>
          <w:rFonts w:ascii="National" w:eastAsia="National" w:hAnsi="National" w:cs="National"/>
          <w:b/>
          <w:color w:val="303AB2"/>
          <w:sz w:val="50"/>
          <w:szCs w:val="50"/>
        </w:rPr>
        <w:t xml:space="preserve"> </w:t>
      </w:r>
    </w:p>
    <w:p w14:paraId="1DE2A1C6" w14:textId="77777777" w:rsidR="00B96797" w:rsidRDefault="00B96797">
      <w:pPr>
        <w:pBdr>
          <w:top w:val="nil"/>
          <w:left w:val="nil"/>
          <w:bottom w:val="nil"/>
          <w:right w:val="nil"/>
          <w:between w:val="nil"/>
        </w:pBdr>
        <w:spacing w:line="276" w:lineRule="auto"/>
        <w:ind w:left="644" w:right="-574"/>
        <w:rPr>
          <w:rFonts w:ascii="Open Sans" w:eastAsia="Open Sans" w:hAnsi="Open Sans" w:cs="Open Sans"/>
          <w:color w:val="000000"/>
          <w:sz w:val="22"/>
          <w:szCs w:val="22"/>
        </w:rPr>
      </w:pPr>
    </w:p>
    <w:p w14:paraId="4994F467" w14:textId="1E67CF1D" w:rsidR="005A12A3" w:rsidRDefault="00F63E8E" w:rsidP="00385DF5">
      <w:pPr>
        <w:numPr>
          <w:ilvl w:val="0"/>
          <w:numId w:val="1"/>
        </w:numPr>
        <w:pBdr>
          <w:top w:val="nil"/>
          <w:left w:val="nil"/>
          <w:bottom w:val="nil"/>
          <w:right w:val="nil"/>
          <w:between w:val="nil"/>
        </w:pBdr>
        <w:spacing w:line="276" w:lineRule="auto"/>
        <w:ind w:right="-574" w:hanging="358"/>
        <w:rPr>
          <w:rFonts w:ascii="Open Sans" w:eastAsia="Open Sans" w:hAnsi="Open Sans" w:cs="Open Sans"/>
          <w:color w:val="000000"/>
          <w:sz w:val="22"/>
          <w:szCs w:val="22"/>
        </w:rPr>
      </w:pPr>
      <w:r w:rsidRPr="00F63E8E">
        <w:rPr>
          <w:rFonts w:ascii="Open Sans" w:eastAsia="Open Sans" w:hAnsi="Open Sans" w:cs="Open Sans"/>
          <w:color w:val="000000"/>
          <w:sz w:val="22"/>
          <w:szCs w:val="22"/>
        </w:rPr>
        <w:t>Andalucía se ha mantenido en buenos porcentajes de participación en el mercado inmobiliario durante toda la pandemia</w:t>
      </w:r>
    </w:p>
    <w:p w14:paraId="0F814143" w14:textId="3C414B12" w:rsidR="00F63E8E" w:rsidRDefault="004D7BDF" w:rsidP="00385DF5">
      <w:pPr>
        <w:numPr>
          <w:ilvl w:val="0"/>
          <w:numId w:val="1"/>
        </w:numPr>
        <w:pBdr>
          <w:top w:val="nil"/>
          <w:left w:val="nil"/>
          <w:bottom w:val="nil"/>
          <w:right w:val="nil"/>
          <w:between w:val="nil"/>
        </w:pBdr>
        <w:spacing w:line="276" w:lineRule="auto"/>
        <w:ind w:right="-574" w:hanging="358"/>
        <w:rPr>
          <w:rFonts w:ascii="Open Sans" w:eastAsia="Open Sans" w:hAnsi="Open Sans" w:cs="Open Sans"/>
          <w:color w:val="000000"/>
          <w:sz w:val="22"/>
          <w:szCs w:val="22"/>
        </w:rPr>
      </w:pPr>
      <w:r>
        <w:rPr>
          <w:rFonts w:ascii="Open Sans" w:eastAsia="Open Sans" w:hAnsi="Open Sans" w:cs="Open Sans"/>
          <w:color w:val="000000"/>
          <w:sz w:val="22"/>
          <w:szCs w:val="22"/>
        </w:rPr>
        <w:t>El mercado de compraventa crece levemente en Andalucía respecto a antes de la pandemia: del 16% al 17%</w:t>
      </w:r>
    </w:p>
    <w:p w14:paraId="44398DBD" w14:textId="7F02A191" w:rsidR="00F63E8E" w:rsidRDefault="004D7BDF" w:rsidP="00385DF5">
      <w:pPr>
        <w:numPr>
          <w:ilvl w:val="0"/>
          <w:numId w:val="1"/>
        </w:numPr>
        <w:pBdr>
          <w:top w:val="nil"/>
          <w:left w:val="nil"/>
          <w:bottom w:val="nil"/>
          <w:right w:val="nil"/>
          <w:between w:val="nil"/>
        </w:pBdr>
        <w:spacing w:line="276" w:lineRule="auto"/>
        <w:ind w:right="-574" w:hanging="358"/>
        <w:rPr>
          <w:rFonts w:ascii="Open Sans" w:eastAsia="Open Sans" w:hAnsi="Open Sans" w:cs="Open Sans"/>
          <w:color w:val="000000"/>
          <w:sz w:val="22"/>
          <w:szCs w:val="22"/>
        </w:rPr>
      </w:pPr>
      <w:r>
        <w:rPr>
          <w:rFonts w:ascii="Open Sans" w:eastAsia="Open Sans" w:hAnsi="Open Sans" w:cs="Open Sans"/>
          <w:color w:val="000000"/>
          <w:sz w:val="22"/>
          <w:szCs w:val="22"/>
        </w:rPr>
        <w:t>Pero el que más crece es el mercado del alquiler en Andalucía: del 14% al 20% después de la pandemia</w:t>
      </w:r>
    </w:p>
    <w:p w14:paraId="6394BC6B" w14:textId="363A5781" w:rsidR="00C22EB8" w:rsidRDefault="00D841E5" w:rsidP="009809B6">
      <w:pPr>
        <w:numPr>
          <w:ilvl w:val="0"/>
          <w:numId w:val="1"/>
        </w:numPr>
        <w:pBdr>
          <w:top w:val="nil"/>
          <w:left w:val="nil"/>
          <w:bottom w:val="nil"/>
          <w:right w:val="nil"/>
          <w:between w:val="nil"/>
        </w:pBdr>
        <w:spacing w:line="276" w:lineRule="auto"/>
        <w:ind w:right="-574" w:hanging="358"/>
        <w:rPr>
          <w:rFonts w:ascii="Open Sans" w:eastAsia="Open Sans" w:hAnsi="Open Sans" w:cs="Open Sans"/>
          <w:color w:val="000000"/>
          <w:sz w:val="22"/>
          <w:szCs w:val="22"/>
        </w:rPr>
      </w:pPr>
      <w:r>
        <w:rPr>
          <w:rFonts w:ascii="Open Sans" w:eastAsia="Open Sans" w:hAnsi="Open Sans" w:cs="Open Sans"/>
          <w:color w:val="000000"/>
          <w:sz w:val="22"/>
          <w:szCs w:val="22"/>
        </w:rPr>
        <w:t>Comprar una vivienda en Andalucía es ahora un -28% más barato que hace 15 años</w:t>
      </w:r>
    </w:p>
    <w:p w14:paraId="773BC308" w14:textId="6E01C8E6" w:rsidR="00D841E5" w:rsidRDefault="002C0C95" w:rsidP="009809B6">
      <w:pPr>
        <w:numPr>
          <w:ilvl w:val="0"/>
          <w:numId w:val="1"/>
        </w:numPr>
        <w:pBdr>
          <w:top w:val="nil"/>
          <w:left w:val="nil"/>
          <w:bottom w:val="nil"/>
          <w:right w:val="nil"/>
          <w:between w:val="nil"/>
        </w:pBdr>
        <w:spacing w:line="276" w:lineRule="auto"/>
        <w:ind w:right="-574" w:hanging="358"/>
        <w:rPr>
          <w:rFonts w:ascii="Open Sans" w:eastAsia="Open Sans" w:hAnsi="Open Sans" w:cs="Open Sans"/>
          <w:color w:val="000000"/>
          <w:sz w:val="22"/>
          <w:szCs w:val="22"/>
        </w:rPr>
      </w:pPr>
      <w:r w:rsidRPr="002C0C95">
        <w:rPr>
          <w:rFonts w:ascii="Open Sans" w:eastAsia="Open Sans" w:hAnsi="Open Sans" w:cs="Open Sans"/>
          <w:color w:val="000000"/>
          <w:sz w:val="22"/>
          <w:szCs w:val="22"/>
        </w:rPr>
        <w:t>El alquiler ha subido un 35% en los últimos 5 años en Andalucía</w:t>
      </w:r>
    </w:p>
    <w:p w14:paraId="2DBD862D" w14:textId="69C3C9F0" w:rsidR="00D841E5" w:rsidRDefault="00D841E5" w:rsidP="00D841E5">
      <w:pPr>
        <w:pBdr>
          <w:top w:val="nil"/>
          <w:left w:val="nil"/>
          <w:bottom w:val="nil"/>
          <w:right w:val="nil"/>
          <w:between w:val="nil"/>
        </w:pBdr>
        <w:spacing w:line="276" w:lineRule="auto"/>
        <w:ind w:left="644" w:right="-574"/>
        <w:rPr>
          <w:rFonts w:ascii="Open Sans" w:eastAsia="Open Sans" w:hAnsi="Open Sans" w:cs="Open Sans"/>
          <w:color w:val="000000"/>
          <w:sz w:val="22"/>
          <w:szCs w:val="22"/>
        </w:rPr>
      </w:pPr>
    </w:p>
    <w:p w14:paraId="2BBEF6D9" w14:textId="24ED131B" w:rsidR="002B6BEC" w:rsidRDefault="009A3133" w:rsidP="002B6BEC">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w:t>
      </w:r>
      <w:r w:rsidR="008F68AB">
        <w:rPr>
          <w:rFonts w:ascii="Open Sans Light" w:eastAsia="Open Sans Light" w:hAnsi="Open Sans Light" w:cs="Open Sans Light"/>
          <w:b/>
          <w:color w:val="303AB2"/>
        </w:rPr>
        <w:t>álaga, 3 de noviembre</w:t>
      </w:r>
      <w:r>
        <w:rPr>
          <w:rFonts w:ascii="Open Sans Light" w:eastAsia="Open Sans Light" w:hAnsi="Open Sans Light" w:cs="Open Sans Light"/>
          <w:b/>
          <w:color w:val="303AB2"/>
        </w:rPr>
        <w:t xml:space="preserve"> de 2021</w:t>
      </w:r>
    </w:p>
    <w:p w14:paraId="06ED7807" w14:textId="43BD09A8" w:rsidR="006C2785" w:rsidRDefault="006C2785" w:rsidP="002B6BEC">
      <w:pPr>
        <w:spacing w:line="276" w:lineRule="auto"/>
        <w:ind w:right="-574"/>
        <w:rPr>
          <w:rFonts w:ascii="Open Sans Light" w:eastAsia="Open Sans Light" w:hAnsi="Open Sans Light" w:cs="Open Sans Light"/>
          <w:b/>
          <w:color w:val="303AB2"/>
        </w:rPr>
      </w:pPr>
    </w:p>
    <w:p w14:paraId="1B8328BD" w14:textId="1F4FBAAB" w:rsidR="005741B7" w:rsidRDefault="005741B7" w:rsidP="009809B6">
      <w:pPr>
        <w:spacing w:line="276" w:lineRule="auto"/>
        <w:ind w:right="-574"/>
        <w:jc w:val="both"/>
        <w:rPr>
          <w:rFonts w:ascii="Open Sans" w:eastAsia="Open Sans" w:hAnsi="Open Sans" w:cs="Open Sans"/>
          <w:color w:val="000000"/>
          <w:sz w:val="22"/>
          <w:szCs w:val="22"/>
        </w:rPr>
      </w:pPr>
      <w:r w:rsidRPr="00E306F2">
        <w:rPr>
          <w:rFonts w:ascii="Open Sans" w:eastAsia="Open Sans" w:hAnsi="Open Sans" w:cs="Open Sans"/>
          <w:color w:val="000000"/>
          <w:sz w:val="22"/>
          <w:szCs w:val="22"/>
        </w:rPr>
        <w:t>La irrupción de la pandemia en marzo de 2020 supuso</w:t>
      </w:r>
      <w:r>
        <w:rPr>
          <w:rFonts w:ascii="Open Sans" w:eastAsia="Open Sans" w:hAnsi="Open Sans" w:cs="Open Sans"/>
          <w:color w:val="000000"/>
          <w:sz w:val="22"/>
          <w:szCs w:val="22"/>
        </w:rPr>
        <w:t xml:space="preserve"> </w:t>
      </w:r>
      <w:r w:rsidRPr="00E306F2">
        <w:rPr>
          <w:rFonts w:ascii="Open Sans" w:eastAsia="Open Sans" w:hAnsi="Open Sans" w:cs="Open Sans"/>
          <w:color w:val="000000"/>
          <w:sz w:val="22"/>
          <w:szCs w:val="22"/>
        </w:rPr>
        <w:t>cambios sociales a todos los niveles: desde los hábitos</w:t>
      </w:r>
      <w:r>
        <w:rPr>
          <w:rFonts w:ascii="Open Sans" w:eastAsia="Open Sans" w:hAnsi="Open Sans" w:cs="Open Sans"/>
          <w:color w:val="000000"/>
          <w:sz w:val="22"/>
          <w:szCs w:val="22"/>
        </w:rPr>
        <w:t xml:space="preserve"> </w:t>
      </w:r>
      <w:r w:rsidRPr="00E306F2">
        <w:rPr>
          <w:rFonts w:ascii="Open Sans" w:eastAsia="Open Sans" w:hAnsi="Open Sans" w:cs="Open Sans"/>
          <w:color w:val="000000"/>
          <w:sz w:val="22"/>
          <w:szCs w:val="22"/>
        </w:rPr>
        <w:t>de consumo a las rutinas de trabajo, pasando por el</w:t>
      </w:r>
      <w:r>
        <w:rPr>
          <w:rFonts w:ascii="Open Sans" w:eastAsia="Open Sans" w:hAnsi="Open Sans" w:cs="Open Sans"/>
          <w:color w:val="000000"/>
          <w:sz w:val="22"/>
          <w:szCs w:val="22"/>
        </w:rPr>
        <w:t xml:space="preserve"> </w:t>
      </w:r>
      <w:r w:rsidRPr="00E306F2">
        <w:rPr>
          <w:rFonts w:ascii="Open Sans" w:eastAsia="Open Sans" w:hAnsi="Open Sans" w:cs="Open Sans"/>
          <w:color w:val="000000"/>
          <w:sz w:val="22"/>
          <w:szCs w:val="22"/>
        </w:rPr>
        <w:t>modo en</w:t>
      </w:r>
      <w:r>
        <w:rPr>
          <w:rFonts w:ascii="Open Sans" w:eastAsia="Open Sans" w:hAnsi="Open Sans" w:cs="Open Sans"/>
          <w:color w:val="000000"/>
          <w:sz w:val="22"/>
          <w:szCs w:val="22"/>
        </w:rPr>
        <w:t xml:space="preserve"> </w:t>
      </w:r>
      <w:r w:rsidRPr="00E306F2">
        <w:rPr>
          <w:rFonts w:ascii="Open Sans" w:eastAsia="Open Sans" w:hAnsi="Open Sans" w:cs="Open Sans"/>
          <w:color w:val="000000"/>
          <w:sz w:val="22"/>
          <w:szCs w:val="22"/>
        </w:rPr>
        <w:t>el que nos relacionamos con el resto. La vivienda</w:t>
      </w:r>
      <w:r>
        <w:rPr>
          <w:rFonts w:ascii="Open Sans" w:eastAsia="Open Sans" w:hAnsi="Open Sans" w:cs="Open Sans"/>
          <w:color w:val="000000"/>
          <w:sz w:val="22"/>
          <w:szCs w:val="22"/>
        </w:rPr>
        <w:t xml:space="preserve"> </w:t>
      </w:r>
      <w:r w:rsidRPr="00E306F2">
        <w:rPr>
          <w:rFonts w:ascii="Open Sans" w:eastAsia="Open Sans" w:hAnsi="Open Sans" w:cs="Open Sans"/>
          <w:color w:val="000000"/>
          <w:sz w:val="22"/>
          <w:szCs w:val="22"/>
        </w:rPr>
        <w:t>no ha quedado fuera de los efectos de esta dinámica</w:t>
      </w:r>
      <w:r>
        <w:rPr>
          <w:rFonts w:ascii="Open Sans" w:eastAsia="Open Sans" w:hAnsi="Open Sans" w:cs="Open Sans"/>
          <w:color w:val="000000"/>
          <w:sz w:val="22"/>
          <w:szCs w:val="22"/>
        </w:rPr>
        <w:t xml:space="preserve"> </w:t>
      </w:r>
      <w:r w:rsidRPr="00E306F2">
        <w:rPr>
          <w:rFonts w:ascii="Open Sans" w:eastAsia="Open Sans" w:hAnsi="Open Sans" w:cs="Open Sans"/>
          <w:color w:val="000000"/>
          <w:sz w:val="22"/>
          <w:szCs w:val="22"/>
        </w:rPr>
        <w:t>y durante los últimos 18 meses el mercado inmobiliario</w:t>
      </w:r>
      <w:r>
        <w:rPr>
          <w:rFonts w:ascii="Open Sans" w:eastAsia="Open Sans" w:hAnsi="Open Sans" w:cs="Open Sans"/>
          <w:color w:val="000000"/>
          <w:sz w:val="22"/>
          <w:szCs w:val="22"/>
        </w:rPr>
        <w:t xml:space="preserve"> </w:t>
      </w:r>
      <w:r w:rsidRPr="00E306F2">
        <w:rPr>
          <w:rFonts w:ascii="Open Sans" w:eastAsia="Open Sans" w:hAnsi="Open Sans" w:cs="Open Sans"/>
          <w:color w:val="000000"/>
          <w:sz w:val="22"/>
          <w:szCs w:val="22"/>
        </w:rPr>
        <w:t>ha registrado importantes cambios.</w:t>
      </w:r>
      <w:r>
        <w:rPr>
          <w:rFonts w:ascii="Open Sans Light" w:eastAsia="Open Sans Light" w:hAnsi="Open Sans Light" w:cs="Open Sans Light"/>
          <w:b/>
          <w:color w:val="303AB2"/>
        </w:rPr>
        <w:t xml:space="preserve"> </w:t>
      </w:r>
      <w:r>
        <w:rPr>
          <w:rFonts w:ascii="Open Sans" w:eastAsia="Open Sans" w:hAnsi="Open Sans" w:cs="Open Sans"/>
          <w:color w:val="000000"/>
          <w:sz w:val="22"/>
          <w:szCs w:val="22"/>
        </w:rPr>
        <w:t>Y es que l</w:t>
      </w:r>
      <w:r w:rsidRPr="00C31B2E">
        <w:rPr>
          <w:rFonts w:ascii="Open Sans" w:eastAsia="Open Sans" w:hAnsi="Open Sans" w:cs="Open Sans"/>
          <w:color w:val="000000"/>
          <w:sz w:val="22"/>
          <w:szCs w:val="22"/>
        </w:rPr>
        <w:t>a recuperación de la actividad en el mercado de la vivienda</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e</w:t>
      </w:r>
      <w:r>
        <w:rPr>
          <w:rFonts w:ascii="Open Sans" w:eastAsia="Open Sans" w:hAnsi="Open Sans" w:cs="Open Sans"/>
          <w:color w:val="000000"/>
          <w:sz w:val="22"/>
          <w:szCs w:val="22"/>
        </w:rPr>
        <w:t xml:space="preserve">s </w:t>
      </w:r>
      <w:r w:rsidRPr="00C31B2E">
        <w:rPr>
          <w:rFonts w:ascii="Open Sans" w:eastAsia="Open Sans" w:hAnsi="Open Sans" w:cs="Open Sans"/>
          <w:color w:val="000000"/>
          <w:sz w:val="22"/>
          <w:szCs w:val="22"/>
        </w:rPr>
        <w:t>intensa</w:t>
      </w:r>
      <w:r>
        <w:rPr>
          <w:rFonts w:ascii="Open Sans" w:eastAsia="Open Sans" w:hAnsi="Open Sans" w:cs="Open Sans"/>
          <w:color w:val="000000"/>
          <w:sz w:val="22"/>
          <w:szCs w:val="22"/>
        </w:rPr>
        <w:t xml:space="preserve"> y, </w:t>
      </w:r>
      <w:r w:rsidRPr="00C31B2E">
        <w:rPr>
          <w:rFonts w:ascii="Open Sans" w:eastAsia="Open Sans" w:hAnsi="Open Sans" w:cs="Open Sans"/>
          <w:color w:val="000000"/>
          <w:sz w:val="22"/>
          <w:szCs w:val="22"/>
        </w:rPr>
        <w:t>además</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es</w:t>
      </w:r>
      <w:r>
        <w:rPr>
          <w:rFonts w:ascii="Open Sans" w:eastAsia="Open Sans" w:hAnsi="Open Sans" w:cs="Open Sans"/>
          <w:color w:val="000000"/>
          <w:sz w:val="22"/>
          <w:szCs w:val="22"/>
        </w:rPr>
        <w:t xml:space="preserve"> </w:t>
      </w:r>
      <w:r w:rsidRPr="00C31B2E">
        <w:rPr>
          <w:rFonts w:ascii="Open Sans" w:eastAsia="Open Sans" w:hAnsi="Open Sans" w:cs="Open Sans"/>
          <w:color w:val="000000"/>
          <w:sz w:val="22"/>
          <w:szCs w:val="22"/>
        </w:rPr>
        <w:t xml:space="preserve">generalizada en términos territoriales: </w:t>
      </w:r>
      <w:r w:rsidRPr="005741B7">
        <w:rPr>
          <w:rFonts w:ascii="Open Sans" w:eastAsia="Open Sans" w:hAnsi="Open Sans" w:cs="Open Sans"/>
          <w:b/>
          <w:bCs/>
          <w:color w:val="000000"/>
          <w:sz w:val="22"/>
          <w:szCs w:val="22"/>
        </w:rPr>
        <w:t>no todas las comunidades autónomas alcanzan los mismos niveles, pero todas ven incrementada la participación de particulares en acciones inmobiliarias</w:t>
      </w:r>
      <w:r w:rsidRPr="00C31B2E">
        <w:rPr>
          <w:rFonts w:ascii="Open Sans" w:eastAsia="Open Sans" w:hAnsi="Open Sans" w:cs="Open Sans"/>
          <w:color w:val="000000"/>
          <w:sz w:val="22"/>
          <w:szCs w:val="22"/>
        </w:rPr>
        <w:t xml:space="preserve">. </w:t>
      </w:r>
      <w:r w:rsidR="009809B6">
        <w:rPr>
          <w:rFonts w:ascii="Open Sans" w:eastAsia="Open Sans" w:hAnsi="Open Sans" w:cs="Open Sans"/>
          <w:color w:val="000000"/>
          <w:sz w:val="22"/>
          <w:szCs w:val="22"/>
        </w:rPr>
        <w:t>Así se desprende del informe “</w:t>
      </w:r>
      <w:hyperlink r:id="rId9" w:history="1">
        <w:r w:rsidR="00E83E0D" w:rsidRPr="00197063">
          <w:rPr>
            <w:rStyle w:val="Hipervnculo"/>
            <w:rFonts w:ascii="Open Sans" w:eastAsia="Open Sans" w:hAnsi="Open Sans" w:cs="Open Sans"/>
            <w:b/>
            <w:bCs/>
            <w:i/>
            <w:iCs/>
            <w:sz w:val="22"/>
            <w:szCs w:val="22"/>
          </w:rPr>
          <w:t>Radiografía del mercado de la vivienda en el segundo semestre de 2021</w:t>
        </w:r>
      </w:hyperlink>
      <w:r w:rsidR="00E83E0D" w:rsidRPr="00385DF5">
        <w:rPr>
          <w:rFonts w:ascii="Open Sans" w:eastAsia="Open Sans" w:hAnsi="Open Sans" w:cs="Open Sans"/>
          <w:color w:val="000000"/>
          <w:sz w:val="22"/>
          <w:szCs w:val="22"/>
        </w:rPr>
        <w:t>”</w:t>
      </w:r>
      <w:r w:rsidR="00E83E0D">
        <w:rPr>
          <w:rFonts w:ascii="Open Sans" w:eastAsia="Open Sans" w:hAnsi="Open Sans" w:cs="Open Sans"/>
          <w:color w:val="000000"/>
          <w:sz w:val="22"/>
          <w:szCs w:val="22"/>
        </w:rPr>
        <w:t xml:space="preserve"> </w:t>
      </w:r>
      <w:r w:rsidR="009809B6">
        <w:rPr>
          <w:rFonts w:ascii="Open Sans" w:eastAsia="Open Sans" w:hAnsi="Open Sans" w:cs="Open Sans"/>
          <w:color w:val="000000"/>
          <w:sz w:val="22"/>
          <w:szCs w:val="22"/>
        </w:rPr>
        <w:t xml:space="preserve">publicado por </w:t>
      </w:r>
      <w:hyperlink r:id="rId10">
        <w:r w:rsidR="00E83E0D">
          <w:rPr>
            <w:rFonts w:ascii="Open Sans" w:eastAsia="Open Sans" w:hAnsi="Open Sans" w:cs="Open Sans"/>
            <w:color w:val="0000FF"/>
            <w:sz w:val="22"/>
            <w:szCs w:val="22"/>
            <w:u w:val="single"/>
          </w:rPr>
          <w:t>Fotocasa</w:t>
        </w:r>
      </w:hyperlink>
      <w:r w:rsidR="00F63E8E">
        <w:rPr>
          <w:rFonts w:ascii="Open Sans" w:eastAsia="Open Sans" w:hAnsi="Open Sans" w:cs="Open Sans"/>
          <w:color w:val="000000"/>
          <w:sz w:val="22"/>
          <w:szCs w:val="22"/>
        </w:rPr>
        <w:t xml:space="preserve"> y que en este caso hace foco en Andalucía con motivo SIMED, la feria inmobiliaria que se celebra los días 3 y 4 de noviembre en Málaga.</w:t>
      </w:r>
    </w:p>
    <w:p w14:paraId="36C38DE8" w14:textId="0727D926" w:rsidR="00F63E8E" w:rsidRDefault="00F63E8E" w:rsidP="009809B6">
      <w:pPr>
        <w:spacing w:line="276" w:lineRule="auto"/>
        <w:ind w:right="-574"/>
        <w:jc w:val="both"/>
        <w:rPr>
          <w:rFonts w:ascii="Open Sans" w:eastAsia="Open Sans" w:hAnsi="Open Sans" w:cs="Open Sans"/>
          <w:color w:val="000000"/>
          <w:sz w:val="22"/>
          <w:szCs w:val="22"/>
        </w:rPr>
      </w:pPr>
    </w:p>
    <w:p w14:paraId="4F87708D" w14:textId="4280FF02" w:rsidR="00F63E8E" w:rsidRDefault="00F63E8E" w:rsidP="009809B6">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Así, del inform</w:t>
      </w:r>
      <w:r w:rsidR="00D841E5">
        <w:rPr>
          <w:rFonts w:ascii="Open Sans" w:eastAsia="Open Sans" w:hAnsi="Open Sans" w:cs="Open Sans"/>
          <w:color w:val="000000"/>
          <w:sz w:val="22"/>
          <w:szCs w:val="22"/>
        </w:rPr>
        <w:t>e</w:t>
      </w:r>
      <w:r>
        <w:rPr>
          <w:rFonts w:ascii="Open Sans" w:eastAsia="Open Sans" w:hAnsi="Open Sans" w:cs="Open Sans"/>
          <w:color w:val="000000"/>
          <w:sz w:val="22"/>
          <w:szCs w:val="22"/>
        </w:rPr>
        <w:t xml:space="preserve"> se desprende que año y medio después de que el coronavirus irrumpiera en nuestro país, </w:t>
      </w:r>
      <w:r w:rsidRPr="001C5577">
        <w:rPr>
          <w:rFonts w:ascii="Open Sans" w:eastAsia="Open Sans" w:hAnsi="Open Sans" w:cs="Open Sans"/>
          <w:b/>
          <w:bCs/>
          <w:color w:val="000000"/>
          <w:sz w:val="22"/>
          <w:szCs w:val="22"/>
        </w:rPr>
        <w:t>Andalucía</w:t>
      </w:r>
      <w:r>
        <w:rPr>
          <w:rFonts w:ascii="Open Sans" w:eastAsia="Open Sans" w:hAnsi="Open Sans" w:cs="Open Sans"/>
          <w:color w:val="000000"/>
          <w:sz w:val="22"/>
          <w:szCs w:val="22"/>
        </w:rPr>
        <w:t xml:space="preserve"> ha vuelto a recuperar los datos de participación en el mercado inmobiliario que había previos a la pandemia. Así, si en febrero de 2020 el 33% de los andaluces de entre 18 y 75 años estaban participando en el mercado (tanto desde la oferta como desde la demanda) ese porcentaje ahora es del 32%, tan solo un punto porcentual por debajo. No obstante, se ha de decir que Andalucía se ha mantenido con grandes niveles de participación durante toda la pandemia y el momento más bajo se vio en agosto de 2020 cuando la participación descendió hasta el 29%. </w:t>
      </w:r>
    </w:p>
    <w:p w14:paraId="02EC5CC1" w14:textId="77777777" w:rsidR="00F63E8E" w:rsidRDefault="00F63E8E" w:rsidP="009809B6">
      <w:pPr>
        <w:spacing w:line="276" w:lineRule="auto"/>
        <w:ind w:right="-574"/>
        <w:jc w:val="both"/>
        <w:rPr>
          <w:rFonts w:ascii="Open Sans" w:eastAsia="Open Sans" w:hAnsi="Open Sans" w:cs="Open Sans"/>
          <w:color w:val="000000"/>
          <w:sz w:val="22"/>
          <w:szCs w:val="22"/>
        </w:rPr>
      </w:pPr>
    </w:p>
    <w:p w14:paraId="237923BE" w14:textId="77777777" w:rsidR="005741B7" w:rsidRPr="00C31B2E" w:rsidRDefault="005741B7" w:rsidP="005741B7">
      <w:pPr>
        <w:spacing w:line="276" w:lineRule="auto"/>
        <w:ind w:right="-574"/>
        <w:jc w:val="both"/>
        <w:rPr>
          <w:rFonts w:ascii="Open Sans" w:eastAsia="Open Sans" w:hAnsi="Open Sans" w:cs="Open Sans"/>
          <w:color w:val="000000"/>
          <w:sz w:val="22"/>
          <w:szCs w:val="22"/>
        </w:rPr>
      </w:pPr>
      <w:r>
        <w:rPr>
          <w:noProof/>
        </w:rPr>
        <w:drawing>
          <wp:inline distT="0" distB="0" distL="0" distR="0" wp14:anchorId="43017798" wp14:editId="2A55EAD2">
            <wp:extent cx="5857875" cy="2845793"/>
            <wp:effectExtent l="0" t="0" r="0" b="0"/>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1"/>
                    <a:stretch>
                      <a:fillRect/>
                    </a:stretch>
                  </pic:blipFill>
                  <pic:spPr>
                    <a:xfrm>
                      <a:off x="0" y="0"/>
                      <a:ext cx="5868068" cy="2850745"/>
                    </a:xfrm>
                    <a:prstGeom prst="rect">
                      <a:avLst/>
                    </a:prstGeom>
                  </pic:spPr>
                </pic:pic>
              </a:graphicData>
            </a:graphic>
          </wp:inline>
        </w:drawing>
      </w:r>
    </w:p>
    <w:p w14:paraId="795CFD6C" w14:textId="77777777" w:rsidR="005741B7" w:rsidRDefault="005741B7" w:rsidP="005741B7">
      <w:pPr>
        <w:spacing w:line="276" w:lineRule="auto"/>
        <w:ind w:right="-574"/>
        <w:jc w:val="both"/>
        <w:rPr>
          <w:rFonts w:ascii="Open Sans" w:eastAsia="Open Sans" w:hAnsi="Open Sans" w:cs="Open Sans"/>
          <w:color w:val="000000"/>
          <w:sz w:val="22"/>
          <w:szCs w:val="22"/>
        </w:rPr>
      </w:pPr>
    </w:p>
    <w:p w14:paraId="389AC9BB" w14:textId="6323E242" w:rsidR="005741B7" w:rsidRDefault="004D7BDF" w:rsidP="005741B7">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general, el</w:t>
      </w:r>
      <w:bookmarkStart w:id="0" w:name="_Hlk85567026"/>
      <w:r>
        <w:rPr>
          <w:rFonts w:ascii="Open Sans" w:eastAsia="Open Sans" w:hAnsi="Open Sans" w:cs="Open Sans"/>
          <w:color w:val="000000"/>
          <w:sz w:val="22"/>
          <w:szCs w:val="22"/>
        </w:rPr>
        <w:t xml:space="preserve"> </w:t>
      </w:r>
      <w:r w:rsidR="005741B7" w:rsidRPr="004432CA">
        <w:rPr>
          <w:rFonts w:ascii="Open Sans" w:eastAsia="Open Sans" w:hAnsi="Open Sans" w:cs="Open Sans"/>
          <w:color w:val="000000"/>
          <w:sz w:val="22"/>
          <w:szCs w:val="22"/>
        </w:rPr>
        <w:t>mercado de compraventa ha crecido en todas las comunidades autónomas. En Madrid, por ejemplo, un 22% de particulares ha participado en él en último año. En el País Vasco han sido el 20%, en la Comunidad Valenciana el 19% y en Andalucía el 17%</w:t>
      </w:r>
      <w:bookmarkEnd w:id="0"/>
      <w:r w:rsidR="005741B7" w:rsidRPr="004432CA">
        <w:rPr>
          <w:rFonts w:ascii="Open Sans" w:eastAsia="Open Sans" w:hAnsi="Open Sans" w:cs="Open Sans"/>
          <w:color w:val="000000"/>
          <w:sz w:val="22"/>
          <w:szCs w:val="22"/>
        </w:rPr>
        <w:t>.</w:t>
      </w:r>
    </w:p>
    <w:p w14:paraId="2539D3B1" w14:textId="77777777" w:rsidR="005741B7" w:rsidRDefault="005741B7" w:rsidP="005741B7">
      <w:pPr>
        <w:spacing w:line="276" w:lineRule="auto"/>
        <w:ind w:right="-574"/>
        <w:jc w:val="both"/>
        <w:rPr>
          <w:rFonts w:ascii="Open Sans" w:eastAsia="Open Sans" w:hAnsi="Open Sans" w:cs="Open Sans"/>
          <w:color w:val="000000"/>
          <w:sz w:val="22"/>
          <w:szCs w:val="22"/>
        </w:rPr>
      </w:pPr>
    </w:p>
    <w:p w14:paraId="367AEF17" w14:textId="77777777" w:rsidR="005741B7" w:rsidRDefault="005741B7" w:rsidP="005741B7">
      <w:pPr>
        <w:spacing w:line="276" w:lineRule="auto"/>
        <w:ind w:right="-574"/>
        <w:jc w:val="both"/>
        <w:rPr>
          <w:rFonts w:ascii="Open Sans" w:eastAsia="Open Sans" w:hAnsi="Open Sans" w:cs="Open Sans"/>
          <w:color w:val="000000"/>
          <w:sz w:val="22"/>
          <w:szCs w:val="22"/>
        </w:rPr>
      </w:pPr>
      <w:r>
        <w:rPr>
          <w:noProof/>
        </w:rPr>
        <w:drawing>
          <wp:inline distT="0" distB="0" distL="0" distR="0" wp14:anchorId="3D1E43A5" wp14:editId="4EC3410B">
            <wp:extent cx="5845022" cy="2552700"/>
            <wp:effectExtent l="0" t="0" r="3810" b="0"/>
            <wp:docPr id="7" name="Imagen 7"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10;&#10;Descripción generada automáticamente con confianza media"/>
                    <pic:cNvPicPr/>
                  </pic:nvPicPr>
                  <pic:blipFill>
                    <a:blip r:embed="rId12"/>
                    <a:stretch>
                      <a:fillRect/>
                    </a:stretch>
                  </pic:blipFill>
                  <pic:spPr>
                    <a:xfrm>
                      <a:off x="0" y="0"/>
                      <a:ext cx="5860320" cy="2559381"/>
                    </a:xfrm>
                    <a:prstGeom prst="rect">
                      <a:avLst/>
                    </a:prstGeom>
                  </pic:spPr>
                </pic:pic>
              </a:graphicData>
            </a:graphic>
          </wp:inline>
        </w:drawing>
      </w:r>
    </w:p>
    <w:p w14:paraId="7423EE36" w14:textId="1AA3AC95" w:rsidR="005741B7" w:rsidRPr="0035413B" w:rsidRDefault="00F66C8A" w:rsidP="00F66C8A">
      <w:pPr>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Má</w:t>
      </w:r>
      <w:r w:rsidR="005741B7" w:rsidRPr="0035413B">
        <w:rPr>
          <w:rFonts w:ascii="Open Sans Light" w:eastAsia="Open Sans Light" w:hAnsi="Open Sans Light" w:cs="Open Sans Light"/>
          <w:b/>
          <w:color w:val="303AB2"/>
        </w:rPr>
        <w:t xml:space="preserve">s oferta y más demanda en el arrendamiento </w:t>
      </w:r>
      <w:r w:rsidR="004D7BDF">
        <w:rPr>
          <w:rFonts w:ascii="Open Sans Light" w:eastAsia="Open Sans Light" w:hAnsi="Open Sans Light" w:cs="Open Sans Light"/>
          <w:b/>
          <w:color w:val="303AB2"/>
        </w:rPr>
        <w:t>andaluz</w:t>
      </w:r>
    </w:p>
    <w:p w14:paraId="217691A5" w14:textId="77777777" w:rsidR="005741B7" w:rsidRDefault="005741B7" w:rsidP="005741B7">
      <w:pPr>
        <w:spacing w:line="276" w:lineRule="auto"/>
        <w:ind w:right="-574"/>
        <w:jc w:val="center"/>
        <w:rPr>
          <w:rFonts w:ascii="Open Sans" w:eastAsia="Open Sans" w:hAnsi="Open Sans" w:cs="Open Sans"/>
          <w:color w:val="000000"/>
          <w:sz w:val="22"/>
          <w:szCs w:val="22"/>
        </w:rPr>
      </w:pPr>
    </w:p>
    <w:p w14:paraId="5FAA4F71" w14:textId="55851BEF" w:rsidR="005741B7" w:rsidRDefault="005741B7" w:rsidP="004D7BDF">
      <w:pPr>
        <w:spacing w:line="276" w:lineRule="auto"/>
        <w:ind w:right="-574"/>
        <w:jc w:val="both"/>
        <w:rPr>
          <w:rFonts w:ascii="Open Sans" w:eastAsia="Open Sans" w:hAnsi="Open Sans" w:cs="Open Sans"/>
          <w:color w:val="000000"/>
          <w:sz w:val="22"/>
          <w:szCs w:val="22"/>
        </w:rPr>
      </w:pPr>
      <w:r w:rsidRPr="00292D2E">
        <w:rPr>
          <w:rFonts w:ascii="Open Sans" w:eastAsia="Open Sans" w:hAnsi="Open Sans" w:cs="Open Sans"/>
          <w:b/>
          <w:bCs/>
          <w:color w:val="000000"/>
          <w:sz w:val="22"/>
          <w:szCs w:val="22"/>
        </w:rPr>
        <w:t>La buena marcha del mercado de la vivienda también se hace notar en el alquiler y, tal y como sucede en la compraventa</w:t>
      </w:r>
      <w:r w:rsidR="004D7BDF">
        <w:rPr>
          <w:rFonts w:ascii="Open Sans" w:eastAsia="Open Sans" w:hAnsi="Open Sans" w:cs="Open Sans"/>
          <w:color w:val="000000"/>
          <w:sz w:val="22"/>
          <w:szCs w:val="22"/>
        </w:rPr>
        <w:t xml:space="preserve">. En general, tanto la demanda como la oferta crecen respecto a antes de la pandemia y esto hace que la participación en el mercado del alquiler crezca del 14% antes de la pandemia al 20% actualmente. </w:t>
      </w:r>
    </w:p>
    <w:p w14:paraId="6E8D8DBE" w14:textId="77777777" w:rsidR="002C0C95" w:rsidRDefault="002C0C95" w:rsidP="004D7BDF">
      <w:pPr>
        <w:spacing w:line="276" w:lineRule="auto"/>
        <w:ind w:right="-574"/>
        <w:jc w:val="both"/>
        <w:rPr>
          <w:rFonts w:ascii="Open Sans" w:eastAsia="Open Sans" w:hAnsi="Open Sans" w:cs="Open Sans"/>
          <w:color w:val="000000"/>
          <w:sz w:val="22"/>
          <w:szCs w:val="22"/>
        </w:rPr>
      </w:pPr>
    </w:p>
    <w:p w14:paraId="23B69106" w14:textId="77777777" w:rsidR="005741B7" w:rsidRDefault="005741B7" w:rsidP="005741B7">
      <w:pPr>
        <w:spacing w:line="276" w:lineRule="auto"/>
        <w:ind w:right="-574"/>
        <w:jc w:val="both"/>
        <w:rPr>
          <w:rFonts w:ascii="Open Sans" w:eastAsia="Open Sans" w:hAnsi="Open Sans" w:cs="Open Sans"/>
          <w:color w:val="000000"/>
          <w:sz w:val="22"/>
          <w:szCs w:val="22"/>
        </w:rPr>
      </w:pPr>
    </w:p>
    <w:p w14:paraId="2DE64708" w14:textId="77777777" w:rsidR="005741B7" w:rsidRDefault="005741B7" w:rsidP="005741B7">
      <w:pPr>
        <w:spacing w:line="276" w:lineRule="auto"/>
        <w:ind w:right="-574"/>
        <w:jc w:val="both"/>
        <w:rPr>
          <w:rFonts w:ascii="Open Sans" w:eastAsia="Open Sans" w:hAnsi="Open Sans" w:cs="Open Sans"/>
          <w:color w:val="000000"/>
          <w:sz w:val="22"/>
          <w:szCs w:val="22"/>
        </w:rPr>
      </w:pPr>
      <w:r>
        <w:rPr>
          <w:noProof/>
        </w:rPr>
        <w:drawing>
          <wp:inline distT="0" distB="0" distL="0" distR="0" wp14:anchorId="5BDCF7D6" wp14:editId="471CBBA3">
            <wp:extent cx="5980883" cy="2614613"/>
            <wp:effectExtent l="0" t="0" r="1270" b="0"/>
            <wp:docPr id="8" name="Imagen 8"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10;&#10;Descripción generada automáticamente con confianza baja"/>
                    <pic:cNvPicPr/>
                  </pic:nvPicPr>
                  <pic:blipFill>
                    <a:blip r:embed="rId13"/>
                    <a:stretch>
                      <a:fillRect/>
                    </a:stretch>
                  </pic:blipFill>
                  <pic:spPr>
                    <a:xfrm>
                      <a:off x="0" y="0"/>
                      <a:ext cx="5986847" cy="2617220"/>
                    </a:xfrm>
                    <a:prstGeom prst="rect">
                      <a:avLst/>
                    </a:prstGeom>
                  </pic:spPr>
                </pic:pic>
              </a:graphicData>
            </a:graphic>
          </wp:inline>
        </w:drawing>
      </w:r>
    </w:p>
    <w:p w14:paraId="763FCC0E" w14:textId="77777777" w:rsidR="005741B7" w:rsidRPr="00B231C3" w:rsidRDefault="005741B7" w:rsidP="005741B7">
      <w:pPr>
        <w:spacing w:line="276" w:lineRule="auto"/>
        <w:ind w:right="-574"/>
        <w:jc w:val="both"/>
        <w:rPr>
          <w:rFonts w:ascii="Open Sans" w:eastAsia="Open Sans" w:hAnsi="Open Sans" w:cs="Open Sans"/>
          <w:color w:val="000000"/>
          <w:sz w:val="22"/>
          <w:szCs w:val="22"/>
        </w:rPr>
      </w:pPr>
    </w:p>
    <w:p w14:paraId="62F523CC" w14:textId="77777777" w:rsidR="00D841E5" w:rsidRDefault="00D841E5" w:rsidP="005702D4">
      <w:pPr>
        <w:spacing w:line="276" w:lineRule="auto"/>
        <w:ind w:right="-574"/>
        <w:rPr>
          <w:rFonts w:ascii="National" w:eastAsia="National" w:hAnsi="National" w:cs="National"/>
          <w:b/>
          <w:color w:val="1DBDC5"/>
          <w:sz w:val="30"/>
          <w:szCs w:val="30"/>
        </w:rPr>
      </w:pPr>
    </w:p>
    <w:p w14:paraId="60E26712" w14:textId="77777777" w:rsidR="00D841E5" w:rsidRDefault="00D841E5" w:rsidP="005702D4">
      <w:pPr>
        <w:spacing w:line="276" w:lineRule="auto"/>
        <w:ind w:right="-574"/>
        <w:rPr>
          <w:rFonts w:ascii="National" w:eastAsia="National" w:hAnsi="National" w:cs="National"/>
          <w:b/>
          <w:color w:val="1DBDC5"/>
          <w:sz w:val="30"/>
          <w:szCs w:val="30"/>
        </w:rPr>
      </w:pPr>
    </w:p>
    <w:p w14:paraId="53BDE337" w14:textId="77777777" w:rsidR="00D841E5" w:rsidRDefault="00D841E5" w:rsidP="005702D4">
      <w:pPr>
        <w:spacing w:line="276" w:lineRule="auto"/>
        <w:ind w:right="-574"/>
        <w:rPr>
          <w:rFonts w:ascii="National" w:eastAsia="National" w:hAnsi="National" w:cs="National"/>
          <w:b/>
          <w:color w:val="1DBDC5"/>
          <w:sz w:val="30"/>
          <w:szCs w:val="30"/>
        </w:rPr>
      </w:pPr>
    </w:p>
    <w:p w14:paraId="603BA7FA" w14:textId="77777777" w:rsidR="00D841E5" w:rsidRDefault="00D841E5" w:rsidP="005702D4">
      <w:pPr>
        <w:spacing w:line="276" w:lineRule="auto"/>
        <w:ind w:right="-574"/>
        <w:rPr>
          <w:rFonts w:ascii="National" w:eastAsia="National" w:hAnsi="National" w:cs="National"/>
          <w:b/>
          <w:color w:val="1DBDC5"/>
          <w:sz w:val="30"/>
          <w:szCs w:val="30"/>
        </w:rPr>
      </w:pPr>
    </w:p>
    <w:p w14:paraId="2A28A922" w14:textId="77777777" w:rsidR="00D841E5" w:rsidRDefault="00D841E5" w:rsidP="005702D4">
      <w:pPr>
        <w:spacing w:line="276" w:lineRule="auto"/>
        <w:ind w:right="-574"/>
        <w:rPr>
          <w:rFonts w:ascii="National" w:eastAsia="National" w:hAnsi="National" w:cs="National"/>
          <w:b/>
          <w:color w:val="1DBDC5"/>
          <w:sz w:val="30"/>
          <w:szCs w:val="30"/>
        </w:rPr>
      </w:pPr>
    </w:p>
    <w:p w14:paraId="4C59F0F6" w14:textId="77777777" w:rsidR="00D841E5" w:rsidRDefault="00D841E5" w:rsidP="005702D4">
      <w:pPr>
        <w:spacing w:line="276" w:lineRule="auto"/>
        <w:ind w:right="-574"/>
        <w:rPr>
          <w:rFonts w:ascii="National" w:eastAsia="National" w:hAnsi="National" w:cs="National"/>
          <w:b/>
          <w:color w:val="1DBDC5"/>
          <w:sz w:val="30"/>
          <w:szCs w:val="30"/>
        </w:rPr>
      </w:pPr>
    </w:p>
    <w:p w14:paraId="45CB318C" w14:textId="77777777" w:rsidR="00D841E5" w:rsidRDefault="00D841E5" w:rsidP="005702D4">
      <w:pPr>
        <w:spacing w:line="276" w:lineRule="auto"/>
        <w:ind w:right="-574"/>
        <w:rPr>
          <w:rFonts w:ascii="National" w:eastAsia="National" w:hAnsi="National" w:cs="National"/>
          <w:b/>
          <w:color w:val="1DBDC5"/>
          <w:sz w:val="30"/>
          <w:szCs w:val="30"/>
        </w:rPr>
      </w:pPr>
    </w:p>
    <w:p w14:paraId="5A9A61F5" w14:textId="77777777" w:rsidR="00D841E5" w:rsidRDefault="00D841E5" w:rsidP="005702D4">
      <w:pPr>
        <w:spacing w:line="276" w:lineRule="auto"/>
        <w:ind w:right="-574"/>
        <w:rPr>
          <w:rFonts w:ascii="National" w:eastAsia="National" w:hAnsi="National" w:cs="National"/>
          <w:b/>
          <w:color w:val="1DBDC5"/>
          <w:sz w:val="30"/>
          <w:szCs w:val="30"/>
        </w:rPr>
      </w:pPr>
    </w:p>
    <w:p w14:paraId="548C9BB1" w14:textId="77777777" w:rsidR="00D841E5" w:rsidRDefault="00D841E5" w:rsidP="005702D4">
      <w:pPr>
        <w:spacing w:line="276" w:lineRule="auto"/>
        <w:ind w:right="-574"/>
        <w:rPr>
          <w:rFonts w:ascii="National" w:eastAsia="National" w:hAnsi="National" w:cs="National"/>
          <w:b/>
          <w:color w:val="1DBDC5"/>
          <w:sz w:val="30"/>
          <w:szCs w:val="30"/>
        </w:rPr>
      </w:pPr>
    </w:p>
    <w:p w14:paraId="256C55A6" w14:textId="77777777" w:rsidR="00D841E5" w:rsidRDefault="00D841E5" w:rsidP="005702D4">
      <w:pPr>
        <w:spacing w:line="276" w:lineRule="auto"/>
        <w:ind w:right="-574"/>
        <w:rPr>
          <w:rFonts w:ascii="National" w:eastAsia="National" w:hAnsi="National" w:cs="National"/>
          <w:b/>
          <w:color w:val="1DBDC5"/>
          <w:sz w:val="30"/>
          <w:szCs w:val="30"/>
        </w:rPr>
      </w:pPr>
    </w:p>
    <w:p w14:paraId="5874F4A6" w14:textId="77777777" w:rsidR="00D841E5" w:rsidRDefault="00D841E5" w:rsidP="005702D4">
      <w:pPr>
        <w:spacing w:line="276" w:lineRule="auto"/>
        <w:ind w:right="-574"/>
        <w:rPr>
          <w:rFonts w:ascii="National" w:eastAsia="National" w:hAnsi="National" w:cs="National"/>
          <w:b/>
          <w:color w:val="1DBDC5"/>
          <w:sz w:val="30"/>
          <w:szCs w:val="30"/>
        </w:rPr>
      </w:pPr>
    </w:p>
    <w:p w14:paraId="69CD7DF0" w14:textId="77777777" w:rsidR="00D841E5" w:rsidRDefault="00D841E5" w:rsidP="005702D4">
      <w:pPr>
        <w:spacing w:line="276" w:lineRule="auto"/>
        <w:ind w:right="-574"/>
        <w:rPr>
          <w:rFonts w:ascii="National" w:eastAsia="National" w:hAnsi="National" w:cs="National"/>
          <w:b/>
          <w:color w:val="1DBDC5"/>
          <w:sz w:val="30"/>
          <w:szCs w:val="30"/>
        </w:rPr>
      </w:pPr>
    </w:p>
    <w:p w14:paraId="4969826F" w14:textId="77777777" w:rsidR="00D841E5" w:rsidRDefault="00D841E5" w:rsidP="005702D4">
      <w:pPr>
        <w:spacing w:line="276" w:lineRule="auto"/>
        <w:ind w:right="-574"/>
        <w:rPr>
          <w:rFonts w:ascii="National" w:eastAsia="National" w:hAnsi="National" w:cs="National"/>
          <w:b/>
          <w:color w:val="1DBDC5"/>
          <w:sz w:val="30"/>
          <w:szCs w:val="30"/>
        </w:rPr>
      </w:pPr>
    </w:p>
    <w:p w14:paraId="5BC8BD84" w14:textId="77777777" w:rsidR="00D841E5" w:rsidRDefault="00D841E5" w:rsidP="005702D4">
      <w:pPr>
        <w:spacing w:line="276" w:lineRule="auto"/>
        <w:ind w:right="-574"/>
        <w:rPr>
          <w:rFonts w:ascii="National" w:eastAsia="National" w:hAnsi="National" w:cs="National"/>
          <w:b/>
          <w:color w:val="1DBDC5"/>
          <w:sz w:val="30"/>
          <w:szCs w:val="30"/>
        </w:rPr>
      </w:pPr>
    </w:p>
    <w:p w14:paraId="327298A6" w14:textId="4DE61BB8" w:rsidR="005702D4" w:rsidRDefault="005702D4" w:rsidP="005702D4">
      <w:pPr>
        <w:spacing w:line="276" w:lineRule="auto"/>
        <w:ind w:right="-574"/>
        <w:rPr>
          <w:rFonts w:ascii="National" w:eastAsia="National" w:hAnsi="National" w:cs="National"/>
          <w:b/>
          <w:color w:val="1DBDC5"/>
          <w:sz w:val="30"/>
          <w:szCs w:val="30"/>
        </w:rPr>
      </w:pPr>
      <w:r>
        <w:rPr>
          <w:rFonts w:ascii="National" w:eastAsia="National" w:hAnsi="National" w:cs="National"/>
          <w:b/>
          <w:color w:val="1DBDC5"/>
          <w:sz w:val="30"/>
          <w:szCs w:val="30"/>
        </w:rPr>
        <w:lastRenderedPageBreak/>
        <w:t>PRECIO Y EVOLUCIÓN DE</w:t>
      </w:r>
      <w:r w:rsidR="00D841E5">
        <w:rPr>
          <w:rFonts w:ascii="National" w:eastAsia="National" w:hAnsi="National" w:cs="National"/>
          <w:b/>
          <w:color w:val="1DBDC5"/>
          <w:sz w:val="30"/>
          <w:szCs w:val="30"/>
        </w:rPr>
        <w:t>L PRECIO DE</w:t>
      </w:r>
      <w:r>
        <w:rPr>
          <w:rFonts w:ascii="National" w:eastAsia="National" w:hAnsi="National" w:cs="National"/>
          <w:b/>
          <w:color w:val="1DBDC5"/>
          <w:sz w:val="30"/>
          <w:szCs w:val="30"/>
        </w:rPr>
        <w:t xml:space="preserve"> LA VIVIENDA EN VENTA</w:t>
      </w:r>
    </w:p>
    <w:p w14:paraId="629B9450" w14:textId="77777777" w:rsidR="00D841E5" w:rsidRDefault="00D841E5" w:rsidP="008E6F4B">
      <w:pPr>
        <w:spacing w:line="276" w:lineRule="auto"/>
        <w:ind w:right="-574"/>
        <w:jc w:val="both"/>
        <w:rPr>
          <w:rFonts w:ascii="Open Sans Light" w:eastAsia="Open Sans Light" w:hAnsi="Open Sans Light" w:cs="Open Sans Light"/>
          <w:b/>
          <w:color w:val="303AB2"/>
        </w:rPr>
      </w:pPr>
    </w:p>
    <w:p w14:paraId="24D666AB" w14:textId="1DCA5748" w:rsidR="00F66C8A" w:rsidRPr="00D841E5" w:rsidRDefault="00D841E5" w:rsidP="008E6F4B">
      <w:pPr>
        <w:spacing w:line="276" w:lineRule="auto"/>
        <w:ind w:right="-574"/>
        <w:jc w:val="both"/>
        <w:rPr>
          <w:rFonts w:ascii="Open Sans Light" w:eastAsia="Open Sans Light" w:hAnsi="Open Sans Light" w:cs="Open Sans Light"/>
          <w:b/>
          <w:color w:val="303AB2"/>
          <w:sz w:val="26"/>
          <w:szCs w:val="26"/>
        </w:rPr>
      </w:pPr>
      <w:r w:rsidRPr="00D841E5">
        <w:rPr>
          <w:rFonts w:ascii="Open Sans Light" w:eastAsia="Open Sans Light" w:hAnsi="Open Sans Light" w:cs="Open Sans Light"/>
          <w:b/>
          <w:color w:val="303AB2"/>
          <w:sz w:val="26"/>
          <w:szCs w:val="26"/>
        </w:rPr>
        <w:t>Hace 15 años se pagaba 185.000 € por un piso en Andalucía y ahora se paga 133.000 € de media</w:t>
      </w:r>
    </w:p>
    <w:p w14:paraId="7683364D" w14:textId="4BBC4AEC" w:rsidR="00D841E5" w:rsidRDefault="00D841E5" w:rsidP="008E6F4B">
      <w:pPr>
        <w:spacing w:line="276" w:lineRule="auto"/>
        <w:ind w:right="-574"/>
        <w:jc w:val="both"/>
        <w:rPr>
          <w:rFonts w:ascii="Open Sans Light" w:eastAsia="Open Sans Light" w:hAnsi="Open Sans Light" w:cs="Open Sans Light"/>
          <w:b/>
          <w:color w:val="303AB2"/>
        </w:rPr>
      </w:pPr>
    </w:p>
    <w:p w14:paraId="119316CE" w14:textId="7757340E" w:rsidR="00D841E5" w:rsidRDefault="00D841E5" w:rsidP="008E6F4B">
      <w:pPr>
        <w:spacing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precio acumulativo de la vivienda en venta </w:t>
      </w:r>
      <w:r w:rsidRPr="008D20D0">
        <w:rPr>
          <w:rFonts w:ascii="Open Sans" w:hAnsi="Open Sans" w:cs="Open Sans"/>
          <w:color w:val="0D0D0D" w:themeColor="text1" w:themeTint="F2"/>
          <w:sz w:val="22"/>
          <w:szCs w:val="22"/>
        </w:rPr>
        <w:t xml:space="preserve">ha </w:t>
      </w:r>
      <w:r>
        <w:rPr>
          <w:rFonts w:ascii="Open Sans" w:hAnsi="Open Sans" w:cs="Open Sans"/>
          <w:color w:val="0D0D0D" w:themeColor="text1" w:themeTint="F2"/>
          <w:sz w:val="22"/>
          <w:szCs w:val="22"/>
        </w:rPr>
        <w:t>subido</w:t>
      </w:r>
      <w:r w:rsidRPr="008D20D0">
        <w:rPr>
          <w:rFonts w:ascii="Open Sans" w:hAnsi="Open Sans" w:cs="Open Sans"/>
          <w:color w:val="0D0D0D" w:themeColor="text1" w:themeTint="F2"/>
          <w:sz w:val="22"/>
          <w:szCs w:val="22"/>
        </w:rPr>
        <w:t xml:space="preserve"> en </w:t>
      </w:r>
      <w:r w:rsidRPr="00F445C0">
        <w:rPr>
          <w:rFonts w:ascii="Open Sans" w:hAnsi="Open Sans" w:cs="Open Sans"/>
          <w:color w:val="000000"/>
          <w:sz w:val="22"/>
          <w:szCs w:val="22"/>
        </w:rPr>
        <w:t>Andalucía</w:t>
      </w:r>
      <w:r>
        <w:rPr>
          <w:rFonts w:ascii="Open Sans" w:hAnsi="Open Sans" w:cs="Open Sans"/>
          <w:color w:val="000000"/>
          <w:sz w:val="22"/>
          <w:szCs w:val="22"/>
        </w:rPr>
        <w:t xml:space="preserve"> un 16% en 5 años, pero ha caído un -11% en 10 años (2011) y un -28% en 15 años (2006)</w:t>
      </w:r>
    </w:p>
    <w:p w14:paraId="6774EA8E" w14:textId="2F41008A" w:rsidR="00D841E5" w:rsidRDefault="00D841E5" w:rsidP="008E6F4B">
      <w:pPr>
        <w:spacing w:line="276" w:lineRule="auto"/>
        <w:ind w:right="-574"/>
        <w:jc w:val="both"/>
        <w:rPr>
          <w:rFonts w:ascii="Open Sans" w:hAnsi="Open Sans" w:cs="Open Sans"/>
          <w:color w:val="000000"/>
          <w:sz w:val="22"/>
          <w:szCs w:val="22"/>
        </w:rPr>
      </w:pPr>
      <w:r>
        <w:rPr>
          <w:noProof/>
        </w:rPr>
        <w:drawing>
          <wp:inline distT="0" distB="0" distL="0" distR="0" wp14:anchorId="6BBE82B9" wp14:editId="06A9F62F">
            <wp:extent cx="5114925" cy="2771775"/>
            <wp:effectExtent l="0" t="0" r="9525" b="9525"/>
            <wp:docPr id="1" name="Imagen 1"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en cascada&#10;&#10;Descripción generada automáticamente"/>
                    <pic:cNvPicPr/>
                  </pic:nvPicPr>
                  <pic:blipFill>
                    <a:blip r:embed="rId14"/>
                    <a:stretch>
                      <a:fillRect/>
                    </a:stretch>
                  </pic:blipFill>
                  <pic:spPr>
                    <a:xfrm>
                      <a:off x="0" y="0"/>
                      <a:ext cx="5114925" cy="2771775"/>
                    </a:xfrm>
                    <a:prstGeom prst="rect">
                      <a:avLst/>
                    </a:prstGeom>
                  </pic:spPr>
                </pic:pic>
              </a:graphicData>
            </a:graphic>
          </wp:inline>
        </w:drawing>
      </w:r>
    </w:p>
    <w:p w14:paraId="2B24852F" w14:textId="3316153F" w:rsidR="00D841E5" w:rsidRDefault="00D841E5" w:rsidP="008E6F4B">
      <w:pPr>
        <w:spacing w:line="276" w:lineRule="auto"/>
        <w:ind w:right="-574"/>
        <w:jc w:val="both"/>
        <w:rPr>
          <w:rFonts w:ascii="Open Sans" w:hAnsi="Open Sans" w:cs="Open Sans"/>
          <w:color w:val="000000"/>
          <w:sz w:val="22"/>
          <w:szCs w:val="22"/>
        </w:rPr>
      </w:pPr>
    </w:p>
    <w:p w14:paraId="02972DC6" w14:textId="77777777" w:rsidR="00D841E5" w:rsidRDefault="00D841E5" w:rsidP="00D841E5">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themeColor="text1"/>
          <w:sz w:val="22"/>
          <w:szCs w:val="22"/>
        </w:rPr>
        <w:t>A</w:t>
      </w:r>
      <w:r w:rsidRPr="008D1286">
        <w:rPr>
          <w:rFonts w:ascii="Open Sans" w:hAnsi="Open Sans" w:cs="Open Sans"/>
          <w:color w:val="000000" w:themeColor="text1"/>
          <w:sz w:val="22"/>
          <w:szCs w:val="22"/>
        </w:rPr>
        <w:t>nalizando los</w:t>
      </w:r>
      <w:r>
        <w:rPr>
          <w:rFonts w:ascii="Open Sans" w:hAnsi="Open Sans" w:cs="Open Sans"/>
          <w:color w:val="000000" w:themeColor="text1"/>
          <w:sz w:val="22"/>
          <w:szCs w:val="22"/>
        </w:rPr>
        <w:t xml:space="preserve"> precios que se pagaban por una vivienda en venta hace 5 años (en 2016),</w:t>
      </w:r>
      <w:r w:rsidRPr="008D1286">
        <w:rPr>
          <w:rFonts w:ascii="Open Sans" w:hAnsi="Open Sans" w:cs="Open Sans"/>
          <w:color w:val="000000" w:themeColor="text1"/>
          <w:sz w:val="22"/>
          <w:szCs w:val="22"/>
        </w:rPr>
        <w:t xml:space="preserve"> </w:t>
      </w:r>
      <w:r w:rsidRPr="008D1286">
        <w:rPr>
          <w:rFonts w:ascii="Open Sans" w:hAnsi="Open Sans" w:cs="Open Sans"/>
          <w:b/>
          <w:bCs/>
          <w:color w:val="000000" w:themeColor="text1"/>
          <w:sz w:val="22"/>
          <w:szCs w:val="22"/>
        </w:rPr>
        <w:t xml:space="preserve">el precio medio del metro cuadrado de la vivienda </w:t>
      </w:r>
      <w:r>
        <w:rPr>
          <w:rFonts w:ascii="Open Sans" w:hAnsi="Open Sans" w:cs="Open Sans"/>
          <w:b/>
          <w:bCs/>
          <w:color w:val="000000" w:themeColor="text1"/>
          <w:sz w:val="22"/>
          <w:szCs w:val="22"/>
        </w:rPr>
        <w:t xml:space="preserve">se ha incrementado </w:t>
      </w:r>
      <w:r w:rsidRPr="008D1286">
        <w:rPr>
          <w:rFonts w:ascii="Open Sans" w:hAnsi="Open Sans" w:cs="Open Sans"/>
          <w:b/>
          <w:bCs/>
          <w:color w:val="000000" w:themeColor="text1"/>
          <w:sz w:val="22"/>
          <w:szCs w:val="22"/>
        </w:rPr>
        <w:t xml:space="preserve">un </w:t>
      </w:r>
      <w:r>
        <w:rPr>
          <w:rFonts w:ascii="Open Sans" w:hAnsi="Open Sans" w:cs="Open Sans"/>
          <w:b/>
          <w:bCs/>
          <w:color w:val="000000" w:themeColor="text1"/>
          <w:sz w:val="22"/>
          <w:szCs w:val="22"/>
        </w:rPr>
        <w:t>16</w:t>
      </w:r>
      <w:r w:rsidRPr="008D1286">
        <w:rPr>
          <w:rFonts w:ascii="Open Sans" w:hAnsi="Open Sans" w:cs="Open Sans"/>
          <w:b/>
          <w:bCs/>
          <w:color w:val="000000" w:themeColor="text1"/>
          <w:sz w:val="22"/>
          <w:szCs w:val="22"/>
        </w:rPr>
        <w:t xml:space="preserve">% en </w:t>
      </w:r>
      <w:r w:rsidRPr="00F445C0">
        <w:rPr>
          <w:rFonts w:ascii="Open Sans" w:hAnsi="Open Sans" w:cs="Open Sans"/>
          <w:b/>
          <w:bCs/>
          <w:color w:val="000000" w:themeColor="text1"/>
          <w:sz w:val="22"/>
          <w:szCs w:val="22"/>
        </w:rPr>
        <w:t xml:space="preserve">Andalucía </w:t>
      </w:r>
      <w:r w:rsidRPr="005C5838">
        <w:rPr>
          <w:rFonts w:ascii="Open Sans" w:hAnsi="Open Sans" w:cs="Open Sans"/>
          <w:color w:val="000000" w:themeColor="text1"/>
          <w:sz w:val="22"/>
          <w:szCs w:val="22"/>
        </w:rPr>
        <w:t xml:space="preserve">(de </w:t>
      </w:r>
      <w:r>
        <w:rPr>
          <w:rFonts w:ascii="Open Sans" w:hAnsi="Open Sans" w:cs="Open Sans"/>
          <w:color w:val="000000" w:themeColor="text1"/>
          <w:sz w:val="22"/>
          <w:szCs w:val="22"/>
        </w:rPr>
        <w:t xml:space="preserve">1.442 </w:t>
      </w:r>
      <w:r w:rsidRPr="005C5838">
        <w:rPr>
          <w:rFonts w:ascii="Open Sans" w:hAnsi="Open Sans" w:cs="Open Sans"/>
          <w:color w:val="000000" w:themeColor="text1"/>
          <w:sz w:val="22"/>
          <w:szCs w:val="22"/>
        </w:rPr>
        <w:t>euros/m</w:t>
      </w:r>
      <w:r w:rsidRPr="005C5838">
        <w:rPr>
          <w:rFonts w:ascii="Open Sans" w:hAnsi="Open Sans" w:cs="Open Sans"/>
          <w:color w:val="000000" w:themeColor="text1"/>
          <w:sz w:val="22"/>
          <w:szCs w:val="22"/>
          <w:vertAlign w:val="superscript"/>
        </w:rPr>
        <w:t>2</w:t>
      </w:r>
      <w:r w:rsidRPr="005C5838">
        <w:rPr>
          <w:rFonts w:ascii="Open Sans" w:hAnsi="Open Sans" w:cs="Open Sans"/>
          <w:color w:val="000000" w:themeColor="text1"/>
          <w:sz w:val="22"/>
          <w:szCs w:val="22"/>
        </w:rPr>
        <w:t xml:space="preserve"> en</w:t>
      </w:r>
      <w:r>
        <w:rPr>
          <w:rFonts w:ascii="Open Sans" w:hAnsi="Open Sans" w:cs="Open Sans"/>
          <w:color w:val="000000" w:themeColor="text1"/>
          <w:sz w:val="22"/>
          <w:szCs w:val="22"/>
        </w:rPr>
        <w:t xml:space="preserve"> junio de</w:t>
      </w:r>
      <w:r w:rsidRPr="005C5838">
        <w:rPr>
          <w:rFonts w:ascii="Open Sans" w:hAnsi="Open Sans" w:cs="Open Sans"/>
          <w:color w:val="000000" w:themeColor="text1"/>
          <w:sz w:val="22"/>
          <w:szCs w:val="22"/>
        </w:rPr>
        <w:t xml:space="preserve"> 201</w:t>
      </w:r>
      <w:r>
        <w:rPr>
          <w:rFonts w:ascii="Open Sans" w:hAnsi="Open Sans" w:cs="Open Sans"/>
          <w:color w:val="000000" w:themeColor="text1"/>
          <w:sz w:val="22"/>
          <w:szCs w:val="22"/>
        </w:rPr>
        <w:t>6,</w:t>
      </w:r>
      <w:r w:rsidRPr="005C5838">
        <w:rPr>
          <w:rFonts w:ascii="Open Sans" w:hAnsi="Open Sans" w:cs="Open Sans"/>
          <w:color w:val="000000" w:themeColor="text1"/>
          <w:sz w:val="22"/>
          <w:szCs w:val="22"/>
        </w:rPr>
        <w:t xml:space="preserve"> a </w:t>
      </w:r>
      <w:r>
        <w:rPr>
          <w:rFonts w:ascii="Open Sans" w:hAnsi="Open Sans" w:cs="Open Sans"/>
          <w:color w:val="000000" w:themeColor="text1"/>
          <w:sz w:val="22"/>
          <w:szCs w:val="22"/>
        </w:rPr>
        <w:t>los 1.666</w:t>
      </w:r>
      <w:r w:rsidRPr="005C5838">
        <w:rPr>
          <w:rFonts w:ascii="Open Sans" w:hAnsi="Open Sans" w:cs="Open Sans"/>
          <w:color w:val="000000" w:themeColor="text1"/>
          <w:sz w:val="22"/>
          <w:szCs w:val="22"/>
        </w:rPr>
        <w:t xml:space="preserve"> euros/m</w:t>
      </w:r>
      <w:r w:rsidRPr="005C5838">
        <w:rPr>
          <w:rFonts w:ascii="Open Sans" w:hAnsi="Open Sans" w:cs="Open Sans"/>
          <w:color w:val="000000" w:themeColor="text1"/>
          <w:sz w:val="22"/>
          <w:szCs w:val="22"/>
          <w:vertAlign w:val="superscript"/>
        </w:rPr>
        <w:t>2</w:t>
      </w:r>
      <w:r w:rsidRPr="005C5838">
        <w:rPr>
          <w:rFonts w:ascii="Open Sans" w:hAnsi="Open Sans" w:cs="Open Sans"/>
          <w:color w:val="000000" w:themeColor="text1"/>
          <w:sz w:val="22"/>
          <w:szCs w:val="22"/>
        </w:rPr>
        <w:t xml:space="preserve"> en </w:t>
      </w:r>
      <w:r>
        <w:rPr>
          <w:rFonts w:ascii="Open Sans" w:hAnsi="Open Sans" w:cs="Open Sans"/>
          <w:color w:val="000000" w:themeColor="text1"/>
          <w:sz w:val="22"/>
          <w:szCs w:val="22"/>
        </w:rPr>
        <w:t xml:space="preserve">junio </w:t>
      </w:r>
      <w:r w:rsidRPr="005C5838">
        <w:rPr>
          <w:rFonts w:ascii="Open Sans" w:hAnsi="Open Sans" w:cs="Open Sans"/>
          <w:color w:val="000000" w:themeColor="text1"/>
          <w:sz w:val="22"/>
          <w:szCs w:val="22"/>
        </w:rPr>
        <w:t>de 20</w:t>
      </w:r>
      <w:r>
        <w:rPr>
          <w:rFonts w:ascii="Open Sans" w:hAnsi="Open Sans" w:cs="Open Sans"/>
          <w:color w:val="000000" w:themeColor="text1"/>
          <w:sz w:val="22"/>
          <w:szCs w:val="22"/>
        </w:rPr>
        <w:t>21</w:t>
      </w:r>
      <w:r w:rsidRPr="005C5838">
        <w:rPr>
          <w:rFonts w:ascii="Open Sans" w:hAnsi="Open Sans" w:cs="Open Sans"/>
          <w:color w:val="000000" w:themeColor="text1"/>
          <w:sz w:val="22"/>
          <w:szCs w:val="22"/>
        </w:rPr>
        <w:t>)</w:t>
      </w:r>
      <w:r>
        <w:rPr>
          <w:rFonts w:ascii="Open Sans" w:hAnsi="Open Sans" w:cs="Open Sans"/>
          <w:color w:val="000000" w:themeColor="text1"/>
          <w:sz w:val="22"/>
          <w:szCs w:val="22"/>
        </w:rPr>
        <w:t xml:space="preserve">. </w:t>
      </w:r>
      <w:r>
        <w:rPr>
          <w:rFonts w:ascii="Open Sans" w:hAnsi="Open Sans" w:cs="Open Sans"/>
          <w:color w:val="000000"/>
          <w:sz w:val="22"/>
          <w:szCs w:val="22"/>
        </w:rPr>
        <w:t>Así, los andaluces de hace 5 años (en 2016) debían pagar por la compra</w:t>
      </w:r>
      <w:r w:rsidRPr="008376CF">
        <w:rPr>
          <w:rFonts w:ascii="Open Sans" w:hAnsi="Open Sans" w:cs="Open Sans"/>
          <w:color w:val="000000"/>
          <w:sz w:val="22"/>
          <w:szCs w:val="22"/>
        </w:rPr>
        <w:t xml:space="preserve"> </w:t>
      </w:r>
      <w:r>
        <w:rPr>
          <w:rFonts w:ascii="Open Sans" w:hAnsi="Open Sans" w:cs="Open Sans"/>
          <w:color w:val="000000"/>
          <w:sz w:val="22"/>
          <w:szCs w:val="22"/>
        </w:rPr>
        <w:t>de una vivienda de 80 m</w:t>
      </w:r>
      <w:r w:rsidRPr="002C2F40">
        <w:rPr>
          <w:rFonts w:ascii="Open Sans" w:hAnsi="Open Sans" w:cs="Open Sans"/>
          <w:color w:val="000000"/>
          <w:sz w:val="22"/>
          <w:szCs w:val="22"/>
          <w:vertAlign w:val="superscript"/>
        </w:rPr>
        <w:t>2</w:t>
      </w:r>
      <w:r>
        <w:rPr>
          <w:rFonts w:ascii="Open Sans" w:hAnsi="Open Sans" w:cs="Open Sans"/>
          <w:color w:val="000000"/>
          <w:sz w:val="22"/>
          <w:szCs w:val="22"/>
        </w:rPr>
        <w:t xml:space="preserve"> una media de 115.360 euros, frente a los 133.304 euros que se paga como media en </w:t>
      </w:r>
      <w:r w:rsidRPr="00F445C0">
        <w:rPr>
          <w:rFonts w:ascii="Open Sans" w:hAnsi="Open Sans" w:cs="Open Sans"/>
          <w:color w:val="000000"/>
          <w:sz w:val="22"/>
          <w:szCs w:val="22"/>
        </w:rPr>
        <w:t>Andalucía</w:t>
      </w:r>
      <w:r>
        <w:rPr>
          <w:rFonts w:ascii="Open Sans" w:hAnsi="Open Sans" w:cs="Open Sans"/>
          <w:color w:val="000000"/>
          <w:sz w:val="22"/>
          <w:szCs w:val="22"/>
        </w:rPr>
        <w:t xml:space="preserve"> en junio de 2021. </w:t>
      </w:r>
    </w:p>
    <w:p w14:paraId="79A080D6" w14:textId="4FFA44A3" w:rsidR="00D841E5" w:rsidRPr="00D841E5" w:rsidRDefault="00D841E5" w:rsidP="00D841E5">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sidRPr="00D841E5">
        <w:rPr>
          <w:rFonts w:ascii="National" w:eastAsia="National" w:hAnsi="National" w:cs="National"/>
          <w:b/>
          <w:color w:val="303AB2"/>
          <w:sz w:val="28"/>
          <w:szCs w:val="28"/>
        </w:rPr>
        <w:t>Por capitales de provincia</w:t>
      </w:r>
    </w:p>
    <w:p w14:paraId="30FD2A77" w14:textId="77777777" w:rsidR="00D841E5" w:rsidRDefault="00D841E5" w:rsidP="00D841E5">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color w:val="000000"/>
          <w:sz w:val="22"/>
          <w:szCs w:val="22"/>
        </w:rPr>
        <w:t xml:space="preserve">La ciudad de </w:t>
      </w:r>
      <w:r w:rsidRPr="00706477">
        <w:rPr>
          <w:rFonts w:ascii="Open Sans" w:hAnsi="Open Sans" w:cs="Open Sans"/>
          <w:color w:val="000000"/>
          <w:sz w:val="22"/>
          <w:szCs w:val="22"/>
        </w:rPr>
        <w:t>Málaga</w:t>
      </w:r>
      <w:r>
        <w:rPr>
          <w:rFonts w:ascii="Open Sans" w:hAnsi="Open Sans" w:cs="Open Sans"/>
          <w:color w:val="000000"/>
          <w:sz w:val="22"/>
          <w:szCs w:val="22"/>
        </w:rPr>
        <w:t xml:space="preserve"> es la única </w:t>
      </w:r>
      <w:r w:rsidRPr="00182711">
        <w:rPr>
          <w:rFonts w:ascii="Open Sans" w:hAnsi="Open Sans" w:cs="Open Sans"/>
          <w:color w:val="000000"/>
          <w:sz w:val="22"/>
          <w:szCs w:val="22"/>
        </w:rPr>
        <w:t>capital</w:t>
      </w:r>
      <w:r>
        <w:rPr>
          <w:rFonts w:ascii="Open Sans" w:hAnsi="Open Sans" w:cs="Open Sans"/>
          <w:color w:val="000000"/>
          <w:sz w:val="22"/>
          <w:szCs w:val="22"/>
        </w:rPr>
        <w:t xml:space="preserve"> de Andalucía cuyo incremento acumulativo de la vivienda en venta alcanza el 43% en 5 años (2016), un 12% en 10 años (2011), pero ha descendido un -12% en 15 años (2006), según el</w:t>
      </w:r>
      <w:r w:rsidRPr="00132340">
        <w:rPr>
          <w:rFonts w:ascii="Open Sans" w:hAnsi="Open Sans" w:cs="Open Sans"/>
          <w:color w:val="000000"/>
          <w:sz w:val="22"/>
          <w:szCs w:val="22"/>
        </w:rPr>
        <w:t xml:space="preserve"> </w:t>
      </w:r>
      <w:r>
        <w:rPr>
          <w:rFonts w:ascii="Open Sans" w:hAnsi="Open Sans" w:cs="Open Sans"/>
          <w:color w:val="000000"/>
          <w:sz w:val="22"/>
          <w:szCs w:val="22"/>
        </w:rPr>
        <w:t>estudio</w:t>
      </w:r>
      <w:r w:rsidRPr="00132340">
        <w:rPr>
          <w:rFonts w:ascii="Open Sans" w:hAnsi="Open Sans" w:cs="Open Sans"/>
          <w:color w:val="000000"/>
          <w:sz w:val="22"/>
          <w:szCs w:val="22"/>
        </w:rPr>
        <w:t xml:space="preserve"> </w:t>
      </w:r>
      <w:r>
        <w:rPr>
          <w:rFonts w:ascii="Open Sans" w:hAnsi="Open Sans" w:cs="Open Sans"/>
          <w:color w:val="000000"/>
          <w:sz w:val="22"/>
          <w:szCs w:val="22"/>
        </w:rPr>
        <w:t xml:space="preserve">de </w:t>
      </w:r>
      <w:hyperlink r:id="rId15" w:history="1">
        <w:r w:rsidRPr="00132340">
          <w:rPr>
            <w:rStyle w:val="Hipervnculo"/>
            <w:rFonts w:ascii="Open Sans" w:hAnsi="Open Sans" w:cs="Open Sans"/>
            <w:sz w:val="22"/>
            <w:szCs w:val="22"/>
          </w:rPr>
          <w:t>Fotocasa</w:t>
        </w:r>
      </w:hyperlink>
      <w:r w:rsidRPr="00A909FF">
        <w:rPr>
          <w:rFonts w:ascii="Open Sans" w:hAnsi="Open Sans" w:cs="Open Sans"/>
          <w:sz w:val="22"/>
          <w:szCs w:val="22"/>
        </w:rPr>
        <w:t>.</w:t>
      </w:r>
      <w:r>
        <w:rPr>
          <w:rFonts w:ascii="Open Sans" w:hAnsi="Open Sans" w:cs="Open Sans"/>
          <w:sz w:val="22"/>
          <w:szCs w:val="22"/>
        </w:rPr>
        <w:t xml:space="preserve"> </w:t>
      </w:r>
    </w:p>
    <w:p w14:paraId="7B52F350" w14:textId="77777777" w:rsidR="00D841E5" w:rsidRPr="00B231C2" w:rsidRDefault="00D841E5" w:rsidP="00D841E5">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sz w:val="22"/>
          <w:szCs w:val="22"/>
        </w:rPr>
        <w:t xml:space="preserve">Por una vivienda de 80 metros cuadrados en régimen de </w:t>
      </w:r>
      <w:r>
        <w:rPr>
          <w:rFonts w:ascii="Open Sans" w:hAnsi="Open Sans" w:cs="Open Sans"/>
          <w:color w:val="000000"/>
          <w:sz w:val="22"/>
          <w:szCs w:val="22"/>
        </w:rPr>
        <w:t>venta</w:t>
      </w:r>
      <w:r>
        <w:rPr>
          <w:rFonts w:ascii="Open Sans" w:hAnsi="Open Sans" w:cs="Open Sans"/>
          <w:sz w:val="22"/>
          <w:szCs w:val="22"/>
        </w:rPr>
        <w:t xml:space="preserve"> en </w:t>
      </w:r>
      <w:r w:rsidRPr="00706477">
        <w:rPr>
          <w:rFonts w:ascii="Open Sans" w:hAnsi="Open Sans" w:cs="Open Sans"/>
          <w:color w:val="000000"/>
          <w:sz w:val="22"/>
          <w:szCs w:val="22"/>
        </w:rPr>
        <w:t>Málaga</w:t>
      </w:r>
      <w:r>
        <w:rPr>
          <w:rFonts w:ascii="Open Sans" w:hAnsi="Open Sans" w:cs="Open Sans"/>
          <w:color w:val="000000"/>
          <w:sz w:val="22"/>
          <w:szCs w:val="22"/>
        </w:rPr>
        <w:t xml:space="preserve"> capital </w:t>
      </w:r>
      <w:r>
        <w:rPr>
          <w:rFonts w:ascii="Open Sans" w:hAnsi="Open Sans" w:cs="Open Sans"/>
          <w:sz w:val="22"/>
          <w:szCs w:val="22"/>
        </w:rPr>
        <w:t>se pagaba 132.678 euros hace 5 años (1.658 €/m</w:t>
      </w:r>
      <w:r w:rsidRPr="00E43CE5">
        <w:rPr>
          <w:rFonts w:ascii="Open Sans" w:hAnsi="Open Sans" w:cs="Open Sans"/>
          <w:sz w:val="22"/>
          <w:szCs w:val="22"/>
          <w:vertAlign w:val="superscript"/>
        </w:rPr>
        <w:t>2</w:t>
      </w:r>
      <w:r>
        <w:rPr>
          <w:rFonts w:ascii="Open Sans" w:hAnsi="Open Sans" w:cs="Open Sans"/>
          <w:sz w:val="22"/>
          <w:szCs w:val="22"/>
        </w:rPr>
        <w:t xml:space="preserve"> en junio de 2016), mientras que en 2011 se pagaba 169.992 euros (2.125 €/m</w:t>
      </w:r>
      <w:r w:rsidRPr="00E43CE5">
        <w:rPr>
          <w:rFonts w:ascii="Open Sans" w:hAnsi="Open Sans" w:cs="Open Sans"/>
          <w:sz w:val="22"/>
          <w:szCs w:val="22"/>
          <w:vertAlign w:val="superscript"/>
        </w:rPr>
        <w:t>2</w:t>
      </w:r>
      <w:r>
        <w:rPr>
          <w:rFonts w:ascii="Open Sans" w:hAnsi="Open Sans" w:cs="Open Sans"/>
          <w:sz w:val="22"/>
          <w:szCs w:val="22"/>
        </w:rPr>
        <w:t xml:space="preserve"> en junio de 2011) y en 2006 se pagaba 215.553 euros (2.694 €/m</w:t>
      </w:r>
      <w:r w:rsidRPr="00E43CE5">
        <w:rPr>
          <w:rFonts w:ascii="Open Sans" w:hAnsi="Open Sans" w:cs="Open Sans"/>
          <w:sz w:val="22"/>
          <w:szCs w:val="22"/>
          <w:vertAlign w:val="superscript"/>
        </w:rPr>
        <w:t>2</w:t>
      </w:r>
      <w:r>
        <w:rPr>
          <w:rFonts w:ascii="Open Sans" w:hAnsi="Open Sans" w:cs="Open Sans"/>
          <w:sz w:val="22"/>
          <w:szCs w:val="22"/>
        </w:rPr>
        <w:t xml:space="preserve"> en junio de 2006).</w:t>
      </w:r>
    </w:p>
    <w:p w14:paraId="384D4D55" w14:textId="14FD1F20" w:rsidR="00D841E5" w:rsidRDefault="00D841E5" w:rsidP="00D841E5">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sz w:val="22"/>
          <w:szCs w:val="22"/>
        </w:rPr>
        <w:lastRenderedPageBreak/>
        <w:t xml:space="preserve">Las ciudades con incremento acumulativo de </w:t>
      </w:r>
      <w:r>
        <w:rPr>
          <w:rFonts w:ascii="Open Sans" w:hAnsi="Open Sans" w:cs="Open Sans"/>
          <w:color w:val="000000"/>
          <w:sz w:val="22"/>
          <w:szCs w:val="22"/>
        </w:rPr>
        <w:t>venta</w:t>
      </w:r>
      <w:r w:rsidRPr="008376CF">
        <w:rPr>
          <w:rFonts w:ascii="Open Sans" w:hAnsi="Open Sans" w:cs="Open Sans"/>
          <w:color w:val="000000"/>
          <w:sz w:val="22"/>
          <w:szCs w:val="22"/>
        </w:rPr>
        <w:t xml:space="preserve"> </w:t>
      </w:r>
      <w:r>
        <w:rPr>
          <w:rFonts w:ascii="Open Sans" w:hAnsi="Open Sans" w:cs="Open Sans"/>
          <w:color w:val="000000"/>
          <w:sz w:val="22"/>
          <w:szCs w:val="22"/>
        </w:rPr>
        <w:t xml:space="preserve">de </w:t>
      </w:r>
      <w:r>
        <w:rPr>
          <w:rFonts w:ascii="Open Sans" w:hAnsi="Open Sans" w:cs="Open Sans"/>
          <w:sz w:val="22"/>
          <w:szCs w:val="22"/>
        </w:rPr>
        <w:t xml:space="preserve">mayor a menor en </w:t>
      </w:r>
      <w:r>
        <w:rPr>
          <w:rFonts w:ascii="Open Sans" w:hAnsi="Open Sans" w:cs="Open Sans"/>
          <w:color w:val="000000"/>
          <w:sz w:val="22"/>
          <w:szCs w:val="22"/>
        </w:rPr>
        <w:t xml:space="preserve">Andalucía </w:t>
      </w:r>
      <w:r>
        <w:rPr>
          <w:rFonts w:ascii="Open Sans" w:hAnsi="Open Sans" w:cs="Open Sans"/>
          <w:sz w:val="22"/>
          <w:szCs w:val="22"/>
        </w:rPr>
        <w:t>en los últimos 5 años (desde 2016) son:</w:t>
      </w:r>
      <w:r w:rsidRPr="00CE563D">
        <w:rPr>
          <w:rFonts w:ascii="Open Sans" w:hAnsi="Open Sans" w:cs="Open Sans"/>
          <w:sz w:val="22"/>
          <w:szCs w:val="22"/>
        </w:rPr>
        <w:t xml:space="preserve"> </w:t>
      </w:r>
      <w:r w:rsidRPr="004C4E0E">
        <w:rPr>
          <w:rFonts w:ascii="Open Sans" w:hAnsi="Open Sans" w:cs="Open Sans"/>
          <w:sz w:val="22"/>
          <w:szCs w:val="22"/>
        </w:rPr>
        <w:t>Málaga capital</w:t>
      </w:r>
      <w:r>
        <w:rPr>
          <w:rFonts w:ascii="Open Sans" w:hAnsi="Open Sans" w:cs="Open Sans"/>
          <w:sz w:val="22"/>
          <w:szCs w:val="22"/>
        </w:rPr>
        <w:t xml:space="preserve"> con </w:t>
      </w:r>
      <w:r w:rsidRPr="004C4E0E">
        <w:rPr>
          <w:rFonts w:ascii="Open Sans" w:hAnsi="Open Sans" w:cs="Open Sans"/>
          <w:sz w:val="22"/>
          <w:szCs w:val="22"/>
        </w:rPr>
        <w:t>43%</w:t>
      </w:r>
      <w:r>
        <w:rPr>
          <w:rFonts w:ascii="Open Sans" w:hAnsi="Open Sans" w:cs="Open Sans"/>
          <w:sz w:val="22"/>
          <w:szCs w:val="22"/>
        </w:rPr>
        <w:t xml:space="preserve">, </w:t>
      </w:r>
      <w:r w:rsidRPr="004C4E0E">
        <w:rPr>
          <w:rFonts w:ascii="Open Sans" w:hAnsi="Open Sans" w:cs="Open Sans"/>
          <w:sz w:val="22"/>
          <w:szCs w:val="22"/>
        </w:rPr>
        <w:t xml:space="preserve">Cádiz capital </w:t>
      </w:r>
      <w:r>
        <w:rPr>
          <w:rFonts w:ascii="Open Sans" w:hAnsi="Open Sans" w:cs="Open Sans"/>
          <w:sz w:val="22"/>
          <w:szCs w:val="22"/>
        </w:rPr>
        <w:t xml:space="preserve">con </w:t>
      </w:r>
      <w:r w:rsidRPr="004C4E0E">
        <w:rPr>
          <w:rFonts w:ascii="Open Sans" w:hAnsi="Open Sans" w:cs="Open Sans"/>
          <w:sz w:val="22"/>
          <w:szCs w:val="22"/>
        </w:rPr>
        <w:t>22%</w:t>
      </w:r>
      <w:r>
        <w:rPr>
          <w:rFonts w:ascii="Open Sans" w:hAnsi="Open Sans" w:cs="Open Sans"/>
          <w:sz w:val="22"/>
          <w:szCs w:val="22"/>
        </w:rPr>
        <w:t xml:space="preserve">, </w:t>
      </w:r>
      <w:r w:rsidRPr="004C4E0E">
        <w:rPr>
          <w:rFonts w:ascii="Open Sans" w:hAnsi="Open Sans" w:cs="Open Sans"/>
          <w:sz w:val="22"/>
          <w:szCs w:val="22"/>
        </w:rPr>
        <w:t xml:space="preserve">Sevilla capital </w:t>
      </w:r>
      <w:r>
        <w:rPr>
          <w:rFonts w:ascii="Open Sans" w:hAnsi="Open Sans" w:cs="Open Sans"/>
          <w:sz w:val="22"/>
          <w:szCs w:val="22"/>
        </w:rPr>
        <w:t xml:space="preserve">con </w:t>
      </w:r>
      <w:r w:rsidRPr="004C4E0E">
        <w:rPr>
          <w:rFonts w:ascii="Open Sans" w:hAnsi="Open Sans" w:cs="Open Sans"/>
          <w:sz w:val="22"/>
          <w:szCs w:val="22"/>
        </w:rPr>
        <w:t>21%</w:t>
      </w:r>
      <w:r>
        <w:rPr>
          <w:rFonts w:ascii="Open Sans" w:hAnsi="Open Sans" w:cs="Open Sans"/>
          <w:sz w:val="22"/>
          <w:szCs w:val="22"/>
        </w:rPr>
        <w:t xml:space="preserve">, </w:t>
      </w:r>
      <w:r w:rsidRPr="004C4E0E">
        <w:rPr>
          <w:rFonts w:ascii="Open Sans" w:hAnsi="Open Sans" w:cs="Open Sans"/>
          <w:sz w:val="22"/>
          <w:szCs w:val="22"/>
        </w:rPr>
        <w:t xml:space="preserve">Granada capital </w:t>
      </w:r>
      <w:r>
        <w:rPr>
          <w:rFonts w:ascii="Open Sans" w:hAnsi="Open Sans" w:cs="Open Sans"/>
          <w:sz w:val="22"/>
          <w:szCs w:val="22"/>
        </w:rPr>
        <w:t xml:space="preserve">con </w:t>
      </w:r>
      <w:r w:rsidRPr="004C4E0E">
        <w:rPr>
          <w:rFonts w:ascii="Open Sans" w:hAnsi="Open Sans" w:cs="Open Sans"/>
          <w:sz w:val="22"/>
          <w:szCs w:val="22"/>
        </w:rPr>
        <w:t>17%</w:t>
      </w:r>
      <w:r>
        <w:rPr>
          <w:rFonts w:ascii="Open Sans" w:hAnsi="Open Sans" w:cs="Open Sans"/>
          <w:sz w:val="22"/>
          <w:szCs w:val="22"/>
        </w:rPr>
        <w:t xml:space="preserve">, </w:t>
      </w:r>
      <w:r w:rsidRPr="004C4E0E">
        <w:rPr>
          <w:rFonts w:ascii="Open Sans" w:hAnsi="Open Sans" w:cs="Open Sans"/>
          <w:sz w:val="22"/>
          <w:szCs w:val="22"/>
        </w:rPr>
        <w:t xml:space="preserve">Huelva capital </w:t>
      </w:r>
      <w:r>
        <w:rPr>
          <w:rFonts w:ascii="Open Sans" w:hAnsi="Open Sans" w:cs="Open Sans"/>
          <w:sz w:val="22"/>
          <w:szCs w:val="22"/>
        </w:rPr>
        <w:t xml:space="preserve">con </w:t>
      </w:r>
      <w:r w:rsidRPr="004C4E0E">
        <w:rPr>
          <w:rFonts w:ascii="Open Sans" w:hAnsi="Open Sans" w:cs="Open Sans"/>
          <w:sz w:val="22"/>
          <w:szCs w:val="22"/>
        </w:rPr>
        <w:t>5%</w:t>
      </w:r>
      <w:r>
        <w:rPr>
          <w:rFonts w:ascii="Open Sans" w:hAnsi="Open Sans" w:cs="Open Sans"/>
          <w:sz w:val="22"/>
          <w:szCs w:val="22"/>
        </w:rPr>
        <w:t xml:space="preserve">, </w:t>
      </w:r>
      <w:r w:rsidRPr="004C4E0E">
        <w:rPr>
          <w:rFonts w:ascii="Open Sans" w:hAnsi="Open Sans" w:cs="Open Sans"/>
          <w:sz w:val="22"/>
          <w:szCs w:val="22"/>
        </w:rPr>
        <w:t xml:space="preserve">Córdoba capital </w:t>
      </w:r>
      <w:r>
        <w:rPr>
          <w:rFonts w:ascii="Open Sans" w:hAnsi="Open Sans" w:cs="Open Sans"/>
          <w:sz w:val="22"/>
          <w:szCs w:val="22"/>
        </w:rPr>
        <w:t xml:space="preserve">con </w:t>
      </w:r>
      <w:r w:rsidRPr="004C4E0E">
        <w:rPr>
          <w:rFonts w:ascii="Open Sans" w:hAnsi="Open Sans" w:cs="Open Sans"/>
          <w:sz w:val="22"/>
          <w:szCs w:val="22"/>
        </w:rPr>
        <w:t>4%</w:t>
      </w:r>
      <w:r>
        <w:rPr>
          <w:rFonts w:ascii="Open Sans" w:hAnsi="Open Sans" w:cs="Open Sans"/>
          <w:sz w:val="22"/>
          <w:szCs w:val="22"/>
        </w:rPr>
        <w:t xml:space="preserve">, </w:t>
      </w:r>
      <w:r w:rsidRPr="004C4E0E">
        <w:rPr>
          <w:rFonts w:ascii="Open Sans" w:hAnsi="Open Sans" w:cs="Open Sans"/>
          <w:sz w:val="22"/>
          <w:szCs w:val="22"/>
        </w:rPr>
        <w:t xml:space="preserve">Almería capital </w:t>
      </w:r>
      <w:r>
        <w:rPr>
          <w:rFonts w:ascii="Open Sans" w:hAnsi="Open Sans" w:cs="Open Sans"/>
          <w:sz w:val="22"/>
          <w:szCs w:val="22"/>
        </w:rPr>
        <w:t xml:space="preserve">con </w:t>
      </w:r>
      <w:r w:rsidRPr="004C4E0E">
        <w:rPr>
          <w:rFonts w:ascii="Open Sans" w:hAnsi="Open Sans" w:cs="Open Sans"/>
          <w:sz w:val="22"/>
          <w:szCs w:val="22"/>
        </w:rPr>
        <w:t>-1,4%</w:t>
      </w:r>
      <w:r>
        <w:rPr>
          <w:rFonts w:ascii="Open Sans" w:hAnsi="Open Sans" w:cs="Open Sans"/>
          <w:sz w:val="22"/>
          <w:szCs w:val="22"/>
        </w:rPr>
        <w:t xml:space="preserve"> y </w:t>
      </w:r>
      <w:r w:rsidRPr="004C4E0E">
        <w:rPr>
          <w:rFonts w:ascii="Open Sans" w:hAnsi="Open Sans" w:cs="Open Sans"/>
          <w:sz w:val="22"/>
          <w:szCs w:val="22"/>
        </w:rPr>
        <w:t xml:space="preserve">Jaén capital </w:t>
      </w:r>
      <w:r>
        <w:rPr>
          <w:rFonts w:ascii="Open Sans" w:hAnsi="Open Sans" w:cs="Open Sans"/>
          <w:sz w:val="22"/>
          <w:szCs w:val="22"/>
        </w:rPr>
        <w:t xml:space="preserve">con </w:t>
      </w:r>
      <w:r w:rsidRPr="004C4E0E">
        <w:rPr>
          <w:rFonts w:ascii="Open Sans" w:hAnsi="Open Sans" w:cs="Open Sans"/>
          <w:sz w:val="22"/>
          <w:szCs w:val="22"/>
        </w:rPr>
        <w:t>-8,7%</w:t>
      </w:r>
      <w:r>
        <w:rPr>
          <w:rFonts w:ascii="Open Sans" w:hAnsi="Open Sans" w:cs="Open Sans"/>
          <w:sz w:val="22"/>
          <w:szCs w:val="22"/>
        </w:rPr>
        <w:t>.</w:t>
      </w:r>
    </w:p>
    <w:p w14:paraId="4D9FCD44" w14:textId="77777777" w:rsidR="00291F66" w:rsidRDefault="00291F66" w:rsidP="00D841E5">
      <w:pPr>
        <w:pStyle w:val="NormalWeb"/>
        <w:shd w:val="clear" w:color="auto" w:fill="FFFFFF"/>
        <w:spacing w:after="225" w:line="276" w:lineRule="auto"/>
        <w:ind w:right="-574"/>
        <w:jc w:val="both"/>
        <w:rPr>
          <w:rFonts w:ascii="Open Sans" w:hAnsi="Open Sans" w:cs="Open Sans"/>
          <w:sz w:val="22"/>
          <w:szCs w:val="22"/>
        </w:rPr>
      </w:pPr>
    </w:p>
    <w:p w14:paraId="089C86BB" w14:textId="77777777" w:rsidR="00D841E5" w:rsidRDefault="00D841E5" w:rsidP="00D841E5">
      <w:pPr>
        <w:pStyle w:val="Prrafodelista"/>
        <w:spacing w:line="276" w:lineRule="auto"/>
        <w:ind w:left="0" w:right="-574"/>
        <w:jc w:val="center"/>
        <w:rPr>
          <w:rFonts w:ascii="National" w:hAnsi="National"/>
          <w:b/>
          <w:bCs/>
          <w:iCs/>
          <w:color w:val="FF0000"/>
          <w:sz w:val="28"/>
          <w:szCs w:val="160"/>
          <w:lang w:val="es-ES"/>
        </w:rPr>
      </w:pPr>
      <w:r>
        <w:rPr>
          <w:rFonts w:ascii="National" w:hAnsi="National"/>
          <w:b/>
          <w:bCs/>
          <w:iCs/>
          <w:color w:val="303AB2"/>
          <w:sz w:val="28"/>
          <w:szCs w:val="160"/>
          <w:lang w:val="es-ES"/>
        </w:rPr>
        <w:t>Capitales con p</w:t>
      </w:r>
      <w:r w:rsidRPr="00D82713">
        <w:rPr>
          <w:rFonts w:ascii="National" w:hAnsi="National"/>
          <w:b/>
          <w:bCs/>
          <w:iCs/>
          <w:color w:val="303AB2"/>
          <w:sz w:val="28"/>
          <w:szCs w:val="160"/>
          <w:lang w:val="es-ES"/>
        </w:rPr>
        <w:t xml:space="preserve">orcentaje (%) </w:t>
      </w:r>
      <w:r w:rsidRPr="004419C5">
        <w:rPr>
          <w:rFonts w:ascii="National" w:hAnsi="National"/>
          <w:b/>
          <w:bCs/>
          <w:iCs/>
          <w:color w:val="303AB2"/>
          <w:sz w:val="28"/>
          <w:szCs w:val="160"/>
          <w:lang w:val="es-ES"/>
        </w:rPr>
        <w:t>acumulativo</w:t>
      </w:r>
      <w:r w:rsidRPr="001C6AC4">
        <w:rPr>
          <w:rFonts w:ascii="National" w:hAnsi="National"/>
          <w:b/>
          <w:bCs/>
          <w:iCs/>
          <w:color w:val="FF0000"/>
          <w:sz w:val="28"/>
          <w:szCs w:val="160"/>
          <w:lang w:val="es-ES"/>
        </w:rPr>
        <w:t xml:space="preserve"> </w:t>
      </w:r>
    </w:p>
    <w:p w14:paraId="77E96708" w14:textId="77777777" w:rsidR="00D841E5" w:rsidRPr="0079339F" w:rsidRDefault="00D841E5" w:rsidP="00D841E5">
      <w:pPr>
        <w:pStyle w:val="Prrafodelista"/>
        <w:spacing w:line="276" w:lineRule="auto"/>
        <w:ind w:left="0" w:right="-574"/>
        <w:jc w:val="center"/>
        <w:rPr>
          <w:rFonts w:ascii="National" w:hAnsi="National"/>
          <w:b/>
          <w:bCs/>
          <w:iCs/>
          <w:color w:val="303AB2"/>
          <w:sz w:val="16"/>
          <w:szCs w:val="16"/>
          <w:lang w:val="es-ES"/>
        </w:rPr>
      </w:pPr>
    </w:p>
    <w:tbl>
      <w:tblPr>
        <w:tblW w:w="9034"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70" w:type="dxa"/>
          <w:right w:w="70" w:type="dxa"/>
        </w:tblCellMar>
        <w:tblLook w:val="04A0" w:firstRow="1" w:lastRow="0" w:firstColumn="1" w:lastColumn="0" w:noHBand="0" w:noVBand="1"/>
      </w:tblPr>
      <w:tblGrid>
        <w:gridCol w:w="2117"/>
        <w:gridCol w:w="1701"/>
        <w:gridCol w:w="1701"/>
        <w:gridCol w:w="1701"/>
        <w:gridCol w:w="1814"/>
      </w:tblGrid>
      <w:tr w:rsidR="00D841E5" w:rsidRPr="00F815F1" w14:paraId="0D96F250" w14:textId="77777777" w:rsidTr="00F118DC">
        <w:trPr>
          <w:trHeight w:val="772"/>
        </w:trPr>
        <w:tc>
          <w:tcPr>
            <w:tcW w:w="2117" w:type="dxa"/>
            <w:shd w:val="clear" w:color="auto" w:fill="ACB9CA"/>
            <w:vAlign w:val="center"/>
          </w:tcPr>
          <w:p w14:paraId="50229976" w14:textId="77777777" w:rsidR="00D841E5" w:rsidRPr="00C45CC5" w:rsidRDefault="00D841E5" w:rsidP="00F118DC">
            <w:pPr>
              <w:rPr>
                <w:rFonts w:ascii="Open Sans" w:eastAsia="Times New Roman" w:hAnsi="Open Sans" w:cs="Open Sans"/>
                <w:color w:val="0D0D0D" w:themeColor="text1" w:themeTint="F2"/>
                <w:sz w:val="20"/>
                <w:szCs w:val="20"/>
                <w:lang w:val="es-ES"/>
              </w:rPr>
            </w:pPr>
            <w:r w:rsidRPr="00C45CC5">
              <w:rPr>
                <w:rFonts w:ascii="Open Sans" w:eastAsia="Times New Roman" w:hAnsi="Open Sans" w:cs="Open Sans"/>
                <w:color w:val="0D0D0D" w:themeColor="text1" w:themeTint="F2"/>
                <w:sz w:val="20"/>
                <w:szCs w:val="20"/>
                <w:lang w:val="es-ES"/>
              </w:rPr>
              <w:t>Ciudad</w:t>
            </w:r>
          </w:p>
        </w:tc>
        <w:tc>
          <w:tcPr>
            <w:tcW w:w="1701" w:type="dxa"/>
            <w:shd w:val="clear" w:color="auto" w:fill="ACB9CA"/>
          </w:tcPr>
          <w:p w14:paraId="5A6631F0" w14:textId="77777777" w:rsidR="00D841E5" w:rsidRPr="00A060EF" w:rsidRDefault="00D841E5" w:rsidP="00F118DC">
            <w:pPr>
              <w:jc w:val="center"/>
              <w:rPr>
                <w:rFonts w:ascii="Open Sans" w:hAnsi="Open Sans" w:cs="Open Sans"/>
                <w:b/>
                <w:bCs/>
                <w:color w:val="0D0D0D" w:themeColor="text1" w:themeTint="F2"/>
                <w:sz w:val="20"/>
                <w:szCs w:val="20"/>
              </w:rPr>
            </w:pPr>
            <w:r w:rsidRPr="00C45CC5">
              <w:rPr>
                <w:rFonts w:ascii="Open Sans" w:hAnsi="Open Sans" w:cs="Open Sans"/>
                <w:color w:val="0D0D0D" w:themeColor="text1" w:themeTint="F2"/>
                <w:sz w:val="20"/>
                <w:szCs w:val="20"/>
              </w:rPr>
              <w:t xml:space="preserve">(%) Acumulativo      15 años          </w:t>
            </w:r>
            <w:proofErr w:type="gramStart"/>
            <w:r w:rsidRPr="00C45CC5">
              <w:rPr>
                <w:rFonts w:ascii="Open Sans" w:hAnsi="Open Sans" w:cs="Open Sans"/>
                <w:color w:val="0D0D0D" w:themeColor="text1" w:themeTint="F2"/>
                <w:sz w:val="20"/>
                <w:szCs w:val="20"/>
              </w:rPr>
              <w:t xml:space="preserve">   (</w:t>
            </w:r>
            <w:proofErr w:type="gramEnd"/>
            <w:r w:rsidRPr="00C45CC5">
              <w:rPr>
                <w:rFonts w:ascii="Open Sans" w:hAnsi="Open Sans" w:cs="Open Sans"/>
                <w:color w:val="0D0D0D" w:themeColor="text1" w:themeTint="F2"/>
                <w:sz w:val="20"/>
                <w:szCs w:val="20"/>
              </w:rPr>
              <w:t>2021 vs 200</w:t>
            </w:r>
            <w:r>
              <w:rPr>
                <w:rFonts w:ascii="Open Sans" w:hAnsi="Open Sans" w:cs="Open Sans"/>
                <w:color w:val="0D0D0D" w:themeColor="text1" w:themeTint="F2"/>
                <w:sz w:val="20"/>
                <w:szCs w:val="20"/>
              </w:rPr>
              <w:t>6</w:t>
            </w:r>
            <w:r w:rsidRPr="00C45CC5">
              <w:rPr>
                <w:rFonts w:ascii="Open Sans" w:hAnsi="Open Sans" w:cs="Open Sans"/>
                <w:color w:val="0D0D0D" w:themeColor="text1" w:themeTint="F2"/>
                <w:sz w:val="20"/>
                <w:szCs w:val="20"/>
              </w:rPr>
              <w:t>)</w:t>
            </w:r>
          </w:p>
        </w:tc>
        <w:tc>
          <w:tcPr>
            <w:tcW w:w="1701" w:type="dxa"/>
            <w:shd w:val="clear" w:color="auto" w:fill="ACB9CA"/>
            <w:vAlign w:val="center"/>
          </w:tcPr>
          <w:p w14:paraId="1D969783" w14:textId="77777777" w:rsidR="00D841E5" w:rsidRPr="00A060EF" w:rsidRDefault="00D841E5" w:rsidP="00F118DC">
            <w:pPr>
              <w:jc w:val="center"/>
              <w:rPr>
                <w:rFonts w:ascii="Open Sans" w:eastAsia="Times New Roman" w:hAnsi="Open Sans" w:cs="Open Sans"/>
                <w:b/>
                <w:bCs/>
                <w:color w:val="0D0D0D" w:themeColor="text1" w:themeTint="F2"/>
                <w:sz w:val="20"/>
                <w:szCs w:val="20"/>
                <w:lang w:val="es-ES"/>
              </w:rPr>
            </w:pPr>
            <w:r w:rsidRPr="00C45CC5">
              <w:rPr>
                <w:rFonts w:ascii="Open Sans" w:hAnsi="Open Sans" w:cs="Open Sans"/>
                <w:color w:val="0D0D0D" w:themeColor="text1" w:themeTint="F2"/>
                <w:sz w:val="20"/>
                <w:szCs w:val="20"/>
              </w:rPr>
              <w:t xml:space="preserve">(%) Acumulativo      10 años          </w:t>
            </w:r>
            <w:proofErr w:type="gramStart"/>
            <w:r w:rsidRPr="00C45CC5">
              <w:rPr>
                <w:rFonts w:ascii="Open Sans" w:hAnsi="Open Sans" w:cs="Open Sans"/>
                <w:color w:val="0D0D0D" w:themeColor="text1" w:themeTint="F2"/>
                <w:sz w:val="20"/>
                <w:szCs w:val="20"/>
              </w:rPr>
              <w:t xml:space="preserve">   (</w:t>
            </w:r>
            <w:proofErr w:type="gramEnd"/>
            <w:r w:rsidRPr="00C45CC5">
              <w:rPr>
                <w:rFonts w:ascii="Open Sans" w:hAnsi="Open Sans" w:cs="Open Sans"/>
                <w:color w:val="0D0D0D" w:themeColor="text1" w:themeTint="F2"/>
                <w:sz w:val="20"/>
                <w:szCs w:val="20"/>
              </w:rPr>
              <w:t>2021 vs 201</w:t>
            </w:r>
            <w:r>
              <w:rPr>
                <w:rFonts w:ascii="Open Sans" w:hAnsi="Open Sans" w:cs="Open Sans"/>
                <w:color w:val="0D0D0D" w:themeColor="text1" w:themeTint="F2"/>
                <w:sz w:val="20"/>
                <w:szCs w:val="20"/>
              </w:rPr>
              <w:t>1</w:t>
            </w:r>
            <w:r w:rsidRPr="00C45CC5">
              <w:rPr>
                <w:rFonts w:ascii="Open Sans" w:hAnsi="Open Sans" w:cs="Open Sans"/>
                <w:color w:val="0D0D0D" w:themeColor="text1" w:themeTint="F2"/>
                <w:sz w:val="20"/>
                <w:szCs w:val="20"/>
              </w:rPr>
              <w:t>)</w:t>
            </w:r>
          </w:p>
        </w:tc>
        <w:tc>
          <w:tcPr>
            <w:tcW w:w="1701" w:type="dxa"/>
            <w:shd w:val="clear" w:color="auto" w:fill="ACB9CA"/>
            <w:vAlign w:val="center"/>
            <w:hideMark/>
          </w:tcPr>
          <w:p w14:paraId="353F2F78" w14:textId="77777777" w:rsidR="00D841E5" w:rsidRPr="00A060EF" w:rsidRDefault="00D841E5" w:rsidP="00F118DC">
            <w:pPr>
              <w:jc w:val="center"/>
              <w:rPr>
                <w:rFonts w:ascii="Open Sans" w:eastAsia="Times New Roman" w:hAnsi="Open Sans" w:cs="Open Sans"/>
                <w:b/>
                <w:bCs/>
                <w:color w:val="0D0D0D" w:themeColor="text1" w:themeTint="F2"/>
                <w:sz w:val="20"/>
                <w:szCs w:val="20"/>
                <w:lang w:val="es-ES"/>
              </w:rPr>
            </w:pPr>
            <w:r w:rsidRPr="00C45CC5">
              <w:rPr>
                <w:rFonts w:ascii="Open Sans" w:hAnsi="Open Sans" w:cs="Open Sans"/>
                <w:color w:val="0D0D0D" w:themeColor="text1" w:themeTint="F2"/>
                <w:sz w:val="20"/>
                <w:szCs w:val="20"/>
              </w:rPr>
              <w:t xml:space="preserve">(%) Acumulativo      5 años          </w:t>
            </w:r>
            <w:proofErr w:type="gramStart"/>
            <w:r w:rsidRPr="00C45CC5">
              <w:rPr>
                <w:rFonts w:ascii="Open Sans" w:hAnsi="Open Sans" w:cs="Open Sans"/>
                <w:color w:val="0D0D0D" w:themeColor="text1" w:themeTint="F2"/>
                <w:sz w:val="20"/>
                <w:szCs w:val="20"/>
              </w:rPr>
              <w:t xml:space="preserve">   (</w:t>
            </w:r>
            <w:proofErr w:type="gramEnd"/>
            <w:r w:rsidRPr="00C45CC5">
              <w:rPr>
                <w:rFonts w:ascii="Open Sans" w:hAnsi="Open Sans" w:cs="Open Sans"/>
                <w:color w:val="0D0D0D" w:themeColor="text1" w:themeTint="F2"/>
                <w:sz w:val="20"/>
                <w:szCs w:val="20"/>
              </w:rPr>
              <w:t>2021 vs 201</w:t>
            </w:r>
            <w:r>
              <w:rPr>
                <w:rFonts w:ascii="Open Sans" w:hAnsi="Open Sans" w:cs="Open Sans"/>
                <w:color w:val="0D0D0D" w:themeColor="text1" w:themeTint="F2"/>
                <w:sz w:val="20"/>
                <w:szCs w:val="20"/>
              </w:rPr>
              <w:t>6</w:t>
            </w:r>
            <w:r w:rsidRPr="00C45CC5">
              <w:rPr>
                <w:rFonts w:ascii="Open Sans" w:hAnsi="Open Sans" w:cs="Open Sans"/>
                <w:color w:val="0D0D0D" w:themeColor="text1" w:themeTint="F2"/>
                <w:sz w:val="20"/>
                <w:szCs w:val="20"/>
              </w:rPr>
              <w:t>)</w:t>
            </w:r>
          </w:p>
        </w:tc>
        <w:tc>
          <w:tcPr>
            <w:tcW w:w="1814" w:type="dxa"/>
            <w:shd w:val="clear" w:color="auto" w:fill="ACB9CA" w:themeFill="text2" w:themeFillTint="66"/>
            <w:vAlign w:val="center"/>
          </w:tcPr>
          <w:p w14:paraId="540CCEE2" w14:textId="77777777" w:rsidR="00D841E5" w:rsidRDefault="00D841E5" w:rsidP="00F118DC">
            <w:pPr>
              <w:jc w:val="center"/>
              <w:rPr>
                <w:rFonts w:ascii="Open Sans" w:hAnsi="Open Sans" w:cs="Open Sans"/>
                <w:color w:val="0D0D0D" w:themeColor="text1" w:themeTint="F2"/>
                <w:sz w:val="20"/>
                <w:szCs w:val="20"/>
              </w:rPr>
            </w:pPr>
            <w:r w:rsidRPr="00C45CC5">
              <w:rPr>
                <w:rFonts w:ascii="Open Sans" w:hAnsi="Open Sans" w:cs="Open Sans"/>
                <w:color w:val="0D0D0D" w:themeColor="text1" w:themeTint="F2"/>
                <w:sz w:val="20"/>
                <w:szCs w:val="20"/>
              </w:rPr>
              <w:t xml:space="preserve">(%) Acumulativo      1 año         </w:t>
            </w:r>
          </w:p>
          <w:p w14:paraId="0A69881A" w14:textId="77777777" w:rsidR="00D841E5" w:rsidRPr="00A060EF" w:rsidRDefault="00D841E5" w:rsidP="00F118DC">
            <w:pPr>
              <w:jc w:val="center"/>
              <w:rPr>
                <w:rFonts w:ascii="Open Sans" w:hAnsi="Open Sans" w:cs="Open Sans"/>
                <w:b/>
                <w:bCs/>
                <w:color w:val="0D0D0D" w:themeColor="text1" w:themeTint="F2"/>
                <w:sz w:val="20"/>
                <w:szCs w:val="20"/>
              </w:rPr>
            </w:pPr>
            <w:r w:rsidRPr="00C45CC5">
              <w:rPr>
                <w:rFonts w:ascii="Open Sans" w:hAnsi="Open Sans" w:cs="Open Sans"/>
                <w:color w:val="0D0D0D" w:themeColor="text1" w:themeTint="F2"/>
                <w:sz w:val="20"/>
                <w:szCs w:val="20"/>
              </w:rPr>
              <w:t xml:space="preserve">   (2021 vs 20</w:t>
            </w:r>
            <w:r>
              <w:rPr>
                <w:rFonts w:ascii="Open Sans" w:hAnsi="Open Sans" w:cs="Open Sans"/>
                <w:color w:val="0D0D0D" w:themeColor="text1" w:themeTint="F2"/>
                <w:sz w:val="20"/>
                <w:szCs w:val="20"/>
              </w:rPr>
              <w:t>20</w:t>
            </w:r>
            <w:r w:rsidRPr="00C45CC5">
              <w:rPr>
                <w:rFonts w:ascii="Open Sans" w:hAnsi="Open Sans" w:cs="Open Sans"/>
                <w:color w:val="0D0D0D" w:themeColor="text1" w:themeTint="F2"/>
                <w:sz w:val="20"/>
                <w:szCs w:val="20"/>
              </w:rPr>
              <w:t>)</w:t>
            </w:r>
          </w:p>
        </w:tc>
      </w:tr>
      <w:tr w:rsidR="00D841E5" w:rsidRPr="00F815F1" w14:paraId="00B82195" w14:textId="77777777" w:rsidTr="00F118DC">
        <w:trPr>
          <w:trHeight w:val="226"/>
        </w:trPr>
        <w:tc>
          <w:tcPr>
            <w:tcW w:w="2117" w:type="dxa"/>
            <w:shd w:val="clear" w:color="auto" w:fill="auto"/>
            <w:vAlign w:val="bottom"/>
          </w:tcPr>
          <w:p w14:paraId="72DAA89F" w14:textId="77777777" w:rsidR="00D841E5" w:rsidRDefault="00D841E5" w:rsidP="00F118DC">
            <w:pPr>
              <w:rPr>
                <w:rFonts w:ascii="Open Sans" w:hAnsi="Open Sans" w:cs="Open Sans"/>
                <w:color w:val="000000"/>
                <w:sz w:val="22"/>
                <w:szCs w:val="22"/>
              </w:rPr>
            </w:pPr>
            <w:r>
              <w:rPr>
                <w:rFonts w:ascii="Open Sans" w:hAnsi="Open Sans" w:cs="Open Sans"/>
                <w:color w:val="000000"/>
                <w:sz w:val="22"/>
                <w:szCs w:val="22"/>
              </w:rPr>
              <w:t>Málaga capital</w:t>
            </w:r>
          </w:p>
        </w:tc>
        <w:tc>
          <w:tcPr>
            <w:tcW w:w="1701" w:type="dxa"/>
            <w:vAlign w:val="bottom"/>
          </w:tcPr>
          <w:p w14:paraId="4983D97E" w14:textId="77777777" w:rsidR="00D841E5" w:rsidRDefault="00D841E5" w:rsidP="00F118DC">
            <w:pPr>
              <w:jc w:val="center"/>
              <w:rPr>
                <w:rFonts w:ascii="Open Sans" w:hAnsi="Open Sans" w:cs="Open Sans"/>
                <w:color w:val="9C0006"/>
                <w:sz w:val="22"/>
                <w:szCs w:val="22"/>
              </w:rPr>
            </w:pPr>
            <w:r>
              <w:rPr>
                <w:rFonts w:ascii="Open Sans" w:hAnsi="Open Sans" w:cs="Open Sans"/>
                <w:color w:val="9C0006"/>
                <w:sz w:val="22"/>
                <w:szCs w:val="22"/>
              </w:rPr>
              <w:t>-12%</w:t>
            </w:r>
          </w:p>
        </w:tc>
        <w:tc>
          <w:tcPr>
            <w:tcW w:w="1701" w:type="dxa"/>
            <w:vAlign w:val="bottom"/>
          </w:tcPr>
          <w:p w14:paraId="623B88D1" w14:textId="77777777" w:rsidR="00D841E5" w:rsidRDefault="00D841E5" w:rsidP="00F118DC">
            <w:pPr>
              <w:jc w:val="center"/>
              <w:rPr>
                <w:rFonts w:ascii="Open Sans" w:hAnsi="Open Sans" w:cs="Open Sans"/>
                <w:color w:val="9C0006"/>
                <w:sz w:val="22"/>
                <w:szCs w:val="22"/>
              </w:rPr>
            </w:pPr>
            <w:r>
              <w:rPr>
                <w:rFonts w:ascii="Open Sans" w:hAnsi="Open Sans" w:cs="Open Sans"/>
                <w:color w:val="000000"/>
                <w:sz w:val="22"/>
                <w:szCs w:val="22"/>
              </w:rPr>
              <w:t>12%</w:t>
            </w:r>
          </w:p>
        </w:tc>
        <w:tc>
          <w:tcPr>
            <w:tcW w:w="1701" w:type="dxa"/>
            <w:shd w:val="clear" w:color="auto" w:fill="auto"/>
            <w:vAlign w:val="bottom"/>
          </w:tcPr>
          <w:p w14:paraId="20FCB629"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43%</w:t>
            </w:r>
          </w:p>
        </w:tc>
        <w:tc>
          <w:tcPr>
            <w:tcW w:w="1814" w:type="dxa"/>
            <w:vAlign w:val="bottom"/>
          </w:tcPr>
          <w:p w14:paraId="19E4FC84"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0%</w:t>
            </w:r>
          </w:p>
        </w:tc>
      </w:tr>
      <w:tr w:rsidR="00D841E5" w:rsidRPr="00F815F1" w14:paraId="04AA63F8" w14:textId="77777777" w:rsidTr="00F118DC">
        <w:trPr>
          <w:trHeight w:val="226"/>
        </w:trPr>
        <w:tc>
          <w:tcPr>
            <w:tcW w:w="2117" w:type="dxa"/>
            <w:shd w:val="clear" w:color="auto" w:fill="auto"/>
            <w:vAlign w:val="bottom"/>
          </w:tcPr>
          <w:p w14:paraId="32ED0B80" w14:textId="77777777" w:rsidR="00D841E5" w:rsidRDefault="00D841E5" w:rsidP="00F118DC">
            <w:pPr>
              <w:rPr>
                <w:rFonts w:ascii="Open Sans" w:hAnsi="Open Sans" w:cs="Open Sans"/>
                <w:color w:val="000000"/>
                <w:sz w:val="22"/>
                <w:szCs w:val="22"/>
              </w:rPr>
            </w:pPr>
            <w:r>
              <w:rPr>
                <w:rFonts w:ascii="Open Sans" w:hAnsi="Open Sans" w:cs="Open Sans"/>
                <w:color w:val="000000"/>
                <w:sz w:val="22"/>
                <w:szCs w:val="22"/>
              </w:rPr>
              <w:t>Cádiz capital</w:t>
            </w:r>
          </w:p>
        </w:tc>
        <w:tc>
          <w:tcPr>
            <w:tcW w:w="1701" w:type="dxa"/>
            <w:vAlign w:val="bottom"/>
          </w:tcPr>
          <w:p w14:paraId="4ADEF415" w14:textId="77777777" w:rsidR="00D841E5" w:rsidRDefault="00D841E5" w:rsidP="00F118DC">
            <w:pPr>
              <w:jc w:val="center"/>
              <w:rPr>
                <w:rFonts w:ascii="Open Sans" w:hAnsi="Open Sans" w:cs="Open Sans"/>
                <w:color w:val="9C0006"/>
                <w:sz w:val="22"/>
                <w:szCs w:val="22"/>
              </w:rPr>
            </w:pPr>
            <w:r>
              <w:rPr>
                <w:rFonts w:ascii="Open Sans" w:hAnsi="Open Sans" w:cs="Open Sans"/>
                <w:color w:val="9C0006"/>
                <w:sz w:val="22"/>
                <w:szCs w:val="22"/>
              </w:rPr>
              <w:t>-</w:t>
            </w:r>
          </w:p>
        </w:tc>
        <w:tc>
          <w:tcPr>
            <w:tcW w:w="1701" w:type="dxa"/>
            <w:vAlign w:val="bottom"/>
          </w:tcPr>
          <w:p w14:paraId="6646B303" w14:textId="77777777" w:rsidR="00D841E5" w:rsidRDefault="00D841E5" w:rsidP="00F118DC">
            <w:pPr>
              <w:jc w:val="center"/>
              <w:rPr>
                <w:rFonts w:ascii="Open Sans" w:hAnsi="Open Sans" w:cs="Open Sans"/>
                <w:color w:val="9C0006"/>
                <w:sz w:val="22"/>
                <w:szCs w:val="22"/>
              </w:rPr>
            </w:pPr>
            <w:r>
              <w:rPr>
                <w:rFonts w:ascii="Open Sans" w:hAnsi="Open Sans" w:cs="Open Sans"/>
                <w:color w:val="9C0006"/>
                <w:sz w:val="22"/>
                <w:szCs w:val="22"/>
              </w:rPr>
              <w:t>-9%</w:t>
            </w:r>
          </w:p>
        </w:tc>
        <w:tc>
          <w:tcPr>
            <w:tcW w:w="1701" w:type="dxa"/>
            <w:shd w:val="clear" w:color="auto" w:fill="auto"/>
            <w:vAlign w:val="bottom"/>
          </w:tcPr>
          <w:p w14:paraId="414E7978"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22%</w:t>
            </w:r>
          </w:p>
        </w:tc>
        <w:tc>
          <w:tcPr>
            <w:tcW w:w="1814" w:type="dxa"/>
            <w:vAlign w:val="bottom"/>
          </w:tcPr>
          <w:p w14:paraId="7A96C256"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1%</w:t>
            </w:r>
          </w:p>
        </w:tc>
      </w:tr>
      <w:tr w:rsidR="00D841E5" w:rsidRPr="00F815F1" w14:paraId="55769BA1" w14:textId="77777777" w:rsidTr="00F118DC">
        <w:trPr>
          <w:trHeight w:val="226"/>
        </w:trPr>
        <w:tc>
          <w:tcPr>
            <w:tcW w:w="2117" w:type="dxa"/>
            <w:shd w:val="clear" w:color="auto" w:fill="auto"/>
            <w:vAlign w:val="bottom"/>
          </w:tcPr>
          <w:p w14:paraId="17C9C4FD" w14:textId="77777777" w:rsidR="00D841E5" w:rsidRDefault="00D841E5" w:rsidP="00F118DC">
            <w:pPr>
              <w:rPr>
                <w:rFonts w:ascii="Open Sans" w:hAnsi="Open Sans" w:cs="Open Sans"/>
                <w:color w:val="000000"/>
                <w:sz w:val="22"/>
                <w:szCs w:val="22"/>
              </w:rPr>
            </w:pPr>
            <w:r>
              <w:rPr>
                <w:rFonts w:ascii="Open Sans" w:hAnsi="Open Sans" w:cs="Open Sans"/>
                <w:color w:val="000000"/>
                <w:sz w:val="22"/>
                <w:szCs w:val="22"/>
              </w:rPr>
              <w:t>Sevilla capital</w:t>
            </w:r>
          </w:p>
        </w:tc>
        <w:tc>
          <w:tcPr>
            <w:tcW w:w="1701" w:type="dxa"/>
            <w:vAlign w:val="bottom"/>
          </w:tcPr>
          <w:p w14:paraId="3296D19D" w14:textId="77777777" w:rsidR="00D841E5" w:rsidRDefault="00D841E5" w:rsidP="00F118DC">
            <w:pPr>
              <w:jc w:val="center"/>
              <w:rPr>
                <w:rFonts w:ascii="Open Sans" w:hAnsi="Open Sans" w:cs="Open Sans"/>
                <w:color w:val="9C0006"/>
                <w:sz w:val="22"/>
                <w:szCs w:val="22"/>
              </w:rPr>
            </w:pPr>
            <w:r>
              <w:rPr>
                <w:rFonts w:ascii="Open Sans" w:hAnsi="Open Sans" w:cs="Open Sans"/>
                <w:color w:val="9C0006"/>
                <w:sz w:val="22"/>
                <w:szCs w:val="22"/>
              </w:rPr>
              <w:t>-18%</w:t>
            </w:r>
          </w:p>
        </w:tc>
        <w:tc>
          <w:tcPr>
            <w:tcW w:w="1701" w:type="dxa"/>
            <w:vAlign w:val="bottom"/>
          </w:tcPr>
          <w:p w14:paraId="5EF4343F" w14:textId="77777777" w:rsidR="00D841E5" w:rsidRDefault="00D841E5" w:rsidP="00F118DC">
            <w:pPr>
              <w:jc w:val="center"/>
              <w:rPr>
                <w:rFonts w:ascii="Open Sans" w:hAnsi="Open Sans" w:cs="Open Sans"/>
                <w:color w:val="9C0006"/>
                <w:sz w:val="22"/>
                <w:szCs w:val="22"/>
              </w:rPr>
            </w:pPr>
            <w:r>
              <w:rPr>
                <w:rFonts w:ascii="Open Sans" w:hAnsi="Open Sans" w:cs="Open Sans"/>
                <w:color w:val="9C0006"/>
                <w:sz w:val="22"/>
                <w:szCs w:val="22"/>
              </w:rPr>
              <w:t>-13%</w:t>
            </w:r>
          </w:p>
        </w:tc>
        <w:tc>
          <w:tcPr>
            <w:tcW w:w="1701" w:type="dxa"/>
            <w:shd w:val="clear" w:color="auto" w:fill="auto"/>
            <w:vAlign w:val="bottom"/>
          </w:tcPr>
          <w:p w14:paraId="59854846"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21%</w:t>
            </w:r>
          </w:p>
        </w:tc>
        <w:tc>
          <w:tcPr>
            <w:tcW w:w="1814" w:type="dxa"/>
            <w:vAlign w:val="bottom"/>
          </w:tcPr>
          <w:p w14:paraId="69329B24" w14:textId="77777777" w:rsidR="00D841E5" w:rsidRDefault="00D841E5" w:rsidP="00F118DC">
            <w:pPr>
              <w:jc w:val="center"/>
              <w:rPr>
                <w:rFonts w:ascii="Open Sans" w:hAnsi="Open Sans" w:cs="Open Sans"/>
                <w:color w:val="000000"/>
                <w:sz w:val="22"/>
                <w:szCs w:val="22"/>
              </w:rPr>
            </w:pPr>
            <w:r>
              <w:rPr>
                <w:rFonts w:ascii="Open Sans" w:hAnsi="Open Sans" w:cs="Open Sans"/>
                <w:color w:val="9C0006"/>
                <w:sz w:val="22"/>
                <w:szCs w:val="22"/>
              </w:rPr>
              <w:t>-1%</w:t>
            </w:r>
          </w:p>
        </w:tc>
      </w:tr>
      <w:tr w:rsidR="00D841E5" w:rsidRPr="00F815F1" w14:paraId="52A7F033" w14:textId="77777777" w:rsidTr="00F118DC">
        <w:trPr>
          <w:trHeight w:val="226"/>
        </w:trPr>
        <w:tc>
          <w:tcPr>
            <w:tcW w:w="2117" w:type="dxa"/>
            <w:shd w:val="clear" w:color="auto" w:fill="auto"/>
            <w:vAlign w:val="bottom"/>
          </w:tcPr>
          <w:p w14:paraId="423D4A60" w14:textId="77777777" w:rsidR="00D841E5" w:rsidRDefault="00D841E5" w:rsidP="00F118DC">
            <w:pPr>
              <w:rPr>
                <w:rFonts w:ascii="Open Sans" w:hAnsi="Open Sans" w:cs="Open Sans"/>
                <w:color w:val="000000"/>
                <w:sz w:val="22"/>
                <w:szCs w:val="22"/>
              </w:rPr>
            </w:pPr>
            <w:r>
              <w:rPr>
                <w:rFonts w:ascii="Open Sans" w:hAnsi="Open Sans" w:cs="Open Sans"/>
                <w:color w:val="000000"/>
                <w:sz w:val="22"/>
                <w:szCs w:val="22"/>
              </w:rPr>
              <w:t>Granada capital</w:t>
            </w:r>
          </w:p>
        </w:tc>
        <w:tc>
          <w:tcPr>
            <w:tcW w:w="1701" w:type="dxa"/>
            <w:vAlign w:val="bottom"/>
          </w:tcPr>
          <w:p w14:paraId="445B2B61" w14:textId="77777777" w:rsidR="00D841E5" w:rsidRDefault="00D841E5" w:rsidP="00F118DC">
            <w:pPr>
              <w:jc w:val="center"/>
              <w:rPr>
                <w:rFonts w:ascii="Open Sans" w:hAnsi="Open Sans" w:cs="Open Sans"/>
                <w:color w:val="9C0006"/>
                <w:sz w:val="22"/>
                <w:szCs w:val="22"/>
              </w:rPr>
            </w:pPr>
            <w:r>
              <w:rPr>
                <w:rFonts w:ascii="Open Sans" w:hAnsi="Open Sans" w:cs="Open Sans"/>
                <w:color w:val="9C0006"/>
                <w:sz w:val="22"/>
                <w:szCs w:val="22"/>
              </w:rPr>
              <w:t>-28%</w:t>
            </w:r>
          </w:p>
        </w:tc>
        <w:tc>
          <w:tcPr>
            <w:tcW w:w="1701" w:type="dxa"/>
            <w:vAlign w:val="bottom"/>
          </w:tcPr>
          <w:p w14:paraId="789BEE4B" w14:textId="77777777" w:rsidR="00D841E5" w:rsidRDefault="00D841E5" w:rsidP="00F118DC">
            <w:pPr>
              <w:jc w:val="center"/>
              <w:rPr>
                <w:rFonts w:ascii="Open Sans" w:hAnsi="Open Sans" w:cs="Open Sans"/>
                <w:color w:val="9C0006"/>
                <w:sz w:val="22"/>
                <w:szCs w:val="22"/>
              </w:rPr>
            </w:pPr>
            <w:r>
              <w:rPr>
                <w:rFonts w:ascii="Open Sans" w:hAnsi="Open Sans" w:cs="Open Sans"/>
                <w:color w:val="9C0006"/>
                <w:sz w:val="22"/>
                <w:szCs w:val="22"/>
              </w:rPr>
              <w:t>-14%</w:t>
            </w:r>
          </w:p>
        </w:tc>
        <w:tc>
          <w:tcPr>
            <w:tcW w:w="1701" w:type="dxa"/>
            <w:shd w:val="clear" w:color="auto" w:fill="auto"/>
            <w:vAlign w:val="bottom"/>
          </w:tcPr>
          <w:p w14:paraId="1111AD15"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17%</w:t>
            </w:r>
          </w:p>
        </w:tc>
        <w:tc>
          <w:tcPr>
            <w:tcW w:w="1814" w:type="dxa"/>
            <w:vAlign w:val="bottom"/>
          </w:tcPr>
          <w:p w14:paraId="6E29BF97" w14:textId="77777777" w:rsidR="00D841E5" w:rsidRDefault="00D841E5" w:rsidP="00F118DC">
            <w:pPr>
              <w:jc w:val="center"/>
              <w:rPr>
                <w:rFonts w:ascii="Open Sans" w:hAnsi="Open Sans" w:cs="Open Sans"/>
                <w:color w:val="000000"/>
                <w:sz w:val="22"/>
                <w:szCs w:val="22"/>
              </w:rPr>
            </w:pPr>
            <w:r>
              <w:rPr>
                <w:rFonts w:ascii="Open Sans" w:hAnsi="Open Sans" w:cs="Open Sans"/>
                <w:color w:val="9C0006"/>
                <w:sz w:val="22"/>
                <w:szCs w:val="22"/>
              </w:rPr>
              <w:t>0%</w:t>
            </w:r>
          </w:p>
        </w:tc>
      </w:tr>
      <w:tr w:rsidR="00D841E5" w:rsidRPr="00F815F1" w14:paraId="67EAA47B" w14:textId="77777777" w:rsidTr="00F118DC">
        <w:trPr>
          <w:trHeight w:val="226"/>
        </w:trPr>
        <w:tc>
          <w:tcPr>
            <w:tcW w:w="2117" w:type="dxa"/>
            <w:shd w:val="clear" w:color="auto" w:fill="auto"/>
            <w:vAlign w:val="bottom"/>
          </w:tcPr>
          <w:p w14:paraId="0FB6C78C" w14:textId="77777777" w:rsidR="00D841E5" w:rsidRPr="00F815F1" w:rsidRDefault="00D841E5" w:rsidP="00F118DC">
            <w:pPr>
              <w:rPr>
                <w:rFonts w:ascii="Open Sans" w:eastAsia="Times New Roman" w:hAnsi="Open Sans" w:cs="Open Sans"/>
                <w:color w:val="000000"/>
                <w:sz w:val="22"/>
                <w:szCs w:val="22"/>
                <w:lang w:val="es-ES"/>
              </w:rPr>
            </w:pPr>
            <w:r>
              <w:rPr>
                <w:rFonts w:ascii="Open Sans" w:hAnsi="Open Sans" w:cs="Open Sans"/>
                <w:color w:val="000000"/>
                <w:sz w:val="22"/>
                <w:szCs w:val="22"/>
              </w:rPr>
              <w:t>Huelva capital</w:t>
            </w:r>
          </w:p>
        </w:tc>
        <w:tc>
          <w:tcPr>
            <w:tcW w:w="1701" w:type="dxa"/>
            <w:vAlign w:val="bottom"/>
          </w:tcPr>
          <w:p w14:paraId="7211F25D"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000000"/>
                <w:sz w:val="22"/>
                <w:szCs w:val="22"/>
              </w:rPr>
              <w:t>-</w:t>
            </w:r>
          </w:p>
        </w:tc>
        <w:tc>
          <w:tcPr>
            <w:tcW w:w="1701" w:type="dxa"/>
            <w:vAlign w:val="bottom"/>
          </w:tcPr>
          <w:p w14:paraId="358BD5F1"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9C0006"/>
                <w:sz w:val="22"/>
                <w:szCs w:val="22"/>
              </w:rPr>
              <w:t>-27%</w:t>
            </w:r>
          </w:p>
        </w:tc>
        <w:tc>
          <w:tcPr>
            <w:tcW w:w="1701" w:type="dxa"/>
            <w:shd w:val="clear" w:color="auto" w:fill="auto"/>
            <w:vAlign w:val="bottom"/>
          </w:tcPr>
          <w:p w14:paraId="509B57A4"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000000"/>
                <w:sz w:val="22"/>
                <w:szCs w:val="22"/>
              </w:rPr>
              <w:t>5%</w:t>
            </w:r>
          </w:p>
        </w:tc>
        <w:tc>
          <w:tcPr>
            <w:tcW w:w="1814" w:type="dxa"/>
            <w:vAlign w:val="bottom"/>
          </w:tcPr>
          <w:p w14:paraId="727E074A" w14:textId="77777777" w:rsidR="00D841E5" w:rsidRPr="00F815F1" w:rsidRDefault="00D841E5" w:rsidP="00F118DC">
            <w:pPr>
              <w:jc w:val="center"/>
              <w:rPr>
                <w:rFonts w:ascii="Open Sans" w:hAnsi="Open Sans" w:cs="Open Sans"/>
                <w:b/>
                <w:bCs/>
                <w:color w:val="2E74B5" w:themeColor="accent5" w:themeShade="BF"/>
                <w:sz w:val="22"/>
                <w:szCs w:val="22"/>
              </w:rPr>
            </w:pPr>
            <w:r>
              <w:rPr>
                <w:rFonts w:ascii="Open Sans" w:hAnsi="Open Sans" w:cs="Open Sans"/>
                <w:color w:val="9C0006"/>
                <w:sz w:val="22"/>
                <w:szCs w:val="22"/>
              </w:rPr>
              <w:t>-5%</w:t>
            </w:r>
          </w:p>
        </w:tc>
      </w:tr>
      <w:tr w:rsidR="00D841E5" w:rsidRPr="00F815F1" w14:paraId="5DDB043E" w14:textId="77777777" w:rsidTr="00F118DC">
        <w:trPr>
          <w:trHeight w:val="226"/>
        </w:trPr>
        <w:tc>
          <w:tcPr>
            <w:tcW w:w="2117" w:type="dxa"/>
            <w:shd w:val="clear" w:color="auto" w:fill="auto"/>
            <w:vAlign w:val="bottom"/>
          </w:tcPr>
          <w:p w14:paraId="2FB4F39A" w14:textId="77777777" w:rsidR="00D841E5" w:rsidRPr="00F815F1" w:rsidRDefault="00D841E5" w:rsidP="00F118DC">
            <w:pPr>
              <w:rPr>
                <w:rFonts w:ascii="Open Sans" w:eastAsia="Times New Roman" w:hAnsi="Open Sans" w:cs="Open Sans"/>
                <w:color w:val="000000"/>
                <w:sz w:val="22"/>
                <w:szCs w:val="22"/>
                <w:lang w:val="es-ES"/>
              </w:rPr>
            </w:pPr>
            <w:r>
              <w:rPr>
                <w:rFonts w:ascii="Open Sans" w:hAnsi="Open Sans" w:cs="Open Sans"/>
                <w:color w:val="000000"/>
                <w:sz w:val="22"/>
                <w:szCs w:val="22"/>
              </w:rPr>
              <w:t>Córdoba capital</w:t>
            </w:r>
          </w:p>
        </w:tc>
        <w:tc>
          <w:tcPr>
            <w:tcW w:w="1701" w:type="dxa"/>
            <w:vAlign w:val="bottom"/>
          </w:tcPr>
          <w:p w14:paraId="4BF22A85"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9C0006"/>
                <w:sz w:val="22"/>
                <w:szCs w:val="22"/>
              </w:rPr>
              <w:t>-41%</w:t>
            </w:r>
          </w:p>
        </w:tc>
        <w:tc>
          <w:tcPr>
            <w:tcW w:w="1701" w:type="dxa"/>
            <w:vAlign w:val="bottom"/>
          </w:tcPr>
          <w:p w14:paraId="24560669"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9C0006"/>
                <w:sz w:val="22"/>
                <w:szCs w:val="22"/>
              </w:rPr>
              <w:t>-27%</w:t>
            </w:r>
          </w:p>
        </w:tc>
        <w:tc>
          <w:tcPr>
            <w:tcW w:w="1701" w:type="dxa"/>
            <w:shd w:val="clear" w:color="auto" w:fill="auto"/>
            <w:vAlign w:val="bottom"/>
          </w:tcPr>
          <w:p w14:paraId="1340B8AC"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000000"/>
                <w:sz w:val="22"/>
                <w:szCs w:val="22"/>
              </w:rPr>
              <w:t>4%</w:t>
            </w:r>
          </w:p>
        </w:tc>
        <w:tc>
          <w:tcPr>
            <w:tcW w:w="1814" w:type="dxa"/>
            <w:vAlign w:val="bottom"/>
          </w:tcPr>
          <w:p w14:paraId="34F95FBF" w14:textId="77777777" w:rsidR="00D841E5" w:rsidRPr="00F815F1" w:rsidRDefault="00D841E5" w:rsidP="00F118DC">
            <w:pPr>
              <w:jc w:val="center"/>
              <w:rPr>
                <w:rFonts w:ascii="Open Sans" w:hAnsi="Open Sans" w:cs="Open Sans"/>
                <w:b/>
                <w:bCs/>
                <w:color w:val="2E74B5" w:themeColor="accent5" w:themeShade="BF"/>
                <w:sz w:val="22"/>
                <w:szCs w:val="22"/>
              </w:rPr>
            </w:pPr>
            <w:r>
              <w:rPr>
                <w:rFonts w:ascii="Open Sans" w:hAnsi="Open Sans" w:cs="Open Sans"/>
                <w:color w:val="9C0006"/>
                <w:sz w:val="22"/>
                <w:szCs w:val="22"/>
              </w:rPr>
              <w:t>-1%</w:t>
            </w:r>
          </w:p>
        </w:tc>
      </w:tr>
      <w:tr w:rsidR="00D841E5" w:rsidRPr="00F815F1" w14:paraId="76F31A6F" w14:textId="77777777" w:rsidTr="00F118DC">
        <w:trPr>
          <w:trHeight w:val="226"/>
        </w:trPr>
        <w:tc>
          <w:tcPr>
            <w:tcW w:w="2117" w:type="dxa"/>
            <w:shd w:val="clear" w:color="auto" w:fill="auto"/>
            <w:vAlign w:val="bottom"/>
          </w:tcPr>
          <w:p w14:paraId="363EA0E8" w14:textId="77777777" w:rsidR="00D841E5" w:rsidRPr="00F815F1" w:rsidRDefault="00D841E5" w:rsidP="00F118DC">
            <w:pPr>
              <w:rPr>
                <w:rFonts w:ascii="Open Sans" w:eastAsia="Times New Roman" w:hAnsi="Open Sans" w:cs="Open Sans"/>
                <w:color w:val="000000"/>
                <w:sz w:val="22"/>
                <w:szCs w:val="22"/>
                <w:lang w:val="es-ES"/>
              </w:rPr>
            </w:pPr>
            <w:r>
              <w:rPr>
                <w:rFonts w:ascii="Open Sans" w:hAnsi="Open Sans" w:cs="Open Sans"/>
                <w:color w:val="000000"/>
                <w:sz w:val="22"/>
                <w:szCs w:val="22"/>
              </w:rPr>
              <w:t>Almería capital</w:t>
            </w:r>
          </w:p>
        </w:tc>
        <w:tc>
          <w:tcPr>
            <w:tcW w:w="1701" w:type="dxa"/>
            <w:vAlign w:val="bottom"/>
          </w:tcPr>
          <w:p w14:paraId="1BAFAAB7"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9C0006"/>
                <w:sz w:val="22"/>
                <w:szCs w:val="22"/>
              </w:rPr>
              <w:t>-46%</w:t>
            </w:r>
          </w:p>
        </w:tc>
        <w:tc>
          <w:tcPr>
            <w:tcW w:w="1701" w:type="dxa"/>
            <w:vAlign w:val="bottom"/>
          </w:tcPr>
          <w:p w14:paraId="3D34FE6E"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9C0006"/>
                <w:sz w:val="22"/>
                <w:szCs w:val="22"/>
              </w:rPr>
              <w:t>-33%</w:t>
            </w:r>
          </w:p>
        </w:tc>
        <w:tc>
          <w:tcPr>
            <w:tcW w:w="1701" w:type="dxa"/>
            <w:shd w:val="clear" w:color="auto" w:fill="auto"/>
            <w:vAlign w:val="bottom"/>
          </w:tcPr>
          <w:p w14:paraId="35119488"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9C0006"/>
                <w:sz w:val="22"/>
                <w:szCs w:val="22"/>
              </w:rPr>
              <w:t>-1,4%</w:t>
            </w:r>
          </w:p>
        </w:tc>
        <w:tc>
          <w:tcPr>
            <w:tcW w:w="1814" w:type="dxa"/>
            <w:vAlign w:val="bottom"/>
          </w:tcPr>
          <w:p w14:paraId="7E7C05B0" w14:textId="77777777" w:rsidR="00D841E5" w:rsidRPr="00F815F1" w:rsidRDefault="00D841E5" w:rsidP="00F118DC">
            <w:pPr>
              <w:jc w:val="center"/>
              <w:rPr>
                <w:rFonts w:ascii="Open Sans" w:hAnsi="Open Sans" w:cs="Open Sans"/>
                <w:b/>
                <w:bCs/>
                <w:color w:val="2E74B5" w:themeColor="accent5" w:themeShade="BF"/>
                <w:sz w:val="22"/>
                <w:szCs w:val="22"/>
              </w:rPr>
            </w:pPr>
            <w:r>
              <w:rPr>
                <w:rFonts w:ascii="Open Sans" w:hAnsi="Open Sans" w:cs="Open Sans"/>
                <w:color w:val="9C0006"/>
                <w:sz w:val="22"/>
                <w:szCs w:val="22"/>
              </w:rPr>
              <w:t>-3%</w:t>
            </w:r>
          </w:p>
        </w:tc>
      </w:tr>
      <w:tr w:rsidR="00D841E5" w:rsidRPr="00F815F1" w14:paraId="72485D33" w14:textId="77777777" w:rsidTr="00F118DC">
        <w:trPr>
          <w:trHeight w:val="226"/>
        </w:trPr>
        <w:tc>
          <w:tcPr>
            <w:tcW w:w="2117" w:type="dxa"/>
            <w:shd w:val="clear" w:color="auto" w:fill="auto"/>
            <w:vAlign w:val="bottom"/>
          </w:tcPr>
          <w:p w14:paraId="674A0AEF" w14:textId="77777777" w:rsidR="00D841E5" w:rsidRPr="00F815F1" w:rsidRDefault="00D841E5" w:rsidP="00F118DC">
            <w:pPr>
              <w:rPr>
                <w:rFonts w:ascii="Open Sans" w:eastAsia="Times New Roman" w:hAnsi="Open Sans" w:cs="Open Sans"/>
                <w:color w:val="000000"/>
                <w:sz w:val="22"/>
                <w:szCs w:val="22"/>
                <w:lang w:val="es-ES"/>
              </w:rPr>
            </w:pPr>
            <w:r>
              <w:rPr>
                <w:rFonts w:ascii="Open Sans" w:hAnsi="Open Sans" w:cs="Open Sans"/>
                <w:color w:val="000000"/>
                <w:sz w:val="22"/>
                <w:szCs w:val="22"/>
              </w:rPr>
              <w:t>Jaén capital</w:t>
            </w:r>
          </w:p>
        </w:tc>
        <w:tc>
          <w:tcPr>
            <w:tcW w:w="1701" w:type="dxa"/>
            <w:vAlign w:val="bottom"/>
          </w:tcPr>
          <w:p w14:paraId="1E926159"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000000"/>
                <w:sz w:val="22"/>
                <w:szCs w:val="22"/>
              </w:rPr>
              <w:t>-</w:t>
            </w:r>
          </w:p>
        </w:tc>
        <w:tc>
          <w:tcPr>
            <w:tcW w:w="1701" w:type="dxa"/>
            <w:vAlign w:val="bottom"/>
          </w:tcPr>
          <w:p w14:paraId="70AD43BC"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9C0006"/>
                <w:sz w:val="22"/>
                <w:szCs w:val="22"/>
              </w:rPr>
              <w:t>-36%</w:t>
            </w:r>
          </w:p>
        </w:tc>
        <w:tc>
          <w:tcPr>
            <w:tcW w:w="1701" w:type="dxa"/>
            <w:shd w:val="clear" w:color="auto" w:fill="auto"/>
            <w:vAlign w:val="bottom"/>
          </w:tcPr>
          <w:p w14:paraId="420C6A2C"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9C0006"/>
                <w:sz w:val="22"/>
                <w:szCs w:val="22"/>
              </w:rPr>
              <w:t>-8,7%</w:t>
            </w:r>
          </w:p>
        </w:tc>
        <w:tc>
          <w:tcPr>
            <w:tcW w:w="1814" w:type="dxa"/>
            <w:vAlign w:val="bottom"/>
          </w:tcPr>
          <w:p w14:paraId="715202F5" w14:textId="77777777" w:rsidR="00D841E5" w:rsidRPr="00F815F1" w:rsidRDefault="00D841E5" w:rsidP="00F118DC">
            <w:pPr>
              <w:jc w:val="center"/>
              <w:rPr>
                <w:rFonts w:ascii="Open Sans" w:hAnsi="Open Sans" w:cs="Open Sans"/>
                <w:b/>
                <w:bCs/>
                <w:color w:val="2E74B5" w:themeColor="accent5" w:themeShade="BF"/>
                <w:sz w:val="22"/>
                <w:szCs w:val="22"/>
              </w:rPr>
            </w:pPr>
            <w:r>
              <w:rPr>
                <w:rFonts w:ascii="Open Sans" w:hAnsi="Open Sans" w:cs="Open Sans"/>
                <w:color w:val="9C0006"/>
                <w:sz w:val="22"/>
                <w:szCs w:val="22"/>
              </w:rPr>
              <w:t>-8%</w:t>
            </w:r>
          </w:p>
        </w:tc>
      </w:tr>
    </w:tbl>
    <w:p w14:paraId="5D2C5274" w14:textId="0A9D3030" w:rsidR="00D841E5" w:rsidRDefault="00D841E5" w:rsidP="00D841E5">
      <w:pPr>
        <w:pStyle w:val="Prrafodelista"/>
        <w:spacing w:line="276" w:lineRule="auto"/>
        <w:ind w:left="0" w:right="-574"/>
        <w:jc w:val="center"/>
        <w:rPr>
          <w:rFonts w:ascii="National" w:hAnsi="National"/>
          <w:b/>
          <w:bCs/>
          <w:iCs/>
          <w:color w:val="303AB2"/>
          <w:sz w:val="28"/>
          <w:szCs w:val="160"/>
          <w:lang w:val="es-ES"/>
        </w:rPr>
      </w:pPr>
    </w:p>
    <w:p w14:paraId="4B4E46C0" w14:textId="77777777" w:rsidR="00291F66" w:rsidRDefault="00291F66" w:rsidP="00D841E5">
      <w:pPr>
        <w:pStyle w:val="Prrafodelista"/>
        <w:spacing w:line="276" w:lineRule="auto"/>
        <w:ind w:left="0" w:right="-574"/>
        <w:jc w:val="center"/>
        <w:rPr>
          <w:rFonts w:ascii="National" w:hAnsi="National"/>
          <w:b/>
          <w:bCs/>
          <w:iCs/>
          <w:color w:val="303AB2"/>
          <w:sz w:val="28"/>
          <w:szCs w:val="160"/>
          <w:lang w:val="es-ES"/>
        </w:rPr>
      </w:pPr>
    </w:p>
    <w:p w14:paraId="08641FC2" w14:textId="77777777" w:rsidR="00D841E5" w:rsidRDefault="00D841E5" w:rsidP="00D841E5">
      <w:pPr>
        <w:pStyle w:val="Prrafodelista"/>
        <w:spacing w:line="276" w:lineRule="auto"/>
        <w:ind w:left="0" w:right="-574"/>
        <w:jc w:val="center"/>
        <w:rPr>
          <w:rFonts w:ascii="National" w:hAnsi="National"/>
          <w:b/>
          <w:bCs/>
          <w:iCs/>
          <w:color w:val="303AB2"/>
          <w:sz w:val="28"/>
          <w:szCs w:val="160"/>
          <w:lang w:val="es-ES"/>
        </w:rPr>
      </w:pPr>
      <w:r>
        <w:rPr>
          <w:rFonts w:ascii="National" w:hAnsi="National"/>
          <w:b/>
          <w:bCs/>
          <w:iCs/>
          <w:color w:val="303AB2"/>
          <w:sz w:val="28"/>
          <w:szCs w:val="160"/>
          <w:lang w:val="es-ES"/>
        </w:rPr>
        <w:t>Precio medio de una vivienda de 80 m</w:t>
      </w:r>
      <w:r w:rsidRPr="00E07AE5">
        <w:rPr>
          <w:rFonts w:ascii="National" w:hAnsi="National"/>
          <w:b/>
          <w:bCs/>
          <w:iCs/>
          <w:color w:val="303AB2"/>
          <w:sz w:val="28"/>
          <w:szCs w:val="160"/>
          <w:vertAlign w:val="superscript"/>
          <w:lang w:val="es-ES"/>
        </w:rPr>
        <w:t>2</w:t>
      </w:r>
      <w:r>
        <w:rPr>
          <w:rFonts w:ascii="National" w:hAnsi="National"/>
          <w:b/>
          <w:bCs/>
          <w:iCs/>
          <w:color w:val="303AB2"/>
          <w:sz w:val="28"/>
          <w:szCs w:val="160"/>
          <w:lang w:val="es-ES"/>
        </w:rPr>
        <w:t xml:space="preserve"> por capitales</w:t>
      </w:r>
    </w:p>
    <w:p w14:paraId="0423135F" w14:textId="77777777" w:rsidR="00D841E5" w:rsidRPr="0079339F" w:rsidRDefault="00D841E5" w:rsidP="00D841E5">
      <w:pPr>
        <w:pStyle w:val="Prrafodelista"/>
        <w:spacing w:line="276" w:lineRule="auto"/>
        <w:ind w:left="0" w:right="-574"/>
        <w:jc w:val="center"/>
        <w:rPr>
          <w:rFonts w:ascii="National" w:hAnsi="National"/>
          <w:b/>
          <w:bCs/>
          <w:iCs/>
          <w:color w:val="303AB2"/>
          <w:sz w:val="16"/>
          <w:szCs w:val="16"/>
          <w:lang w:val="es-ES"/>
        </w:rPr>
      </w:pPr>
    </w:p>
    <w:tbl>
      <w:tblPr>
        <w:tblW w:w="9034"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70" w:type="dxa"/>
          <w:right w:w="70" w:type="dxa"/>
        </w:tblCellMar>
        <w:tblLook w:val="04A0" w:firstRow="1" w:lastRow="0" w:firstColumn="1" w:lastColumn="0" w:noHBand="0" w:noVBand="1"/>
      </w:tblPr>
      <w:tblGrid>
        <w:gridCol w:w="2117"/>
        <w:gridCol w:w="1701"/>
        <w:gridCol w:w="1701"/>
        <w:gridCol w:w="1701"/>
        <w:gridCol w:w="1814"/>
      </w:tblGrid>
      <w:tr w:rsidR="00D841E5" w:rsidRPr="00F815F1" w14:paraId="758D7D8A" w14:textId="77777777" w:rsidTr="00F118DC">
        <w:trPr>
          <w:trHeight w:val="772"/>
        </w:trPr>
        <w:tc>
          <w:tcPr>
            <w:tcW w:w="2117" w:type="dxa"/>
            <w:shd w:val="clear" w:color="auto" w:fill="ACB9CA"/>
            <w:vAlign w:val="center"/>
          </w:tcPr>
          <w:p w14:paraId="50AAD856" w14:textId="77777777" w:rsidR="00D841E5" w:rsidRPr="00D87C72" w:rsidRDefault="00D841E5" w:rsidP="00F118DC">
            <w:pPr>
              <w:rPr>
                <w:rFonts w:ascii="Open Sans" w:eastAsia="Times New Roman" w:hAnsi="Open Sans" w:cs="Open Sans"/>
                <w:color w:val="0D0D0D" w:themeColor="text1" w:themeTint="F2"/>
                <w:sz w:val="20"/>
                <w:szCs w:val="20"/>
                <w:lang w:val="es-ES"/>
              </w:rPr>
            </w:pPr>
            <w:r w:rsidRPr="00D87C72">
              <w:rPr>
                <w:rFonts w:ascii="Open Sans" w:eastAsia="Times New Roman" w:hAnsi="Open Sans" w:cs="Open Sans"/>
                <w:color w:val="0D0D0D" w:themeColor="text1" w:themeTint="F2"/>
                <w:sz w:val="20"/>
                <w:szCs w:val="20"/>
                <w:lang w:val="es-ES"/>
              </w:rPr>
              <w:t>Ciudad</w:t>
            </w:r>
          </w:p>
        </w:tc>
        <w:tc>
          <w:tcPr>
            <w:tcW w:w="1701" w:type="dxa"/>
            <w:shd w:val="clear" w:color="auto" w:fill="ACB9CA"/>
            <w:vAlign w:val="center"/>
          </w:tcPr>
          <w:p w14:paraId="453A3741" w14:textId="77777777" w:rsidR="00D841E5" w:rsidRPr="00D87C72" w:rsidRDefault="00D841E5" w:rsidP="00F118DC">
            <w:pPr>
              <w:jc w:val="center"/>
              <w:rPr>
                <w:rFonts w:ascii="Open Sans" w:hAnsi="Open Sans" w:cs="Open Sans"/>
                <w:color w:val="0D0D0D" w:themeColor="text1" w:themeTint="F2"/>
                <w:sz w:val="20"/>
                <w:szCs w:val="20"/>
              </w:rPr>
            </w:pPr>
            <w:r w:rsidRPr="00D87C72">
              <w:rPr>
                <w:rFonts w:ascii="Open Sans" w:hAnsi="Open Sans" w:cs="Open Sans"/>
                <w:color w:val="0D0D0D" w:themeColor="text1" w:themeTint="F2"/>
                <w:sz w:val="18"/>
                <w:szCs w:val="18"/>
              </w:rPr>
              <w:t>Precio de una vivienda de 80 m</w:t>
            </w:r>
            <w:r w:rsidRPr="00D87C72">
              <w:rPr>
                <w:rFonts w:ascii="Open Sans" w:hAnsi="Open Sans" w:cs="Open Sans"/>
                <w:color w:val="0D0D0D" w:themeColor="text1" w:themeTint="F2"/>
                <w:sz w:val="18"/>
                <w:szCs w:val="18"/>
                <w:vertAlign w:val="superscript"/>
              </w:rPr>
              <w:t>2</w:t>
            </w:r>
            <w:r w:rsidRPr="00D87C72">
              <w:rPr>
                <w:rFonts w:ascii="Open Sans" w:hAnsi="Open Sans" w:cs="Open Sans"/>
                <w:color w:val="0D0D0D" w:themeColor="text1" w:themeTint="F2"/>
                <w:sz w:val="18"/>
                <w:szCs w:val="18"/>
              </w:rPr>
              <w:t xml:space="preserve"> en 2006</w:t>
            </w:r>
          </w:p>
        </w:tc>
        <w:tc>
          <w:tcPr>
            <w:tcW w:w="1701" w:type="dxa"/>
            <w:shd w:val="clear" w:color="auto" w:fill="ACB9CA"/>
            <w:vAlign w:val="center"/>
          </w:tcPr>
          <w:p w14:paraId="6566948C" w14:textId="77777777" w:rsidR="00D841E5" w:rsidRPr="00D87C72" w:rsidRDefault="00D841E5" w:rsidP="00F118DC">
            <w:pPr>
              <w:jc w:val="center"/>
              <w:rPr>
                <w:rFonts w:ascii="Open Sans" w:eastAsia="Times New Roman" w:hAnsi="Open Sans" w:cs="Open Sans"/>
                <w:color w:val="0D0D0D" w:themeColor="text1" w:themeTint="F2"/>
                <w:sz w:val="20"/>
                <w:szCs w:val="20"/>
                <w:lang w:val="es-ES"/>
              </w:rPr>
            </w:pPr>
            <w:r w:rsidRPr="00D87C72">
              <w:rPr>
                <w:rFonts w:ascii="Open Sans" w:hAnsi="Open Sans" w:cs="Open Sans"/>
                <w:color w:val="0D0D0D" w:themeColor="text1" w:themeTint="F2"/>
                <w:sz w:val="18"/>
                <w:szCs w:val="18"/>
              </w:rPr>
              <w:t>Precio de una vivienda de 80 m</w:t>
            </w:r>
            <w:r w:rsidRPr="00D87C72">
              <w:rPr>
                <w:rFonts w:ascii="Open Sans" w:hAnsi="Open Sans" w:cs="Open Sans"/>
                <w:color w:val="0D0D0D" w:themeColor="text1" w:themeTint="F2"/>
                <w:sz w:val="18"/>
                <w:szCs w:val="18"/>
                <w:vertAlign w:val="superscript"/>
              </w:rPr>
              <w:t>2</w:t>
            </w:r>
            <w:r w:rsidRPr="00D87C72">
              <w:rPr>
                <w:rFonts w:ascii="Open Sans" w:hAnsi="Open Sans" w:cs="Open Sans"/>
                <w:color w:val="0D0D0D" w:themeColor="text1" w:themeTint="F2"/>
                <w:sz w:val="18"/>
                <w:szCs w:val="18"/>
              </w:rPr>
              <w:t xml:space="preserve"> en 2011</w:t>
            </w:r>
          </w:p>
        </w:tc>
        <w:tc>
          <w:tcPr>
            <w:tcW w:w="1701" w:type="dxa"/>
            <w:shd w:val="clear" w:color="auto" w:fill="ACB9CA"/>
            <w:vAlign w:val="center"/>
            <w:hideMark/>
          </w:tcPr>
          <w:p w14:paraId="2B5DBA31" w14:textId="77777777" w:rsidR="00D841E5" w:rsidRPr="00D87C72" w:rsidRDefault="00D841E5" w:rsidP="00F118DC">
            <w:pPr>
              <w:jc w:val="center"/>
              <w:rPr>
                <w:rFonts w:ascii="Open Sans" w:eastAsia="Times New Roman" w:hAnsi="Open Sans" w:cs="Open Sans"/>
                <w:color w:val="0D0D0D" w:themeColor="text1" w:themeTint="F2"/>
                <w:sz w:val="20"/>
                <w:szCs w:val="20"/>
                <w:lang w:val="es-ES"/>
              </w:rPr>
            </w:pPr>
            <w:r w:rsidRPr="00D87C72">
              <w:rPr>
                <w:rFonts w:ascii="Open Sans" w:hAnsi="Open Sans" w:cs="Open Sans"/>
                <w:color w:val="0D0D0D" w:themeColor="text1" w:themeTint="F2"/>
                <w:sz w:val="18"/>
                <w:szCs w:val="18"/>
              </w:rPr>
              <w:t>Precio de una vivienda de 80 m</w:t>
            </w:r>
            <w:r w:rsidRPr="00D87C72">
              <w:rPr>
                <w:rFonts w:ascii="Open Sans" w:hAnsi="Open Sans" w:cs="Open Sans"/>
                <w:color w:val="0D0D0D" w:themeColor="text1" w:themeTint="F2"/>
                <w:sz w:val="18"/>
                <w:szCs w:val="18"/>
                <w:vertAlign w:val="superscript"/>
              </w:rPr>
              <w:t>2</w:t>
            </w:r>
            <w:r w:rsidRPr="00D87C72">
              <w:rPr>
                <w:rFonts w:ascii="Open Sans" w:hAnsi="Open Sans" w:cs="Open Sans"/>
                <w:color w:val="0D0D0D" w:themeColor="text1" w:themeTint="F2"/>
                <w:sz w:val="18"/>
                <w:szCs w:val="18"/>
              </w:rPr>
              <w:t xml:space="preserve"> en 2016</w:t>
            </w:r>
          </w:p>
        </w:tc>
        <w:tc>
          <w:tcPr>
            <w:tcW w:w="1814" w:type="dxa"/>
            <w:shd w:val="clear" w:color="auto" w:fill="ACB9CA" w:themeFill="text2" w:themeFillTint="66"/>
            <w:vAlign w:val="center"/>
          </w:tcPr>
          <w:p w14:paraId="45BCC2E4" w14:textId="77777777" w:rsidR="00D841E5" w:rsidRPr="00D87C72" w:rsidRDefault="00D841E5" w:rsidP="00F118DC">
            <w:pPr>
              <w:jc w:val="center"/>
              <w:rPr>
                <w:rFonts w:ascii="Open Sans" w:hAnsi="Open Sans" w:cs="Open Sans"/>
                <w:color w:val="0D0D0D" w:themeColor="text1" w:themeTint="F2"/>
                <w:sz w:val="20"/>
                <w:szCs w:val="20"/>
              </w:rPr>
            </w:pPr>
            <w:r w:rsidRPr="00D87C72">
              <w:rPr>
                <w:rFonts w:ascii="Open Sans" w:hAnsi="Open Sans" w:cs="Open Sans"/>
                <w:color w:val="0D0D0D" w:themeColor="text1" w:themeTint="F2"/>
                <w:sz w:val="18"/>
                <w:szCs w:val="18"/>
              </w:rPr>
              <w:t>Precio de una vivienda de 80 m</w:t>
            </w:r>
            <w:r w:rsidRPr="00D87C72">
              <w:rPr>
                <w:rFonts w:ascii="Open Sans" w:hAnsi="Open Sans" w:cs="Open Sans"/>
                <w:color w:val="0D0D0D" w:themeColor="text1" w:themeTint="F2"/>
                <w:sz w:val="18"/>
                <w:szCs w:val="18"/>
                <w:vertAlign w:val="superscript"/>
              </w:rPr>
              <w:t>2</w:t>
            </w:r>
            <w:r w:rsidRPr="00D87C72">
              <w:rPr>
                <w:rFonts w:ascii="Open Sans" w:hAnsi="Open Sans" w:cs="Open Sans"/>
                <w:color w:val="0D0D0D" w:themeColor="text1" w:themeTint="F2"/>
                <w:sz w:val="18"/>
                <w:szCs w:val="18"/>
              </w:rPr>
              <w:t xml:space="preserve"> en 2021</w:t>
            </w:r>
          </w:p>
        </w:tc>
      </w:tr>
      <w:tr w:rsidR="00D841E5" w:rsidRPr="00F815F1" w14:paraId="5D5CBFC7" w14:textId="77777777" w:rsidTr="00F118DC">
        <w:trPr>
          <w:trHeight w:val="226"/>
        </w:trPr>
        <w:tc>
          <w:tcPr>
            <w:tcW w:w="2117" w:type="dxa"/>
            <w:shd w:val="clear" w:color="auto" w:fill="auto"/>
            <w:vAlign w:val="bottom"/>
          </w:tcPr>
          <w:p w14:paraId="501619BB" w14:textId="77777777" w:rsidR="00D841E5" w:rsidRDefault="00D841E5" w:rsidP="00F118DC">
            <w:pPr>
              <w:rPr>
                <w:rFonts w:ascii="Open Sans" w:hAnsi="Open Sans" w:cs="Open Sans"/>
                <w:color w:val="000000"/>
                <w:sz w:val="22"/>
                <w:szCs w:val="22"/>
              </w:rPr>
            </w:pPr>
            <w:r>
              <w:rPr>
                <w:rFonts w:ascii="Open Sans" w:hAnsi="Open Sans" w:cs="Open Sans"/>
                <w:color w:val="000000"/>
                <w:sz w:val="22"/>
                <w:szCs w:val="22"/>
              </w:rPr>
              <w:t>Málaga capital</w:t>
            </w:r>
          </w:p>
        </w:tc>
        <w:tc>
          <w:tcPr>
            <w:tcW w:w="1701" w:type="dxa"/>
            <w:vAlign w:val="bottom"/>
          </w:tcPr>
          <w:p w14:paraId="7AE60BD9"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215.553 € </w:t>
            </w:r>
          </w:p>
        </w:tc>
        <w:tc>
          <w:tcPr>
            <w:tcW w:w="1701" w:type="dxa"/>
            <w:vAlign w:val="bottom"/>
          </w:tcPr>
          <w:p w14:paraId="666179C4"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169.992 € </w:t>
            </w:r>
          </w:p>
        </w:tc>
        <w:tc>
          <w:tcPr>
            <w:tcW w:w="1701" w:type="dxa"/>
            <w:shd w:val="clear" w:color="auto" w:fill="auto"/>
            <w:vAlign w:val="bottom"/>
          </w:tcPr>
          <w:p w14:paraId="448950CF"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132.678 € </w:t>
            </w:r>
          </w:p>
        </w:tc>
        <w:tc>
          <w:tcPr>
            <w:tcW w:w="1814" w:type="dxa"/>
            <w:vAlign w:val="bottom"/>
          </w:tcPr>
          <w:p w14:paraId="62EDF1A9"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189.914 € </w:t>
            </w:r>
          </w:p>
        </w:tc>
      </w:tr>
      <w:tr w:rsidR="00D841E5" w:rsidRPr="00F815F1" w14:paraId="465D8389" w14:textId="77777777" w:rsidTr="00F118DC">
        <w:trPr>
          <w:trHeight w:val="226"/>
        </w:trPr>
        <w:tc>
          <w:tcPr>
            <w:tcW w:w="2117" w:type="dxa"/>
            <w:shd w:val="clear" w:color="auto" w:fill="auto"/>
            <w:vAlign w:val="bottom"/>
          </w:tcPr>
          <w:p w14:paraId="4A3617E6" w14:textId="77777777" w:rsidR="00D841E5" w:rsidRDefault="00D841E5" w:rsidP="00F118DC">
            <w:pPr>
              <w:rPr>
                <w:rFonts w:ascii="Open Sans" w:hAnsi="Open Sans" w:cs="Open Sans"/>
                <w:color w:val="000000"/>
                <w:sz w:val="22"/>
                <w:szCs w:val="22"/>
              </w:rPr>
            </w:pPr>
            <w:r>
              <w:rPr>
                <w:rFonts w:ascii="Open Sans" w:hAnsi="Open Sans" w:cs="Open Sans"/>
                <w:color w:val="000000"/>
                <w:sz w:val="22"/>
                <w:szCs w:val="22"/>
              </w:rPr>
              <w:t>Cádiz capital</w:t>
            </w:r>
          </w:p>
        </w:tc>
        <w:tc>
          <w:tcPr>
            <w:tcW w:w="1701" w:type="dxa"/>
            <w:vAlign w:val="bottom"/>
          </w:tcPr>
          <w:p w14:paraId="183FADE5"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5DFEEDC6"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220.985 € </w:t>
            </w:r>
          </w:p>
        </w:tc>
        <w:tc>
          <w:tcPr>
            <w:tcW w:w="1701" w:type="dxa"/>
            <w:shd w:val="clear" w:color="auto" w:fill="auto"/>
            <w:vAlign w:val="bottom"/>
          </w:tcPr>
          <w:p w14:paraId="17F4BEFE"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165.240 € </w:t>
            </w:r>
          </w:p>
        </w:tc>
        <w:tc>
          <w:tcPr>
            <w:tcW w:w="1814" w:type="dxa"/>
            <w:vAlign w:val="bottom"/>
          </w:tcPr>
          <w:p w14:paraId="234FC5A1"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201.993 € </w:t>
            </w:r>
          </w:p>
        </w:tc>
      </w:tr>
      <w:tr w:rsidR="00D841E5" w:rsidRPr="00F815F1" w14:paraId="5E5FD389" w14:textId="77777777" w:rsidTr="00F118DC">
        <w:trPr>
          <w:trHeight w:val="226"/>
        </w:trPr>
        <w:tc>
          <w:tcPr>
            <w:tcW w:w="2117" w:type="dxa"/>
            <w:shd w:val="clear" w:color="auto" w:fill="auto"/>
            <w:vAlign w:val="bottom"/>
          </w:tcPr>
          <w:p w14:paraId="0C8BF4A4" w14:textId="77777777" w:rsidR="00D841E5" w:rsidRDefault="00D841E5" w:rsidP="00F118DC">
            <w:pPr>
              <w:rPr>
                <w:rFonts w:ascii="Open Sans" w:hAnsi="Open Sans" w:cs="Open Sans"/>
                <w:color w:val="000000"/>
                <w:sz w:val="22"/>
                <w:szCs w:val="22"/>
              </w:rPr>
            </w:pPr>
            <w:r>
              <w:rPr>
                <w:rFonts w:ascii="Open Sans" w:hAnsi="Open Sans" w:cs="Open Sans"/>
                <w:color w:val="000000"/>
                <w:sz w:val="22"/>
                <w:szCs w:val="22"/>
              </w:rPr>
              <w:t>Sevilla capital</w:t>
            </w:r>
          </w:p>
        </w:tc>
        <w:tc>
          <w:tcPr>
            <w:tcW w:w="1701" w:type="dxa"/>
            <w:vAlign w:val="bottom"/>
          </w:tcPr>
          <w:p w14:paraId="7034F132"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209.186 € </w:t>
            </w:r>
          </w:p>
        </w:tc>
        <w:tc>
          <w:tcPr>
            <w:tcW w:w="1701" w:type="dxa"/>
            <w:vAlign w:val="bottom"/>
          </w:tcPr>
          <w:p w14:paraId="3A15FF27"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195.618 € </w:t>
            </w:r>
          </w:p>
        </w:tc>
        <w:tc>
          <w:tcPr>
            <w:tcW w:w="1701" w:type="dxa"/>
            <w:shd w:val="clear" w:color="auto" w:fill="auto"/>
            <w:vAlign w:val="bottom"/>
          </w:tcPr>
          <w:p w14:paraId="78EA5BE6"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140.724 € </w:t>
            </w:r>
          </w:p>
        </w:tc>
        <w:tc>
          <w:tcPr>
            <w:tcW w:w="1814" w:type="dxa"/>
            <w:vAlign w:val="bottom"/>
          </w:tcPr>
          <w:p w14:paraId="51D47380"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170.751 € </w:t>
            </w:r>
          </w:p>
        </w:tc>
      </w:tr>
      <w:tr w:rsidR="00D841E5" w:rsidRPr="00F815F1" w14:paraId="34620064" w14:textId="77777777" w:rsidTr="00F118DC">
        <w:trPr>
          <w:trHeight w:val="226"/>
        </w:trPr>
        <w:tc>
          <w:tcPr>
            <w:tcW w:w="2117" w:type="dxa"/>
            <w:shd w:val="clear" w:color="auto" w:fill="auto"/>
            <w:vAlign w:val="bottom"/>
          </w:tcPr>
          <w:p w14:paraId="1D43070A" w14:textId="77777777" w:rsidR="00D841E5" w:rsidRDefault="00D841E5" w:rsidP="00F118DC">
            <w:pPr>
              <w:rPr>
                <w:rFonts w:ascii="Open Sans" w:hAnsi="Open Sans" w:cs="Open Sans"/>
                <w:color w:val="000000"/>
                <w:sz w:val="22"/>
                <w:szCs w:val="22"/>
              </w:rPr>
            </w:pPr>
            <w:r>
              <w:rPr>
                <w:rFonts w:ascii="Open Sans" w:hAnsi="Open Sans" w:cs="Open Sans"/>
                <w:color w:val="000000"/>
                <w:sz w:val="22"/>
                <w:szCs w:val="22"/>
              </w:rPr>
              <w:t>Granada capital</w:t>
            </w:r>
          </w:p>
        </w:tc>
        <w:tc>
          <w:tcPr>
            <w:tcW w:w="1701" w:type="dxa"/>
            <w:vAlign w:val="bottom"/>
          </w:tcPr>
          <w:p w14:paraId="2F71BD10"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211.324 € </w:t>
            </w:r>
          </w:p>
        </w:tc>
        <w:tc>
          <w:tcPr>
            <w:tcW w:w="1701" w:type="dxa"/>
            <w:vAlign w:val="bottom"/>
          </w:tcPr>
          <w:p w14:paraId="396ECBA8"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178.634 € </w:t>
            </w:r>
          </w:p>
        </w:tc>
        <w:tc>
          <w:tcPr>
            <w:tcW w:w="1701" w:type="dxa"/>
            <w:shd w:val="clear" w:color="auto" w:fill="auto"/>
            <w:vAlign w:val="bottom"/>
          </w:tcPr>
          <w:p w14:paraId="6A87B263"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131.163 € </w:t>
            </w:r>
          </w:p>
        </w:tc>
        <w:tc>
          <w:tcPr>
            <w:tcW w:w="1814" w:type="dxa"/>
            <w:vAlign w:val="bottom"/>
          </w:tcPr>
          <w:p w14:paraId="72D36F4E" w14:textId="77777777" w:rsidR="00D841E5"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153.059 € </w:t>
            </w:r>
          </w:p>
        </w:tc>
      </w:tr>
      <w:tr w:rsidR="00D841E5" w:rsidRPr="00F815F1" w14:paraId="51F63D24" w14:textId="77777777" w:rsidTr="00F118DC">
        <w:trPr>
          <w:trHeight w:val="226"/>
        </w:trPr>
        <w:tc>
          <w:tcPr>
            <w:tcW w:w="2117" w:type="dxa"/>
            <w:shd w:val="clear" w:color="auto" w:fill="auto"/>
            <w:vAlign w:val="bottom"/>
          </w:tcPr>
          <w:p w14:paraId="2EB5DC50" w14:textId="77777777" w:rsidR="00D841E5" w:rsidRPr="00F815F1" w:rsidRDefault="00D841E5" w:rsidP="00F118DC">
            <w:pPr>
              <w:rPr>
                <w:rFonts w:ascii="Open Sans" w:eastAsia="Times New Roman" w:hAnsi="Open Sans" w:cs="Open Sans"/>
                <w:color w:val="000000"/>
                <w:sz w:val="22"/>
                <w:szCs w:val="22"/>
                <w:lang w:val="es-ES"/>
              </w:rPr>
            </w:pPr>
            <w:r>
              <w:rPr>
                <w:rFonts w:ascii="Open Sans" w:hAnsi="Open Sans" w:cs="Open Sans"/>
                <w:color w:val="000000"/>
                <w:sz w:val="22"/>
                <w:szCs w:val="22"/>
              </w:rPr>
              <w:t>Huelva capital</w:t>
            </w:r>
          </w:p>
        </w:tc>
        <w:tc>
          <w:tcPr>
            <w:tcW w:w="1701" w:type="dxa"/>
            <w:vAlign w:val="bottom"/>
          </w:tcPr>
          <w:p w14:paraId="11D1B6B1"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355A5EAC"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134.730 € </w:t>
            </w:r>
          </w:p>
        </w:tc>
        <w:tc>
          <w:tcPr>
            <w:tcW w:w="1701" w:type="dxa"/>
            <w:shd w:val="clear" w:color="auto" w:fill="auto"/>
            <w:vAlign w:val="bottom"/>
          </w:tcPr>
          <w:p w14:paraId="66EEB311"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94.222 € </w:t>
            </w:r>
          </w:p>
        </w:tc>
        <w:tc>
          <w:tcPr>
            <w:tcW w:w="1814" w:type="dxa"/>
            <w:vAlign w:val="bottom"/>
          </w:tcPr>
          <w:p w14:paraId="6E58710F" w14:textId="77777777" w:rsidR="00D841E5" w:rsidRPr="00F815F1" w:rsidRDefault="00D841E5" w:rsidP="00F118DC">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98.706 € </w:t>
            </w:r>
          </w:p>
        </w:tc>
      </w:tr>
      <w:tr w:rsidR="00D841E5" w:rsidRPr="00F815F1" w14:paraId="32BC74FD" w14:textId="77777777" w:rsidTr="00F118DC">
        <w:trPr>
          <w:trHeight w:val="226"/>
        </w:trPr>
        <w:tc>
          <w:tcPr>
            <w:tcW w:w="2117" w:type="dxa"/>
            <w:shd w:val="clear" w:color="auto" w:fill="auto"/>
            <w:vAlign w:val="bottom"/>
          </w:tcPr>
          <w:p w14:paraId="6E946F1C" w14:textId="77777777" w:rsidR="00D841E5" w:rsidRPr="00F815F1" w:rsidRDefault="00D841E5" w:rsidP="00F118DC">
            <w:pPr>
              <w:rPr>
                <w:rFonts w:ascii="Open Sans" w:eastAsia="Times New Roman" w:hAnsi="Open Sans" w:cs="Open Sans"/>
                <w:color w:val="000000"/>
                <w:sz w:val="22"/>
                <w:szCs w:val="22"/>
                <w:lang w:val="es-ES"/>
              </w:rPr>
            </w:pPr>
            <w:r>
              <w:rPr>
                <w:rFonts w:ascii="Open Sans" w:hAnsi="Open Sans" w:cs="Open Sans"/>
                <w:color w:val="000000"/>
                <w:sz w:val="22"/>
                <w:szCs w:val="22"/>
              </w:rPr>
              <w:t>Córdoba capital</w:t>
            </w:r>
          </w:p>
        </w:tc>
        <w:tc>
          <w:tcPr>
            <w:tcW w:w="1701" w:type="dxa"/>
            <w:vAlign w:val="bottom"/>
          </w:tcPr>
          <w:p w14:paraId="4F7767A1"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199.475 € </w:t>
            </w:r>
          </w:p>
        </w:tc>
        <w:tc>
          <w:tcPr>
            <w:tcW w:w="1701" w:type="dxa"/>
            <w:vAlign w:val="bottom"/>
          </w:tcPr>
          <w:p w14:paraId="32CF590A"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162.060 € </w:t>
            </w:r>
          </w:p>
        </w:tc>
        <w:tc>
          <w:tcPr>
            <w:tcW w:w="1701" w:type="dxa"/>
            <w:shd w:val="clear" w:color="auto" w:fill="auto"/>
            <w:vAlign w:val="bottom"/>
          </w:tcPr>
          <w:p w14:paraId="5797AE65"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113.900 € </w:t>
            </w:r>
          </w:p>
        </w:tc>
        <w:tc>
          <w:tcPr>
            <w:tcW w:w="1814" w:type="dxa"/>
            <w:vAlign w:val="bottom"/>
          </w:tcPr>
          <w:p w14:paraId="710A49C1" w14:textId="77777777" w:rsidR="00D841E5" w:rsidRPr="00F815F1" w:rsidRDefault="00D841E5" w:rsidP="00F118DC">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118.075 € </w:t>
            </w:r>
          </w:p>
        </w:tc>
      </w:tr>
      <w:tr w:rsidR="00D841E5" w:rsidRPr="00F815F1" w14:paraId="6700CBF8" w14:textId="77777777" w:rsidTr="00F118DC">
        <w:trPr>
          <w:trHeight w:val="226"/>
        </w:trPr>
        <w:tc>
          <w:tcPr>
            <w:tcW w:w="2117" w:type="dxa"/>
            <w:shd w:val="clear" w:color="auto" w:fill="auto"/>
            <w:vAlign w:val="bottom"/>
          </w:tcPr>
          <w:p w14:paraId="02E0DBC4" w14:textId="77777777" w:rsidR="00D841E5" w:rsidRPr="00F815F1" w:rsidRDefault="00D841E5" w:rsidP="00F118DC">
            <w:pPr>
              <w:rPr>
                <w:rFonts w:ascii="Open Sans" w:eastAsia="Times New Roman" w:hAnsi="Open Sans" w:cs="Open Sans"/>
                <w:color w:val="000000"/>
                <w:sz w:val="22"/>
                <w:szCs w:val="22"/>
                <w:lang w:val="es-ES"/>
              </w:rPr>
            </w:pPr>
            <w:r>
              <w:rPr>
                <w:rFonts w:ascii="Open Sans" w:hAnsi="Open Sans" w:cs="Open Sans"/>
                <w:color w:val="000000"/>
                <w:sz w:val="22"/>
                <w:szCs w:val="22"/>
              </w:rPr>
              <w:t>Almería capital</w:t>
            </w:r>
          </w:p>
        </w:tc>
        <w:tc>
          <w:tcPr>
            <w:tcW w:w="1701" w:type="dxa"/>
            <w:vAlign w:val="bottom"/>
          </w:tcPr>
          <w:p w14:paraId="075B971E"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195.986 € </w:t>
            </w:r>
          </w:p>
        </w:tc>
        <w:tc>
          <w:tcPr>
            <w:tcW w:w="1701" w:type="dxa"/>
            <w:vAlign w:val="bottom"/>
          </w:tcPr>
          <w:p w14:paraId="5FC1141E"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157.083 € </w:t>
            </w:r>
          </w:p>
        </w:tc>
        <w:tc>
          <w:tcPr>
            <w:tcW w:w="1701" w:type="dxa"/>
            <w:shd w:val="clear" w:color="auto" w:fill="auto"/>
            <w:vAlign w:val="bottom"/>
          </w:tcPr>
          <w:p w14:paraId="0D2DB8E8"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106.785 € </w:t>
            </w:r>
          </w:p>
        </w:tc>
        <w:tc>
          <w:tcPr>
            <w:tcW w:w="1814" w:type="dxa"/>
            <w:vAlign w:val="bottom"/>
          </w:tcPr>
          <w:p w14:paraId="2E1B43B2" w14:textId="77777777" w:rsidR="00D841E5" w:rsidRPr="00F815F1" w:rsidRDefault="00D841E5" w:rsidP="00F118DC">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105.255 € </w:t>
            </w:r>
          </w:p>
        </w:tc>
      </w:tr>
      <w:tr w:rsidR="00D841E5" w:rsidRPr="00F815F1" w14:paraId="4DEED5B3" w14:textId="77777777" w:rsidTr="00F118DC">
        <w:trPr>
          <w:trHeight w:val="226"/>
        </w:trPr>
        <w:tc>
          <w:tcPr>
            <w:tcW w:w="2117" w:type="dxa"/>
            <w:shd w:val="clear" w:color="auto" w:fill="auto"/>
            <w:vAlign w:val="bottom"/>
          </w:tcPr>
          <w:p w14:paraId="249DCDCD" w14:textId="77777777" w:rsidR="00D841E5" w:rsidRPr="00F815F1" w:rsidRDefault="00D841E5" w:rsidP="00F118DC">
            <w:pPr>
              <w:rPr>
                <w:rFonts w:ascii="Open Sans" w:eastAsia="Times New Roman" w:hAnsi="Open Sans" w:cs="Open Sans"/>
                <w:color w:val="000000"/>
                <w:sz w:val="22"/>
                <w:szCs w:val="22"/>
                <w:lang w:val="es-ES"/>
              </w:rPr>
            </w:pPr>
            <w:r>
              <w:rPr>
                <w:rFonts w:ascii="Open Sans" w:hAnsi="Open Sans" w:cs="Open Sans"/>
                <w:color w:val="000000"/>
                <w:sz w:val="22"/>
                <w:szCs w:val="22"/>
              </w:rPr>
              <w:t>Jaén capital</w:t>
            </w:r>
          </w:p>
        </w:tc>
        <w:tc>
          <w:tcPr>
            <w:tcW w:w="1701" w:type="dxa"/>
            <w:vAlign w:val="bottom"/>
          </w:tcPr>
          <w:p w14:paraId="54ECE9BE"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1FD007AD"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157.540 € </w:t>
            </w:r>
          </w:p>
        </w:tc>
        <w:tc>
          <w:tcPr>
            <w:tcW w:w="1701" w:type="dxa"/>
            <w:shd w:val="clear" w:color="auto" w:fill="auto"/>
            <w:vAlign w:val="bottom"/>
          </w:tcPr>
          <w:p w14:paraId="0AC32FAC" w14:textId="77777777" w:rsidR="00D841E5" w:rsidRPr="00F815F1" w:rsidRDefault="00D841E5" w:rsidP="00F118DC">
            <w:pPr>
              <w:jc w:val="center"/>
              <w:rPr>
                <w:rFonts w:ascii="Open Sans" w:hAnsi="Open Sans" w:cs="Open Sans"/>
                <w:color w:val="000000"/>
                <w:sz w:val="22"/>
                <w:szCs w:val="22"/>
              </w:rPr>
            </w:pPr>
            <w:r>
              <w:rPr>
                <w:rFonts w:ascii="Open Sans" w:hAnsi="Open Sans" w:cs="Open Sans"/>
                <w:color w:val="000000"/>
                <w:sz w:val="22"/>
                <w:szCs w:val="22"/>
              </w:rPr>
              <w:t xml:space="preserve">  110.651 € </w:t>
            </w:r>
          </w:p>
        </w:tc>
        <w:tc>
          <w:tcPr>
            <w:tcW w:w="1814" w:type="dxa"/>
            <w:vAlign w:val="bottom"/>
          </w:tcPr>
          <w:p w14:paraId="7D089952" w14:textId="77777777" w:rsidR="00D841E5" w:rsidRPr="00F815F1" w:rsidRDefault="00D841E5" w:rsidP="00F118DC">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100.989 € </w:t>
            </w:r>
          </w:p>
        </w:tc>
      </w:tr>
    </w:tbl>
    <w:p w14:paraId="5E89180E" w14:textId="77777777" w:rsidR="00D841E5" w:rsidRDefault="00D841E5" w:rsidP="00D841E5">
      <w:pPr>
        <w:pStyle w:val="Prrafodelista"/>
        <w:spacing w:line="276" w:lineRule="auto"/>
        <w:ind w:left="0" w:right="-574"/>
        <w:jc w:val="center"/>
        <w:rPr>
          <w:rFonts w:ascii="National" w:hAnsi="National"/>
          <w:b/>
          <w:bCs/>
          <w:iCs/>
          <w:color w:val="303AB2"/>
          <w:sz w:val="30"/>
          <w:szCs w:val="180"/>
          <w:lang w:val="es-ES"/>
        </w:rPr>
      </w:pPr>
    </w:p>
    <w:p w14:paraId="76A06886" w14:textId="77777777" w:rsidR="00291F66" w:rsidRDefault="00291F66" w:rsidP="008E6F4B">
      <w:pPr>
        <w:spacing w:line="276" w:lineRule="auto"/>
        <w:ind w:right="-574"/>
        <w:jc w:val="both"/>
        <w:rPr>
          <w:rFonts w:ascii="Open Sans Light" w:eastAsia="Open Sans Light" w:hAnsi="Open Sans Light" w:cs="Open Sans Light"/>
          <w:b/>
          <w:color w:val="303AB2"/>
          <w:sz w:val="26"/>
          <w:szCs w:val="26"/>
        </w:rPr>
      </w:pPr>
    </w:p>
    <w:p w14:paraId="07BF3D9C" w14:textId="77777777" w:rsidR="00291F66" w:rsidRDefault="00291F66" w:rsidP="008E6F4B">
      <w:pPr>
        <w:spacing w:line="276" w:lineRule="auto"/>
        <w:ind w:right="-574"/>
        <w:jc w:val="both"/>
        <w:rPr>
          <w:rFonts w:ascii="Open Sans Light" w:eastAsia="Open Sans Light" w:hAnsi="Open Sans Light" w:cs="Open Sans Light"/>
          <w:b/>
          <w:color w:val="303AB2"/>
          <w:sz w:val="26"/>
          <w:szCs w:val="26"/>
        </w:rPr>
      </w:pPr>
    </w:p>
    <w:p w14:paraId="18E2F428" w14:textId="77777777" w:rsidR="00291F66" w:rsidRDefault="00291F66" w:rsidP="008E6F4B">
      <w:pPr>
        <w:spacing w:line="276" w:lineRule="auto"/>
        <w:ind w:right="-574"/>
        <w:jc w:val="both"/>
        <w:rPr>
          <w:rFonts w:ascii="Open Sans Light" w:eastAsia="Open Sans Light" w:hAnsi="Open Sans Light" w:cs="Open Sans Light"/>
          <w:b/>
          <w:color w:val="303AB2"/>
          <w:sz w:val="26"/>
          <w:szCs w:val="26"/>
        </w:rPr>
      </w:pPr>
    </w:p>
    <w:p w14:paraId="5CCFCE6E" w14:textId="77777777" w:rsidR="00291F66" w:rsidRDefault="00291F66" w:rsidP="008E6F4B">
      <w:pPr>
        <w:spacing w:line="276" w:lineRule="auto"/>
        <w:ind w:right="-574"/>
        <w:jc w:val="both"/>
        <w:rPr>
          <w:rFonts w:ascii="Open Sans Light" w:eastAsia="Open Sans Light" w:hAnsi="Open Sans Light" w:cs="Open Sans Light"/>
          <w:b/>
          <w:color w:val="303AB2"/>
          <w:sz w:val="26"/>
          <w:szCs w:val="26"/>
        </w:rPr>
      </w:pPr>
    </w:p>
    <w:p w14:paraId="4F27F668" w14:textId="2B2F3AA3" w:rsidR="00D841E5" w:rsidRPr="00291F66" w:rsidRDefault="00291F66" w:rsidP="008E6F4B">
      <w:pPr>
        <w:spacing w:line="276" w:lineRule="auto"/>
        <w:ind w:right="-574"/>
        <w:jc w:val="both"/>
        <w:rPr>
          <w:rFonts w:ascii="Open Sans Light" w:eastAsia="Open Sans Light" w:hAnsi="Open Sans Light" w:cs="Open Sans Light"/>
          <w:b/>
          <w:color w:val="303AB2"/>
          <w:sz w:val="26"/>
          <w:szCs w:val="26"/>
        </w:rPr>
      </w:pPr>
      <w:r w:rsidRPr="00291F66">
        <w:rPr>
          <w:rFonts w:ascii="Open Sans Light" w:eastAsia="Open Sans Light" w:hAnsi="Open Sans Light" w:cs="Open Sans Light"/>
          <w:b/>
          <w:color w:val="303AB2"/>
          <w:sz w:val="26"/>
          <w:szCs w:val="26"/>
        </w:rPr>
        <w:lastRenderedPageBreak/>
        <w:t>El precio de la vivienda interanual sube en Andalucía un 4,4% en el tercer trimestre</w:t>
      </w:r>
    </w:p>
    <w:p w14:paraId="34FC1D3E" w14:textId="7EBB636A" w:rsidR="00D841E5" w:rsidRPr="00291F66" w:rsidRDefault="00291F66" w:rsidP="00291F66">
      <w:pPr>
        <w:pStyle w:val="NormalWeb"/>
        <w:shd w:val="clear" w:color="auto" w:fill="FFFFFF"/>
        <w:spacing w:after="225" w:line="276" w:lineRule="auto"/>
        <w:ind w:right="-574"/>
        <w:jc w:val="both"/>
        <w:rPr>
          <w:rFonts w:ascii="Open Sans" w:hAnsi="Open Sans" w:cs="Open Sans"/>
          <w:sz w:val="22"/>
          <w:szCs w:val="22"/>
        </w:rPr>
      </w:pPr>
      <w:r w:rsidRPr="00291F66">
        <w:rPr>
          <w:rFonts w:ascii="Open Sans" w:hAnsi="Open Sans" w:cs="Open Sans"/>
          <w:sz w:val="22"/>
          <w:szCs w:val="22"/>
        </w:rPr>
        <w:t>En Andalucía el precio de la vivienda de segunda mano experimenta en el tercer trimestre de 2021 un incremento trimestral del 2% y un interanual del 4,4%, situando el precio medio en 1.700 euros/m2, según los datos del Índice Inmobiliario Fotocasa. El incremento trimestral (2%) es la primera subida producida en este periodo después de la caída de 2020.</w:t>
      </w:r>
    </w:p>
    <w:p w14:paraId="18108F06" w14:textId="7AE908BB" w:rsidR="00D841E5" w:rsidRDefault="00291F66" w:rsidP="008E6F4B">
      <w:pPr>
        <w:spacing w:line="276" w:lineRule="auto"/>
        <w:ind w:right="-574"/>
        <w:jc w:val="both"/>
        <w:rPr>
          <w:rFonts w:ascii="Open Sans Light" w:eastAsia="Open Sans Light" w:hAnsi="Open Sans Light" w:cs="Open Sans Light"/>
          <w:b/>
          <w:color w:val="303AB2"/>
        </w:rPr>
      </w:pPr>
      <w:r>
        <w:rPr>
          <w:noProof/>
        </w:rPr>
        <w:drawing>
          <wp:inline distT="0" distB="0" distL="0" distR="0" wp14:anchorId="02486A8E" wp14:editId="4C7335F0">
            <wp:extent cx="5743575" cy="2956948"/>
            <wp:effectExtent l="0" t="0" r="0" b="0"/>
            <wp:docPr id="2" name="Imagen 2"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en cascada&#10;&#10;Descripción generada automáticamente"/>
                    <pic:cNvPicPr/>
                  </pic:nvPicPr>
                  <pic:blipFill>
                    <a:blip r:embed="rId16"/>
                    <a:stretch>
                      <a:fillRect/>
                    </a:stretch>
                  </pic:blipFill>
                  <pic:spPr>
                    <a:xfrm>
                      <a:off x="0" y="0"/>
                      <a:ext cx="5751268" cy="2960909"/>
                    </a:xfrm>
                    <a:prstGeom prst="rect">
                      <a:avLst/>
                    </a:prstGeom>
                  </pic:spPr>
                </pic:pic>
              </a:graphicData>
            </a:graphic>
          </wp:inline>
        </w:drawing>
      </w:r>
    </w:p>
    <w:p w14:paraId="7F21E192" w14:textId="77777777" w:rsidR="00291F66" w:rsidRPr="002C0C95" w:rsidRDefault="00291F66" w:rsidP="00291F66">
      <w:pPr>
        <w:pStyle w:val="NormalWeb"/>
        <w:shd w:val="clear" w:color="auto" w:fill="FFFFFF"/>
        <w:spacing w:after="225" w:line="276" w:lineRule="auto"/>
        <w:ind w:right="-574"/>
        <w:jc w:val="both"/>
        <w:rPr>
          <w:rFonts w:ascii="Open Sans Light" w:hAnsi="Open Sans Light" w:cs="Open Sans Light"/>
          <w:b/>
          <w:iCs/>
          <w:color w:val="303AB2"/>
          <w:szCs w:val="20"/>
        </w:rPr>
      </w:pPr>
      <w:r w:rsidRPr="002C0C95">
        <w:rPr>
          <w:rFonts w:ascii="Open Sans Light" w:hAnsi="Open Sans Light" w:cs="Open Sans Light"/>
          <w:b/>
          <w:iCs/>
          <w:color w:val="303AB2"/>
          <w:szCs w:val="20"/>
        </w:rPr>
        <w:t>Provincias</w:t>
      </w:r>
    </w:p>
    <w:p w14:paraId="51D7A79B" w14:textId="77777777" w:rsidR="00291F66" w:rsidRDefault="00291F66" w:rsidP="00291F66">
      <w:pPr>
        <w:spacing w:line="276" w:lineRule="auto"/>
        <w:ind w:right="-574"/>
        <w:jc w:val="both"/>
        <w:rPr>
          <w:rFonts w:ascii="Open Sans" w:hAnsi="Open Sans" w:cs="Open Sans"/>
          <w:color w:val="000000"/>
        </w:rPr>
      </w:pPr>
      <w:r w:rsidRPr="009E0905">
        <w:rPr>
          <w:rFonts w:ascii="Open Sans" w:hAnsi="Open Sans" w:cs="Open Sans"/>
          <w:color w:val="000000"/>
        </w:rPr>
        <w:t xml:space="preserve">Los datos del Índice Inmobiliario </w:t>
      </w:r>
      <w:hyperlink r:id="rId17" w:history="1">
        <w:r w:rsidRPr="009E0905">
          <w:rPr>
            <w:rStyle w:val="Hipervnculo"/>
            <w:rFonts w:ascii="Open Sans" w:hAnsi="Open Sans" w:cs="Open Sans"/>
            <w:b/>
            <w:bCs/>
          </w:rPr>
          <w:t>Fotocasa</w:t>
        </w:r>
      </w:hyperlink>
      <w:r w:rsidRPr="009E0905">
        <w:rPr>
          <w:rFonts w:ascii="Open Sans" w:hAnsi="Open Sans" w:cs="Open Sans"/>
          <w:color w:val="000000"/>
        </w:rPr>
        <w:t xml:space="preserve"> revelan también que </w:t>
      </w:r>
      <w:r>
        <w:rPr>
          <w:rFonts w:ascii="Open Sans" w:hAnsi="Open Sans" w:cs="Open Sans"/>
          <w:color w:val="000000"/>
        </w:rPr>
        <w:t xml:space="preserve">en el </w:t>
      </w:r>
      <w:r w:rsidRPr="00823B97">
        <w:rPr>
          <w:rFonts w:ascii="Open Sans" w:hAnsi="Open Sans" w:cs="Open Sans"/>
          <w:color w:val="000000"/>
        </w:rPr>
        <w:t xml:space="preserve">tercer </w:t>
      </w:r>
      <w:r>
        <w:rPr>
          <w:rFonts w:ascii="Open Sans" w:hAnsi="Open Sans" w:cs="Open Sans"/>
          <w:color w:val="000000"/>
        </w:rPr>
        <w:t>trimestre</w:t>
      </w:r>
      <w:r w:rsidRPr="009E0905">
        <w:rPr>
          <w:rFonts w:ascii="Open Sans" w:hAnsi="Open Sans" w:cs="Open Sans"/>
          <w:color w:val="000000"/>
        </w:rPr>
        <w:t xml:space="preserve"> el precio de la vivienda</w:t>
      </w:r>
      <w:r>
        <w:rPr>
          <w:rFonts w:ascii="Open Sans" w:hAnsi="Open Sans" w:cs="Open Sans"/>
          <w:color w:val="000000"/>
        </w:rPr>
        <w:t xml:space="preserve"> sube </w:t>
      </w:r>
      <w:r w:rsidRPr="009E0905">
        <w:rPr>
          <w:rFonts w:ascii="Open Sans" w:hAnsi="Open Sans" w:cs="Open Sans"/>
          <w:color w:val="000000"/>
        </w:rPr>
        <w:t xml:space="preserve">en </w:t>
      </w:r>
      <w:r>
        <w:rPr>
          <w:rFonts w:ascii="Open Sans" w:hAnsi="Open Sans" w:cs="Open Sans"/>
          <w:color w:val="000000"/>
        </w:rPr>
        <w:t xml:space="preserve">cuatro </w:t>
      </w:r>
      <w:r w:rsidRPr="009E0905">
        <w:rPr>
          <w:rFonts w:ascii="Open Sans" w:hAnsi="Open Sans" w:cs="Open Sans"/>
          <w:color w:val="000000"/>
        </w:rPr>
        <w:t>provincia</w:t>
      </w:r>
      <w:r>
        <w:rPr>
          <w:rFonts w:ascii="Open Sans" w:hAnsi="Open Sans" w:cs="Open Sans"/>
          <w:color w:val="000000"/>
        </w:rPr>
        <w:t>s</w:t>
      </w:r>
      <w:r w:rsidRPr="009E0905">
        <w:rPr>
          <w:rFonts w:ascii="Open Sans" w:hAnsi="Open Sans" w:cs="Open Sans"/>
          <w:color w:val="000000"/>
        </w:rPr>
        <w:t xml:space="preserve">. Los </w:t>
      </w:r>
      <w:r>
        <w:rPr>
          <w:rFonts w:ascii="Open Sans" w:hAnsi="Open Sans" w:cs="Open Sans"/>
          <w:color w:val="000000"/>
        </w:rPr>
        <w:t xml:space="preserve">incrementos trimestrales corresponden a la provincia de Málaga con un 4%, seguida de </w:t>
      </w:r>
      <w:r w:rsidRPr="00754C4B">
        <w:rPr>
          <w:rFonts w:ascii="Open Sans" w:hAnsi="Open Sans" w:cs="Open Sans"/>
          <w:color w:val="000000"/>
        </w:rPr>
        <w:t xml:space="preserve">Córdoba </w:t>
      </w:r>
      <w:r>
        <w:rPr>
          <w:rFonts w:ascii="Open Sans" w:hAnsi="Open Sans" w:cs="Open Sans"/>
          <w:color w:val="000000"/>
        </w:rPr>
        <w:t xml:space="preserve">con </w:t>
      </w:r>
      <w:r w:rsidRPr="00754C4B">
        <w:rPr>
          <w:rFonts w:ascii="Open Sans" w:hAnsi="Open Sans" w:cs="Open Sans"/>
          <w:color w:val="000000"/>
        </w:rPr>
        <w:t>1,7%</w:t>
      </w:r>
      <w:r>
        <w:rPr>
          <w:rFonts w:ascii="Open Sans" w:hAnsi="Open Sans" w:cs="Open Sans"/>
          <w:color w:val="000000"/>
        </w:rPr>
        <w:t xml:space="preserve">, </w:t>
      </w:r>
      <w:r w:rsidRPr="00754C4B">
        <w:rPr>
          <w:rFonts w:ascii="Open Sans" w:hAnsi="Open Sans" w:cs="Open Sans"/>
          <w:color w:val="000000"/>
        </w:rPr>
        <w:t xml:space="preserve">Huelva </w:t>
      </w:r>
      <w:r>
        <w:rPr>
          <w:rFonts w:ascii="Open Sans" w:hAnsi="Open Sans" w:cs="Open Sans"/>
          <w:color w:val="000000"/>
        </w:rPr>
        <w:t xml:space="preserve">con </w:t>
      </w:r>
      <w:r w:rsidRPr="00754C4B">
        <w:rPr>
          <w:rFonts w:ascii="Open Sans" w:hAnsi="Open Sans" w:cs="Open Sans"/>
          <w:color w:val="000000"/>
        </w:rPr>
        <w:t>0,6%</w:t>
      </w:r>
      <w:r>
        <w:rPr>
          <w:rFonts w:ascii="Open Sans" w:hAnsi="Open Sans" w:cs="Open Sans"/>
          <w:color w:val="000000"/>
        </w:rPr>
        <w:t xml:space="preserve"> y </w:t>
      </w:r>
      <w:r w:rsidRPr="00754C4B">
        <w:rPr>
          <w:rFonts w:ascii="Open Sans" w:hAnsi="Open Sans" w:cs="Open Sans"/>
          <w:color w:val="000000"/>
        </w:rPr>
        <w:t>Granada</w:t>
      </w:r>
      <w:r>
        <w:rPr>
          <w:rFonts w:ascii="Open Sans" w:hAnsi="Open Sans" w:cs="Open Sans"/>
          <w:color w:val="000000"/>
        </w:rPr>
        <w:t xml:space="preserve"> con </w:t>
      </w:r>
      <w:r w:rsidRPr="00754C4B">
        <w:rPr>
          <w:rFonts w:ascii="Open Sans" w:hAnsi="Open Sans" w:cs="Open Sans"/>
          <w:color w:val="000000"/>
        </w:rPr>
        <w:t>0,4%</w:t>
      </w:r>
      <w:r>
        <w:rPr>
          <w:rFonts w:ascii="Open Sans" w:hAnsi="Open Sans" w:cs="Open Sans"/>
          <w:color w:val="000000"/>
        </w:rPr>
        <w:t xml:space="preserve">. </w:t>
      </w:r>
      <w:r w:rsidRPr="009E0905">
        <w:rPr>
          <w:rFonts w:ascii="Open Sans" w:hAnsi="Open Sans" w:cs="Open Sans"/>
          <w:color w:val="000000"/>
        </w:rPr>
        <w:t xml:space="preserve">Por otro lado, la provincia con </w:t>
      </w:r>
      <w:r>
        <w:rPr>
          <w:rFonts w:ascii="Open Sans" w:hAnsi="Open Sans" w:cs="Open Sans"/>
          <w:color w:val="000000"/>
        </w:rPr>
        <w:t>el</w:t>
      </w:r>
      <w:r w:rsidRPr="009E0905">
        <w:rPr>
          <w:rFonts w:ascii="Open Sans" w:hAnsi="Open Sans" w:cs="Open Sans"/>
          <w:color w:val="000000"/>
        </w:rPr>
        <w:t xml:space="preserve"> </w:t>
      </w:r>
      <w:r>
        <w:rPr>
          <w:rFonts w:ascii="Open Sans" w:hAnsi="Open Sans" w:cs="Open Sans"/>
          <w:color w:val="000000"/>
        </w:rPr>
        <w:t>descenso</w:t>
      </w:r>
      <w:r w:rsidRPr="009E0905">
        <w:rPr>
          <w:rFonts w:ascii="Open Sans" w:hAnsi="Open Sans" w:cs="Open Sans"/>
          <w:color w:val="000000"/>
        </w:rPr>
        <w:t xml:space="preserve"> más acusado es </w:t>
      </w:r>
      <w:r w:rsidRPr="00754C4B">
        <w:rPr>
          <w:rFonts w:ascii="Open Sans" w:hAnsi="Open Sans" w:cs="Open Sans"/>
          <w:color w:val="000000"/>
        </w:rPr>
        <w:t>Sevilla</w:t>
      </w:r>
      <w:r w:rsidRPr="009E0905">
        <w:rPr>
          <w:rFonts w:ascii="Open Sans" w:hAnsi="Open Sans" w:cs="Open Sans"/>
          <w:color w:val="000000"/>
        </w:rPr>
        <w:t xml:space="preserve">, que ha visto </w:t>
      </w:r>
      <w:r>
        <w:rPr>
          <w:rFonts w:ascii="Open Sans" w:hAnsi="Open Sans" w:cs="Open Sans"/>
          <w:color w:val="000000"/>
        </w:rPr>
        <w:t>caer</w:t>
      </w:r>
      <w:r w:rsidRPr="009E0905">
        <w:rPr>
          <w:rFonts w:ascii="Open Sans" w:hAnsi="Open Sans" w:cs="Open Sans"/>
          <w:color w:val="000000"/>
        </w:rPr>
        <w:t xml:space="preserve"> su </w:t>
      </w:r>
      <w:r>
        <w:rPr>
          <w:rFonts w:ascii="Open Sans" w:hAnsi="Open Sans" w:cs="Open Sans"/>
          <w:color w:val="000000"/>
        </w:rPr>
        <w:t>valor</w:t>
      </w:r>
      <w:r w:rsidRPr="009E0905">
        <w:rPr>
          <w:rFonts w:ascii="Open Sans" w:hAnsi="Open Sans" w:cs="Open Sans"/>
          <w:color w:val="000000"/>
        </w:rPr>
        <w:t xml:space="preserve"> un </w:t>
      </w:r>
      <w:r>
        <w:rPr>
          <w:rFonts w:ascii="Open Sans" w:hAnsi="Open Sans" w:cs="Open Sans"/>
          <w:color w:val="000000"/>
        </w:rPr>
        <w:t>-1,9</w:t>
      </w:r>
      <w:r w:rsidRPr="009E0905">
        <w:rPr>
          <w:rFonts w:ascii="Open Sans" w:hAnsi="Open Sans" w:cs="Open Sans"/>
          <w:color w:val="000000"/>
        </w:rPr>
        <w:t>%</w:t>
      </w:r>
      <w:r>
        <w:rPr>
          <w:rFonts w:ascii="Open Sans" w:hAnsi="Open Sans" w:cs="Open Sans"/>
          <w:color w:val="000000"/>
        </w:rPr>
        <w:t xml:space="preserve">. </w:t>
      </w:r>
    </w:p>
    <w:p w14:paraId="5945D207" w14:textId="77777777" w:rsidR="00291F66" w:rsidRDefault="00291F66" w:rsidP="00291F66">
      <w:pPr>
        <w:spacing w:line="276" w:lineRule="auto"/>
        <w:ind w:right="-574"/>
        <w:jc w:val="both"/>
        <w:rPr>
          <w:rFonts w:ascii="Open Sans" w:hAnsi="Open Sans" w:cs="Open Sans"/>
          <w:color w:val="000000"/>
        </w:rPr>
      </w:pPr>
    </w:p>
    <w:p w14:paraId="669745E2" w14:textId="77777777" w:rsidR="00291F66" w:rsidRDefault="00291F66" w:rsidP="00291F66">
      <w:pPr>
        <w:spacing w:line="276" w:lineRule="auto"/>
        <w:ind w:right="-574"/>
        <w:jc w:val="both"/>
        <w:rPr>
          <w:rFonts w:ascii="Open Sans" w:hAnsi="Open Sans" w:cs="Open Sans"/>
          <w:color w:val="000000"/>
        </w:rPr>
      </w:pPr>
      <w:r w:rsidRPr="004272DD">
        <w:rPr>
          <w:rFonts w:ascii="Open Sans" w:hAnsi="Open Sans" w:cs="Open Sans"/>
          <w:color w:val="000000"/>
        </w:rPr>
        <w:t xml:space="preserve">En cuanto </w:t>
      </w:r>
      <w:r>
        <w:rPr>
          <w:rFonts w:ascii="Open Sans" w:hAnsi="Open Sans" w:cs="Open Sans"/>
          <w:color w:val="000000"/>
        </w:rPr>
        <w:t>al ranking de precios por provincias, Málaga es la única que supera la barrera de los 2.000 euros, en concreto se paga 2.432 euros el metro cuadrado. Por otro lado, la provincia más económica es Jaén con 1.032 €</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w:t>
      </w:r>
    </w:p>
    <w:p w14:paraId="5460EC28" w14:textId="0516717B" w:rsidR="00291F66" w:rsidRDefault="00291F66" w:rsidP="00291F66">
      <w:pPr>
        <w:spacing w:line="276" w:lineRule="auto"/>
        <w:ind w:right="-574"/>
        <w:jc w:val="both"/>
        <w:rPr>
          <w:rFonts w:ascii="Open Sans" w:hAnsi="Open Sans" w:cs="Open Sans"/>
          <w:color w:val="000000"/>
        </w:rPr>
      </w:pPr>
    </w:p>
    <w:p w14:paraId="490C2D36" w14:textId="732F4CED" w:rsidR="00291F66" w:rsidRDefault="00291F66" w:rsidP="00291F66">
      <w:pPr>
        <w:spacing w:line="276" w:lineRule="auto"/>
        <w:ind w:right="-574"/>
        <w:jc w:val="both"/>
        <w:rPr>
          <w:rFonts w:ascii="Open Sans" w:hAnsi="Open Sans" w:cs="Open Sans"/>
          <w:color w:val="000000"/>
        </w:rPr>
      </w:pPr>
    </w:p>
    <w:p w14:paraId="78A717E8" w14:textId="77777777" w:rsidR="00291F66" w:rsidRDefault="00291F66" w:rsidP="00291F66">
      <w:pPr>
        <w:spacing w:line="276" w:lineRule="auto"/>
        <w:ind w:right="-574"/>
        <w:jc w:val="both"/>
        <w:rPr>
          <w:rFonts w:ascii="Open Sans" w:hAnsi="Open Sans" w:cs="Open Sans"/>
          <w:color w:val="000000"/>
        </w:rPr>
      </w:pPr>
    </w:p>
    <w:p w14:paraId="25509A71" w14:textId="77777777" w:rsidR="00291F66" w:rsidRDefault="00291F66" w:rsidP="00291F66">
      <w:pPr>
        <w:spacing w:line="276" w:lineRule="auto"/>
        <w:ind w:right="-574"/>
        <w:jc w:val="center"/>
        <w:rPr>
          <w:rFonts w:ascii="Open Sans Light" w:hAnsi="Open Sans Light" w:cs="Open Sans Light"/>
          <w:b/>
          <w:iCs/>
          <w:color w:val="303AB2"/>
          <w:sz w:val="28"/>
          <w:szCs w:val="22"/>
        </w:rPr>
      </w:pPr>
      <w:r w:rsidRPr="00C0175D">
        <w:rPr>
          <w:rFonts w:ascii="Open Sans Light" w:hAnsi="Open Sans Light" w:cs="Open Sans Light"/>
          <w:b/>
          <w:iCs/>
          <w:color w:val="303AB2"/>
          <w:sz w:val="28"/>
          <w:szCs w:val="22"/>
        </w:rPr>
        <w:lastRenderedPageBreak/>
        <w:t xml:space="preserve">Variaciones </w:t>
      </w:r>
      <w:r>
        <w:rPr>
          <w:rFonts w:ascii="Open Sans Light" w:hAnsi="Open Sans Light" w:cs="Open Sans Light"/>
          <w:b/>
          <w:iCs/>
          <w:color w:val="303AB2"/>
          <w:sz w:val="28"/>
          <w:szCs w:val="22"/>
        </w:rPr>
        <w:t>en el</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tercer trimestre por provincias</w:t>
      </w:r>
    </w:p>
    <w:p w14:paraId="2041A7B6" w14:textId="77777777" w:rsidR="00291F66" w:rsidRDefault="00291F66" w:rsidP="00291F66">
      <w:pPr>
        <w:spacing w:line="276" w:lineRule="auto"/>
        <w:ind w:right="-574"/>
        <w:jc w:val="center"/>
        <w:rPr>
          <w:rFonts w:ascii="Open Sans" w:hAnsi="Open Sans" w:cs="Open Sans"/>
          <w:color w:val="000000"/>
        </w:rPr>
      </w:pPr>
      <w:r>
        <w:rPr>
          <w:noProof/>
        </w:rPr>
        <w:drawing>
          <wp:inline distT="0" distB="0" distL="0" distR="0" wp14:anchorId="4D2D0601" wp14:editId="534C36E5">
            <wp:extent cx="4400550" cy="2781300"/>
            <wp:effectExtent l="0" t="0" r="0" b="0"/>
            <wp:docPr id="33" name="Imagen 33"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Mapa&#10;&#10;Descripción generada automáticamente"/>
                    <pic:cNvPicPr/>
                  </pic:nvPicPr>
                  <pic:blipFill>
                    <a:blip r:embed="rId18"/>
                    <a:stretch>
                      <a:fillRect/>
                    </a:stretch>
                  </pic:blipFill>
                  <pic:spPr>
                    <a:xfrm>
                      <a:off x="0" y="0"/>
                      <a:ext cx="4400550" cy="2781300"/>
                    </a:xfrm>
                    <a:prstGeom prst="rect">
                      <a:avLst/>
                    </a:prstGeom>
                  </pic:spPr>
                </pic:pic>
              </a:graphicData>
            </a:graphic>
          </wp:inline>
        </w:drawing>
      </w:r>
    </w:p>
    <w:p w14:paraId="11CBAF9C" w14:textId="77777777" w:rsidR="00291F66" w:rsidRDefault="00291F66" w:rsidP="00291F66">
      <w:pPr>
        <w:spacing w:line="276" w:lineRule="auto"/>
        <w:ind w:right="-574"/>
        <w:jc w:val="center"/>
        <w:rPr>
          <w:rFonts w:ascii="Open Sans" w:hAnsi="Open Sans" w:cs="Open Sans"/>
          <w:color w:val="000000"/>
        </w:rPr>
      </w:pPr>
    </w:p>
    <w:p w14:paraId="3F13CE25" w14:textId="77777777" w:rsidR="00291F66" w:rsidRPr="002C0C95" w:rsidRDefault="00291F66" w:rsidP="00291F66">
      <w:pPr>
        <w:spacing w:line="276" w:lineRule="auto"/>
        <w:ind w:right="-574"/>
        <w:rPr>
          <w:rFonts w:ascii="Open Sans Light" w:hAnsi="Open Sans Light" w:cs="Open Sans Light"/>
          <w:b/>
          <w:iCs/>
          <w:color w:val="303AB2"/>
          <w:szCs w:val="20"/>
          <w:lang w:val="es-ES"/>
        </w:rPr>
      </w:pPr>
      <w:r w:rsidRPr="002C0C95">
        <w:rPr>
          <w:rFonts w:ascii="Open Sans Light" w:hAnsi="Open Sans Light" w:cs="Open Sans Light"/>
          <w:b/>
          <w:iCs/>
          <w:color w:val="303AB2"/>
          <w:szCs w:val="20"/>
          <w:lang w:val="es-ES"/>
        </w:rPr>
        <w:t>Capitales de provincia</w:t>
      </w:r>
    </w:p>
    <w:p w14:paraId="75D8405F" w14:textId="77777777" w:rsidR="00291F66" w:rsidRPr="00753088" w:rsidRDefault="00291F66" w:rsidP="00291F66">
      <w:pPr>
        <w:spacing w:line="276" w:lineRule="auto"/>
        <w:ind w:right="-574"/>
        <w:rPr>
          <w:rFonts w:ascii="Open Sans Light" w:hAnsi="Open Sans Light" w:cs="Open Sans Light"/>
          <w:b/>
          <w:iCs/>
          <w:color w:val="303AB2"/>
          <w:sz w:val="28"/>
          <w:szCs w:val="22"/>
          <w:lang w:val="es-ES"/>
        </w:rPr>
      </w:pPr>
    </w:p>
    <w:p w14:paraId="2E59B18A" w14:textId="4F8D4E86" w:rsidR="00291F66" w:rsidRDefault="00291F66" w:rsidP="00291F66">
      <w:pPr>
        <w:spacing w:line="276" w:lineRule="auto"/>
        <w:ind w:right="-574"/>
        <w:jc w:val="both"/>
        <w:rPr>
          <w:rFonts w:ascii="Open Sans" w:hAnsi="Open Sans" w:cs="Open Sans"/>
          <w:color w:val="000000"/>
        </w:rPr>
      </w:pPr>
      <w:r>
        <w:rPr>
          <w:rFonts w:ascii="Open Sans" w:hAnsi="Open Sans" w:cs="Open Sans"/>
          <w:color w:val="000000"/>
        </w:rPr>
        <w:t>En cuanto a las capitales de provincia, en septiembre de 2021</w:t>
      </w:r>
      <w:r w:rsidRPr="00355CEF">
        <w:rPr>
          <w:rFonts w:ascii="Open Sans" w:hAnsi="Open Sans" w:cs="Open Sans"/>
          <w:color w:val="000000"/>
        </w:rPr>
        <w:t xml:space="preserve"> </w:t>
      </w:r>
      <w:r w:rsidRPr="009E0905">
        <w:rPr>
          <w:rFonts w:ascii="Open Sans" w:hAnsi="Open Sans" w:cs="Open Sans"/>
          <w:color w:val="000000"/>
        </w:rPr>
        <w:t>el precio de la vivienda</w:t>
      </w:r>
      <w:r>
        <w:rPr>
          <w:rFonts w:ascii="Open Sans" w:hAnsi="Open Sans" w:cs="Open Sans"/>
          <w:color w:val="000000"/>
        </w:rPr>
        <w:t xml:space="preserve"> trimestral</w:t>
      </w:r>
      <w:r w:rsidRPr="009E0905">
        <w:rPr>
          <w:rFonts w:ascii="Open Sans" w:hAnsi="Open Sans" w:cs="Open Sans"/>
          <w:color w:val="000000"/>
        </w:rPr>
        <w:t xml:space="preserve"> </w:t>
      </w:r>
      <w:r>
        <w:rPr>
          <w:rFonts w:ascii="Open Sans" w:hAnsi="Open Sans" w:cs="Open Sans"/>
          <w:color w:val="000000"/>
        </w:rPr>
        <w:t>desciende</w:t>
      </w:r>
      <w:r w:rsidRPr="009E0905">
        <w:rPr>
          <w:rFonts w:ascii="Open Sans" w:hAnsi="Open Sans" w:cs="Open Sans"/>
          <w:color w:val="000000"/>
        </w:rPr>
        <w:t xml:space="preserve"> en</w:t>
      </w:r>
      <w:r>
        <w:rPr>
          <w:rFonts w:ascii="Open Sans" w:hAnsi="Open Sans" w:cs="Open Sans"/>
          <w:color w:val="000000"/>
        </w:rPr>
        <w:t xml:space="preserve"> cinco</w:t>
      </w:r>
      <w:r w:rsidRPr="009E0905">
        <w:rPr>
          <w:rFonts w:ascii="Open Sans" w:hAnsi="Open Sans" w:cs="Open Sans"/>
          <w:color w:val="000000"/>
        </w:rPr>
        <w:t xml:space="preserve"> </w:t>
      </w:r>
      <w:r>
        <w:rPr>
          <w:rFonts w:ascii="Open Sans" w:hAnsi="Open Sans" w:cs="Open Sans"/>
          <w:color w:val="000000"/>
        </w:rPr>
        <w:t>municipios. Los descensos trimestrales van del -2,4% de Sevilla</w:t>
      </w:r>
      <w:r w:rsidRPr="00D74DA0">
        <w:rPr>
          <w:rFonts w:ascii="Open Sans" w:hAnsi="Open Sans" w:cs="Open Sans"/>
          <w:color w:val="000000"/>
        </w:rPr>
        <w:t xml:space="preserve"> </w:t>
      </w:r>
      <w:r>
        <w:rPr>
          <w:rFonts w:ascii="Open Sans" w:hAnsi="Open Sans" w:cs="Open Sans"/>
          <w:color w:val="000000"/>
        </w:rPr>
        <w:t>c</w:t>
      </w:r>
      <w:r w:rsidRPr="00D74DA0">
        <w:rPr>
          <w:rFonts w:ascii="Open Sans" w:hAnsi="Open Sans" w:cs="Open Sans"/>
          <w:color w:val="000000"/>
        </w:rPr>
        <w:t>apital</w:t>
      </w:r>
      <w:r>
        <w:rPr>
          <w:rFonts w:ascii="Open Sans" w:hAnsi="Open Sans" w:cs="Open Sans"/>
          <w:color w:val="000000"/>
        </w:rPr>
        <w:t xml:space="preserve"> hasta el -0,1% de </w:t>
      </w:r>
      <w:r w:rsidRPr="00996E78">
        <w:rPr>
          <w:rFonts w:ascii="Open Sans" w:hAnsi="Open Sans" w:cs="Open Sans"/>
          <w:color w:val="000000"/>
        </w:rPr>
        <w:t>Cádiz</w:t>
      </w:r>
      <w:r>
        <w:rPr>
          <w:rFonts w:ascii="Open Sans" w:hAnsi="Open Sans" w:cs="Open Sans"/>
          <w:color w:val="000000"/>
        </w:rPr>
        <w:t xml:space="preserve">. </w:t>
      </w:r>
      <w:r w:rsidRPr="00355CEF">
        <w:rPr>
          <w:rFonts w:ascii="Open Sans" w:hAnsi="Open Sans" w:cs="Open Sans"/>
          <w:color w:val="000000"/>
        </w:rPr>
        <w:t xml:space="preserve">Por otro lado, </w:t>
      </w:r>
      <w:r>
        <w:rPr>
          <w:rFonts w:ascii="Open Sans" w:hAnsi="Open Sans" w:cs="Open Sans"/>
          <w:color w:val="000000"/>
        </w:rPr>
        <w:t xml:space="preserve">en </w:t>
      </w:r>
      <w:r w:rsidRPr="00996E78">
        <w:rPr>
          <w:rFonts w:ascii="Open Sans" w:hAnsi="Open Sans" w:cs="Open Sans"/>
          <w:color w:val="000000"/>
        </w:rPr>
        <w:t xml:space="preserve">Málaga </w:t>
      </w:r>
      <w:r w:rsidRPr="00DD2B11">
        <w:rPr>
          <w:rFonts w:ascii="Open Sans" w:hAnsi="Open Sans" w:cs="Open Sans"/>
          <w:color w:val="000000"/>
        </w:rPr>
        <w:t>capital</w:t>
      </w:r>
      <w:r>
        <w:rPr>
          <w:rFonts w:ascii="Open Sans" w:hAnsi="Open Sans" w:cs="Open Sans"/>
          <w:color w:val="000000"/>
        </w:rPr>
        <w:t xml:space="preserve"> se</w:t>
      </w:r>
      <w:r w:rsidRPr="00355CEF">
        <w:rPr>
          <w:rFonts w:ascii="Open Sans" w:hAnsi="Open Sans" w:cs="Open Sans"/>
          <w:color w:val="000000"/>
        </w:rPr>
        <w:t xml:space="preserve"> </w:t>
      </w:r>
      <w:r>
        <w:rPr>
          <w:rFonts w:ascii="Open Sans" w:hAnsi="Open Sans" w:cs="Open Sans"/>
          <w:color w:val="000000"/>
        </w:rPr>
        <w:t>incrementa el precio de la vivienda trimestral</w:t>
      </w:r>
      <w:r w:rsidRPr="00355CEF">
        <w:rPr>
          <w:rFonts w:ascii="Open Sans" w:hAnsi="Open Sans" w:cs="Open Sans"/>
          <w:color w:val="000000"/>
        </w:rPr>
        <w:t xml:space="preserve"> en </w:t>
      </w:r>
      <w:r>
        <w:rPr>
          <w:rFonts w:ascii="Open Sans" w:hAnsi="Open Sans" w:cs="Open Sans"/>
          <w:color w:val="000000"/>
        </w:rPr>
        <w:t>septiembre</w:t>
      </w:r>
      <w:r w:rsidRPr="00355CEF">
        <w:rPr>
          <w:rFonts w:ascii="Open Sans" w:hAnsi="Open Sans" w:cs="Open Sans"/>
          <w:color w:val="000000"/>
        </w:rPr>
        <w:t xml:space="preserve"> un</w:t>
      </w:r>
      <w:r>
        <w:rPr>
          <w:rFonts w:ascii="Open Sans" w:hAnsi="Open Sans" w:cs="Open Sans"/>
          <w:color w:val="000000"/>
        </w:rPr>
        <w:t xml:space="preserve"> 2,3</w:t>
      </w:r>
      <w:r w:rsidRPr="00355CEF">
        <w:rPr>
          <w:rFonts w:ascii="Open Sans" w:hAnsi="Open Sans" w:cs="Open Sans"/>
          <w:color w:val="000000"/>
        </w:rPr>
        <w:t>%</w:t>
      </w:r>
      <w:r>
        <w:rPr>
          <w:rFonts w:ascii="Open Sans" w:hAnsi="Open Sans" w:cs="Open Sans"/>
          <w:color w:val="000000"/>
        </w:rPr>
        <w:t xml:space="preserve">, seguida de </w:t>
      </w:r>
      <w:r w:rsidRPr="00996E78">
        <w:rPr>
          <w:rFonts w:ascii="Open Sans" w:hAnsi="Open Sans" w:cs="Open Sans"/>
          <w:color w:val="000000"/>
        </w:rPr>
        <w:t xml:space="preserve">Córdoba </w:t>
      </w:r>
      <w:r>
        <w:rPr>
          <w:rFonts w:ascii="Open Sans" w:hAnsi="Open Sans" w:cs="Open Sans"/>
          <w:color w:val="000000"/>
        </w:rPr>
        <w:t>c</w:t>
      </w:r>
      <w:r w:rsidRPr="0039610D">
        <w:rPr>
          <w:rFonts w:ascii="Open Sans" w:hAnsi="Open Sans" w:cs="Open Sans"/>
          <w:color w:val="000000"/>
        </w:rPr>
        <w:t>apital</w:t>
      </w:r>
      <w:r>
        <w:rPr>
          <w:rFonts w:ascii="Open Sans" w:hAnsi="Open Sans" w:cs="Open Sans"/>
          <w:color w:val="000000"/>
        </w:rPr>
        <w:t xml:space="preserve"> (2%) y </w:t>
      </w:r>
      <w:r w:rsidRPr="00996E78">
        <w:rPr>
          <w:rFonts w:ascii="Open Sans" w:hAnsi="Open Sans" w:cs="Open Sans"/>
          <w:color w:val="000000"/>
        </w:rPr>
        <w:t xml:space="preserve">Jaén </w:t>
      </w:r>
      <w:r>
        <w:rPr>
          <w:rFonts w:ascii="Open Sans" w:hAnsi="Open Sans" w:cs="Open Sans"/>
          <w:color w:val="000000"/>
        </w:rPr>
        <w:t>c</w:t>
      </w:r>
      <w:r w:rsidRPr="0039610D">
        <w:rPr>
          <w:rFonts w:ascii="Open Sans" w:hAnsi="Open Sans" w:cs="Open Sans"/>
          <w:color w:val="000000"/>
        </w:rPr>
        <w:t>apital</w:t>
      </w:r>
      <w:r>
        <w:rPr>
          <w:rFonts w:ascii="Open Sans" w:hAnsi="Open Sans" w:cs="Open Sans"/>
          <w:color w:val="000000"/>
        </w:rPr>
        <w:t xml:space="preserve"> (1,5%). La capital más cara para comprar una vivienda de segunda mano es Cádiz capital con 2.522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Le siguen, </w:t>
      </w:r>
      <w:r w:rsidRPr="008F2DF9">
        <w:rPr>
          <w:rFonts w:ascii="Open Sans" w:hAnsi="Open Sans" w:cs="Open Sans"/>
          <w:color w:val="000000"/>
        </w:rPr>
        <w:t xml:space="preserve">Málaga capital </w:t>
      </w:r>
      <w:r>
        <w:rPr>
          <w:rFonts w:ascii="Open Sans" w:hAnsi="Open Sans" w:cs="Open Sans"/>
          <w:color w:val="000000"/>
        </w:rPr>
        <w:t>con 2.430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y</w:t>
      </w:r>
      <w:r w:rsidRPr="00144279">
        <w:rPr>
          <w:rFonts w:ascii="Open Sans" w:hAnsi="Open Sans" w:cs="Open Sans"/>
          <w:color w:val="000000"/>
        </w:rPr>
        <w:t xml:space="preserve"> </w:t>
      </w:r>
      <w:r>
        <w:rPr>
          <w:rFonts w:ascii="Open Sans" w:hAnsi="Open Sans" w:cs="Open Sans"/>
          <w:color w:val="000000"/>
        </w:rPr>
        <w:t>Sevilla con 2.083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Light" w:hAnsi="Open Sans Light" w:cs="Open Sans Light"/>
          <w:bCs/>
          <w:iCs/>
          <w:color w:val="000000" w:themeColor="text1"/>
          <w:sz w:val="28"/>
          <w:szCs w:val="22"/>
        </w:rPr>
        <w:t xml:space="preserve">. </w:t>
      </w:r>
      <w:r>
        <w:rPr>
          <w:rFonts w:ascii="Open Sans" w:hAnsi="Open Sans" w:cs="Open Sans"/>
          <w:color w:val="000000"/>
        </w:rPr>
        <w:t xml:space="preserve">Por otro lado, la capital más económica es Huelva con 1.230 euros el metro cuadrado. </w:t>
      </w:r>
    </w:p>
    <w:p w14:paraId="41FCB581" w14:textId="77777777" w:rsidR="00291F66" w:rsidRDefault="00291F66" w:rsidP="00291F66">
      <w:pPr>
        <w:spacing w:line="276" w:lineRule="auto"/>
        <w:ind w:right="-574"/>
        <w:jc w:val="both"/>
        <w:rPr>
          <w:rFonts w:ascii="Open Sans Light" w:hAnsi="Open Sans Light" w:cs="Open Sans Light"/>
          <w:b/>
          <w:iCs/>
          <w:color w:val="303AB2"/>
          <w:sz w:val="28"/>
          <w:szCs w:val="22"/>
        </w:rPr>
      </w:pPr>
      <w:r>
        <w:rPr>
          <w:rFonts w:ascii="Open Sans" w:hAnsi="Open Sans" w:cs="Open Sans"/>
          <w:color w:val="000000"/>
        </w:rPr>
        <w:t xml:space="preserve"> </w:t>
      </w:r>
    </w:p>
    <w:p w14:paraId="16CBDC73" w14:textId="77777777" w:rsidR="00291F66" w:rsidRPr="002C0C95" w:rsidRDefault="00291F66" w:rsidP="00291F66">
      <w:pPr>
        <w:spacing w:line="276" w:lineRule="auto"/>
        <w:ind w:right="-574"/>
        <w:rPr>
          <w:rFonts w:ascii="Open Sans Light" w:hAnsi="Open Sans Light" w:cs="Open Sans Light"/>
          <w:b/>
          <w:iCs/>
          <w:color w:val="303AB2"/>
          <w:szCs w:val="20"/>
          <w:lang w:val="es-ES"/>
        </w:rPr>
      </w:pPr>
      <w:r w:rsidRPr="002C0C95">
        <w:rPr>
          <w:rFonts w:ascii="Open Sans Light" w:hAnsi="Open Sans Light" w:cs="Open Sans Light"/>
          <w:b/>
          <w:iCs/>
          <w:color w:val="303AB2"/>
          <w:szCs w:val="20"/>
          <w:lang w:val="es-ES"/>
        </w:rPr>
        <w:t>Municipios</w:t>
      </w:r>
    </w:p>
    <w:p w14:paraId="7287574C" w14:textId="52192954" w:rsidR="00291F66" w:rsidRDefault="00291F66" w:rsidP="00291F66">
      <w:pPr>
        <w:pStyle w:val="NormalWeb"/>
        <w:spacing w:after="225" w:line="276" w:lineRule="auto"/>
        <w:ind w:right="-574"/>
        <w:jc w:val="both"/>
        <w:rPr>
          <w:rFonts w:ascii="Open Sans" w:hAnsi="Open Sans" w:cs="Open Sans"/>
          <w:color w:val="000000"/>
        </w:rPr>
      </w:pPr>
      <w:r w:rsidRPr="00753088">
        <w:rPr>
          <w:rFonts w:ascii="Open Sans" w:hAnsi="Open Sans" w:cs="Open Sans"/>
          <w:color w:val="000000"/>
        </w:rPr>
        <w:t>El precio medio de la vivienda</w:t>
      </w:r>
      <w:r>
        <w:rPr>
          <w:rFonts w:ascii="Open Sans" w:hAnsi="Open Sans" w:cs="Open Sans"/>
          <w:color w:val="000000"/>
        </w:rPr>
        <w:t xml:space="preserve"> trimestral </w:t>
      </w:r>
      <w:r w:rsidRPr="00753088">
        <w:rPr>
          <w:rFonts w:ascii="Open Sans" w:hAnsi="Open Sans" w:cs="Open Sans"/>
          <w:color w:val="000000"/>
        </w:rPr>
        <w:t xml:space="preserve">de segunda mano </w:t>
      </w:r>
      <w:r>
        <w:rPr>
          <w:rFonts w:ascii="Open Sans" w:hAnsi="Open Sans" w:cs="Open Sans"/>
          <w:color w:val="000000"/>
        </w:rPr>
        <w:t>sube</w:t>
      </w:r>
      <w:r w:rsidRPr="00753088">
        <w:rPr>
          <w:rFonts w:ascii="Open Sans" w:hAnsi="Open Sans" w:cs="Open Sans"/>
          <w:color w:val="000000"/>
        </w:rPr>
        <w:t xml:space="preserve"> en </w:t>
      </w:r>
      <w:r>
        <w:rPr>
          <w:rFonts w:ascii="Open Sans" w:hAnsi="Open Sans" w:cs="Open Sans"/>
          <w:color w:val="000000"/>
        </w:rPr>
        <w:t xml:space="preserve">el 56% </w:t>
      </w:r>
      <w:r w:rsidRPr="00753088">
        <w:rPr>
          <w:rFonts w:ascii="Open Sans" w:hAnsi="Open Sans" w:cs="Open Sans"/>
          <w:color w:val="000000"/>
        </w:rPr>
        <w:t xml:space="preserve">de los </w:t>
      </w:r>
      <w:r>
        <w:rPr>
          <w:rFonts w:ascii="Open Sans" w:hAnsi="Open Sans" w:cs="Open Sans"/>
          <w:color w:val="000000"/>
        </w:rPr>
        <w:t xml:space="preserve">119 </w:t>
      </w:r>
      <w:r w:rsidRPr="00753088">
        <w:rPr>
          <w:rFonts w:ascii="Open Sans" w:hAnsi="Open Sans" w:cs="Open Sans"/>
          <w:color w:val="000000"/>
        </w:rPr>
        <w:t xml:space="preserve">municipios analizados por </w:t>
      </w:r>
      <w:hyperlink r:id="rId19" w:history="1">
        <w:r w:rsidRPr="00B10769">
          <w:rPr>
            <w:rStyle w:val="Hipervnculo"/>
            <w:rFonts w:ascii="Open Sans" w:hAnsi="Open Sans" w:cs="Open Sans"/>
            <w:b/>
            <w:bCs/>
          </w:rPr>
          <w:t>Fotocasa</w:t>
        </w:r>
      </w:hyperlink>
      <w:r w:rsidRPr="00753088">
        <w:rPr>
          <w:rFonts w:ascii="Open Sans" w:hAnsi="Open Sans" w:cs="Open Sans"/>
          <w:color w:val="000000"/>
        </w:rPr>
        <w:t xml:space="preserve">. </w:t>
      </w:r>
      <w:r>
        <w:rPr>
          <w:rFonts w:ascii="Open Sans" w:hAnsi="Open Sans" w:cs="Open Sans"/>
          <w:color w:val="000000"/>
        </w:rPr>
        <w:t>En Málaga</w:t>
      </w:r>
      <w:r w:rsidRPr="004F2CB4">
        <w:rPr>
          <w:rFonts w:ascii="Open Sans" w:hAnsi="Open Sans" w:cs="Open Sans"/>
          <w:color w:val="000000"/>
        </w:rPr>
        <w:t xml:space="preserve"> </w:t>
      </w:r>
      <w:r>
        <w:rPr>
          <w:rFonts w:ascii="Open Sans" w:hAnsi="Open Sans" w:cs="Open Sans"/>
          <w:color w:val="000000"/>
        </w:rPr>
        <w:t xml:space="preserve">se detecta el mayor incremento trimestral, en concreto el 83,2% detectado en el municipio de Ojén. Le sigue el municipio de </w:t>
      </w:r>
      <w:r w:rsidRPr="004F2CB4">
        <w:rPr>
          <w:rFonts w:ascii="Open Sans" w:hAnsi="Open Sans" w:cs="Open Sans"/>
          <w:color w:val="000000"/>
        </w:rPr>
        <w:t xml:space="preserve">Ayamonte </w:t>
      </w:r>
      <w:r>
        <w:rPr>
          <w:rFonts w:ascii="Open Sans" w:hAnsi="Open Sans" w:cs="Open Sans"/>
          <w:color w:val="000000"/>
        </w:rPr>
        <w:t xml:space="preserve">con 12,4% y </w:t>
      </w:r>
      <w:proofErr w:type="spellStart"/>
      <w:r w:rsidRPr="004F2CB4">
        <w:rPr>
          <w:rFonts w:ascii="Open Sans" w:hAnsi="Open Sans" w:cs="Open Sans"/>
          <w:color w:val="000000"/>
        </w:rPr>
        <w:t>Mojácar</w:t>
      </w:r>
      <w:proofErr w:type="spellEnd"/>
      <w:r w:rsidRPr="004F2CB4">
        <w:rPr>
          <w:rFonts w:ascii="Open Sans" w:hAnsi="Open Sans" w:cs="Open Sans"/>
          <w:color w:val="000000"/>
        </w:rPr>
        <w:t xml:space="preserve"> </w:t>
      </w:r>
      <w:r>
        <w:rPr>
          <w:rFonts w:ascii="Open Sans" w:hAnsi="Open Sans" w:cs="Open Sans"/>
          <w:color w:val="000000"/>
        </w:rPr>
        <w:t xml:space="preserve">con 10,6%.  El municipio de </w:t>
      </w:r>
      <w:r w:rsidRPr="008F448E">
        <w:rPr>
          <w:rFonts w:ascii="Open Sans" w:hAnsi="Open Sans" w:cs="Open Sans"/>
          <w:color w:val="000000"/>
        </w:rPr>
        <w:t xml:space="preserve">Ojén </w:t>
      </w:r>
      <w:r>
        <w:rPr>
          <w:rFonts w:ascii="Open Sans" w:hAnsi="Open Sans" w:cs="Open Sans"/>
          <w:color w:val="000000"/>
        </w:rPr>
        <w:t>es el único municipio que supera los 4.000 euros</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rPr>
        <w:t xml:space="preserve"> con 4.792 euros</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rPr>
        <w:t xml:space="preserve">. </w:t>
      </w:r>
      <w:r w:rsidRPr="00653471">
        <w:rPr>
          <w:rFonts w:ascii="Open Sans" w:hAnsi="Open Sans" w:cs="Open Sans"/>
          <w:color w:val="000000"/>
        </w:rPr>
        <w:t xml:space="preserve">Por otro lado, </w:t>
      </w:r>
      <w:r>
        <w:rPr>
          <w:rFonts w:ascii="Open Sans" w:hAnsi="Open Sans" w:cs="Open Sans"/>
          <w:color w:val="000000"/>
        </w:rPr>
        <w:t>el 32% de las ciudades no superan los 1.000 euros</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rPr>
        <w:t>, el 58% se encuentra entre los 1.000 y 2.000 euros</w:t>
      </w:r>
      <w:r w:rsidRPr="006D0120">
        <w:rPr>
          <w:rFonts w:ascii="Open Sans" w:hAnsi="Open Sans" w:cs="Open Sans"/>
          <w:color w:val="000000"/>
        </w:rPr>
        <w:t>/m</w:t>
      </w:r>
      <w:r w:rsidRPr="006D0120">
        <w:rPr>
          <w:rFonts w:ascii="Open Sans" w:hAnsi="Open Sans" w:cs="Open Sans"/>
          <w:color w:val="000000"/>
          <w:vertAlign w:val="superscript"/>
        </w:rPr>
        <w:t>2</w:t>
      </w:r>
      <w:r w:rsidRPr="0068178C">
        <w:rPr>
          <w:rFonts w:ascii="Open Sans" w:hAnsi="Open Sans" w:cs="Open Sans"/>
          <w:color w:val="000000"/>
        </w:rPr>
        <w:t>;</w:t>
      </w:r>
      <w:r>
        <w:rPr>
          <w:rFonts w:ascii="Open Sans" w:hAnsi="Open Sans" w:cs="Open Sans"/>
          <w:color w:val="000000"/>
          <w:vertAlign w:val="superscript"/>
        </w:rPr>
        <w:t xml:space="preserve"> </w:t>
      </w:r>
      <w:r w:rsidRPr="0068178C">
        <w:rPr>
          <w:rFonts w:ascii="Open Sans" w:hAnsi="Open Sans" w:cs="Open Sans"/>
          <w:color w:val="000000"/>
        </w:rPr>
        <w:t xml:space="preserve">y tan solo el </w:t>
      </w:r>
      <w:r>
        <w:rPr>
          <w:rFonts w:ascii="Open Sans" w:hAnsi="Open Sans" w:cs="Open Sans"/>
          <w:color w:val="000000"/>
        </w:rPr>
        <w:t>16</w:t>
      </w:r>
      <w:r w:rsidRPr="0068178C">
        <w:rPr>
          <w:rFonts w:ascii="Open Sans" w:hAnsi="Open Sans" w:cs="Open Sans"/>
          <w:color w:val="000000"/>
        </w:rPr>
        <w:t>%</w:t>
      </w:r>
      <w:r>
        <w:rPr>
          <w:rFonts w:ascii="Open Sans" w:hAnsi="Open Sans" w:cs="Open Sans"/>
          <w:color w:val="000000"/>
        </w:rPr>
        <w:t xml:space="preserve"> de los municipios están por encima de los 2.000 euros</w:t>
      </w:r>
      <w:r w:rsidRPr="006D0120">
        <w:rPr>
          <w:rFonts w:ascii="Open Sans" w:hAnsi="Open Sans" w:cs="Open Sans"/>
          <w:color w:val="000000"/>
        </w:rPr>
        <w:t>/m</w:t>
      </w:r>
      <w:r w:rsidRPr="006D0120">
        <w:rPr>
          <w:rFonts w:ascii="Open Sans" w:hAnsi="Open Sans" w:cs="Open Sans"/>
          <w:color w:val="000000"/>
          <w:vertAlign w:val="superscript"/>
        </w:rPr>
        <w:t>2</w:t>
      </w:r>
      <w:r w:rsidRPr="0068178C">
        <w:rPr>
          <w:rFonts w:ascii="Open Sans" w:hAnsi="Open Sans" w:cs="Open Sans"/>
          <w:color w:val="000000"/>
        </w:rPr>
        <w:t>.</w:t>
      </w:r>
    </w:p>
    <w:p w14:paraId="51028120" w14:textId="4CC7AE95" w:rsidR="005702D4" w:rsidRDefault="005702D4" w:rsidP="005702D4">
      <w:pPr>
        <w:spacing w:line="276" w:lineRule="auto"/>
        <w:ind w:right="-574"/>
        <w:rPr>
          <w:rFonts w:ascii="National" w:eastAsia="National" w:hAnsi="National" w:cs="National"/>
          <w:b/>
          <w:color w:val="1DBDC5"/>
          <w:sz w:val="30"/>
          <w:szCs w:val="30"/>
        </w:rPr>
      </w:pPr>
      <w:r>
        <w:rPr>
          <w:rFonts w:ascii="National" w:eastAsia="National" w:hAnsi="National" w:cs="National"/>
          <w:b/>
          <w:color w:val="1DBDC5"/>
          <w:sz w:val="30"/>
          <w:szCs w:val="30"/>
        </w:rPr>
        <w:lastRenderedPageBreak/>
        <w:t>PRECIO Y EVOLUCIÓN DE</w:t>
      </w:r>
      <w:r w:rsidR="00D841E5">
        <w:rPr>
          <w:rFonts w:ascii="National" w:eastAsia="National" w:hAnsi="National" w:cs="National"/>
          <w:b/>
          <w:color w:val="1DBDC5"/>
          <w:sz w:val="30"/>
          <w:szCs w:val="30"/>
        </w:rPr>
        <w:t>L PRECIO DE</w:t>
      </w:r>
      <w:r>
        <w:rPr>
          <w:rFonts w:ascii="National" w:eastAsia="National" w:hAnsi="National" w:cs="National"/>
          <w:b/>
          <w:color w:val="1DBDC5"/>
          <w:sz w:val="30"/>
          <w:szCs w:val="30"/>
        </w:rPr>
        <w:t xml:space="preserve"> LA VIVIENDA EN ALQUILER</w:t>
      </w:r>
    </w:p>
    <w:p w14:paraId="18C6C8F8" w14:textId="77777777" w:rsidR="005702D4" w:rsidRDefault="005702D4" w:rsidP="008E6F4B">
      <w:pPr>
        <w:spacing w:line="276" w:lineRule="auto"/>
        <w:ind w:right="-574"/>
        <w:jc w:val="both"/>
        <w:rPr>
          <w:rFonts w:ascii="Open Sans Light" w:eastAsia="Open Sans Light" w:hAnsi="Open Sans Light" w:cs="Open Sans Light"/>
          <w:b/>
          <w:color w:val="303AB2"/>
        </w:rPr>
      </w:pPr>
    </w:p>
    <w:p w14:paraId="48DFB019" w14:textId="5726A8E7" w:rsidR="004D7BDF" w:rsidRPr="002C0C95" w:rsidRDefault="002C0C95" w:rsidP="008E6F4B">
      <w:pPr>
        <w:spacing w:line="276" w:lineRule="auto"/>
        <w:ind w:right="-574"/>
        <w:jc w:val="both"/>
        <w:rPr>
          <w:rFonts w:ascii="Open Sans Light" w:eastAsia="Open Sans Light" w:hAnsi="Open Sans Light" w:cs="Open Sans Light"/>
          <w:b/>
          <w:color w:val="303AB2"/>
          <w:sz w:val="26"/>
          <w:szCs w:val="26"/>
        </w:rPr>
      </w:pPr>
      <w:bookmarkStart w:id="1" w:name="_Hlk86652634"/>
      <w:r w:rsidRPr="002C0C95">
        <w:rPr>
          <w:rFonts w:ascii="Open Sans Light" w:eastAsia="Open Sans Light" w:hAnsi="Open Sans Light" w:cs="Open Sans Light"/>
          <w:b/>
          <w:color w:val="303AB2"/>
          <w:sz w:val="26"/>
          <w:szCs w:val="26"/>
        </w:rPr>
        <w:t>El alquiler ha subido un 35% en los últimos 5 años en Andalucía</w:t>
      </w:r>
      <w:bookmarkEnd w:id="1"/>
    </w:p>
    <w:p w14:paraId="16805312" w14:textId="1E0821BE" w:rsidR="004D7BDF" w:rsidRDefault="004D7BDF" w:rsidP="008E6F4B">
      <w:pPr>
        <w:spacing w:line="276" w:lineRule="auto"/>
        <w:ind w:right="-574"/>
        <w:jc w:val="both"/>
        <w:rPr>
          <w:rFonts w:ascii="Open Sans Light" w:eastAsia="Open Sans Light" w:hAnsi="Open Sans Light" w:cs="Open Sans Light"/>
          <w:b/>
          <w:color w:val="303AB2"/>
        </w:rPr>
      </w:pPr>
    </w:p>
    <w:p w14:paraId="390340E1" w14:textId="46B59DE8" w:rsidR="002C0C95" w:rsidRDefault="002C0C95" w:rsidP="008E6F4B">
      <w:pPr>
        <w:spacing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precio acumulativo de la vivienda en alquiler </w:t>
      </w:r>
      <w:r w:rsidRPr="008D20D0">
        <w:rPr>
          <w:rFonts w:ascii="Open Sans" w:hAnsi="Open Sans" w:cs="Open Sans"/>
          <w:color w:val="0D0D0D" w:themeColor="text1" w:themeTint="F2"/>
          <w:sz w:val="22"/>
          <w:szCs w:val="22"/>
        </w:rPr>
        <w:t xml:space="preserve">ha </w:t>
      </w:r>
      <w:r>
        <w:rPr>
          <w:rFonts w:ascii="Open Sans" w:hAnsi="Open Sans" w:cs="Open Sans"/>
          <w:color w:val="0D0D0D" w:themeColor="text1" w:themeTint="F2"/>
          <w:sz w:val="22"/>
          <w:szCs w:val="22"/>
        </w:rPr>
        <w:t>subido</w:t>
      </w:r>
      <w:r w:rsidRPr="008D20D0">
        <w:rPr>
          <w:rFonts w:ascii="Open Sans" w:hAnsi="Open Sans" w:cs="Open Sans"/>
          <w:color w:val="0D0D0D" w:themeColor="text1" w:themeTint="F2"/>
          <w:sz w:val="22"/>
          <w:szCs w:val="22"/>
        </w:rPr>
        <w:t xml:space="preserve"> en </w:t>
      </w:r>
      <w:r w:rsidRPr="00E769C3">
        <w:rPr>
          <w:rFonts w:ascii="Open Sans" w:hAnsi="Open Sans" w:cs="Open Sans"/>
          <w:color w:val="000000"/>
          <w:sz w:val="22"/>
          <w:szCs w:val="22"/>
        </w:rPr>
        <w:t>Andalucía</w:t>
      </w:r>
      <w:r>
        <w:rPr>
          <w:rFonts w:ascii="Open Sans" w:hAnsi="Open Sans" w:cs="Open Sans"/>
          <w:color w:val="000000"/>
          <w:sz w:val="22"/>
          <w:szCs w:val="22"/>
        </w:rPr>
        <w:t xml:space="preserve"> un 35% en 5 años y un 27% en 10 años, sin embargo, el valor de hace un año ha caído un -2%.</w:t>
      </w:r>
    </w:p>
    <w:p w14:paraId="4077AB2B" w14:textId="77777777" w:rsidR="002C0C95" w:rsidRDefault="002C0C95" w:rsidP="008E6F4B">
      <w:pPr>
        <w:spacing w:line="276" w:lineRule="auto"/>
        <w:ind w:right="-574"/>
        <w:jc w:val="both"/>
        <w:rPr>
          <w:rFonts w:ascii="Open Sans" w:hAnsi="Open Sans" w:cs="Open Sans"/>
          <w:color w:val="000000"/>
          <w:sz w:val="22"/>
          <w:szCs w:val="22"/>
        </w:rPr>
      </w:pPr>
    </w:p>
    <w:p w14:paraId="3C2194A8" w14:textId="49EE5AF3" w:rsidR="002C0C95" w:rsidRDefault="002C0C95" w:rsidP="008E6F4B">
      <w:pPr>
        <w:spacing w:line="276" w:lineRule="auto"/>
        <w:ind w:right="-574"/>
        <w:jc w:val="both"/>
        <w:rPr>
          <w:rFonts w:ascii="Open Sans Light" w:eastAsia="Open Sans Light" w:hAnsi="Open Sans Light" w:cs="Open Sans Light"/>
          <w:b/>
          <w:color w:val="303AB2"/>
        </w:rPr>
      </w:pPr>
      <w:r>
        <w:rPr>
          <w:noProof/>
        </w:rPr>
        <w:drawing>
          <wp:inline distT="0" distB="0" distL="0" distR="0" wp14:anchorId="1E68EF45" wp14:editId="336BB96F">
            <wp:extent cx="5396230" cy="3156585"/>
            <wp:effectExtent l="0" t="0" r="0" b="5715"/>
            <wp:docPr id="3"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barras&#10;&#10;Descripción generada automáticamente"/>
                    <pic:cNvPicPr/>
                  </pic:nvPicPr>
                  <pic:blipFill>
                    <a:blip r:embed="rId20"/>
                    <a:stretch>
                      <a:fillRect/>
                    </a:stretch>
                  </pic:blipFill>
                  <pic:spPr>
                    <a:xfrm>
                      <a:off x="0" y="0"/>
                      <a:ext cx="5396230" cy="3156585"/>
                    </a:xfrm>
                    <a:prstGeom prst="rect">
                      <a:avLst/>
                    </a:prstGeom>
                  </pic:spPr>
                </pic:pic>
              </a:graphicData>
            </a:graphic>
          </wp:inline>
        </w:drawing>
      </w:r>
    </w:p>
    <w:p w14:paraId="37584FDB" w14:textId="77777777" w:rsidR="002C0C95" w:rsidRDefault="002C0C95" w:rsidP="002C0C95">
      <w:pPr>
        <w:pStyle w:val="NormalWeb"/>
        <w:shd w:val="clear" w:color="auto" w:fill="FFFFFF"/>
        <w:spacing w:after="225" w:line="276" w:lineRule="auto"/>
        <w:ind w:right="-574"/>
        <w:jc w:val="both"/>
        <w:rPr>
          <w:rFonts w:ascii="Open Sans" w:hAnsi="Open Sans" w:cs="Open Sans"/>
          <w:color w:val="000000" w:themeColor="text1"/>
          <w:sz w:val="22"/>
          <w:szCs w:val="22"/>
        </w:rPr>
      </w:pPr>
      <w:r>
        <w:rPr>
          <w:rFonts w:ascii="Open Sans" w:hAnsi="Open Sans" w:cs="Open Sans"/>
          <w:color w:val="000000" w:themeColor="text1"/>
          <w:sz w:val="22"/>
          <w:szCs w:val="22"/>
        </w:rPr>
        <w:t>A</w:t>
      </w:r>
      <w:r w:rsidRPr="008D1286">
        <w:rPr>
          <w:rFonts w:ascii="Open Sans" w:hAnsi="Open Sans" w:cs="Open Sans"/>
          <w:color w:val="000000" w:themeColor="text1"/>
          <w:sz w:val="22"/>
          <w:szCs w:val="22"/>
        </w:rPr>
        <w:t xml:space="preserve">nalizando los incrementos porcentuales acumulados </w:t>
      </w:r>
      <w:r>
        <w:rPr>
          <w:rFonts w:ascii="Open Sans" w:hAnsi="Open Sans" w:cs="Open Sans"/>
          <w:b/>
          <w:bCs/>
          <w:color w:val="000000" w:themeColor="text1"/>
          <w:sz w:val="22"/>
          <w:szCs w:val="22"/>
        </w:rPr>
        <w:t>desde 2016</w:t>
      </w:r>
      <w:r w:rsidRPr="008D1286">
        <w:rPr>
          <w:rFonts w:ascii="Open Sans" w:hAnsi="Open Sans" w:cs="Open Sans"/>
          <w:b/>
          <w:bCs/>
          <w:color w:val="000000" w:themeColor="text1"/>
          <w:sz w:val="22"/>
          <w:szCs w:val="22"/>
        </w:rPr>
        <w:t xml:space="preserve">, el precio medio del metro cuadrado de la vivienda en </w:t>
      </w:r>
      <w:r>
        <w:rPr>
          <w:rFonts w:ascii="Open Sans" w:hAnsi="Open Sans" w:cs="Open Sans"/>
          <w:b/>
          <w:bCs/>
          <w:color w:val="000000" w:themeColor="text1"/>
          <w:sz w:val="22"/>
          <w:szCs w:val="22"/>
        </w:rPr>
        <w:t>alquiler</w:t>
      </w:r>
      <w:r w:rsidRPr="008D1286">
        <w:rPr>
          <w:rFonts w:ascii="Open Sans" w:hAnsi="Open Sans" w:cs="Open Sans"/>
          <w:b/>
          <w:bCs/>
          <w:color w:val="000000" w:themeColor="text1"/>
          <w:sz w:val="22"/>
          <w:szCs w:val="22"/>
        </w:rPr>
        <w:t xml:space="preserve"> ha </w:t>
      </w:r>
      <w:r>
        <w:rPr>
          <w:rFonts w:ascii="Open Sans" w:hAnsi="Open Sans" w:cs="Open Sans"/>
          <w:b/>
          <w:bCs/>
          <w:color w:val="000000" w:themeColor="text1"/>
          <w:sz w:val="22"/>
          <w:szCs w:val="22"/>
        </w:rPr>
        <w:t>aumentado</w:t>
      </w:r>
      <w:r w:rsidRPr="008D1286">
        <w:rPr>
          <w:rFonts w:ascii="Open Sans" w:hAnsi="Open Sans" w:cs="Open Sans"/>
          <w:b/>
          <w:bCs/>
          <w:color w:val="000000" w:themeColor="text1"/>
          <w:sz w:val="22"/>
          <w:szCs w:val="22"/>
        </w:rPr>
        <w:t xml:space="preserve"> un </w:t>
      </w:r>
      <w:r>
        <w:rPr>
          <w:rFonts w:ascii="Open Sans" w:hAnsi="Open Sans" w:cs="Open Sans"/>
          <w:b/>
          <w:bCs/>
          <w:color w:val="000000" w:themeColor="text1"/>
          <w:sz w:val="22"/>
          <w:szCs w:val="22"/>
        </w:rPr>
        <w:t>35</w:t>
      </w:r>
      <w:r w:rsidRPr="008D1286">
        <w:rPr>
          <w:rFonts w:ascii="Open Sans" w:hAnsi="Open Sans" w:cs="Open Sans"/>
          <w:b/>
          <w:bCs/>
          <w:color w:val="000000" w:themeColor="text1"/>
          <w:sz w:val="22"/>
          <w:szCs w:val="22"/>
        </w:rPr>
        <w:t xml:space="preserve">% en </w:t>
      </w:r>
      <w:r w:rsidRPr="00E769C3">
        <w:rPr>
          <w:rFonts w:ascii="Open Sans" w:hAnsi="Open Sans" w:cs="Open Sans"/>
          <w:b/>
          <w:bCs/>
          <w:color w:val="000000" w:themeColor="text1"/>
          <w:sz w:val="22"/>
          <w:szCs w:val="22"/>
        </w:rPr>
        <w:t xml:space="preserve">Andalucía </w:t>
      </w:r>
      <w:r w:rsidRPr="005C5838">
        <w:rPr>
          <w:rFonts w:ascii="Open Sans" w:hAnsi="Open Sans" w:cs="Open Sans"/>
          <w:color w:val="000000" w:themeColor="text1"/>
          <w:sz w:val="22"/>
          <w:szCs w:val="22"/>
        </w:rPr>
        <w:t xml:space="preserve">(de </w:t>
      </w:r>
      <w:r>
        <w:rPr>
          <w:rFonts w:ascii="Open Sans" w:hAnsi="Open Sans" w:cs="Open Sans"/>
          <w:color w:val="000000" w:themeColor="text1"/>
          <w:sz w:val="22"/>
          <w:szCs w:val="22"/>
        </w:rPr>
        <w:t xml:space="preserve">6,31 </w:t>
      </w:r>
      <w:r w:rsidRPr="005C5838">
        <w:rPr>
          <w:rFonts w:ascii="Open Sans" w:hAnsi="Open Sans" w:cs="Open Sans"/>
          <w:color w:val="000000" w:themeColor="text1"/>
          <w:sz w:val="22"/>
          <w:szCs w:val="22"/>
        </w:rPr>
        <w:t>euros/m</w:t>
      </w:r>
      <w:r w:rsidRPr="005C5838">
        <w:rPr>
          <w:rFonts w:ascii="Open Sans" w:hAnsi="Open Sans" w:cs="Open Sans"/>
          <w:color w:val="000000" w:themeColor="text1"/>
          <w:sz w:val="22"/>
          <w:szCs w:val="22"/>
          <w:vertAlign w:val="superscript"/>
        </w:rPr>
        <w:t>2</w:t>
      </w:r>
      <w:r w:rsidRPr="005C5838">
        <w:rPr>
          <w:rFonts w:ascii="Open Sans" w:hAnsi="Open Sans" w:cs="Open Sans"/>
          <w:color w:val="000000" w:themeColor="text1"/>
          <w:sz w:val="22"/>
          <w:szCs w:val="22"/>
        </w:rPr>
        <w:t xml:space="preserve"> </w:t>
      </w:r>
      <w:r>
        <w:rPr>
          <w:rFonts w:ascii="Open Sans" w:hAnsi="Open Sans" w:cs="Open Sans"/>
          <w:color w:val="000000" w:themeColor="text1"/>
          <w:sz w:val="22"/>
          <w:szCs w:val="22"/>
        </w:rPr>
        <w:t xml:space="preserve">al mes </w:t>
      </w:r>
      <w:r w:rsidRPr="005C5838">
        <w:rPr>
          <w:rFonts w:ascii="Open Sans" w:hAnsi="Open Sans" w:cs="Open Sans"/>
          <w:color w:val="000000" w:themeColor="text1"/>
          <w:sz w:val="22"/>
          <w:szCs w:val="22"/>
        </w:rPr>
        <w:t>en</w:t>
      </w:r>
      <w:r>
        <w:rPr>
          <w:rFonts w:ascii="Open Sans" w:hAnsi="Open Sans" w:cs="Open Sans"/>
          <w:color w:val="000000" w:themeColor="text1"/>
          <w:sz w:val="22"/>
          <w:szCs w:val="22"/>
        </w:rPr>
        <w:t xml:space="preserve"> junio de</w:t>
      </w:r>
      <w:r w:rsidRPr="005C5838">
        <w:rPr>
          <w:rFonts w:ascii="Open Sans" w:hAnsi="Open Sans" w:cs="Open Sans"/>
          <w:color w:val="000000" w:themeColor="text1"/>
          <w:sz w:val="22"/>
          <w:szCs w:val="22"/>
        </w:rPr>
        <w:t xml:space="preserve"> 201</w:t>
      </w:r>
      <w:r>
        <w:rPr>
          <w:rFonts w:ascii="Open Sans" w:hAnsi="Open Sans" w:cs="Open Sans"/>
          <w:color w:val="000000" w:themeColor="text1"/>
          <w:sz w:val="22"/>
          <w:szCs w:val="22"/>
        </w:rPr>
        <w:t>6</w:t>
      </w:r>
      <w:r w:rsidRPr="005C5838">
        <w:rPr>
          <w:rFonts w:ascii="Open Sans" w:hAnsi="Open Sans" w:cs="Open Sans"/>
          <w:color w:val="000000" w:themeColor="text1"/>
          <w:sz w:val="22"/>
          <w:szCs w:val="22"/>
        </w:rPr>
        <w:t xml:space="preserve"> a </w:t>
      </w:r>
      <w:r>
        <w:rPr>
          <w:rFonts w:ascii="Open Sans" w:hAnsi="Open Sans" w:cs="Open Sans"/>
          <w:color w:val="000000" w:themeColor="text1"/>
          <w:sz w:val="22"/>
          <w:szCs w:val="22"/>
        </w:rPr>
        <w:t>8,51</w:t>
      </w:r>
      <w:r w:rsidRPr="005C5838">
        <w:rPr>
          <w:rFonts w:ascii="Open Sans" w:hAnsi="Open Sans" w:cs="Open Sans"/>
          <w:color w:val="000000" w:themeColor="text1"/>
          <w:sz w:val="22"/>
          <w:szCs w:val="22"/>
        </w:rPr>
        <w:t>euros/m</w:t>
      </w:r>
      <w:r w:rsidRPr="005C5838">
        <w:rPr>
          <w:rFonts w:ascii="Open Sans" w:hAnsi="Open Sans" w:cs="Open Sans"/>
          <w:color w:val="000000" w:themeColor="text1"/>
          <w:sz w:val="22"/>
          <w:szCs w:val="22"/>
          <w:vertAlign w:val="superscript"/>
        </w:rPr>
        <w:t>2</w:t>
      </w:r>
      <w:r w:rsidRPr="005C5838">
        <w:rPr>
          <w:rFonts w:ascii="Open Sans" w:hAnsi="Open Sans" w:cs="Open Sans"/>
          <w:color w:val="000000" w:themeColor="text1"/>
          <w:sz w:val="22"/>
          <w:szCs w:val="22"/>
        </w:rPr>
        <w:t xml:space="preserve"> </w:t>
      </w:r>
      <w:r>
        <w:rPr>
          <w:rFonts w:ascii="Open Sans" w:hAnsi="Open Sans" w:cs="Open Sans"/>
          <w:color w:val="000000" w:themeColor="text1"/>
          <w:sz w:val="22"/>
          <w:szCs w:val="22"/>
        </w:rPr>
        <w:t xml:space="preserve">al mes </w:t>
      </w:r>
      <w:r w:rsidRPr="005C5838">
        <w:rPr>
          <w:rFonts w:ascii="Open Sans" w:hAnsi="Open Sans" w:cs="Open Sans"/>
          <w:color w:val="000000" w:themeColor="text1"/>
          <w:sz w:val="22"/>
          <w:szCs w:val="22"/>
        </w:rPr>
        <w:t xml:space="preserve">en </w:t>
      </w:r>
      <w:r>
        <w:rPr>
          <w:rFonts w:ascii="Open Sans" w:hAnsi="Open Sans" w:cs="Open Sans"/>
          <w:color w:val="000000" w:themeColor="text1"/>
          <w:sz w:val="22"/>
          <w:szCs w:val="22"/>
        </w:rPr>
        <w:t>junio</w:t>
      </w:r>
      <w:r w:rsidRPr="005C5838">
        <w:rPr>
          <w:rFonts w:ascii="Open Sans" w:hAnsi="Open Sans" w:cs="Open Sans"/>
          <w:color w:val="000000" w:themeColor="text1"/>
          <w:sz w:val="22"/>
          <w:szCs w:val="22"/>
        </w:rPr>
        <w:t xml:space="preserve"> de 20</w:t>
      </w:r>
      <w:r>
        <w:rPr>
          <w:rFonts w:ascii="Open Sans" w:hAnsi="Open Sans" w:cs="Open Sans"/>
          <w:color w:val="000000" w:themeColor="text1"/>
          <w:sz w:val="22"/>
          <w:szCs w:val="22"/>
        </w:rPr>
        <w:t>21</w:t>
      </w:r>
      <w:r w:rsidRPr="005C5838">
        <w:rPr>
          <w:rFonts w:ascii="Open Sans" w:hAnsi="Open Sans" w:cs="Open Sans"/>
          <w:color w:val="000000" w:themeColor="text1"/>
          <w:sz w:val="22"/>
          <w:szCs w:val="22"/>
        </w:rPr>
        <w:t>)</w:t>
      </w:r>
      <w:r>
        <w:rPr>
          <w:rFonts w:ascii="Open Sans" w:hAnsi="Open Sans" w:cs="Open Sans"/>
          <w:color w:val="000000" w:themeColor="text1"/>
          <w:sz w:val="22"/>
          <w:szCs w:val="22"/>
        </w:rPr>
        <w:t xml:space="preserve">.  </w:t>
      </w:r>
    </w:p>
    <w:p w14:paraId="51FC4CDD" w14:textId="77777777" w:rsidR="002C0C95" w:rsidRDefault="002C0C95" w:rsidP="002C0C95">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Así, los andaluces en 2016 debían pagar por el alquiler de una vivienda de 80 m</w:t>
      </w:r>
      <w:r w:rsidRPr="002C2F40">
        <w:rPr>
          <w:rFonts w:ascii="Open Sans" w:hAnsi="Open Sans" w:cs="Open Sans"/>
          <w:color w:val="000000"/>
          <w:sz w:val="22"/>
          <w:szCs w:val="22"/>
          <w:vertAlign w:val="superscript"/>
        </w:rPr>
        <w:t>2</w:t>
      </w:r>
      <w:r>
        <w:rPr>
          <w:rFonts w:ascii="Open Sans" w:hAnsi="Open Sans" w:cs="Open Sans"/>
          <w:color w:val="000000"/>
          <w:sz w:val="22"/>
          <w:szCs w:val="22"/>
        </w:rPr>
        <w:t xml:space="preserve"> una media de 505 euros/mes (junio de 2016, 6,31 €/m</w:t>
      </w:r>
      <w:r w:rsidRPr="002C2F40">
        <w:rPr>
          <w:rFonts w:ascii="Open Sans" w:hAnsi="Open Sans" w:cs="Open Sans"/>
          <w:color w:val="000000"/>
          <w:sz w:val="22"/>
          <w:szCs w:val="22"/>
          <w:vertAlign w:val="superscript"/>
        </w:rPr>
        <w:t>2</w:t>
      </w:r>
      <w:r>
        <w:rPr>
          <w:rFonts w:ascii="Open Sans" w:hAnsi="Open Sans" w:cs="Open Sans"/>
          <w:color w:val="000000"/>
          <w:sz w:val="22"/>
          <w:szCs w:val="22"/>
          <w:vertAlign w:val="superscript"/>
        </w:rPr>
        <w:t xml:space="preserve"> </w:t>
      </w:r>
      <w:r w:rsidRPr="00014CED">
        <w:rPr>
          <w:rFonts w:ascii="Open Sans" w:hAnsi="Open Sans" w:cs="Open Sans"/>
          <w:color w:val="000000"/>
          <w:sz w:val="22"/>
          <w:szCs w:val="22"/>
        </w:rPr>
        <w:t>al mes</w:t>
      </w:r>
      <w:r>
        <w:rPr>
          <w:rFonts w:ascii="Open Sans" w:hAnsi="Open Sans" w:cs="Open Sans"/>
          <w:color w:val="000000"/>
          <w:sz w:val="22"/>
          <w:szCs w:val="22"/>
        </w:rPr>
        <w:t>) frente a los 681 euros (junio de 2021, 8,51 €/m</w:t>
      </w:r>
      <w:r w:rsidRPr="002C2F40">
        <w:rPr>
          <w:rFonts w:ascii="Open Sans" w:hAnsi="Open Sans" w:cs="Open Sans"/>
          <w:color w:val="000000"/>
          <w:sz w:val="22"/>
          <w:szCs w:val="22"/>
          <w:vertAlign w:val="superscript"/>
        </w:rPr>
        <w:t>2</w:t>
      </w:r>
      <w:r w:rsidRPr="00663524">
        <w:rPr>
          <w:rFonts w:ascii="Open Sans" w:hAnsi="Open Sans" w:cs="Open Sans"/>
          <w:color w:val="000000"/>
          <w:sz w:val="22"/>
          <w:szCs w:val="22"/>
        </w:rPr>
        <w:t xml:space="preserve"> </w:t>
      </w:r>
      <w:r>
        <w:rPr>
          <w:rFonts w:ascii="Open Sans" w:hAnsi="Open Sans" w:cs="Open Sans"/>
          <w:color w:val="000000"/>
          <w:sz w:val="22"/>
          <w:szCs w:val="22"/>
        </w:rPr>
        <w:t xml:space="preserve">al mes) que se paga como media en </w:t>
      </w:r>
      <w:r w:rsidRPr="00E769C3">
        <w:rPr>
          <w:rFonts w:ascii="Open Sans" w:hAnsi="Open Sans" w:cs="Open Sans"/>
          <w:color w:val="000000"/>
          <w:sz w:val="22"/>
          <w:szCs w:val="22"/>
        </w:rPr>
        <w:t>Andalucía</w:t>
      </w:r>
      <w:r>
        <w:rPr>
          <w:rFonts w:ascii="Open Sans" w:hAnsi="Open Sans" w:cs="Open Sans"/>
          <w:color w:val="000000"/>
          <w:sz w:val="22"/>
          <w:szCs w:val="22"/>
        </w:rPr>
        <w:t xml:space="preserve"> en 2021. </w:t>
      </w:r>
    </w:p>
    <w:p w14:paraId="08214C5E" w14:textId="0E49E572" w:rsidR="002C0C95" w:rsidRPr="002C0C95" w:rsidRDefault="002C0C95" w:rsidP="002C0C95">
      <w:pPr>
        <w:pStyle w:val="NormalWeb"/>
        <w:shd w:val="clear" w:color="auto" w:fill="FFFFFF"/>
        <w:spacing w:after="225" w:line="276" w:lineRule="auto"/>
        <w:ind w:right="-574"/>
        <w:jc w:val="both"/>
        <w:rPr>
          <w:rFonts w:ascii="Open Sans" w:hAnsi="Open Sans" w:cs="Open Sans"/>
          <w:color w:val="000000"/>
          <w:sz w:val="20"/>
          <w:szCs w:val="20"/>
        </w:rPr>
      </w:pPr>
      <w:r w:rsidRPr="002C0C95">
        <w:rPr>
          <w:rFonts w:ascii="National" w:eastAsiaTheme="minorHAnsi" w:hAnsi="National" w:cstheme="minorBidi"/>
          <w:b/>
          <w:bCs/>
          <w:iCs/>
          <w:color w:val="303AB2"/>
          <w:sz w:val="28"/>
          <w:szCs w:val="160"/>
          <w:lang w:eastAsia="en-US"/>
        </w:rPr>
        <w:t>Por ciudades</w:t>
      </w:r>
      <w:r>
        <w:rPr>
          <w:rFonts w:ascii="National" w:eastAsiaTheme="minorHAnsi" w:hAnsi="National" w:cstheme="minorBidi"/>
          <w:b/>
          <w:bCs/>
          <w:iCs/>
          <w:color w:val="303AB2"/>
          <w:sz w:val="28"/>
          <w:szCs w:val="160"/>
          <w:lang w:eastAsia="en-US"/>
        </w:rPr>
        <w:t xml:space="preserve"> andaluzas</w:t>
      </w:r>
    </w:p>
    <w:p w14:paraId="007B6973" w14:textId="77777777" w:rsidR="002C0C95" w:rsidRDefault="002C0C95" w:rsidP="002C0C95">
      <w:pPr>
        <w:pStyle w:val="NormalWeb"/>
        <w:shd w:val="clear" w:color="auto" w:fill="FFFFFF"/>
        <w:spacing w:after="225" w:line="276" w:lineRule="auto"/>
        <w:ind w:right="-574"/>
        <w:jc w:val="both"/>
        <w:rPr>
          <w:rFonts w:ascii="Open Sans" w:hAnsi="Open Sans" w:cs="Open Sans"/>
          <w:sz w:val="22"/>
          <w:szCs w:val="22"/>
        </w:rPr>
      </w:pPr>
      <w:r w:rsidRPr="00B554A5">
        <w:rPr>
          <w:rFonts w:ascii="Open Sans" w:hAnsi="Open Sans" w:cs="Open Sans"/>
          <w:color w:val="000000"/>
          <w:sz w:val="22"/>
          <w:szCs w:val="22"/>
        </w:rPr>
        <w:t>Mijas</w:t>
      </w:r>
      <w:r>
        <w:rPr>
          <w:rFonts w:ascii="Open Sans" w:hAnsi="Open Sans" w:cs="Open Sans"/>
          <w:color w:val="000000"/>
          <w:sz w:val="22"/>
          <w:szCs w:val="22"/>
        </w:rPr>
        <w:t xml:space="preserve"> (49%) Y </w:t>
      </w:r>
      <w:r w:rsidRPr="00B554A5">
        <w:rPr>
          <w:rFonts w:ascii="Open Sans" w:hAnsi="Open Sans" w:cs="Open Sans"/>
          <w:color w:val="000000"/>
          <w:sz w:val="22"/>
          <w:szCs w:val="22"/>
        </w:rPr>
        <w:t>Torremolinos</w:t>
      </w:r>
      <w:r>
        <w:rPr>
          <w:rFonts w:ascii="Open Sans" w:hAnsi="Open Sans" w:cs="Open Sans"/>
          <w:color w:val="000000"/>
          <w:sz w:val="22"/>
          <w:szCs w:val="22"/>
        </w:rPr>
        <w:t xml:space="preserve"> (47%) son las ciudades de </w:t>
      </w:r>
      <w:r w:rsidRPr="00E769C3">
        <w:rPr>
          <w:rFonts w:ascii="Open Sans" w:hAnsi="Open Sans" w:cs="Open Sans"/>
          <w:color w:val="000000"/>
          <w:sz w:val="22"/>
          <w:szCs w:val="22"/>
        </w:rPr>
        <w:t>Andalucía</w:t>
      </w:r>
      <w:r>
        <w:rPr>
          <w:rFonts w:ascii="Open Sans" w:hAnsi="Open Sans" w:cs="Open Sans"/>
          <w:color w:val="000000"/>
          <w:sz w:val="22"/>
          <w:szCs w:val="22"/>
        </w:rPr>
        <w:t xml:space="preserve"> cuyo incremento acumulativo de la vivienda en alquiler supera el 40% en junio de 2021 respecto a junio de 2016, según el</w:t>
      </w:r>
      <w:r w:rsidRPr="00132340">
        <w:rPr>
          <w:rFonts w:ascii="Open Sans" w:hAnsi="Open Sans" w:cs="Open Sans"/>
          <w:color w:val="000000"/>
          <w:sz w:val="22"/>
          <w:szCs w:val="22"/>
        </w:rPr>
        <w:t xml:space="preserve"> </w:t>
      </w:r>
      <w:r>
        <w:rPr>
          <w:rFonts w:ascii="Open Sans" w:hAnsi="Open Sans" w:cs="Open Sans"/>
          <w:color w:val="000000"/>
          <w:sz w:val="22"/>
          <w:szCs w:val="22"/>
        </w:rPr>
        <w:t>estudio</w:t>
      </w:r>
      <w:r w:rsidRPr="00132340">
        <w:rPr>
          <w:rFonts w:ascii="Open Sans" w:hAnsi="Open Sans" w:cs="Open Sans"/>
          <w:color w:val="000000"/>
          <w:sz w:val="22"/>
          <w:szCs w:val="22"/>
        </w:rPr>
        <w:t xml:space="preserve"> </w:t>
      </w:r>
      <w:r>
        <w:rPr>
          <w:rFonts w:ascii="Open Sans" w:hAnsi="Open Sans" w:cs="Open Sans"/>
          <w:color w:val="000000"/>
          <w:sz w:val="22"/>
          <w:szCs w:val="22"/>
        </w:rPr>
        <w:t xml:space="preserve">de </w:t>
      </w:r>
      <w:hyperlink r:id="rId21" w:history="1">
        <w:r w:rsidRPr="00132340">
          <w:rPr>
            <w:rStyle w:val="Hipervnculo"/>
            <w:rFonts w:ascii="Open Sans" w:hAnsi="Open Sans" w:cs="Open Sans"/>
            <w:sz w:val="22"/>
            <w:szCs w:val="22"/>
          </w:rPr>
          <w:t>Fotocasa</w:t>
        </w:r>
      </w:hyperlink>
      <w:r w:rsidRPr="00A909FF">
        <w:rPr>
          <w:rFonts w:ascii="Open Sans" w:hAnsi="Open Sans" w:cs="Open Sans"/>
          <w:sz w:val="22"/>
          <w:szCs w:val="22"/>
        </w:rPr>
        <w:t>.</w:t>
      </w:r>
      <w:r>
        <w:rPr>
          <w:rFonts w:ascii="Open Sans" w:hAnsi="Open Sans" w:cs="Open Sans"/>
          <w:sz w:val="22"/>
          <w:szCs w:val="22"/>
        </w:rPr>
        <w:t xml:space="preserve"> </w:t>
      </w:r>
    </w:p>
    <w:p w14:paraId="19891634" w14:textId="77777777" w:rsidR="002C0C95" w:rsidRPr="00B231C2" w:rsidRDefault="002C0C95" w:rsidP="002C0C95">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sz w:val="22"/>
          <w:szCs w:val="22"/>
        </w:rPr>
        <w:lastRenderedPageBreak/>
        <w:t xml:space="preserve">Por una vivienda de 80 metros cuadrados en régimen de </w:t>
      </w:r>
      <w:r>
        <w:rPr>
          <w:rFonts w:ascii="Open Sans" w:hAnsi="Open Sans" w:cs="Open Sans"/>
          <w:color w:val="000000"/>
          <w:sz w:val="22"/>
          <w:szCs w:val="22"/>
        </w:rPr>
        <w:t>alquiler</w:t>
      </w:r>
      <w:r>
        <w:rPr>
          <w:rFonts w:ascii="Open Sans" w:hAnsi="Open Sans" w:cs="Open Sans"/>
          <w:sz w:val="22"/>
          <w:szCs w:val="22"/>
        </w:rPr>
        <w:t xml:space="preserve"> en </w:t>
      </w:r>
      <w:r w:rsidRPr="00B554A5">
        <w:rPr>
          <w:rFonts w:ascii="Open Sans" w:hAnsi="Open Sans" w:cs="Open Sans"/>
          <w:color w:val="000000"/>
          <w:sz w:val="22"/>
          <w:szCs w:val="22"/>
        </w:rPr>
        <w:t>Mijas</w:t>
      </w:r>
      <w:r>
        <w:rPr>
          <w:rFonts w:ascii="Open Sans" w:hAnsi="Open Sans" w:cs="Open Sans"/>
          <w:color w:val="000000"/>
          <w:sz w:val="22"/>
          <w:szCs w:val="22"/>
        </w:rPr>
        <w:t xml:space="preserve"> </w:t>
      </w:r>
      <w:r>
        <w:rPr>
          <w:rFonts w:ascii="Open Sans" w:hAnsi="Open Sans" w:cs="Open Sans"/>
          <w:sz w:val="22"/>
          <w:szCs w:val="22"/>
        </w:rPr>
        <w:t>se pagaba 502 euros al mes hace 5 años (6,28 €/m</w:t>
      </w:r>
      <w:r w:rsidRPr="00E43CE5">
        <w:rPr>
          <w:rFonts w:ascii="Open Sans" w:hAnsi="Open Sans" w:cs="Open Sans"/>
          <w:sz w:val="22"/>
          <w:szCs w:val="22"/>
          <w:vertAlign w:val="superscript"/>
        </w:rPr>
        <w:t>2</w:t>
      </w:r>
      <w:r>
        <w:rPr>
          <w:rFonts w:ascii="Open Sans" w:hAnsi="Open Sans" w:cs="Open Sans"/>
          <w:sz w:val="22"/>
          <w:szCs w:val="22"/>
        </w:rPr>
        <w:t xml:space="preserve"> al mes en junio de 2016), mientras que en 2021 se paga 750 euros (9,38 €/m</w:t>
      </w:r>
      <w:r w:rsidRPr="00E43CE5">
        <w:rPr>
          <w:rFonts w:ascii="Open Sans" w:hAnsi="Open Sans" w:cs="Open Sans"/>
          <w:sz w:val="22"/>
          <w:szCs w:val="22"/>
          <w:vertAlign w:val="superscript"/>
        </w:rPr>
        <w:t>2</w:t>
      </w:r>
      <w:r>
        <w:rPr>
          <w:rFonts w:ascii="Open Sans" w:hAnsi="Open Sans" w:cs="Open Sans"/>
          <w:sz w:val="22"/>
          <w:szCs w:val="22"/>
        </w:rPr>
        <w:t xml:space="preserve"> al mes en junio de 2021).</w:t>
      </w:r>
    </w:p>
    <w:p w14:paraId="3B258FED" w14:textId="77777777" w:rsidR="002C0C95" w:rsidRDefault="002C0C95" w:rsidP="002C0C95">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sz w:val="22"/>
          <w:szCs w:val="22"/>
        </w:rPr>
        <w:t xml:space="preserve">Las ciudades con incremento acumulativo de </w:t>
      </w:r>
      <w:r>
        <w:rPr>
          <w:rFonts w:ascii="Open Sans" w:hAnsi="Open Sans" w:cs="Open Sans"/>
          <w:color w:val="000000"/>
          <w:sz w:val="22"/>
          <w:szCs w:val="22"/>
        </w:rPr>
        <w:t>alquiler</w:t>
      </w:r>
      <w:r w:rsidRPr="008376CF">
        <w:rPr>
          <w:rFonts w:ascii="Open Sans" w:hAnsi="Open Sans" w:cs="Open Sans"/>
          <w:color w:val="000000"/>
          <w:sz w:val="22"/>
          <w:szCs w:val="22"/>
        </w:rPr>
        <w:t xml:space="preserve"> </w:t>
      </w:r>
      <w:r>
        <w:rPr>
          <w:rFonts w:ascii="Open Sans" w:hAnsi="Open Sans" w:cs="Open Sans"/>
          <w:sz w:val="22"/>
          <w:szCs w:val="22"/>
        </w:rPr>
        <w:t xml:space="preserve">en </w:t>
      </w:r>
      <w:r>
        <w:rPr>
          <w:rFonts w:ascii="Open Sans" w:hAnsi="Open Sans" w:cs="Open Sans"/>
          <w:color w:val="000000"/>
          <w:sz w:val="22"/>
          <w:szCs w:val="22"/>
        </w:rPr>
        <w:t xml:space="preserve">Valencia capital </w:t>
      </w:r>
      <w:r>
        <w:rPr>
          <w:rFonts w:ascii="Open Sans" w:hAnsi="Open Sans" w:cs="Open Sans"/>
          <w:sz w:val="22"/>
          <w:szCs w:val="22"/>
        </w:rPr>
        <w:t xml:space="preserve">los últimos 5 años (desde 2016) son: </w:t>
      </w:r>
      <w:r w:rsidRPr="00B554A5">
        <w:rPr>
          <w:rFonts w:ascii="Open Sans" w:hAnsi="Open Sans" w:cs="Open Sans"/>
          <w:sz w:val="22"/>
          <w:szCs w:val="22"/>
        </w:rPr>
        <w:t>Mijas</w:t>
      </w:r>
      <w:r>
        <w:rPr>
          <w:rFonts w:ascii="Open Sans" w:hAnsi="Open Sans" w:cs="Open Sans"/>
          <w:sz w:val="22"/>
          <w:szCs w:val="22"/>
        </w:rPr>
        <w:t xml:space="preserve"> con </w:t>
      </w:r>
      <w:r w:rsidRPr="00B554A5">
        <w:rPr>
          <w:rFonts w:ascii="Open Sans" w:hAnsi="Open Sans" w:cs="Open Sans"/>
          <w:sz w:val="22"/>
          <w:szCs w:val="22"/>
        </w:rPr>
        <w:t>49%</w:t>
      </w:r>
      <w:r>
        <w:rPr>
          <w:rFonts w:ascii="Open Sans" w:hAnsi="Open Sans" w:cs="Open Sans"/>
          <w:sz w:val="22"/>
          <w:szCs w:val="22"/>
        </w:rPr>
        <w:t xml:space="preserve">, </w:t>
      </w:r>
      <w:r w:rsidRPr="00B554A5">
        <w:rPr>
          <w:rFonts w:ascii="Open Sans" w:hAnsi="Open Sans" w:cs="Open Sans"/>
          <w:sz w:val="22"/>
          <w:szCs w:val="22"/>
        </w:rPr>
        <w:t>Torremolinos</w:t>
      </w:r>
      <w:r>
        <w:rPr>
          <w:rFonts w:ascii="Open Sans" w:hAnsi="Open Sans" w:cs="Open Sans"/>
          <w:sz w:val="22"/>
          <w:szCs w:val="22"/>
        </w:rPr>
        <w:t xml:space="preserve"> con </w:t>
      </w:r>
      <w:r w:rsidRPr="00B554A5">
        <w:rPr>
          <w:rFonts w:ascii="Open Sans" w:hAnsi="Open Sans" w:cs="Open Sans"/>
          <w:sz w:val="22"/>
          <w:szCs w:val="22"/>
        </w:rPr>
        <w:t>47%</w:t>
      </w:r>
      <w:r>
        <w:rPr>
          <w:rFonts w:ascii="Open Sans" w:hAnsi="Open Sans" w:cs="Open Sans"/>
          <w:sz w:val="22"/>
          <w:szCs w:val="22"/>
        </w:rPr>
        <w:t xml:space="preserve">, </w:t>
      </w:r>
      <w:r w:rsidRPr="00B554A5">
        <w:rPr>
          <w:rFonts w:ascii="Open Sans" w:hAnsi="Open Sans" w:cs="Open Sans"/>
          <w:sz w:val="22"/>
          <w:szCs w:val="22"/>
        </w:rPr>
        <w:t xml:space="preserve">Roquetas de Mar </w:t>
      </w:r>
      <w:r>
        <w:rPr>
          <w:rFonts w:ascii="Open Sans" w:hAnsi="Open Sans" w:cs="Open Sans"/>
          <w:sz w:val="22"/>
          <w:szCs w:val="22"/>
        </w:rPr>
        <w:t xml:space="preserve">con </w:t>
      </w:r>
      <w:r w:rsidRPr="00B554A5">
        <w:rPr>
          <w:rFonts w:ascii="Open Sans" w:hAnsi="Open Sans" w:cs="Open Sans"/>
          <w:sz w:val="22"/>
          <w:szCs w:val="22"/>
        </w:rPr>
        <w:t>39%</w:t>
      </w:r>
      <w:r>
        <w:rPr>
          <w:rFonts w:ascii="Open Sans" w:hAnsi="Open Sans" w:cs="Open Sans"/>
          <w:sz w:val="22"/>
          <w:szCs w:val="22"/>
        </w:rPr>
        <w:t xml:space="preserve">, </w:t>
      </w:r>
      <w:r w:rsidRPr="00B554A5">
        <w:rPr>
          <w:rFonts w:ascii="Open Sans" w:hAnsi="Open Sans" w:cs="Open Sans"/>
          <w:sz w:val="22"/>
          <w:szCs w:val="22"/>
        </w:rPr>
        <w:t xml:space="preserve">Armilla </w:t>
      </w:r>
      <w:r>
        <w:rPr>
          <w:rFonts w:ascii="Open Sans" w:hAnsi="Open Sans" w:cs="Open Sans"/>
          <w:sz w:val="22"/>
          <w:szCs w:val="22"/>
        </w:rPr>
        <w:t xml:space="preserve">con </w:t>
      </w:r>
      <w:r w:rsidRPr="00B554A5">
        <w:rPr>
          <w:rFonts w:ascii="Open Sans" w:hAnsi="Open Sans" w:cs="Open Sans"/>
          <w:sz w:val="22"/>
          <w:szCs w:val="22"/>
        </w:rPr>
        <w:t>36%</w:t>
      </w:r>
      <w:r>
        <w:rPr>
          <w:rFonts w:ascii="Open Sans" w:hAnsi="Open Sans" w:cs="Open Sans"/>
          <w:sz w:val="22"/>
          <w:szCs w:val="22"/>
        </w:rPr>
        <w:t xml:space="preserve">, </w:t>
      </w:r>
      <w:r w:rsidRPr="00B554A5">
        <w:rPr>
          <w:rFonts w:ascii="Open Sans" w:hAnsi="Open Sans" w:cs="Open Sans"/>
          <w:sz w:val="22"/>
          <w:szCs w:val="22"/>
        </w:rPr>
        <w:t xml:space="preserve">Dos Hermanas </w:t>
      </w:r>
      <w:r>
        <w:rPr>
          <w:rFonts w:ascii="Open Sans" w:hAnsi="Open Sans" w:cs="Open Sans"/>
          <w:sz w:val="22"/>
          <w:szCs w:val="22"/>
        </w:rPr>
        <w:t xml:space="preserve">con </w:t>
      </w:r>
      <w:r w:rsidRPr="00B554A5">
        <w:rPr>
          <w:rFonts w:ascii="Open Sans" w:hAnsi="Open Sans" w:cs="Open Sans"/>
          <w:sz w:val="22"/>
          <w:szCs w:val="22"/>
        </w:rPr>
        <w:t>35%</w:t>
      </w:r>
      <w:r>
        <w:rPr>
          <w:rFonts w:ascii="Open Sans" w:hAnsi="Open Sans" w:cs="Open Sans"/>
          <w:sz w:val="22"/>
          <w:szCs w:val="22"/>
        </w:rPr>
        <w:t xml:space="preserve">, </w:t>
      </w:r>
      <w:r w:rsidRPr="00B554A5">
        <w:rPr>
          <w:rFonts w:ascii="Open Sans" w:hAnsi="Open Sans" w:cs="Open Sans"/>
          <w:sz w:val="22"/>
          <w:szCs w:val="22"/>
        </w:rPr>
        <w:t xml:space="preserve">Cádiz capital </w:t>
      </w:r>
      <w:r>
        <w:rPr>
          <w:rFonts w:ascii="Open Sans" w:hAnsi="Open Sans" w:cs="Open Sans"/>
          <w:sz w:val="22"/>
          <w:szCs w:val="22"/>
        </w:rPr>
        <w:t xml:space="preserve">con </w:t>
      </w:r>
      <w:r w:rsidRPr="00B554A5">
        <w:rPr>
          <w:rFonts w:ascii="Open Sans" w:hAnsi="Open Sans" w:cs="Open Sans"/>
          <w:sz w:val="22"/>
          <w:szCs w:val="22"/>
        </w:rPr>
        <w:t>33%</w:t>
      </w:r>
      <w:r>
        <w:rPr>
          <w:rFonts w:ascii="Open Sans" w:hAnsi="Open Sans" w:cs="Open Sans"/>
          <w:sz w:val="22"/>
          <w:szCs w:val="22"/>
        </w:rPr>
        <w:t xml:space="preserve">, </w:t>
      </w:r>
      <w:r w:rsidRPr="00B554A5">
        <w:rPr>
          <w:rFonts w:ascii="Open Sans" w:hAnsi="Open Sans" w:cs="Open Sans"/>
          <w:sz w:val="22"/>
          <w:szCs w:val="22"/>
        </w:rPr>
        <w:t xml:space="preserve">Almería capital </w:t>
      </w:r>
      <w:r>
        <w:rPr>
          <w:rFonts w:ascii="Open Sans" w:hAnsi="Open Sans" w:cs="Open Sans"/>
          <w:sz w:val="22"/>
          <w:szCs w:val="22"/>
        </w:rPr>
        <w:t xml:space="preserve">con </w:t>
      </w:r>
      <w:r w:rsidRPr="00B554A5">
        <w:rPr>
          <w:rFonts w:ascii="Open Sans" w:hAnsi="Open Sans" w:cs="Open Sans"/>
          <w:sz w:val="22"/>
          <w:szCs w:val="22"/>
        </w:rPr>
        <w:t>33%</w:t>
      </w:r>
      <w:r>
        <w:rPr>
          <w:rFonts w:ascii="Open Sans" w:hAnsi="Open Sans" w:cs="Open Sans"/>
          <w:sz w:val="22"/>
          <w:szCs w:val="22"/>
        </w:rPr>
        <w:t xml:space="preserve">, </w:t>
      </w:r>
      <w:r w:rsidRPr="00B554A5">
        <w:rPr>
          <w:rFonts w:ascii="Open Sans" w:hAnsi="Open Sans" w:cs="Open Sans"/>
          <w:sz w:val="22"/>
          <w:szCs w:val="22"/>
        </w:rPr>
        <w:t xml:space="preserve">Málaga capital </w:t>
      </w:r>
      <w:r>
        <w:rPr>
          <w:rFonts w:ascii="Open Sans" w:hAnsi="Open Sans" w:cs="Open Sans"/>
          <w:sz w:val="22"/>
          <w:szCs w:val="22"/>
        </w:rPr>
        <w:t xml:space="preserve">con </w:t>
      </w:r>
      <w:r w:rsidRPr="00B554A5">
        <w:rPr>
          <w:rFonts w:ascii="Open Sans" w:hAnsi="Open Sans" w:cs="Open Sans"/>
          <w:sz w:val="22"/>
          <w:szCs w:val="22"/>
        </w:rPr>
        <w:t>32%</w:t>
      </w:r>
      <w:r>
        <w:rPr>
          <w:rFonts w:ascii="Open Sans" w:hAnsi="Open Sans" w:cs="Open Sans"/>
          <w:sz w:val="22"/>
          <w:szCs w:val="22"/>
        </w:rPr>
        <w:t xml:space="preserve">, </w:t>
      </w:r>
      <w:r w:rsidRPr="00B554A5">
        <w:rPr>
          <w:rFonts w:ascii="Open Sans" w:hAnsi="Open Sans" w:cs="Open Sans"/>
          <w:sz w:val="22"/>
          <w:szCs w:val="22"/>
        </w:rPr>
        <w:t xml:space="preserve">Granada capital </w:t>
      </w:r>
      <w:r>
        <w:rPr>
          <w:rFonts w:ascii="Open Sans" w:hAnsi="Open Sans" w:cs="Open Sans"/>
          <w:sz w:val="22"/>
          <w:szCs w:val="22"/>
        </w:rPr>
        <w:t xml:space="preserve">con </w:t>
      </w:r>
      <w:r w:rsidRPr="00B554A5">
        <w:rPr>
          <w:rFonts w:ascii="Open Sans" w:hAnsi="Open Sans" w:cs="Open Sans"/>
          <w:sz w:val="22"/>
          <w:szCs w:val="22"/>
        </w:rPr>
        <w:t>28%</w:t>
      </w:r>
      <w:r>
        <w:rPr>
          <w:rFonts w:ascii="Open Sans" w:hAnsi="Open Sans" w:cs="Open Sans"/>
          <w:sz w:val="22"/>
          <w:szCs w:val="22"/>
        </w:rPr>
        <w:t xml:space="preserve">, </w:t>
      </w:r>
      <w:r w:rsidRPr="00B554A5">
        <w:rPr>
          <w:rFonts w:ascii="Open Sans" w:hAnsi="Open Sans" w:cs="Open Sans"/>
          <w:sz w:val="22"/>
          <w:szCs w:val="22"/>
        </w:rPr>
        <w:t xml:space="preserve">Benalmádena </w:t>
      </w:r>
      <w:r>
        <w:rPr>
          <w:rFonts w:ascii="Open Sans" w:hAnsi="Open Sans" w:cs="Open Sans"/>
          <w:sz w:val="22"/>
          <w:szCs w:val="22"/>
        </w:rPr>
        <w:t xml:space="preserve">con </w:t>
      </w:r>
      <w:r w:rsidRPr="00B554A5">
        <w:rPr>
          <w:rFonts w:ascii="Open Sans" w:hAnsi="Open Sans" w:cs="Open Sans"/>
          <w:sz w:val="22"/>
          <w:szCs w:val="22"/>
        </w:rPr>
        <w:t>28%</w:t>
      </w:r>
      <w:r>
        <w:rPr>
          <w:rFonts w:ascii="Open Sans" w:hAnsi="Open Sans" w:cs="Open Sans"/>
          <w:sz w:val="22"/>
          <w:szCs w:val="22"/>
        </w:rPr>
        <w:t xml:space="preserve">, </w:t>
      </w:r>
      <w:r w:rsidRPr="00B554A5">
        <w:rPr>
          <w:rFonts w:ascii="Open Sans" w:hAnsi="Open Sans" w:cs="Open Sans"/>
          <w:sz w:val="22"/>
          <w:szCs w:val="22"/>
        </w:rPr>
        <w:t xml:space="preserve">Alcalá de Guadaira </w:t>
      </w:r>
      <w:r>
        <w:rPr>
          <w:rFonts w:ascii="Open Sans" w:hAnsi="Open Sans" w:cs="Open Sans"/>
          <w:sz w:val="22"/>
          <w:szCs w:val="22"/>
        </w:rPr>
        <w:t xml:space="preserve">con </w:t>
      </w:r>
      <w:r w:rsidRPr="00B554A5">
        <w:rPr>
          <w:rFonts w:ascii="Open Sans" w:hAnsi="Open Sans" w:cs="Open Sans"/>
          <w:sz w:val="22"/>
          <w:szCs w:val="22"/>
        </w:rPr>
        <w:t>28%</w:t>
      </w:r>
      <w:r>
        <w:rPr>
          <w:rFonts w:ascii="Open Sans" w:hAnsi="Open Sans" w:cs="Open Sans"/>
          <w:sz w:val="22"/>
          <w:szCs w:val="22"/>
        </w:rPr>
        <w:t xml:space="preserve">, </w:t>
      </w:r>
      <w:r w:rsidRPr="00B554A5">
        <w:rPr>
          <w:rFonts w:ascii="Open Sans" w:hAnsi="Open Sans" w:cs="Open Sans"/>
          <w:sz w:val="22"/>
          <w:szCs w:val="22"/>
        </w:rPr>
        <w:t>Sevilla capital</w:t>
      </w:r>
      <w:r>
        <w:rPr>
          <w:rFonts w:ascii="Open Sans" w:hAnsi="Open Sans" w:cs="Open Sans"/>
          <w:sz w:val="22"/>
          <w:szCs w:val="22"/>
        </w:rPr>
        <w:t xml:space="preserve"> con </w:t>
      </w:r>
      <w:r w:rsidRPr="00B554A5">
        <w:rPr>
          <w:rFonts w:ascii="Open Sans" w:hAnsi="Open Sans" w:cs="Open Sans"/>
          <w:sz w:val="22"/>
          <w:szCs w:val="22"/>
        </w:rPr>
        <w:t>28%</w:t>
      </w:r>
      <w:r>
        <w:rPr>
          <w:rFonts w:ascii="Open Sans" w:hAnsi="Open Sans" w:cs="Open Sans"/>
          <w:sz w:val="22"/>
          <w:szCs w:val="22"/>
        </w:rPr>
        <w:t xml:space="preserve">, </w:t>
      </w:r>
      <w:r w:rsidRPr="00B554A5">
        <w:rPr>
          <w:rFonts w:ascii="Open Sans" w:hAnsi="Open Sans" w:cs="Open Sans"/>
          <w:sz w:val="22"/>
          <w:szCs w:val="22"/>
        </w:rPr>
        <w:t xml:space="preserve">Algeciras </w:t>
      </w:r>
      <w:r>
        <w:rPr>
          <w:rFonts w:ascii="Open Sans" w:hAnsi="Open Sans" w:cs="Open Sans"/>
          <w:sz w:val="22"/>
          <w:szCs w:val="22"/>
        </w:rPr>
        <w:t xml:space="preserve">con </w:t>
      </w:r>
      <w:r w:rsidRPr="00B554A5">
        <w:rPr>
          <w:rFonts w:ascii="Open Sans" w:hAnsi="Open Sans" w:cs="Open Sans"/>
          <w:sz w:val="22"/>
          <w:szCs w:val="22"/>
        </w:rPr>
        <w:t>25%</w:t>
      </w:r>
      <w:r>
        <w:rPr>
          <w:rFonts w:ascii="Open Sans" w:hAnsi="Open Sans" w:cs="Open Sans"/>
          <w:sz w:val="22"/>
          <w:szCs w:val="22"/>
        </w:rPr>
        <w:t xml:space="preserve">, </w:t>
      </w:r>
      <w:r w:rsidRPr="00B554A5">
        <w:rPr>
          <w:rFonts w:ascii="Open Sans" w:hAnsi="Open Sans" w:cs="Open Sans"/>
          <w:sz w:val="22"/>
          <w:szCs w:val="22"/>
        </w:rPr>
        <w:t xml:space="preserve">Jerez de la Frontera </w:t>
      </w:r>
      <w:r>
        <w:rPr>
          <w:rFonts w:ascii="Open Sans" w:hAnsi="Open Sans" w:cs="Open Sans"/>
          <w:sz w:val="22"/>
          <w:szCs w:val="22"/>
        </w:rPr>
        <w:t xml:space="preserve">con </w:t>
      </w:r>
      <w:r w:rsidRPr="00B554A5">
        <w:rPr>
          <w:rFonts w:ascii="Open Sans" w:hAnsi="Open Sans" w:cs="Open Sans"/>
          <w:sz w:val="22"/>
          <w:szCs w:val="22"/>
        </w:rPr>
        <w:t>25%</w:t>
      </w:r>
      <w:r>
        <w:rPr>
          <w:rFonts w:ascii="Open Sans" w:hAnsi="Open Sans" w:cs="Open Sans"/>
          <w:sz w:val="22"/>
          <w:szCs w:val="22"/>
        </w:rPr>
        <w:t xml:space="preserve">, </w:t>
      </w:r>
      <w:r w:rsidRPr="00B554A5">
        <w:rPr>
          <w:rFonts w:ascii="Open Sans" w:hAnsi="Open Sans" w:cs="Open Sans"/>
          <w:sz w:val="22"/>
          <w:szCs w:val="22"/>
        </w:rPr>
        <w:t xml:space="preserve">Huelva capital </w:t>
      </w:r>
      <w:r>
        <w:rPr>
          <w:rFonts w:ascii="Open Sans" w:hAnsi="Open Sans" w:cs="Open Sans"/>
          <w:sz w:val="22"/>
          <w:szCs w:val="22"/>
        </w:rPr>
        <w:t xml:space="preserve">con </w:t>
      </w:r>
      <w:r w:rsidRPr="00B554A5">
        <w:rPr>
          <w:rFonts w:ascii="Open Sans" w:hAnsi="Open Sans" w:cs="Open Sans"/>
          <w:sz w:val="22"/>
          <w:szCs w:val="22"/>
        </w:rPr>
        <w:t>23%</w:t>
      </w:r>
      <w:r>
        <w:rPr>
          <w:rFonts w:ascii="Open Sans" w:hAnsi="Open Sans" w:cs="Open Sans"/>
          <w:sz w:val="22"/>
          <w:szCs w:val="22"/>
        </w:rPr>
        <w:t xml:space="preserve">, </w:t>
      </w:r>
      <w:r w:rsidRPr="00B554A5">
        <w:rPr>
          <w:rFonts w:ascii="Open Sans" w:hAnsi="Open Sans" w:cs="Open Sans"/>
          <w:sz w:val="22"/>
          <w:szCs w:val="22"/>
        </w:rPr>
        <w:t xml:space="preserve">Córdoba capital </w:t>
      </w:r>
      <w:r>
        <w:rPr>
          <w:rFonts w:ascii="Open Sans" w:hAnsi="Open Sans" w:cs="Open Sans"/>
          <w:sz w:val="22"/>
          <w:szCs w:val="22"/>
        </w:rPr>
        <w:t xml:space="preserve">con </w:t>
      </w:r>
      <w:r w:rsidRPr="00B554A5">
        <w:rPr>
          <w:rFonts w:ascii="Open Sans" w:hAnsi="Open Sans" w:cs="Open Sans"/>
          <w:sz w:val="22"/>
          <w:szCs w:val="22"/>
        </w:rPr>
        <w:t>15%</w:t>
      </w:r>
      <w:r>
        <w:rPr>
          <w:rFonts w:ascii="Open Sans" w:hAnsi="Open Sans" w:cs="Open Sans"/>
          <w:sz w:val="22"/>
          <w:szCs w:val="22"/>
        </w:rPr>
        <w:t xml:space="preserve">, </w:t>
      </w:r>
      <w:r w:rsidRPr="00B554A5">
        <w:rPr>
          <w:rFonts w:ascii="Open Sans" w:hAnsi="Open Sans" w:cs="Open Sans"/>
          <w:sz w:val="22"/>
          <w:szCs w:val="22"/>
        </w:rPr>
        <w:t xml:space="preserve">Jaén capital </w:t>
      </w:r>
      <w:r>
        <w:rPr>
          <w:rFonts w:ascii="Open Sans" w:hAnsi="Open Sans" w:cs="Open Sans"/>
          <w:sz w:val="22"/>
          <w:szCs w:val="22"/>
        </w:rPr>
        <w:t xml:space="preserve">con </w:t>
      </w:r>
      <w:r w:rsidRPr="00B554A5">
        <w:rPr>
          <w:rFonts w:ascii="Open Sans" w:hAnsi="Open Sans" w:cs="Open Sans"/>
          <w:sz w:val="22"/>
          <w:szCs w:val="22"/>
        </w:rPr>
        <w:t>11%</w:t>
      </w:r>
      <w:r>
        <w:rPr>
          <w:rFonts w:ascii="Open Sans" w:hAnsi="Open Sans" w:cs="Open Sans"/>
          <w:sz w:val="22"/>
          <w:szCs w:val="22"/>
        </w:rPr>
        <w:t xml:space="preserve">, </w:t>
      </w:r>
      <w:r w:rsidRPr="00B554A5">
        <w:rPr>
          <w:rFonts w:ascii="Open Sans" w:hAnsi="Open Sans" w:cs="Open Sans"/>
          <w:sz w:val="22"/>
          <w:szCs w:val="22"/>
        </w:rPr>
        <w:t xml:space="preserve">Fuengirola </w:t>
      </w:r>
      <w:r>
        <w:rPr>
          <w:rFonts w:ascii="Open Sans" w:hAnsi="Open Sans" w:cs="Open Sans"/>
          <w:sz w:val="22"/>
          <w:szCs w:val="22"/>
        </w:rPr>
        <w:t xml:space="preserve">con </w:t>
      </w:r>
      <w:r w:rsidRPr="00B554A5">
        <w:rPr>
          <w:rFonts w:ascii="Open Sans" w:hAnsi="Open Sans" w:cs="Open Sans"/>
          <w:sz w:val="22"/>
          <w:szCs w:val="22"/>
        </w:rPr>
        <w:t>7%</w:t>
      </w:r>
      <w:r>
        <w:rPr>
          <w:rFonts w:ascii="Open Sans" w:hAnsi="Open Sans" w:cs="Open Sans"/>
          <w:sz w:val="22"/>
          <w:szCs w:val="22"/>
        </w:rPr>
        <w:t xml:space="preserve"> y </w:t>
      </w:r>
      <w:r w:rsidRPr="00B554A5">
        <w:rPr>
          <w:rFonts w:ascii="Open Sans" w:hAnsi="Open Sans" w:cs="Open Sans"/>
          <w:sz w:val="22"/>
          <w:szCs w:val="22"/>
        </w:rPr>
        <w:t xml:space="preserve">Marbella </w:t>
      </w:r>
      <w:r>
        <w:rPr>
          <w:rFonts w:ascii="Open Sans" w:hAnsi="Open Sans" w:cs="Open Sans"/>
          <w:sz w:val="22"/>
          <w:szCs w:val="22"/>
        </w:rPr>
        <w:t xml:space="preserve">con </w:t>
      </w:r>
      <w:r w:rsidRPr="00B554A5">
        <w:rPr>
          <w:rFonts w:ascii="Open Sans" w:hAnsi="Open Sans" w:cs="Open Sans"/>
          <w:sz w:val="22"/>
          <w:szCs w:val="22"/>
        </w:rPr>
        <w:t>3%</w:t>
      </w:r>
      <w:r>
        <w:rPr>
          <w:rFonts w:ascii="Open Sans" w:hAnsi="Open Sans" w:cs="Open Sans"/>
          <w:sz w:val="22"/>
          <w:szCs w:val="22"/>
        </w:rPr>
        <w:t>.</w:t>
      </w:r>
    </w:p>
    <w:p w14:paraId="2B0F3D92" w14:textId="650D6A16" w:rsidR="002C0C95" w:rsidRDefault="002C0C95" w:rsidP="002C0C95">
      <w:pPr>
        <w:pStyle w:val="Prrafodelista"/>
        <w:spacing w:line="276" w:lineRule="auto"/>
        <w:ind w:left="0" w:right="-574"/>
        <w:jc w:val="center"/>
        <w:rPr>
          <w:rFonts w:ascii="National" w:hAnsi="National"/>
          <w:b/>
          <w:bCs/>
          <w:iCs/>
          <w:color w:val="FF0000"/>
          <w:sz w:val="28"/>
          <w:szCs w:val="160"/>
          <w:lang w:val="es-ES"/>
        </w:rPr>
      </w:pPr>
      <w:r>
        <w:rPr>
          <w:rFonts w:ascii="National" w:hAnsi="National"/>
          <w:b/>
          <w:bCs/>
          <w:iCs/>
          <w:color w:val="303AB2"/>
          <w:sz w:val="28"/>
          <w:szCs w:val="160"/>
          <w:lang w:val="es-ES"/>
        </w:rPr>
        <w:t>Ciudades andaluzas con mayor p</w:t>
      </w:r>
      <w:r w:rsidRPr="00D82713">
        <w:rPr>
          <w:rFonts w:ascii="National" w:hAnsi="National"/>
          <w:b/>
          <w:bCs/>
          <w:iCs/>
          <w:color w:val="303AB2"/>
          <w:sz w:val="28"/>
          <w:szCs w:val="160"/>
          <w:lang w:val="es-ES"/>
        </w:rPr>
        <w:t xml:space="preserve">orcentaje (%) </w:t>
      </w:r>
      <w:r w:rsidRPr="004419C5">
        <w:rPr>
          <w:rFonts w:ascii="National" w:hAnsi="National"/>
          <w:b/>
          <w:bCs/>
          <w:iCs/>
          <w:color w:val="303AB2"/>
          <w:sz w:val="28"/>
          <w:szCs w:val="160"/>
          <w:lang w:val="es-ES"/>
        </w:rPr>
        <w:t>acumulativo</w:t>
      </w:r>
      <w:r w:rsidRPr="001C6AC4">
        <w:rPr>
          <w:rFonts w:ascii="National" w:hAnsi="National"/>
          <w:b/>
          <w:bCs/>
          <w:iCs/>
          <w:color w:val="FF0000"/>
          <w:sz w:val="28"/>
          <w:szCs w:val="160"/>
          <w:lang w:val="es-ES"/>
        </w:rPr>
        <w:t xml:space="preserve"> </w:t>
      </w:r>
    </w:p>
    <w:p w14:paraId="02B9CA55" w14:textId="77777777" w:rsidR="002C0C95" w:rsidRPr="0079339F" w:rsidRDefault="002C0C95" w:rsidP="002C0C95">
      <w:pPr>
        <w:pStyle w:val="Prrafodelista"/>
        <w:spacing w:line="276" w:lineRule="auto"/>
        <w:ind w:left="0" w:right="-574"/>
        <w:rPr>
          <w:rFonts w:ascii="National" w:hAnsi="National"/>
          <w:b/>
          <w:bCs/>
          <w:iCs/>
          <w:color w:val="303AB2"/>
          <w:sz w:val="16"/>
          <w:szCs w:val="16"/>
          <w:lang w:val="es-ES"/>
        </w:rPr>
      </w:pPr>
    </w:p>
    <w:tbl>
      <w:tblPr>
        <w:tblW w:w="8895"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70" w:type="dxa"/>
          <w:right w:w="70" w:type="dxa"/>
        </w:tblCellMar>
        <w:tblLook w:val="04A0" w:firstRow="1" w:lastRow="0" w:firstColumn="1" w:lastColumn="0" w:noHBand="0" w:noVBand="1"/>
      </w:tblPr>
      <w:tblGrid>
        <w:gridCol w:w="1266"/>
        <w:gridCol w:w="2268"/>
        <w:gridCol w:w="1843"/>
        <w:gridCol w:w="1701"/>
        <w:gridCol w:w="1817"/>
      </w:tblGrid>
      <w:tr w:rsidR="002C0C95" w:rsidRPr="00692F3E" w14:paraId="66A93AB4" w14:textId="77777777" w:rsidTr="00F118DC">
        <w:trPr>
          <w:trHeight w:val="526"/>
        </w:trPr>
        <w:tc>
          <w:tcPr>
            <w:tcW w:w="1266" w:type="dxa"/>
            <w:shd w:val="clear" w:color="auto" w:fill="ACB9CA"/>
            <w:vAlign w:val="center"/>
          </w:tcPr>
          <w:p w14:paraId="2C93CC83" w14:textId="77777777" w:rsidR="002C0C95" w:rsidRPr="00692F3E" w:rsidRDefault="002C0C95" w:rsidP="00F118DC">
            <w:pPr>
              <w:rPr>
                <w:rFonts w:ascii="Open Sans" w:hAnsi="Open Sans" w:cs="Open Sans"/>
                <w:color w:val="0D0D0D" w:themeColor="text1" w:themeTint="F2"/>
                <w:sz w:val="20"/>
                <w:szCs w:val="20"/>
              </w:rPr>
            </w:pPr>
            <w:r>
              <w:rPr>
                <w:rFonts w:ascii="Open Sans" w:eastAsia="Times New Roman" w:hAnsi="Open Sans" w:cs="Open Sans"/>
                <w:color w:val="0D0D0D" w:themeColor="text1" w:themeTint="F2"/>
                <w:sz w:val="20"/>
                <w:szCs w:val="20"/>
                <w:lang w:val="es-ES"/>
              </w:rPr>
              <w:t>Provincia</w:t>
            </w:r>
          </w:p>
        </w:tc>
        <w:tc>
          <w:tcPr>
            <w:tcW w:w="2268" w:type="dxa"/>
            <w:shd w:val="clear" w:color="auto" w:fill="ACB9CA"/>
            <w:vAlign w:val="center"/>
          </w:tcPr>
          <w:p w14:paraId="3D1988D2" w14:textId="77777777" w:rsidR="002C0C95" w:rsidRPr="00692F3E" w:rsidRDefault="002C0C95" w:rsidP="00F118DC">
            <w:pPr>
              <w:rPr>
                <w:rFonts w:ascii="Open Sans" w:hAnsi="Open Sans" w:cs="Open Sans"/>
                <w:color w:val="0D0D0D" w:themeColor="text1" w:themeTint="F2"/>
                <w:sz w:val="20"/>
                <w:szCs w:val="20"/>
              </w:rPr>
            </w:pPr>
            <w:r w:rsidRPr="00692F3E">
              <w:rPr>
                <w:rFonts w:ascii="Open Sans" w:eastAsia="Times New Roman" w:hAnsi="Open Sans" w:cs="Open Sans"/>
                <w:color w:val="0D0D0D" w:themeColor="text1" w:themeTint="F2"/>
                <w:sz w:val="20"/>
                <w:szCs w:val="20"/>
                <w:lang w:val="es-ES"/>
              </w:rPr>
              <w:t>Ciudad</w:t>
            </w:r>
          </w:p>
        </w:tc>
        <w:tc>
          <w:tcPr>
            <w:tcW w:w="1843" w:type="dxa"/>
            <w:shd w:val="clear" w:color="auto" w:fill="ACB9CA"/>
            <w:vAlign w:val="center"/>
            <w:hideMark/>
          </w:tcPr>
          <w:p w14:paraId="17A2B8DB" w14:textId="77777777" w:rsidR="002C0C95" w:rsidRPr="00692F3E" w:rsidRDefault="002C0C95" w:rsidP="00F118DC">
            <w:pPr>
              <w:jc w:val="center"/>
              <w:rPr>
                <w:rFonts w:ascii="Open Sans" w:hAnsi="Open Sans" w:cs="Open Sans"/>
                <w:color w:val="0D0D0D" w:themeColor="text1" w:themeTint="F2"/>
                <w:sz w:val="20"/>
                <w:szCs w:val="20"/>
              </w:rPr>
            </w:pPr>
            <w:r w:rsidRPr="00692F3E">
              <w:rPr>
                <w:rFonts w:ascii="Open Sans" w:hAnsi="Open Sans" w:cs="Open Sans"/>
                <w:color w:val="0D0D0D" w:themeColor="text1" w:themeTint="F2"/>
                <w:sz w:val="20"/>
                <w:szCs w:val="20"/>
              </w:rPr>
              <w:t>(%) Acumulativo</w:t>
            </w:r>
          </w:p>
          <w:p w14:paraId="589A77DC" w14:textId="77777777" w:rsidR="002C0C95" w:rsidRDefault="002C0C95" w:rsidP="00F118DC">
            <w:pPr>
              <w:jc w:val="center"/>
              <w:rPr>
                <w:rFonts w:ascii="Open Sans" w:hAnsi="Open Sans" w:cs="Open Sans"/>
                <w:color w:val="0D0D0D" w:themeColor="text1" w:themeTint="F2"/>
                <w:sz w:val="20"/>
                <w:szCs w:val="20"/>
              </w:rPr>
            </w:pPr>
            <w:r w:rsidRPr="00692F3E">
              <w:rPr>
                <w:rFonts w:ascii="Open Sans" w:hAnsi="Open Sans" w:cs="Open Sans"/>
                <w:color w:val="0D0D0D" w:themeColor="text1" w:themeTint="F2"/>
                <w:sz w:val="20"/>
                <w:szCs w:val="20"/>
              </w:rPr>
              <w:t>10 años</w:t>
            </w:r>
          </w:p>
          <w:p w14:paraId="38F505A5" w14:textId="77777777" w:rsidR="002C0C95" w:rsidRPr="00692F3E" w:rsidRDefault="002C0C95" w:rsidP="00F118DC">
            <w:pPr>
              <w:jc w:val="center"/>
              <w:rPr>
                <w:rFonts w:ascii="Open Sans" w:eastAsia="Times New Roman" w:hAnsi="Open Sans" w:cs="Open Sans"/>
                <w:color w:val="0D0D0D" w:themeColor="text1" w:themeTint="F2"/>
                <w:sz w:val="20"/>
                <w:szCs w:val="20"/>
                <w:lang w:val="es-ES"/>
              </w:rPr>
            </w:pPr>
            <w:r w:rsidRPr="00692F3E">
              <w:rPr>
                <w:rFonts w:ascii="Open Sans" w:hAnsi="Open Sans" w:cs="Open Sans"/>
                <w:color w:val="0D0D0D" w:themeColor="text1" w:themeTint="F2"/>
                <w:sz w:val="20"/>
                <w:szCs w:val="20"/>
              </w:rPr>
              <w:t xml:space="preserve">  (2021 vs 2011)</w:t>
            </w:r>
          </w:p>
        </w:tc>
        <w:tc>
          <w:tcPr>
            <w:tcW w:w="1701" w:type="dxa"/>
            <w:shd w:val="clear" w:color="auto" w:fill="ACB9CA"/>
            <w:vAlign w:val="center"/>
            <w:hideMark/>
          </w:tcPr>
          <w:p w14:paraId="2AE652CD" w14:textId="77777777" w:rsidR="002C0C95" w:rsidRPr="00692F3E" w:rsidRDefault="002C0C95" w:rsidP="00F118DC">
            <w:pPr>
              <w:jc w:val="center"/>
              <w:rPr>
                <w:rFonts w:ascii="Open Sans" w:hAnsi="Open Sans" w:cs="Open Sans"/>
                <w:color w:val="0D0D0D" w:themeColor="text1" w:themeTint="F2"/>
                <w:sz w:val="20"/>
                <w:szCs w:val="20"/>
              </w:rPr>
            </w:pPr>
            <w:r w:rsidRPr="00692F3E">
              <w:rPr>
                <w:rFonts w:ascii="Open Sans" w:hAnsi="Open Sans" w:cs="Open Sans"/>
                <w:color w:val="0D0D0D" w:themeColor="text1" w:themeTint="F2"/>
                <w:sz w:val="20"/>
                <w:szCs w:val="20"/>
              </w:rPr>
              <w:t>(%) Acumulativo</w:t>
            </w:r>
          </w:p>
          <w:p w14:paraId="61033D5D" w14:textId="77777777" w:rsidR="002C0C95" w:rsidRDefault="002C0C95" w:rsidP="00F118DC">
            <w:pPr>
              <w:jc w:val="center"/>
              <w:rPr>
                <w:rFonts w:ascii="Open Sans" w:hAnsi="Open Sans" w:cs="Open Sans"/>
                <w:color w:val="0D0D0D" w:themeColor="text1" w:themeTint="F2"/>
                <w:sz w:val="20"/>
                <w:szCs w:val="20"/>
              </w:rPr>
            </w:pPr>
            <w:r w:rsidRPr="00692F3E">
              <w:rPr>
                <w:rFonts w:ascii="Open Sans" w:hAnsi="Open Sans" w:cs="Open Sans"/>
                <w:color w:val="0D0D0D" w:themeColor="text1" w:themeTint="F2"/>
                <w:sz w:val="20"/>
                <w:szCs w:val="20"/>
              </w:rPr>
              <w:t>5 años</w:t>
            </w:r>
          </w:p>
          <w:p w14:paraId="54561025" w14:textId="77777777" w:rsidR="002C0C95" w:rsidRPr="00692F3E" w:rsidRDefault="002C0C95" w:rsidP="00F118DC">
            <w:pPr>
              <w:jc w:val="center"/>
              <w:rPr>
                <w:rFonts w:ascii="Open Sans" w:eastAsia="Times New Roman" w:hAnsi="Open Sans" w:cs="Open Sans"/>
                <w:color w:val="0D0D0D" w:themeColor="text1" w:themeTint="F2"/>
                <w:sz w:val="20"/>
                <w:szCs w:val="20"/>
                <w:lang w:val="es-ES"/>
              </w:rPr>
            </w:pPr>
            <w:r w:rsidRPr="00692F3E">
              <w:rPr>
                <w:rFonts w:ascii="Open Sans" w:hAnsi="Open Sans" w:cs="Open Sans"/>
                <w:color w:val="0D0D0D" w:themeColor="text1" w:themeTint="F2"/>
                <w:sz w:val="20"/>
                <w:szCs w:val="20"/>
              </w:rPr>
              <w:t xml:space="preserve"> (2021 vs 2016)</w:t>
            </w:r>
          </w:p>
        </w:tc>
        <w:tc>
          <w:tcPr>
            <w:tcW w:w="1817" w:type="dxa"/>
            <w:shd w:val="clear" w:color="auto" w:fill="ACB9CA" w:themeFill="text2" w:themeFillTint="66"/>
            <w:vAlign w:val="center"/>
          </w:tcPr>
          <w:p w14:paraId="04B642D9" w14:textId="77777777" w:rsidR="002C0C95" w:rsidRPr="00692F3E" w:rsidRDefault="002C0C95" w:rsidP="00F118DC">
            <w:pPr>
              <w:jc w:val="center"/>
              <w:rPr>
                <w:rFonts w:ascii="Open Sans" w:hAnsi="Open Sans" w:cs="Open Sans"/>
                <w:color w:val="0D0D0D" w:themeColor="text1" w:themeTint="F2"/>
                <w:sz w:val="20"/>
                <w:szCs w:val="20"/>
              </w:rPr>
            </w:pPr>
            <w:r w:rsidRPr="00692F3E">
              <w:rPr>
                <w:rFonts w:ascii="Open Sans" w:hAnsi="Open Sans" w:cs="Open Sans"/>
                <w:color w:val="0D0D0D" w:themeColor="text1" w:themeTint="F2"/>
                <w:sz w:val="20"/>
                <w:szCs w:val="20"/>
              </w:rPr>
              <w:t>(%) Acumulativo</w:t>
            </w:r>
          </w:p>
          <w:p w14:paraId="5F2F256B" w14:textId="77777777" w:rsidR="002C0C95" w:rsidRDefault="002C0C95" w:rsidP="00F118DC">
            <w:pPr>
              <w:jc w:val="center"/>
              <w:rPr>
                <w:rFonts w:ascii="Open Sans" w:hAnsi="Open Sans" w:cs="Open Sans"/>
                <w:color w:val="0D0D0D" w:themeColor="text1" w:themeTint="F2"/>
                <w:sz w:val="20"/>
                <w:szCs w:val="20"/>
              </w:rPr>
            </w:pPr>
            <w:r w:rsidRPr="00692F3E">
              <w:rPr>
                <w:rFonts w:ascii="Open Sans" w:hAnsi="Open Sans" w:cs="Open Sans"/>
                <w:color w:val="0D0D0D" w:themeColor="text1" w:themeTint="F2"/>
                <w:sz w:val="20"/>
                <w:szCs w:val="20"/>
              </w:rPr>
              <w:t xml:space="preserve">1 año </w:t>
            </w:r>
          </w:p>
          <w:p w14:paraId="2EBB689E" w14:textId="77777777" w:rsidR="002C0C95" w:rsidRPr="00692F3E" w:rsidRDefault="002C0C95" w:rsidP="00F118DC">
            <w:pPr>
              <w:jc w:val="center"/>
              <w:rPr>
                <w:rFonts w:ascii="Open Sans" w:hAnsi="Open Sans" w:cs="Open Sans"/>
                <w:color w:val="0D0D0D" w:themeColor="text1" w:themeTint="F2"/>
                <w:sz w:val="20"/>
                <w:szCs w:val="20"/>
              </w:rPr>
            </w:pPr>
            <w:r w:rsidRPr="00692F3E">
              <w:rPr>
                <w:rFonts w:ascii="Open Sans" w:hAnsi="Open Sans" w:cs="Open Sans"/>
                <w:color w:val="0D0D0D" w:themeColor="text1" w:themeTint="F2"/>
                <w:sz w:val="20"/>
                <w:szCs w:val="20"/>
              </w:rPr>
              <w:t>(2021 vs 2020)</w:t>
            </w:r>
          </w:p>
        </w:tc>
      </w:tr>
      <w:tr w:rsidR="002C0C95" w:rsidRPr="00692F3E" w14:paraId="4D38AAE2" w14:textId="77777777" w:rsidTr="00F118DC">
        <w:trPr>
          <w:trHeight w:val="152"/>
        </w:trPr>
        <w:tc>
          <w:tcPr>
            <w:tcW w:w="1266" w:type="dxa"/>
            <w:vAlign w:val="bottom"/>
          </w:tcPr>
          <w:p w14:paraId="053E0C45"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Málaga</w:t>
            </w:r>
          </w:p>
        </w:tc>
        <w:tc>
          <w:tcPr>
            <w:tcW w:w="2268" w:type="dxa"/>
            <w:vAlign w:val="bottom"/>
          </w:tcPr>
          <w:p w14:paraId="386976BA"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Mijas</w:t>
            </w:r>
          </w:p>
        </w:tc>
        <w:tc>
          <w:tcPr>
            <w:tcW w:w="1843" w:type="dxa"/>
            <w:shd w:val="clear" w:color="auto" w:fill="auto"/>
            <w:vAlign w:val="bottom"/>
          </w:tcPr>
          <w:p w14:paraId="40FC983C"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52%</w:t>
            </w:r>
          </w:p>
        </w:tc>
        <w:tc>
          <w:tcPr>
            <w:tcW w:w="1701" w:type="dxa"/>
            <w:shd w:val="clear" w:color="auto" w:fill="auto"/>
            <w:vAlign w:val="bottom"/>
          </w:tcPr>
          <w:p w14:paraId="35690765"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49%</w:t>
            </w:r>
          </w:p>
        </w:tc>
        <w:tc>
          <w:tcPr>
            <w:tcW w:w="1817" w:type="dxa"/>
            <w:vAlign w:val="bottom"/>
          </w:tcPr>
          <w:p w14:paraId="194D801D" w14:textId="77777777" w:rsidR="002C0C95" w:rsidRDefault="002C0C95" w:rsidP="00F118DC">
            <w:pPr>
              <w:jc w:val="center"/>
              <w:rPr>
                <w:rFonts w:ascii="Open Sans" w:hAnsi="Open Sans" w:cs="Open Sans"/>
                <w:color w:val="9C0006"/>
                <w:sz w:val="22"/>
                <w:szCs w:val="22"/>
              </w:rPr>
            </w:pPr>
            <w:r>
              <w:rPr>
                <w:rFonts w:ascii="Open Sans" w:hAnsi="Open Sans" w:cs="Open Sans"/>
                <w:color w:val="9C0006"/>
                <w:sz w:val="22"/>
                <w:szCs w:val="22"/>
              </w:rPr>
              <w:t>-3%</w:t>
            </w:r>
          </w:p>
        </w:tc>
      </w:tr>
      <w:tr w:rsidR="002C0C95" w:rsidRPr="00692F3E" w14:paraId="5F0F642C" w14:textId="77777777" w:rsidTr="00F118DC">
        <w:trPr>
          <w:trHeight w:val="152"/>
        </w:trPr>
        <w:tc>
          <w:tcPr>
            <w:tcW w:w="1266" w:type="dxa"/>
            <w:vAlign w:val="bottom"/>
          </w:tcPr>
          <w:p w14:paraId="12006B7C"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Málaga</w:t>
            </w:r>
          </w:p>
        </w:tc>
        <w:tc>
          <w:tcPr>
            <w:tcW w:w="2268" w:type="dxa"/>
            <w:vAlign w:val="bottom"/>
          </w:tcPr>
          <w:p w14:paraId="35281D2F"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Torremolinos</w:t>
            </w:r>
          </w:p>
        </w:tc>
        <w:tc>
          <w:tcPr>
            <w:tcW w:w="1843" w:type="dxa"/>
            <w:shd w:val="clear" w:color="auto" w:fill="auto"/>
            <w:vAlign w:val="bottom"/>
          </w:tcPr>
          <w:p w14:paraId="5EF46332"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46%</w:t>
            </w:r>
          </w:p>
        </w:tc>
        <w:tc>
          <w:tcPr>
            <w:tcW w:w="1701" w:type="dxa"/>
            <w:shd w:val="clear" w:color="auto" w:fill="auto"/>
            <w:vAlign w:val="bottom"/>
          </w:tcPr>
          <w:p w14:paraId="608E6E2C"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47%</w:t>
            </w:r>
          </w:p>
        </w:tc>
        <w:tc>
          <w:tcPr>
            <w:tcW w:w="1817" w:type="dxa"/>
            <w:vAlign w:val="bottom"/>
          </w:tcPr>
          <w:p w14:paraId="5325753C" w14:textId="77777777" w:rsidR="002C0C95" w:rsidRDefault="002C0C95" w:rsidP="00F118DC">
            <w:pPr>
              <w:jc w:val="center"/>
              <w:rPr>
                <w:rFonts w:ascii="Open Sans" w:hAnsi="Open Sans" w:cs="Open Sans"/>
                <w:color w:val="9C0006"/>
                <w:sz w:val="22"/>
                <w:szCs w:val="22"/>
              </w:rPr>
            </w:pPr>
            <w:r>
              <w:rPr>
                <w:rFonts w:ascii="Open Sans" w:hAnsi="Open Sans" w:cs="Open Sans"/>
                <w:color w:val="000000"/>
                <w:sz w:val="22"/>
                <w:szCs w:val="22"/>
              </w:rPr>
              <w:t>3%</w:t>
            </w:r>
          </w:p>
        </w:tc>
      </w:tr>
      <w:tr w:rsidR="002C0C95" w:rsidRPr="00692F3E" w14:paraId="5914720B" w14:textId="77777777" w:rsidTr="00F118DC">
        <w:trPr>
          <w:trHeight w:val="152"/>
        </w:trPr>
        <w:tc>
          <w:tcPr>
            <w:tcW w:w="1266" w:type="dxa"/>
            <w:vAlign w:val="bottom"/>
          </w:tcPr>
          <w:p w14:paraId="6C82E2F8"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Almería</w:t>
            </w:r>
          </w:p>
        </w:tc>
        <w:tc>
          <w:tcPr>
            <w:tcW w:w="2268" w:type="dxa"/>
            <w:vAlign w:val="bottom"/>
          </w:tcPr>
          <w:p w14:paraId="744A2F03"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Roquetas de Mar</w:t>
            </w:r>
          </w:p>
        </w:tc>
        <w:tc>
          <w:tcPr>
            <w:tcW w:w="1843" w:type="dxa"/>
            <w:shd w:val="clear" w:color="auto" w:fill="auto"/>
            <w:vAlign w:val="bottom"/>
          </w:tcPr>
          <w:p w14:paraId="5CFA8E15"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30%</w:t>
            </w:r>
          </w:p>
        </w:tc>
        <w:tc>
          <w:tcPr>
            <w:tcW w:w="1701" w:type="dxa"/>
            <w:shd w:val="clear" w:color="auto" w:fill="auto"/>
            <w:vAlign w:val="bottom"/>
          </w:tcPr>
          <w:p w14:paraId="1329AF8C"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39%</w:t>
            </w:r>
          </w:p>
        </w:tc>
        <w:tc>
          <w:tcPr>
            <w:tcW w:w="1817" w:type="dxa"/>
            <w:vAlign w:val="bottom"/>
          </w:tcPr>
          <w:p w14:paraId="41404143" w14:textId="77777777" w:rsidR="002C0C95" w:rsidRDefault="002C0C95" w:rsidP="00F118DC">
            <w:pPr>
              <w:jc w:val="center"/>
              <w:rPr>
                <w:rFonts w:ascii="Open Sans" w:hAnsi="Open Sans" w:cs="Open Sans"/>
                <w:color w:val="9C0006"/>
                <w:sz w:val="22"/>
                <w:szCs w:val="22"/>
              </w:rPr>
            </w:pPr>
            <w:r>
              <w:rPr>
                <w:rFonts w:ascii="Open Sans" w:hAnsi="Open Sans" w:cs="Open Sans"/>
                <w:color w:val="000000"/>
                <w:sz w:val="22"/>
                <w:szCs w:val="22"/>
              </w:rPr>
              <w:t>18%</w:t>
            </w:r>
          </w:p>
        </w:tc>
      </w:tr>
      <w:tr w:rsidR="002C0C95" w:rsidRPr="00692F3E" w14:paraId="631ED18B" w14:textId="77777777" w:rsidTr="00F118DC">
        <w:trPr>
          <w:trHeight w:val="152"/>
        </w:trPr>
        <w:tc>
          <w:tcPr>
            <w:tcW w:w="1266" w:type="dxa"/>
            <w:vAlign w:val="bottom"/>
          </w:tcPr>
          <w:p w14:paraId="0067ED83"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Granada</w:t>
            </w:r>
          </w:p>
        </w:tc>
        <w:tc>
          <w:tcPr>
            <w:tcW w:w="2268" w:type="dxa"/>
            <w:vAlign w:val="bottom"/>
          </w:tcPr>
          <w:p w14:paraId="2E0F6214"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Armilla</w:t>
            </w:r>
          </w:p>
        </w:tc>
        <w:tc>
          <w:tcPr>
            <w:tcW w:w="1843" w:type="dxa"/>
            <w:shd w:val="clear" w:color="auto" w:fill="auto"/>
            <w:vAlign w:val="bottom"/>
          </w:tcPr>
          <w:p w14:paraId="1F32688B"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24%</w:t>
            </w:r>
          </w:p>
        </w:tc>
        <w:tc>
          <w:tcPr>
            <w:tcW w:w="1701" w:type="dxa"/>
            <w:shd w:val="clear" w:color="auto" w:fill="auto"/>
            <w:vAlign w:val="bottom"/>
          </w:tcPr>
          <w:p w14:paraId="6BE16519"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36%</w:t>
            </w:r>
          </w:p>
        </w:tc>
        <w:tc>
          <w:tcPr>
            <w:tcW w:w="1817" w:type="dxa"/>
            <w:vAlign w:val="bottom"/>
          </w:tcPr>
          <w:p w14:paraId="40F070A9" w14:textId="77777777" w:rsidR="002C0C95" w:rsidRDefault="002C0C95" w:rsidP="00F118DC">
            <w:pPr>
              <w:jc w:val="center"/>
              <w:rPr>
                <w:rFonts w:ascii="Open Sans" w:hAnsi="Open Sans" w:cs="Open Sans"/>
                <w:color w:val="9C0006"/>
                <w:sz w:val="22"/>
                <w:szCs w:val="22"/>
              </w:rPr>
            </w:pPr>
            <w:r>
              <w:rPr>
                <w:rFonts w:ascii="Open Sans" w:hAnsi="Open Sans" w:cs="Open Sans"/>
                <w:color w:val="9C0006"/>
                <w:sz w:val="22"/>
                <w:szCs w:val="22"/>
              </w:rPr>
              <w:t>-5%</w:t>
            </w:r>
          </w:p>
        </w:tc>
      </w:tr>
      <w:tr w:rsidR="002C0C95" w:rsidRPr="00692F3E" w14:paraId="2D1E4B03" w14:textId="77777777" w:rsidTr="00F118DC">
        <w:trPr>
          <w:trHeight w:val="152"/>
        </w:trPr>
        <w:tc>
          <w:tcPr>
            <w:tcW w:w="1266" w:type="dxa"/>
            <w:vAlign w:val="bottom"/>
          </w:tcPr>
          <w:p w14:paraId="3059ACA5"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Sevilla</w:t>
            </w:r>
          </w:p>
        </w:tc>
        <w:tc>
          <w:tcPr>
            <w:tcW w:w="2268" w:type="dxa"/>
            <w:vAlign w:val="bottom"/>
          </w:tcPr>
          <w:p w14:paraId="7B410609"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Dos Hermanas</w:t>
            </w:r>
          </w:p>
        </w:tc>
        <w:tc>
          <w:tcPr>
            <w:tcW w:w="1843" w:type="dxa"/>
            <w:shd w:val="clear" w:color="auto" w:fill="auto"/>
            <w:vAlign w:val="bottom"/>
          </w:tcPr>
          <w:p w14:paraId="08918E25"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11%</w:t>
            </w:r>
          </w:p>
        </w:tc>
        <w:tc>
          <w:tcPr>
            <w:tcW w:w="1701" w:type="dxa"/>
            <w:shd w:val="clear" w:color="auto" w:fill="auto"/>
            <w:vAlign w:val="bottom"/>
          </w:tcPr>
          <w:p w14:paraId="5306D31E"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35%</w:t>
            </w:r>
          </w:p>
        </w:tc>
        <w:tc>
          <w:tcPr>
            <w:tcW w:w="1817" w:type="dxa"/>
            <w:vAlign w:val="bottom"/>
          </w:tcPr>
          <w:p w14:paraId="47DE1026" w14:textId="77777777" w:rsidR="002C0C95" w:rsidRDefault="002C0C95" w:rsidP="00F118DC">
            <w:pPr>
              <w:jc w:val="center"/>
              <w:rPr>
                <w:rFonts w:ascii="Open Sans" w:hAnsi="Open Sans" w:cs="Open Sans"/>
                <w:color w:val="9C0006"/>
                <w:sz w:val="22"/>
                <w:szCs w:val="22"/>
              </w:rPr>
            </w:pPr>
          </w:p>
        </w:tc>
      </w:tr>
      <w:tr w:rsidR="002C0C95" w:rsidRPr="00692F3E" w14:paraId="1E46B946" w14:textId="77777777" w:rsidTr="00F118DC">
        <w:trPr>
          <w:trHeight w:val="152"/>
        </w:trPr>
        <w:tc>
          <w:tcPr>
            <w:tcW w:w="1266" w:type="dxa"/>
            <w:vAlign w:val="bottom"/>
          </w:tcPr>
          <w:p w14:paraId="7E307752"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Cádiz</w:t>
            </w:r>
          </w:p>
        </w:tc>
        <w:tc>
          <w:tcPr>
            <w:tcW w:w="2268" w:type="dxa"/>
            <w:vAlign w:val="bottom"/>
          </w:tcPr>
          <w:p w14:paraId="245E7EB3"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Cádiz capital</w:t>
            </w:r>
          </w:p>
        </w:tc>
        <w:tc>
          <w:tcPr>
            <w:tcW w:w="1843" w:type="dxa"/>
            <w:shd w:val="clear" w:color="auto" w:fill="auto"/>
            <w:vAlign w:val="bottom"/>
          </w:tcPr>
          <w:p w14:paraId="582F60E2"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12%</w:t>
            </w:r>
          </w:p>
        </w:tc>
        <w:tc>
          <w:tcPr>
            <w:tcW w:w="1701" w:type="dxa"/>
            <w:shd w:val="clear" w:color="auto" w:fill="auto"/>
            <w:vAlign w:val="bottom"/>
          </w:tcPr>
          <w:p w14:paraId="2CA49F5C"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33%</w:t>
            </w:r>
          </w:p>
        </w:tc>
        <w:tc>
          <w:tcPr>
            <w:tcW w:w="1817" w:type="dxa"/>
            <w:vAlign w:val="bottom"/>
          </w:tcPr>
          <w:p w14:paraId="42825D6B" w14:textId="77777777" w:rsidR="002C0C95" w:rsidRDefault="002C0C95" w:rsidP="00F118DC">
            <w:pPr>
              <w:jc w:val="center"/>
              <w:rPr>
                <w:rFonts w:ascii="Open Sans" w:hAnsi="Open Sans" w:cs="Open Sans"/>
                <w:color w:val="9C0006"/>
                <w:sz w:val="22"/>
                <w:szCs w:val="22"/>
              </w:rPr>
            </w:pPr>
            <w:r>
              <w:rPr>
                <w:rFonts w:ascii="Open Sans" w:hAnsi="Open Sans" w:cs="Open Sans"/>
                <w:color w:val="000000"/>
                <w:sz w:val="22"/>
                <w:szCs w:val="22"/>
              </w:rPr>
              <w:t>7%</w:t>
            </w:r>
          </w:p>
        </w:tc>
      </w:tr>
      <w:tr w:rsidR="002C0C95" w:rsidRPr="00692F3E" w14:paraId="4F7788FA" w14:textId="77777777" w:rsidTr="00F118DC">
        <w:trPr>
          <w:trHeight w:val="152"/>
        </w:trPr>
        <w:tc>
          <w:tcPr>
            <w:tcW w:w="1266" w:type="dxa"/>
            <w:vAlign w:val="bottom"/>
          </w:tcPr>
          <w:p w14:paraId="1A3E7F62"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Almería</w:t>
            </w:r>
          </w:p>
        </w:tc>
        <w:tc>
          <w:tcPr>
            <w:tcW w:w="2268" w:type="dxa"/>
            <w:vAlign w:val="bottom"/>
          </w:tcPr>
          <w:p w14:paraId="6AA99AFB"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Almería capital</w:t>
            </w:r>
          </w:p>
        </w:tc>
        <w:tc>
          <w:tcPr>
            <w:tcW w:w="1843" w:type="dxa"/>
            <w:shd w:val="clear" w:color="auto" w:fill="auto"/>
            <w:vAlign w:val="bottom"/>
          </w:tcPr>
          <w:p w14:paraId="07AB7ADC"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18%</w:t>
            </w:r>
          </w:p>
        </w:tc>
        <w:tc>
          <w:tcPr>
            <w:tcW w:w="1701" w:type="dxa"/>
            <w:shd w:val="clear" w:color="auto" w:fill="auto"/>
            <w:vAlign w:val="bottom"/>
          </w:tcPr>
          <w:p w14:paraId="5894FE12"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33%</w:t>
            </w:r>
          </w:p>
        </w:tc>
        <w:tc>
          <w:tcPr>
            <w:tcW w:w="1817" w:type="dxa"/>
            <w:vAlign w:val="bottom"/>
          </w:tcPr>
          <w:p w14:paraId="66E3E28F" w14:textId="77777777" w:rsidR="002C0C95" w:rsidRDefault="002C0C95" w:rsidP="00F118DC">
            <w:pPr>
              <w:jc w:val="center"/>
              <w:rPr>
                <w:rFonts w:ascii="Open Sans" w:hAnsi="Open Sans" w:cs="Open Sans"/>
                <w:color w:val="9C0006"/>
                <w:sz w:val="22"/>
                <w:szCs w:val="22"/>
              </w:rPr>
            </w:pPr>
            <w:r>
              <w:rPr>
                <w:rFonts w:ascii="Open Sans" w:hAnsi="Open Sans" w:cs="Open Sans"/>
                <w:color w:val="000000"/>
                <w:sz w:val="22"/>
                <w:szCs w:val="22"/>
              </w:rPr>
              <w:t>8%</w:t>
            </w:r>
          </w:p>
        </w:tc>
      </w:tr>
      <w:tr w:rsidR="002C0C95" w:rsidRPr="00692F3E" w14:paraId="274C057F" w14:textId="77777777" w:rsidTr="00F118DC">
        <w:trPr>
          <w:trHeight w:val="152"/>
        </w:trPr>
        <w:tc>
          <w:tcPr>
            <w:tcW w:w="1266" w:type="dxa"/>
            <w:vAlign w:val="bottom"/>
          </w:tcPr>
          <w:p w14:paraId="37CEB06B"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Málaga</w:t>
            </w:r>
          </w:p>
        </w:tc>
        <w:tc>
          <w:tcPr>
            <w:tcW w:w="2268" w:type="dxa"/>
            <w:vAlign w:val="bottom"/>
          </w:tcPr>
          <w:p w14:paraId="0F52CB4C"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Málaga capital</w:t>
            </w:r>
          </w:p>
        </w:tc>
        <w:tc>
          <w:tcPr>
            <w:tcW w:w="1843" w:type="dxa"/>
            <w:shd w:val="clear" w:color="auto" w:fill="auto"/>
            <w:vAlign w:val="bottom"/>
          </w:tcPr>
          <w:p w14:paraId="764DCE97"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33%</w:t>
            </w:r>
          </w:p>
        </w:tc>
        <w:tc>
          <w:tcPr>
            <w:tcW w:w="1701" w:type="dxa"/>
            <w:shd w:val="clear" w:color="auto" w:fill="auto"/>
            <w:vAlign w:val="bottom"/>
          </w:tcPr>
          <w:p w14:paraId="21FB6899"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32%</w:t>
            </w:r>
          </w:p>
        </w:tc>
        <w:tc>
          <w:tcPr>
            <w:tcW w:w="1817" w:type="dxa"/>
            <w:vAlign w:val="bottom"/>
          </w:tcPr>
          <w:p w14:paraId="44E8853B" w14:textId="77777777" w:rsidR="002C0C95" w:rsidRDefault="002C0C95" w:rsidP="00F118DC">
            <w:pPr>
              <w:jc w:val="center"/>
              <w:rPr>
                <w:rFonts w:ascii="Open Sans" w:hAnsi="Open Sans" w:cs="Open Sans"/>
                <w:color w:val="9C0006"/>
                <w:sz w:val="22"/>
                <w:szCs w:val="22"/>
              </w:rPr>
            </w:pPr>
            <w:r>
              <w:rPr>
                <w:rFonts w:ascii="Open Sans" w:hAnsi="Open Sans" w:cs="Open Sans"/>
                <w:color w:val="9C0006"/>
                <w:sz w:val="22"/>
                <w:szCs w:val="22"/>
              </w:rPr>
              <w:t>-7%</w:t>
            </w:r>
          </w:p>
        </w:tc>
      </w:tr>
      <w:tr w:rsidR="002C0C95" w:rsidRPr="00692F3E" w14:paraId="66F267B9" w14:textId="77777777" w:rsidTr="00F118DC">
        <w:trPr>
          <w:trHeight w:val="152"/>
        </w:trPr>
        <w:tc>
          <w:tcPr>
            <w:tcW w:w="1266" w:type="dxa"/>
            <w:vAlign w:val="bottom"/>
          </w:tcPr>
          <w:p w14:paraId="2A7BA38B"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Granada</w:t>
            </w:r>
          </w:p>
        </w:tc>
        <w:tc>
          <w:tcPr>
            <w:tcW w:w="2268" w:type="dxa"/>
            <w:vAlign w:val="bottom"/>
          </w:tcPr>
          <w:p w14:paraId="643DCD22"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Granada capital</w:t>
            </w:r>
          </w:p>
        </w:tc>
        <w:tc>
          <w:tcPr>
            <w:tcW w:w="1843" w:type="dxa"/>
            <w:shd w:val="clear" w:color="auto" w:fill="auto"/>
            <w:vAlign w:val="bottom"/>
          </w:tcPr>
          <w:p w14:paraId="31F36FB0"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21%</w:t>
            </w:r>
          </w:p>
        </w:tc>
        <w:tc>
          <w:tcPr>
            <w:tcW w:w="1701" w:type="dxa"/>
            <w:shd w:val="clear" w:color="auto" w:fill="auto"/>
            <w:vAlign w:val="bottom"/>
          </w:tcPr>
          <w:p w14:paraId="631080B6"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28%</w:t>
            </w:r>
          </w:p>
        </w:tc>
        <w:tc>
          <w:tcPr>
            <w:tcW w:w="1817" w:type="dxa"/>
            <w:vAlign w:val="bottom"/>
          </w:tcPr>
          <w:p w14:paraId="0B26B4CA" w14:textId="77777777" w:rsidR="002C0C95" w:rsidRDefault="002C0C95" w:rsidP="00F118DC">
            <w:pPr>
              <w:jc w:val="center"/>
              <w:rPr>
                <w:rFonts w:ascii="Open Sans" w:hAnsi="Open Sans" w:cs="Open Sans"/>
                <w:color w:val="9C0006"/>
                <w:sz w:val="22"/>
                <w:szCs w:val="22"/>
              </w:rPr>
            </w:pPr>
            <w:r>
              <w:rPr>
                <w:rFonts w:ascii="Open Sans" w:hAnsi="Open Sans" w:cs="Open Sans"/>
                <w:color w:val="000000"/>
                <w:sz w:val="22"/>
                <w:szCs w:val="22"/>
              </w:rPr>
              <w:t>0%</w:t>
            </w:r>
          </w:p>
        </w:tc>
      </w:tr>
      <w:tr w:rsidR="002C0C95" w:rsidRPr="00692F3E" w14:paraId="70965087" w14:textId="77777777" w:rsidTr="00F118DC">
        <w:trPr>
          <w:trHeight w:val="152"/>
        </w:trPr>
        <w:tc>
          <w:tcPr>
            <w:tcW w:w="1266" w:type="dxa"/>
            <w:vAlign w:val="bottom"/>
          </w:tcPr>
          <w:p w14:paraId="7C8202D7"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Málaga</w:t>
            </w:r>
          </w:p>
        </w:tc>
        <w:tc>
          <w:tcPr>
            <w:tcW w:w="2268" w:type="dxa"/>
            <w:vAlign w:val="bottom"/>
          </w:tcPr>
          <w:p w14:paraId="22B3DBC2"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Benalmádena</w:t>
            </w:r>
          </w:p>
        </w:tc>
        <w:tc>
          <w:tcPr>
            <w:tcW w:w="1843" w:type="dxa"/>
            <w:shd w:val="clear" w:color="auto" w:fill="auto"/>
            <w:vAlign w:val="bottom"/>
          </w:tcPr>
          <w:p w14:paraId="69025972"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46%</w:t>
            </w:r>
          </w:p>
        </w:tc>
        <w:tc>
          <w:tcPr>
            <w:tcW w:w="1701" w:type="dxa"/>
            <w:shd w:val="clear" w:color="auto" w:fill="auto"/>
            <w:vAlign w:val="bottom"/>
          </w:tcPr>
          <w:p w14:paraId="1A2E5E8E"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28%</w:t>
            </w:r>
          </w:p>
        </w:tc>
        <w:tc>
          <w:tcPr>
            <w:tcW w:w="1817" w:type="dxa"/>
            <w:vAlign w:val="bottom"/>
          </w:tcPr>
          <w:p w14:paraId="7FEE35E3" w14:textId="77777777" w:rsidR="002C0C95" w:rsidRDefault="002C0C95" w:rsidP="00F118DC">
            <w:pPr>
              <w:jc w:val="center"/>
              <w:rPr>
                <w:rFonts w:ascii="Open Sans" w:hAnsi="Open Sans" w:cs="Open Sans"/>
                <w:color w:val="9C0006"/>
                <w:sz w:val="22"/>
                <w:szCs w:val="22"/>
              </w:rPr>
            </w:pPr>
            <w:r>
              <w:rPr>
                <w:rFonts w:ascii="Open Sans" w:hAnsi="Open Sans" w:cs="Open Sans"/>
                <w:color w:val="9C0006"/>
                <w:sz w:val="22"/>
                <w:szCs w:val="22"/>
              </w:rPr>
              <w:t>-2%</w:t>
            </w:r>
          </w:p>
        </w:tc>
      </w:tr>
      <w:tr w:rsidR="002C0C95" w:rsidRPr="00692F3E" w14:paraId="52E0477E" w14:textId="77777777" w:rsidTr="00F118DC">
        <w:trPr>
          <w:trHeight w:val="152"/>
        </w:trPr>
        <w:tc>
          <w:tcPr>
            <w:tcW w:w="1266" w:type="dxa"/>
            <w:vAlign w:val="bottom"/>
          </w:tcPr>
          <w:p w14:paraId="519C500A"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Sevilla</w:t>
            </w:r>
          </w:p>
        </w:tc>
        <w:tc>
          <w:tcPr>
            <w:tcW w:w="2268" w:type="dxa"/>
            <w:vAlign w:val="bottom"/>
          </w:tcPr>
          <w:p w14:paraId="74B7795B"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Alcalá de Guadaira</w:t>
            </w:r>
          </w:p>
        </w:tc>
        <w:tc>
          <w:tcPr>
            <w:tcW w:w="1843" w:type="dxa"/>
            <w:shd w:val="clear" w:color="auto" w:fill="auto"/>
            <w:vAlign w:val="bottom"/>
          </w:tcPr>
          <w:p w14:paraId="3DB77D36"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1%</w:t>
            </w:r>
          </w:p>
        </w:tc>
        <w:tc>
          <w:tcPr>
            <w:tcW w:w="1701" w:type="dxa"/>
            <w:shd w:val="clear" w:color="auto" w:fill="auto"/>
            <w:vAlign w:val="bottom"/>
          </w:tcPr>
          <w:p w14:paraId="434B62D9"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28%</w:t>
            </w:r>
          </w:p>
        </w:tc>
        <w:tc>
          <w:tcPr>
            <w:tcW w:w="1817" w:type="dxa"/>
            <w:vAlign w:val="bottom"/>
          </w:tcPr>
          <w:p w14:paraId="3E1BFDB1" w14:textId="77777777" w:rsidR="002C0C95" w:rsidRDefault="002C0C95" w:rsidP="00F118DC">
            <w:pPr>
              <w:jc w:val="center"/>
              <w:rPr>
                <w:rFonts w:ascii="Open Sans" w:hAnsi="Open Sans" w:cs="Open Sans"/>
                <w:color w:val="000000"/>
                <w:sz w:val="22"/>
                <w:szCs w:val="22"/>
              </w:rPr>
            </w:pPr>
          </w:p>
        </w:tc>
      </w:tr>
      <w:tr w:rsidR="002C0C95" w:rsidRPr="00692F3E" w14:paraId="032832A3" w14:textId="77777777" w:rsidTr="00F118DC">
        <w:trPr>
          <w:trHeight w:val="152"/>
        </w:trPr>
        <w:tc>
          <w:tcPr>
            <w:tcW w:w="1266" w:type="dxa"/>
            <w:vAlign w:val="bottom"/>
          </w:tcPr>
          <w:p w14:paraId="01237E99"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Sevilla</w:t>
            </w:r>
          </w:p>
        </w:tc>
        <w:tc>
          <w:tcPr>
            <w:tcW w:w="2268" w:type="dxa"/>
            <w:vAlign w:val="bottom"/>
          </w:tcPr>
          <w:p w14:paraId="49BC748B"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Sevilla capital</w:t>
            </w:r>
          </w:p>
        </w:tc>
        <w:tc>
          <w:tcPr>
            <w:tcW w:w="1843" w:type="dxa"/>
            <w:shd w:val="clear" w:color="auto" w:fill="auto"/>
            <w:vAlign w:val="bottom"/>
          </w:tcPr>
          <w:p w14:paraId="5DCFE4D8"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18%</w:t>
            </w:r>
          </w:p>
        </w:tc>
        <w:tc>
          <w:tcPr>
            <w:tcW w:w="1701" w:type="dxa"/>
            <w:shd w:val="clear" w:color="auto" w:fill="auto"/>
            <w:vAlign w:val="bottom"/>
          </w:tcPr>
          <w:p w14:paraId="0B8B0A70"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28%</w:t>
            </w:r>
          </w:p>
        </w:tc>
        <w:tc>
          <w:tcPr>
            <w:tcW w:w="1817" w:type="dxa"/>
            <w:vAlign w:val="bottom"/>
          </w:tcPr>
          <w:p w14:paraId="701C279A" w14:textId="77777777" w:rsidR="002C0C95" w:rsidRDefault="002C0C95" w:rsidP="00F118DC">
            <w:pPr>
              <w:jc w:val="center"/>
              <w:rPr>
                <w:rFonts w:ascii="Open Sans" w:hAnsi="Open Sans" w:cs="Open Sans"/>
                <w:color w:val="000000"/>
                <w:sz w:val="22"/>
                <w:szCs w:val="22"/>
              </w:rPr>
            </w:pPr>
            <w:r>
              <w:rPr>
                <w:rFonts w:ascii="Open Sans" w:hAnsi="Open Sans" w:cs="Open Sans"/>
                <w:color w:val="9C0006"/>
                <w:sz w:val="22"/>
                <w:szCs w:val="22"/>
              </w:rPr>
              <w:t>-4%</w:t>
            </w:r>
          </w:p>
        </w:tc>
      </w:tr>
      <w:tr w:rsidR="002C0C95" w:rsidRPr="00692F3E" w14:paraId="6EC8E769" w14:textId="77777777" w:rsidTr="00F118DC">
        <w:trPr>
          <w:trHeight w:val="152"/>
        </w:trPr>
        <w:tc>
          <w:tcPr>
            <w:tcW w:w="1266" w:type="dxa"/>
            <w:vAlign w:val="bottom"/>
          </w:tcPr>
          <w:p w14:paraId="382B5C13"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Cádiz</w:t>
            </w:r>
          </w:p>
        </w:tc>
        <w:tc>
          <w:tcPr>
            <w:tcW w:w="2268" w:type="dxa"/>
            <w:vAlign w:val="bottom"/>
          </w:tcPr>
          <w:p w14:paraId="72781BF8"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Algeciras</w:t>
            </w:r>
          </w:p>
        </w:tc>
        <w:tc>
          <w:tcPr>
            <w:tcW w:w="1843" w:type="dxa"/>
            <w:shd w:val="clear" w:color="auto" w:fill="auto"/>
            <w:vAlign w:val="bottom"/>
          </w:tcPr>
          <w:p w14:paraId="04D5EC7D"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20%</w:t>
            </w:r>
          </w:p>
        </w:tc>
        <w:tc>
          <w:tcPr>
            <w:tcW w:w="1701" w:type="dxa"/>
            <w:shd w:val="clear" w:color="auto" w:fill="auto"/>
            <w:vAlign w:val="bottom"/>
          </w:tcPr>
          <w:p w14:paraId="1DDE2066"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25%</w:t>
            </w:r>
          </w:p>
        </w:tc>
        <w:tc>
          <w:tcPr>
            <w:tcW w:w="1817" w:type="dxa"/>
            <w:vAlign w:val="bottom"/>
          </w:tcPr>
          <w:p w14:paraId="6D8DAA3D"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2%</w:t>
            </w:r>
          </w:p>
        </w:tc>
      </w:tr>
      <w:tr w:rsidR="002C0C95" w:rsidRPr="00692F3E" w14:paraId="0D17B3C5" w14:textId="77777777" w:rsidTr="00F118DC">
        <w:trPr>
          <w:trHeight w:val="152"/>
        </w:trPr>
        <w:tc>
          <w:tcPr>
            <w:tcW w:w="1266" w:type="dxa"/>
            <w:vAlign w:val="bottom"/>
          </w:tcPr>
          <w:p w14:paraId="2C628DB9"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Cádiz</w:t>
            </w:r>
          </w:p>
        </w:tc>
        <w:tc>
          <w:tcPr>
            <w:tcW w:w="2268" w:type="dxa"/>
            <w:vAlign w:val="bottom"/>
          </w:tcPr>
          <w:p w14:paraId="5BE3BF4F"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Jerez de la Frontera</w:t>
            </w:r>
          </w:p>
        </w:tc>
        <w:tc>
          <w:tcPr>
            <w:tcW w:w="1843" w:type="dxa"/>
            <w:shd w:val="clear" w:color="auto" w:fill="auto"/>
            <w:vAlign w:val="bottom"/>
          </w:tcPr>
          <w:p w14:paraId="4B2F1004"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10%</w:t>
            </w:r>
          </w:p>
        </w:tc>
        <w:tc>
          <w:tcPr>
            <w:tcW w:w="1701" w:type="dxa"/>
            <w:shd w:val="clear" w:color="auto" w:fill="auto"/>
            <w:vAlign w:val="bottom"/>
          </w:tcPr>
          <w:p w14:paraId="67864CE2"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25%</w:t>
            </w:r>
          </w:p>
        </w:tc>
        <w:tc>
          <w:tcPr>
            <w:tcW w:w="1817" w:type="dxa"/>
            <w:vAlign w:val="bottom"/>
          </w:tcPr>
          <w:p w14:paraId="2640555E" w14:textId="77777777" w:rsidR="002C0C95" w:rsidRDefault="002C0C95" w:rsidP="00F118DC">
            <w:pPr>
              <w:jc w:val="center"/>
              <w:rPr>
                <w:rFonts w:ascii="Open Sans" w:hAnsi="Open Sans" w:cs="Open Sans"/>
                <w:color w:val="000000"/>
                <w:sz w:val="22"/>
                <w:szCs w:val="22"/>
              </w:rPr>
            </w:pPr>
            <w:r>
              <w:rPr>
                <w:rFonts w:ascii="Open Sans" w:hAnsi="Open Sans" w:cs="Open Sans"/>
                <w:color w:val="9C0006"/>
                <w:sz w:val="22"/>
                <w:szCs w:val="22"/>
              </w:rPr>
              <w:t>-7%</w:t>
            </w:r>
          </w:p>
        </w:tc>
      </w:tr>
      <w:tr w:rsidR="002C0C95" w:rsidRPr="00692F3E" w14:paraId="7AC844B6" w14:textId="77777777" w:rsidTr="00F118DC">
        <w:trPr>
          <w:trHeight w:val="152"/>
        </w:trPr>
        <w:tc>
          <w:tcPr>
            <w:tcW w:w="1266" w:type="dxa"/>
            <w:vAlign w:val="bottom"/>
          </w:tcPr>
          <w:p w14:paraId="61583E04"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Huelva</w:t>
            </w:r>
          </w:p>
        </w:tc>
        <w:tc>
          <w:tcPr>
            <w:tcW w:w="2268" w:type="dxa"/>
            <w:vAlign w:val="bottom"/>
          </w:tcPr>
          <w:p w14:paraId="11501B2A"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Huelva capital</w:t>
            </w:r>
          </w:p>
        </w:tc>
        <w:tc>
          <w:tcPr>
            <w:tcW w:w="1843" w:type="dxa"/>
            <w:shd w:val="clear" w:color="auto" w:fill="auto"/>
            <w:vAlign w:val="bottom"/>
          </w:tcPr>
          <w:p w14:paraId="492EC976"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8%</w:t>
            </w:r>
          </w:p>
        </w:tc>
        <w:tc>
          <w:tcPr>
            <w:tcW w:w="1701" w:type="dxa"/>
            <w:shd w:val="clear" w:color="auto" w:fill="auto"/>
            <w:vAlign w:val="bottom"/>
          </w:tcPr>
          <w:p w14:paraId="22F39E58"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23%</w:t>
            </w:r>
          </w:p>
        </w:tc>
        <w:tc>
          <w:tcPr>
            <w:tcW w:w="1817" w:type="dxa"/>
            <w:vAlign w:val="bottom"/>
          </w:tcPr>
          <w:p w14:paraId="770E4DB6" w14:textId="77777777" w:rsidR="002C0C95" w:rsidRDefault="002C0C95" w:rsidP="00F118DC">
            <w:pPr>
              <w:jc w:val="center"/>
              <w:rPr>
                <w:rFonts w:ascii="Open Sans" w:hAnsi="Open Sans" w:cs="Open Sans"/>
                <w:color w:val="000000"/>
                <w:sz w:val="22"/>
                <w:szCs w:val="22"/>
              </w:rPr>
            </w:pPr>
            <w:r>
              <w:rPr>
                <w:rFonts w:ascii="Open Sans" w:hAnsi="Open Sans" w:cs="Open Sans"/>
                <w:color w:val="9C0006"/>
                <w:sz w:val="22"/>
                <w:szCs w:val="22"/>
              </w:rPr>
              <w:t>-1%</w:t>
            </w:r>
          </w:p>
        </w:tc>
      </w:tr>
      <w:tr w:rsidR="002C0C95" w:rsidRPr="00692F3E" w14:paraId="78DDB6BE" w14:textId="77777777" w:rsidTr="00F118DC">
        <w:trPr>
          <w:trHeight w:val="152"/>
        </w:trPr>
        <w:tc>
          <w:tcPr>
            <w:tcW w:w="1266" w:type="dxa"/>
            <w:vAlign w:val="bottom"/>
          </w:tcPr>
          <w:p w14:paraId="7000F539" w14:textId="77777777" w:rsidR="002C0C95" w:rsidRPr="00692F3E" w:rsidRDefault="002C0C95" w:rsidP="00F118DC">
            <w:pPr>
              <w:rPr>
                <w:rFonts w:ascii="Open Sans" w:hAnsi="Open Sans" w:cs="Open Sans"/>
                <w:color w:val="000000"/>
                <w:sz w:val="20"/>
                <w:szCs w:val="20"/>
              </w:rPr>
            </w:pPr>
            <w:r>
              <w:rPr>
                <w:rFonts w:ascii="Open Sans" w:hAnsi="Open Sans" w:cs="Open Sans"/>
                <w:color w:val="000000"/>
                <w:sz w:val="22"/>
                <w:szCs w:val="22"/>
              </w:rPr>
              <w:t>Córdoba</w:t>
            </w:r>
          </w:p>
        </w:tc>
        <w:tc>
          <w:tcPr>
            <w:tcW w:w="2268" w:type="dxa"/>
            <w:vAlign w:val="bottom"/>
          </w:tcPr>
          <w:p w14:paraId="6FCC7654"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Córdoba capital</w:t>
            </w:r>
          </w:p>
        </w:tc>
        <w:tc>
          <w:tcPr>
            <w:tcW w:w="1843" w:type="dxa"/>
            <w:shd w:val="clear" w:color="auto" w:fill="auto"/>
            <w:vAlign w:val="bottom"/>
            <w:hideMark/>
          </w:tcPr>
          <w:p w14:paraId="11E460A4" w14:textId="77777777" w:rsidR="002C0C95" w:rsidRPr="00692F3E" w:rsidRDefault="002C0C95" w:rsidP="00F118DC">
            <w:pPr>
              <w:jc w:val="center"/>
              <w:rPr>
                <w:rFonts w:ascii="Open Sans" w:eastAsia="Times New Roman" w:hAnsi="Open Sans" w:cs="Open Sans"/>
                <w:color w:val="000000"/>
                <w:sz w:val="20"/>
                <w:szCs w:val="20"/>
                <w:lang w:val="es-ES"/>
              </w:rPr>
            </w:pPr>
            <w:r>
              <w:rPr>
                <w:rFonts w:ascii="Open Sans" w:hAnsi="Open Sans" w:cs="Open Sans"/>
                <w:color w:val="000000"/>
                <w:sz w:val="22"/>
                <w:szCs w:val="22"/>
              </w:rPr>
              <w:t>1%</w:t>
            </w:r>
          </w:p>
        </w:tc>
        <w:tc>
          <w:tcPr>
            <w:tcW w:w="1701" w:type="dxa"/>
            <w:shd w:val="clear" w:color="auto" w:fill="auto"/>
            <w:vAlign w:val="bottom"/>
            <w:hideMark/>
          </w:tcPr>
          <w:p w14:paraId="015C2B41" w14:textId="77777777" w:rsidR="002C0C95" w:rsidRPr="00692F3E" w:rsidRDefault="002C0C95" w:rsidP="00F118DC">
            <w:pPr>
              <w:jc w:val="center"/>
              <w:rPr>
                <w:rFonts w:ascii="Open Sans" w:eastAsia="Times New Roman" w:hAnsi="Open Sans" w:cs="Open Sans"/>
                <w:color w:val="000000"/>
                <w:sz w:val="20"/>
                <w:szCs w:val="20"/>
                <w:lang w:val="es-ES"/>
              </w:rPr>
            </w:pPr>
            <w:r>
              <w:rPr>
                <w:rFonts w:ascii="Open Sans" w:hAnsi="Open Sans" w:cs="Open Sans"/>
                <w:color w:val="000000"/>
                <w:sz w:val="22"/>
                <w:szCs w:val="22"/>
              </w:rPr>
              <w:t>15%</w:t>
            </w:r>
          </w:p>
        </w:tc>
        <w:tc>
          <w:tcPr>
            <w:tcW w:w="1817" w:type="dxa"/>
            <w:vAlign w:val="bottom"/>
          </w:tcPr>
          <w:p w14:paraId="47F40E84" w14:textId="77777777" w:rsidR="002C0C95" w:rsidRPr="00692F3E" w:rsidRDefault="002C0C95" w:rsidP="00F118DC">
            <w:pPr>
              <w:jc w:val="center"/>
              <w:rPr>
                <w:rFonts w:ascii="Open Sans" w:eastAsia="Times New Roman" w:hAnsi="Open Sans" w:cs="Open Sans"/>
                <w:color w:val="FF0000"/>
                <w:sz w:val="20"/>
                <w:szCs w:val="20"/>
                <w:lang w:val="es-ES"/>
              </w:rPr>
            </w:pPr>
            <w:r>
              <w:rPr>
                <w:rFonts w:ascii="Open Sans" w:hAnsi="Open Sans" w:cs="Open Sans"/>
                <w:color w:val="000000"/>
                <w:sz w:val="22"/>
                <w:szCs w:val="22"/>
              </w:rPr>
              <w:t>0%</w:t>
            </w:r>
          </w:p>
        </w:tc>
      </w:tr>
      <w:tr w:rsidR="002C0C95" w:rsidRPr="00692F3E" w14:paraId="6174F70E" w14:textId="77777777" w:rsidTr="00F118DC">
        <w:trPr>
          <w:trHeight w:val="152"/>
        </w:trPr>
        <w:tc>
          <w:tcPr>
            <w:tcW w:w="1266" w:type="dxa"/>
            <w:vAlign w:val="bottom"/>
          </w:tcPr>
          <w:p w14:paraId="6CB885B1"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Jaén</w:t>
            </w:r>
          </w:p>
        </w:tc>
        <w:tc>
          <w:tcPr>
            <w:tcW w:w="2268" w:type="dxa"/>
            <w:vAlign w:val="bottom"/>
          </w:tcPr>
          <w:p w14:paraId="7DEDBC13"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Jaén capital</w:t>
            </w:r>
          </w:p>
        </w:tc>
        <w:tc>
          <w:tcPr>
            <w:tcW w:w="1843" w:type="dxa"/>
            <w:shd w:val="clear" w:color="auto" w:fill="auto"/>
            <w:vAlign w:val="bottom"/>
          </w:tcPr>
          <w:p w14:paraId="245530F2" w14:textId="77777777" w:rsidR="002C0C95" w:rsidRDefault="002C0C95" w:rsidP="00F118DC">
            <w:pPr>
              <w:jc w:val="center"/>
              <w:rPr>
                <w:rFonts w:ascii="Open Sans" w:hAnsi="Open Sans" w:cs="Open Sans"/>
                <w:color w:val="9C0006"/>
                <w:sz w:val="22"/>
                <w:szCs w:val="22"/>
              </w:rPr>
            </w:pPr>
            <w:r>
              <w:rPr>
                <w:rFonts w:ascii="Open Sans" w:hAnsi="Open Sans" w:cs="Open Sans"/>
                <w:color w:val="9C0006"/>
                <w:sz w:val="22"/>
                <w:szCs w:val="22"/>
              </w:rPr>
              <w:t>-1%</w:t>
            </w:r>
          </w:p>
        </w:tc>
        <w:tc>
          <w:tcPr>
            <w:tcW w:w="1701" w:type="dxa"/>
            <w:shd w:val="clear" w:color="auto" w:fill="auto"/>
            <w:vAlign w:val="bottom"/>
          </w:tcPr>
          <w:p w14:paraId="73437A1E"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11%</w:t>
            </w:r>
          </w:p>
        </w:tc>
        <w:tc>
          <w:tcPr>
            <w:tcW w:w="1817" w:type="dxa"/>
            <w:vAlign w:val="bottom"/>
          </w:tcPr>
          <w:p w14:paraId="7EB0D8AA" w14:textId="77777777" w:rsidR="002C0C95" w:rsidRDefault="002C0C95" w:rsidP="00F118DC">
            <w:pPr>
              <w:jc w:val="center"/>
              <w:rPr>
                <w:rFonts w:ascii="Open Sans" w:hAnsi="Open Sans" w:cs="Open Sans"/>
                <w:color w:val="9C0006"/>
                <w:sz w:val="22"/>
                <w:szCs w:val="22"/>
              </w:rPr>
            </w:pPr>
            <w:r>
              <w:rPr>
                <w:rFonts w:ascii="Open Sans" w:hAnsi="Open Sans" w:cs="Open Sans"/>
                <w:color w:val="9C0006"/>
                <w:sz w:val="22"/>
                <w:szCs w:val="22"/>
              </w:rPr>
              <w:t>-6%</w:t>
            </w:r>
          </w:p>
        </w:tc>
      </w:tr>
      <w:tr w:rsidR="002C0C95" w:rsidRPr="00692F3E" w14:paraId="6B8DD6AD" w14:textId="77777777" w:rsidTr="00F118DC">
        <w:trPr>
          <w:trHeight w:val="152"/>
        </w:trPr>
        <w:tc>
          <w:tcPr>
            <w:tcW w:w="1266" w:type="dxa"/>
            <w:vAlign w:val="bottom"/>
          </w:tcPr>
          <w:p w14:paraId="5F36B351"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Málaga</w:t>
            </w:r>
          </w:p>
        </w:tc>
        <w:tc>
          <w:tcPr>
            <w:tcW w:w="2268" w:type="dxa"/>
            <w:vAlign w:val="bottom"/>
          </w:tcPr>
          <w:p w14:paraId="508A2575"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Fuengirola</w:t>
            </w:r>
          </w:p>
        </w:tc>
        <w:tc>
          <w:tcPr>
            <w:tcW w:w="1843" w:type="dxa"/>
            <w:shd w:val="clear" w:color="auto" w:fill="auto"/>
            <w:vAlign w:val="bottom"/>
          </w:tcPr>
          <w:p w14:paraId="5ECBDD15" w14:textId="77777777" w:rsidR="002C0C95" w:rsidRDefault="002C0C95" w:rsidP="00F118DC">
            <w:pPr>
              <w:jc w:val="center"/>
              <w:rPr>
                <w:rFonts w:ascii="Open Sans" w:hAnsi="Open Sans" w:cs="Open Sans"/>
                <w:color w:val="9C0006"/>
                <w:sz w:val="22"/>
                <w:szCs w:val="22"/>
              </w:rPr>
            </w:pPr>
            <w:r>
              <w:rPr>
                <w:rFonts w:ascii="Open Sans" w:hAnsi="Open Sans" w:cs="Open Sans"/>
                <w:color w:val="000000"/>
                <w:sz w:val="22"/>
                <w:szCs w:val="22"/>
              </w:rPr>
              <w:t>31%</w:t>
            </w:r>
          </w:p>
        </w:tc>
        <w:tc>
          <w:tcPr>
            <w:tcW w:w="1701" w:type="dxa"/>
            <w:shd w:val="clear" w:color="auto" w:fill="auto"/>
            <w:vAlign w:val="bottom"/>
          </w:tcPr>
          <w:p w14:paraId="4DED57D4"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7%</w:t>
            </w:r>
          </w:p>
        </w:tc>
        <w:tc>
          <w:tcPr>
            <w:tcW w:w="1817" w:type="dxa"/>
            <w:vAlign w:val="bottom"/>
          </w:tcPr>
          <w:p w14:paraId="254F3AC1" w14:textId="77777777" w:rsidR="002C0C95" w:rsidRDefault="002C0C95" w:rsidP="00F118DC">
            <w:pPr>
              <w:jc w:val="center"/>
              <w:rPr>
                <w:rFonts w:ascii="Open Sans" w:hAnsi="Open Sans" w:cs="Open Sans"/>
                <w:color w:val="9C0006"/>
                <w:sz w:val="22"/>
                <w:szCs w:val="22"/>
              </w:rPr>
            </w:pPr>
            <w:r>
              <w:rPr>
                <w:rFonts w:ascii="Open Sans" w:hAnsi="Open Sans" w:cs="Open Sans"/>
                <w:color w:val="9C0006"/>
                <w:sz w:val="22"/>
                <w:szCs w:val="22"/>
              </w:rPr>
              <w:t>-8%</w:t>
            </w:r>
          </w:p>
        </w:tc>
      </w:tr>
      <w:tr w:rsidR="002C0C95" w:rsidRPr="00692F3E" w14:paraId="682A53AF" w14:textId="77777777" w:rsidTr="00F118DC">
        <w:trPr>
          <w:trHeight w:val="152"/>
        </w:trPr>
        <w:tc>
          <w:tcPr>
            <w:tcW w:w="1266" w:type="dxa"/>
            <w:vAlign w:val="bottom"/>
          </w:tcPr>
          <w:p w14:paraId="3B719F83"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Málaga</w:t>
            </w:r>
          </w:p>
        </w:tc>
        <w:tc>
          <w:tcPr>
            <w:tcW w:w="2268" w:type="dxa"/>
            <w:vAlign w:val="bottom"/>
          </w:tcPr>
          <w:p w14:paraId="11013764"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Marbella</w:t>
            </w:r>
          </w:p>
        </w:tc>
        <w:tc>
          <w:tcPr>
            <w:tcW w:w="1843" w:type="dxa"/>
            <w:shd w:val="clear" w:color="auto" w:fill="auto"/>
            <w:vAlign w:val="bottom"/>
          </w:tcPr>
          <w:p w14:paraId="76B69FC9" w14:textId="77777777" w:rsidR="002C0C95" w:rsidRDefault="002C0C95" w:rsidP="00F118DC">
            <w:pPr>
              <w:jc w:val="center"/>
              <w:rPr>
                <w:rFonts w:ascii="Open Sans" w:hAnsi="Open Sans" w:cs="Open Sans"/>
                <w:color w:val="9C0006"/>
                <w:sz w:val="22"/>
                <w:szCs w:val="22"/>
              </w:rPr>
            </w:pPr>
            <w:r>
              <w:rPr>
                <w:rFonts w:ascii="Open Sans" w:hAnsi="Open Sans" w:cs="Open Sans"/>
                <w:color w:val="000000"/>
                <w:sz w:val="22"/>
                <w:szCs w:val="22"/>
              </w:rPr>
              <w:t>45%</w:t>
            </w:r>
          </w:p>
        </w:tc>
        <w:tc>
          <w:tcPr>
            <w:tcW w:w="1701" w:type="dxa"/>
            <w:shd w:val="clear" w:color="auto" w:fill="auto"/>
            <w:vAlign w:val="bottom"/>
          </w:tcPr>
          <w:p w14:paraId="571CE585"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3%</w:t>
            </w:r>
          </w:p>
        </w:tc>
        <w:tc>
          <w:tcPr>
            <w:tcW w:w="1817" w:type="dxa"/>
            <w:vAlign w:val="bottom"/>
          </w:tcPr>
          <w:p w14:paraId="0A9DF0C4" w14:textId="77777777" w:rsidR="002C0C95" w:rsidRDefault="002C0C95" w:rsidP="00F118DC">
            <w:pPr>
              <w:jc w:val="center"/>
              <w:rPr>
                <w:rFonts w:ascii="Open Sans" w:hAnsi="Open Sans" w:cs="Open Sans"/>
                <w:color w:val="9C0006"/>
                <w:sz w:val="22"/>
                <w:szCs w:val="22"/>
              </w:rPr>
            </w:pPr>
            <w:r>
              <w:rPr>
                <w:rFonts w:ascii="Open Sans" w:hAnsi="Open Sans" w:cs="Open Sans"/>
                <w:color w:val="000000"/>
                <w:sz w:val="22"/>
                <w:szCs w:val="22"/>
              </w:rPr>
              <w:t>0%</w:t>
            </w:r>
          </w:p>
        </w:tc>
      </w:tr>
      <w:tr w:rsidR="002C0C95" w:rsidRPr="00692F3E" w14:paraId="1DF30E0B" w14:textId="77777777" w:rsidTr="00F118DC">
        <w:trPr>
          <w:trHeight w:val="152"/>
        </w:trPr>
        <w:tc>
          <w:tcPr>
            <w:tcW w:w="1266" w:type="dxa"/>
            <w:vAlign w:val="bottom"/>
          </w:tcPr>
          <w:p w14:paraId="3AD96187"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Cádiz</w:t>
            </w:r>
          </w:p>
        </w:tc>
        <w:tc>
          <w:tcPr>
            <w:tcW w:w="2268" w:type="dxa"/>
            <w:vAlign w:val="bottom"/>
          </w:tcPr>
          <w:p w14:paraId="407F42AC"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La Línea de la Concepción</w:t>
            </w:r>
          </w:p>
        </w:tc>
        <w:tc>
          <w:tcPr>
            <w:tcW w:w="1843" w:type="dxa"/>
            <w:shd w:val="clear" w:color="auto" w:fill="auto"/>
            <w:vAlign w:val="bottom"/>
          </w:tcPr>
          <w:p w14:paraId="6D2D9706" w14:textId="77777777" w:rsidR="002C0C95" w:rsidRDefault="002C0C95" w:rsidP="00F118DC">
            <w:pPr>
              <w:jc w:val="center"/>
              <w:rPr>
                <w:rFonts w:ascii="Open Sans" w:hAnsi="Open Sans" w:cs="Open Sans"/>
                <w:color w:val="9C0006"/>
                <w:sz w:val="22"/>
                <w:szCs w:val="22"/>
              </w:rPr>
            </w:pPr>
            <w:r>
              <w:rPr>
                <w:rFonts w:ascii="Open Sans" w:hAnsi="Open Sans" w:cs="Open Sans"/>
                <w:color w:val="000000"/>
                <w:sz w:val="22"/>
                <w:szCs w:val="22"/>
              </w:rPr>
              <w:t>5%</w:t>
            </w:r>
          </w:p>
        </w:tc>
        <w:tc>
          <w:tcPr>
            <w:tcW w:w="1701" w:type="dxa"/>
            <w:shd w:val="clear" w:color="auto" w:fill="auto"/>
            <w:vAlign w:val="bottom"/>
          </w:tcPr>
          <w:p w14:paraId="0907B985"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w:t>
            </w:r>
          </w:p>
        </w:tc>
        <w:tc>
          <w:tcPr>
            <w:tcW w:w="1817" w:type="dxa"/>
            <w:vAlign w:val="bottom"/>
          </w:tcPr>
          <w:p w14:paraId="0864CC02" w14:textId="77777777" w:rsidR="002C0C95" w:rsidRDefault="002C0C95" w:rsidP="00F118DC">
            <w:pPr>
              <w:jc w:val="center"/>
              <w:rPr>
                <w:rFonts w:ascii="Open Sans" w:hAnsi="Open Sans" w:cs="Open Sans"/>
                <w:color w:val="9C0006"/>
                <w:sz w:val="22"/>
                <w:szCs w:val="22"/>
              </w:rPr>
            </w:pPr>
            <w:r>
              <w:rPr>
                <w:rFonts w:ascii="Open Sans" w:hAnsi="Open Sans" w:cs="Open Sans"/>
                <w:color w:val="9C0006"/>
                <w:sz w:val="22"/>
                <w:szCs w:val="22"/>
              </w:rPr>
              <w:t>-5%</w:t>
            </w:r>
          </w:p>
        </w:tc>
      </w:tr>
      <w:tr w:rsidR="002C0C95" w:rsidRPr="00692F3E" w14:paraId="4673962C" w14:textId="77777777" w:rsidTr="00F118DC">
        <w:trPr>
          <w:trHeight w:val="152"/>
        </w:trPr>
        <w:tc>
          <w:tcPr>
            <w:tcW w:w="1266" w:type="dxa"/>
            <w:vAlign w:val="bottom"/>
          </w:tcPr>
          <w:p w14:paraId="106E8102" w14:textId="77777777" w:rsidR="002C0C95" w:rsidRPr="00692F3E" w:rsidRDefault="002C0C95" w:rsidP="00F118DC">
            <w:pPr>
              <w:rPr>
                <w:rFonts w:ascii="Open Sans" w:hAnsi="Open Sans" w:cs="Open Sans"/>
                <w:color w:val="000000"/>
                <w:sz w:val="20"/>
                <w:szCs w:val="20"/>
              </w:rPr>
            </w:pPr>
            <w:r>
              <w:rPr>
                <w:rFonts w:ascii="Open Sans" w:hAnsi="Open Sans" w:cs="Open Sans"/>
                <w:color w:val="000000"/>
                <w:sz w:val="22"/>
                <w:szCs w:val="22"/>
              </w:rPr>
              <w:t>Córdoba</w:t>
            </w:r>
          </w:p>
        </w:tc>
        <w:tc>
          <w:tcPr>
            <w:tcW w:w="2268" w:type="dxa"/>
            <w:vAlign w:val="bottom"/>
          </w:tcPr>
          <w:p w14:paraId="7A57E85D"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Lucena</w:t>
            </w:r>
          </w:p>
        </w:tc>
        <w:tc>
          <w:tcPr>
            <w:tcW w:w="1843" w:type="dxa"/>
            <w:shd w:val="clear" w:color="auto" w:fill="auto"/>
            <w:vAlign w:val="bottom"/>
            <w:hideMark/>
          </w:tcPr>
          <w:p w14:paraId="197A324C" w14:textId="77777777" w:rsidR="002C0C95" w:rsidRPr="00692F3E" w:rsidRDefault="002C0C95" w:rsidP="00F118DC">
            <w:pPr>
              <w:jc w:val="center"/>
              <w:rPr>
                <w:rFonts w:ascii="Open Sans" w:eastAsia="Times New Roman" w:hAnsi="Open Sans" w:cs="Open Sans"/>
                <w:color w:val="000000"/>
                <w:sz w:val="20"/>
                <w:szCs w:val="20"/>
                <w:lang w:val="es-ES"/>
              </w:rPr>
            </w:pPr>
            <w:r>
              <w:rPr>
                <w:rFonts w:ascii="Open Sans" w:hAnsi="Open Sans" w:cs="Open Sans"/>
                <w:color w:val="000000"/>
                <w:sz w:val="22"/>
                <w:szCs w:val="22"/>
              </w:rPr>
              <w:t>-</w:t>
            </w:r>
          </w:p>
        </w:tc>
        <w:tc>
          <w:tcPr>
            <w:tcW w:w="1701" w:type="dxa"/>
            <w:shd w:val="clear" w:color="auto" w:fill="auto"/>
            <w:vAlign w:val="bottom"/>
            <w:hideMark/>
          </w:tcPr>
          <w:p w14:paraId="7FE8407B" w14:textId="77777777" w:rsidR="002C0C95" w:rsidRPr="00692F3E" w:rsidRDefault="002C0C95" w:rsidP="00F118DC">
            <w:pPr>
              <w:jc w:val="center"/>
              <w:rPr>
                <w:rFonts w:ascii="Open Sans" w:eastAsia="Times New Roman" w:hAnsi="Open Sans" w:cs="Open Sans"/>
                <w:color w:val="000000"/>
                <w:sz w:val="20"/>
                <w:szCs w:val="20"/>
                <w:lang w:val="es-ES"/>
              </w:rPr>
            </w:pPr>
            <w:r>
              <w:rPr>
                <w:rFonts w:ascii="Open Sans" w:eastAsia="Times New Roman" w:hAnsi="Open Sans" w:cs="Open Sans"/>
                <w:color w:val="000000"/>
                <w:sz w:val="20"/>
                <w:szCs w:val="20"/>
                <w:lang w:val="es-ES"/>
              </w:rPr>
              <w:t>-</w:t>
            </w:r>
          </w:p>
        </w:tc>
        <w:tc>
          <w:tcPr>
            <w:tcW w:w="1817" w:type="dxa"/>
            <w:vAlign w:val="bottom"/>
          </w:tcPr>
          <w:p w14:paraId="0BFEBBB4" w14:textId="77777777" w:rsidR="002C0C95" w:rsidRPr="00692F3E" w:rsidRDefault="002C0C95" w:rsidP="00F118DC">
            <w:pPr>
              <w:jc w:val="center"/>
              <w:rPr>
                <w:rFonts w:ascii="Open Sans" w:eastAsia="Times New Roman" w:hAnsi="Open Sans" w:cs="Open Sans"/>
                <w:color w:val="FF0000"/>
                <w:sz w:val="20"/>
                <w:szCs w:val="20"/>
                <w:lang w:val="es-ES"/>
              </w:rPr>
            </w:pPr>
          </w:p>
        </w:tc>
      </w:tr>
      <w:tr w:rsidR="002C0C95" w:rsidRPr="00692F3E" w14:paraId="53F17522" w14:textId="77777777" w:rsidTr="00F118DC">
        <w:trPr>
          <w:trHeight w:val="152"/>
        </w:trPr>
        <w:tc>
          <w:tcPr>
            <w:tcW w:w="1266" w:type="dxa"/>
            <w:vAlign w:val="bottom"/>
          </w:tcPr>
          <w:p w14:paraId="5B54EF26" w14:textId="77777777" w:rsidR="002C0C95" w:rsidRPr="00692F3E" w:rsidRDefault="002C0C95" w:rsidP="00F118DC">
            <w:pPr>
              <w:rPr>
                <w:rFonts w:ascii="Open Sans" w:hAnsi="Open Sans" w:cs="Open Sans"/>
                <w:color w:val="000000"/>
                <w:sz w:val="20"/>
                <w:szCs w:val="20"/>
              </w:rPr>
            </w:pPr>
            <w:r>
              <w:rPr>
                <w:rFonts w:ascii="Open Sans" w:hAnsi="Open Sans" w:cs="Open Sans"/>
                <w:color w:val="000000"/>
                <w:sz w:val="22"/>
                <w:szCs w:val="22"/>
              </w:rPr>
              <w:t>Málaga</w:t>
            </w:r>
          </w:p>
        </w:tc>
        <w:tc>
          <w:tcPr>
            <w:tcW w:w="2268" w:type="dxa"/>
            <w:vAlign w:val="bottom"/>
          </w:tcPr>
          <w:p w14:paraId="6467647C"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Estepona</w:t>
            </w:r>
          </w:p>
        </w:tc>
        <w:tc>
          <w:tcPr>
            <w:tcW w:w="1843" w:type="dxa"/>
            <w:shd w:val="clear" w:color="auto" w:fill="auto"/>
            <w:vAlign w:val="bottom"/>
            <w:hideMark/>
          </w:tcPr>
          <w:p w14:paraId="6D86E786" w14:textId="77777777" w:rsidR="002C0C95" w:rsidRPr="00692F3E" w:rsidRDefault="002C0C95" w:rsidP="00F118DC">
            <w:pPr>
              <w:jc w:val="center"/>
              <w:rPr>
                <w:rFonts w:ascii="Open Sans" w:eastAsia="Times New Roman" w:hAnsi="Open Sans" w:cs="Open Sans"/>
                <w:color w:val="000000"/>
                <w:sz w:val="20"/>
                <w:szCs w:val="20"/>
                <w:lang w:val="es-ES"/>
              </w:rPr>
            </w:pPr>
            <w:r>
              <w:rPr>
                <w:rFonts w:ascii="Open Sans" w:hAnsi="Open Sans" w:cs="Open Sans"/>
                <w:color w:val="000000"/>
                <w:sz w:val="22"/>
                <w:szCs w:val="22"/>
              </w:rPr>
              <w:t>43%</w:t>
            </w:r>
          </w:p>
        </w:tc>
        <w:tc>
          <w:tcPr>
            <w:tcW w:w="1701" w:type="dxa"/>
            <w:shd w:val="clear" w:color="auto" w:fill="auto"/>
            <w:vAlign w:val="bottom"/>
            <w:hideMark/>
          </w:tcPr>
          <w:p w14:paraId="6B6CF0E5" w14:textId="77777777" w:rsidR="002C0C95" w:rsidRPr="00692F3E" w:rsidRDefault="002C0C95" w:rsidP="00F118DC">
            <w:pPr>
              <w:jc w:val="center"/>
              <w:rPr>
                <w:rFonts w:ascii="Open Sans" w:eastAsia="Times New Roman" w:hAnsi="Open Sans" w:cs="Open Sans"/>
                <w:color w:val="000000"/>
                <w:sz w:val="20"/>
                <w:szCs w:val="20"/>
                <w:lang w:val="es-ES"/>
              </w:rPr>
            </w:pPr>
            <w:r>
              <w:rPr>
                <w:rFonts w:ascii="Open Sans" w:eastAsia="Times New Roman" w:hAnsi="Open Sans" w:cs="Open Sans"/>
                <w:color w:val="000000"/>
                <w:sz w:val="20"/>
                <w:szCs w:val="20"/>
                <w:lang w:val="es-ES"/>
              </w:rPr>
              <w:t>-</w:t>
            </w:r>
          </w:p>
        </w:tc>
        <w:tc>
          <w:tcPr>
            <w:tcW w:w="1817" w:type="dxa"/>
            <w:vAlign w:val="bottom"/>
          </w:tcPr>
          <w:p w14:paraId="4D626CB7" w14:textId="77777777" w:rsidR="002C0C95" w:rsidRPr="00692F3E" w:rsidRDefault="002C0C95" w:rsidP="00F118DC">
            <w:pPr>
              <w:jc w:val="center"/>
              <w:rPr>
                <w:rFonts w:ascii="Open Sans" w:eastAsia="Times New Roman" w:hAnsi="Open Sans" w:cs="Open Sans"/>
                <w:color w:val="FF0000"/>
                <w:sz w:val="20"/>
                <w:szCs w:val="20"/>
                <w:lang w:val="es-ES"/>
              </w:rPr>
            </w:pPr>
            <w:r>
              <w:rPr>
                <w:rFonts w:ascii="Open Sans" w:hAnsi="Open Sans" w:cs="Open Sans"/>
                <w:color w:val="9C0006"/>
                <w:sz w:val="22"/>
                <w:szCs w:val="22"/>
              </w:rPr>
              <w:t>-5%</w:t>
            </w:r>
          </w:p>
        </w:tc>
      </w:tr>
    </w:tbl>
    <w:p w14:paraId="71276C38" w14:textId="77777777" w:rsidR="002C0C95" w:rsidRDefault="002C0C95" w:rsidP="002C0C95">
      <w:pPr>
        <w:pStyle w:val="Prrafodelista"/>
        <w:spacing w:line="276" w:lineRule="auto"/>
        <w:ind w:left="0" w:right="-574"/>
        <w:jc w:val="center"/>
        <w:rPr>
          <w:rFonts w:ascii="National" w:hAnsi="National"/>
          <w:b/>
          <w:bCs/>
          <w:iCs/>
          <w:color w:val="303AB2"/>
          <w:sz w:val="28"/>
          <w:szCs w:val="160"/>
          <w:lang w:val="es-ES"/>
        </w:rPr>
      </w:pPr>
    </w:p>
    <w:p w14:paraId="106F9C81" w14:textId="4F40B0D7" w:rsidR="002C0C95" w:rsidRDefault="002C0C95" w:rsidP="002C0C95">
      <w:pPr>
        <w:pStyle w:val="Prrafodelista"/>
        <w:spacing w:line="276" w:lineRule="auto"/>
        <w:ind w:left="0" w:right="-574"/>
        <w:jc w:val="center"/>
        <w:rPr>
          <w:rFonts w:ascii="National" w:hAnsi="National"/>
          <w:b/>
          <w:bCs/>
          <w:iCs/>
          <w:color w:val="303AB2"/>
          <w:sz w:val="28"/>
          <w:szCs w:val="160"/>
          <w:lang w:val="es-ES"/>
        </w:rPr>
      </w:pPr>
      <w:r>
        <w:rPr>
          <w:rFonts w:ascii="National" w:hAnsi="National"/>
          <w:b/>
          <w:bCs/>
          <w:iCs/>
          <w:color w:val="303AB2"/>
          <w:sz w:val="28"/>
          <w:szCs w:val="160"/>
          <w:lang w:val="es-ES"/>
        </w:rPr>
        <w:lastRenderedPageBreak/>
        <w:t>Precio medio de una vivienda de 80 m</w:t>
      </w:r>
      <w:r w:rsidRPr="00E07AE5">
        <w:rPr>
          <w:rFonts w:ascii="National" w:hAnsi="National"/>
          <w:b/>
          <w:bCs/>
          <w:iCs/>
          <w:color w:val="303AB2"/>
          <w:sz w:val="28"/>
          <w:szCs w:val="160"/>
          <w:vertAlign w:val="superscript"/>
          <w:lang w:val="es-ES"/>
        </w:rPr>
        <w:t>2</w:t>
      </w:r>
      <w:r>
        <w:rPr>
          <w:rFonts w:ascii="National" w:hAnsi="National"/>
          <w:b/>
          <w:bCs/>
          <w:iCs/>
          <w:color w:val="303AB2"/>
          <w:sz w:val="28"/>
          <w:szCs w:val="160"/>
          <w:lang w:val="es-ES"/>
        </w:rPr>
        <w:t xml:space="preserve"> en ciudades andaluzas</w:t>
      </w:r>
    </w:p>
    <w:p w14:paraId="24D3B397" w14:textId="77777777" w:rsidR="002C0C95" w:rsidRDefault="002C0C95" w:rsidP="002C0C95">
      <w:pPr>
        <w:pStyle w:val="Prrafodelista"/>
        <w:spacing w:line="276" w:lineRule="auto"/>
        <w:ind w:left="0" w:right="-574"/>
        <w:jc w:val="center"/>
        <w:rPr>
          <w:rFonts w:ascii="National" w:hAnsi="National"/>
          <w:b/>
          <w:bCs/>
          <w:iCs/>
          <w:color w:val="303AB2"/>
          <w:sz w:val="30"/>
          <w:szCs w:val="180"/>
          <w:lang w:val="es-ES"/>
        </w:rPr>
      </w:pPr>
    </w:p>
    <w:tbl>
      <w:tblPr>
        <w:tblW w:w="8921"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70" w:type="dxa"/>
          <w:right w:w="70" w:type="dxa"/>
        </w:tblCellMar>
        <w:tblLook w:val="04A0" w:firstRow="1" w:lastRow="0" w:firstColumn="1" w:lastColumn="0" w:noHBand="0" w:noVBand="1"/>
      </w:tblPr>
      <w:tblGrid>
        <w:gridCol w:w="1550"/>
        <w:gridCol w:w="2319"/>
        <w:gridCol w:w="1868"/>
        <w:gridCol w:w="1597"/>
        <w:gridCol w:w="1587"/>
      </w:tblGrid>
      <w:tr w:rsidR="002C0C95" w:rsidRPr="00692F3E" w14:paraId="59F6A721" w14:textId="77777777" w:rsidTr="00F118DC">
        <w:trPr>
          <w:trHeight w:val="541"/>
        </w:trPr>
        <w:tc>
          <w:tcPr>
            <w:tcW w:w="1550" w:type="dxa"/>
            <w:shd w:val="clear" w:color="auto" w:fill="ACB9CA"/>
            <w:vAlign w:val="center"/>
          </w:tcPr>
          <w:p w14:paraId="689D8092" w14:textId="77777777" w:rsidR="002C0C95" w:rsidRPr="00692F3E" w:rsidRDefault="002C0C95" w:rsidP="00F118DC">
            <w:pPr>
              <w:rPr>
                <w:rFonts w:ascii="Open Sans" w:hAnsi="Open Sans" w:cs="Open Sans"/>
                <w:color w:val="0D0D0D" w:themeColor="text1" w:themeTint="F2"/>
                <w:sz w:val="20"/>
                <w:szCs w:val="20"/>
              </w:rPr>
            </w:pPr>
            <w:r>
              <w:rPr>
                <w:rFonts w:ascii="Open Sans" w:eastAsia="Times New Roman" w:hAnsi="Open Sans" w:cs="Open Sans"/>
                <w:color w:val="0D0D0D" w:themeColor="text1" w:themeTint="F2"/>
                <w:sz w:val="20"/>
                <w:szCs w:val="20"/>
                <w:lang w:val="es-ES"/>
              </w:rPr>
              <w:t>Provincia</w:t>
            </w:r>
          </w:p>
        </w:tc>
        <w:tc>
          <w:tcPr>
            <w:tcW w:w="2319" w:type="dxa"/>
            <w:shd w:val="clear" w:color="auto" w:fill="ACB9CA"/>
            <w:vAlign w:val="center"/>
          </w:tcPr>
          <w:p w14:paraId="7D5A3D46" w14:textId="77777777" w:rsidR="002C0C95" w:rsidRPr="00692F3E" w:rsidRDefault="002C0C95" w:rsidP="00F118DC">
            <w:pPr>
              <w:jc w:val="center"/>
              <w:rPr>
                <w:rFonts w:ascii="Open Sans" w:hAnsi="Open Sans" w:cs="Open Sans"/>
                <w:color w:val="0D0D0D" w:themeColor="text1" w:themeTint="F2"/>
                <w:sz w:val="20"/>
                <w:szCs w:val="20"/>
              </w:rPr>
            </w:pPr>
            <w:r w:rsidRPr="00692F3E">
              <w:rPr>
                <w:rFonts w:ascii="Open Sans" w:eastAsia="Times New Roman" w:hAnsi="Open Sans" w:cs="Open Sans"/>
                <w:color w:val="0D0D0D" w:themeColor="text1" w:themeTint="F2"/>
                <w:sz w:val="20"/>
                <w:szCs w:val="20"/>
                <w:lang w:val="es-ES"/>
              </w:rPr>
              <w:t>Ciudad</w:t>
            </w:r>
          </w:p>
        </w:tc>
        <w:tc>
          <w:tcPr>
            <w:tcW w:w="1868" w:type="dxa"/>
            <w:shd w:val="clear" w:color="auto" w:fill="ACB9CA"/>
            <w:vAlign w:val="center"/>
            <w:hideMark/>
          </w:tcPr>
          <w:p w14:paraId="09ED9746" w14:textId="77777777" w:rsidR="002C0C95" w:rsidRPr="00692F3E" w:rsidRDefault="002C0C95" w:rsidP="00F118DC">
            <w:pPr>
              <w:jc w:val="center"/>
              <w:rPr>
                <w:rFonts w:ascii="Open Sans" w:eastAsia="Times New Roman" w:hAnsi="Open Sans" w:cs="Open Sans"/>
                <w:color w:val="0D0D0D" w:themeColor="text1" w:themeTint="F2"/>
                <w:sz w:val="20"/>
                <w:szCs w:val="20"/>
                <w:lang w:val="es-ES"/>
              </w:rPr>
            </w:pPr>
            <w:r w:rsidRPr="00692F3E">
              <w:rPr>
                <w:rFonts w:ascii="Open Sans" w:hAnsi="Open Sans" w:cs="Open Sans"/>
                <w:color w:val="0D0D0D" w:themeColor="text1" w:themeTint="F2"/>
                <w:sz w:val="20"/>
                <w:szCs w:val="20"/>
              </w:rPr>
              <w:t>Alquiler de una vivienda de 80 m</w:t>
            </w:r>
            <w:r w:rsidRPr="00692F3E">
              <w:rPr>
                <w:rFonts w:ascii="Open Sans" w:hAnsi="Open Sans" w:cs="Open Sans"/>
                <w:color w:val="0D0D0D" w:themeColor="text1" w:themeTint="F2"/>
                <w:sz w:val="20"/>
                <w:szCs w:val="20"/>
                <w:vertAlign w:val="superscript"/>
              </w:rPr>
              <w:t>2</w:t>
            </w:r>
            <w:r w:rsidRPr="00692F3E">
              <w:rPr>
                <w:rFonts w:ascii="Open Sans" w:hAnsi="Open Sans" w:cs="Open Sans"/>
                <w:color w:val="0D0D0D" w:themeColor="text1" w:themeTint="F2"/>
                <w:sz w:val="20"/>
                <w:szCs w:val="20"/>
              </w:rPr>
              <w:t xml:space="preserve"> en 2011</w:t>
            </w:r>
          </w:p>
        </w:tc>
        <w:tc>
          <w:tcPr>
            <w:tcW w:w="1597" w:type="dxa"/>
            <w:shd w:val="clear" w:color="auto" w:fill="ACB9CA"/>
            <w:vAlign w:val="center"/>
            <w:hideMark/>
          </w:tcPr>
          <w:p w14:paraId="7AD1212F" w14:textId="77777777" w:rsidR="002C0C95" w:rsidRPr="00692F3E" w:rsidRDefault="002C0C95" w:rsidP="00F118DC">
            <w:pPr>
              <w:jc w:val="center"/>
              <w:rPr>
                <w:rFonts w:ascii="Open Sans" w:eastAsia="Times New Roman" w:hAnsi="Open Sans" w:cs="Open Sans"/>
                <w:color w:val="0D0D0D" w:themeColor="text1" w:themeTint="F2"/>
                <w:sz w:val="20"/>
                <w:szCs w:val="20"/>
                <w:lang w:val="es-ES"/>
              </w:rPr>
            </w:pPr>
            <w:r w:rsidRPr="00692F3E">
              <w:rPr>
                <w:rFonts w:ascii="Open Sans" w:hAnsi="Open Sans" w:cs="Open Sans"/>
                <w:color w:val="0D0D0D" w:themeColor="text1" w:themeTint="F2"/>
                <w:sz w:val="20"/>
                <w:szCs w:val="20"/>
              </w:rPr>
              <w:t>Alquiler de una vivienda de 80 m</w:t>
            </w:r>
            <w:r w:rsidRPr="00692F3E">
              <w:rPr>
                <w:rFonts w:ascii="Open Sans" w:hAnsi="Open Sans" w:cs="Open Sans"/>
                <w:color w:val="0D0D0D" w:themeColor="text1" w:themeTint="F2"/>
                <w:sz w:val="20"/>
                <w:szCs w:val="20"/>
                <w:vertAlign w:val="superscript"/>
              </w:rPr>
              <w:t>2</w:t>
            </w:r>
            <w:r w:rsidRPr="00692F3E">
              <w:rPr>
                <w:rFonts w:ascii="Open Sans" w:hAnsi="Open Sans" w:cs="Open Sans"/>
                <w:color w:val="0D0D0D" w:themeColor="text1" w:themeTint="F2"/>
                <w:sz w:val="20"/>
                <w:szCs w:val="20"/>
              </w:rPr>
              <w:t xml:space="preserve"> en 2016</w:t>
            </w:r>
          </w:p>
        </w:tc>
        <w:tc>
          <w:tcPr>
            <w:tcW w:w="1587" w:type="dxa"/>
            <w:shd w:val="clear" w:color="auto" w:fill="ACB9CA" w:themeFill="text2" w:themeFillTint="66"/>
            <w:vAlign w:val="center"/>
          </w:tcPr>
          <w:p w14:paraId="43F2F03A" w14:textId="77777777" w:rsidR="002C0C95" w:rsidRPr="00692F3E" w:rsidRDefault="002C0C95" w:rsidP="00F118DC">
            <w:pPr>
              <w:jc w:val="center"/>
              <w:rPr>
                <w:rFonts w:ascii="Open Sans" w:hAnsi="Open Sans" w:cs="Open Sans"/>
                <w:color w:val="0D0D0D" w:themeColor="text1" w:themeTint="F2"/>
                <w:sz w:val="20"/>
                <w:szCs w:val="20"/>
              </w:rPr>
            </w:pPr>
            <w:r w:rsidRPr="00692F3E">
              <w:rPr>
                <w:rFonts w:ascii="Open Sans" w:hAnsi="Open Sans" w:cs="Open Sans"/>
                <w:color w:val="0D0D0D" w:themeColor="text1" w:themeTint="F2"/>
                <w:sz w:val="20"/>
                <w:szCs w:val="20"/>
              </w:rPr>
              <w:t>Alquiler de una vivienda de 80 m</w:t>
            </w:r>
            <w:r w:rsidRPr="00692F3E">
              <w:rPr>
                <w:rFonts w:ascii="Open Sans" w:hAnsi="Open Sans" w:cs="Open Sans"/>
                <w:color w:val="0D0D0D" w:themeColor="text1" w:themeTint="F2"/>
                <w:sz w:val="20"/>
                <w:szCs w:val="20"/>
                <w:vertAlign w:val="superscript"/>
              </w:rPr>
              <w:t>2</w:t>
            </w:r>
            <w:r w:rsidRPr="00692F3E">
              <w:rPr>
                <w:rFonts w:ascii="Open Sans" w:hAnsi="Open Sans" w:cs="Open Sans"/>
                <w:color w:val="0D0D0D" w:themeColor="text1" w:themeTint="F2"/>
                <w:sz w:val="20"/>
                <w:szCs w:val="20"/>
              </w:rPr>
              <w:t xml:space="preserve"> en 2021</w:t>
            </w:r>
          </w:p>
        </w:tc>
      </w:tr>
      <w:tr w:rsidR="002C0C95" w:rsidRPr="00554ECC" w14:paraId="46725018" w14:textId="77777777" w:rsidTr="00F118DC">
        <w:trPr>
          <w:trHeight w:val="157"/>
        </w:trPr>
        <w:tc>
          <w:tcPr>
            <w:tcW w:w="1550" w:type="dxa"/>
            <w:vAlign w:val="bottom"/>
          </w:tcPr>
          <w:p w14:paraId="66767075" w14:textId="77777777" w:rsidR="002C0C95" w:rsidRPr="00554ECC" w:rsidRDefault="002C0C95" w:rsidP="00F118DC">
            <w:pPr>
              <w:rPr>
                <w:rFonts w:ascii="Open Sans" w:hAnsi="Open Sans" w:cs="Open Sans"/>
                <w:color w:val="000000"/>
              </w:rPr>
            </w:pPr>
            <w:r>
              <w:rPr>
                <w:rFonts w:ascii="Open Sans" w:hAnsi="Open Sans" w:cs="Open Sans"/>
                <w:color w:val="000000"/>
                <w:sz w:val="22"/>
                <w:szCs w:val="22"/>
              </w:rPr>
              <w:t>Málaga</w:t>
            </w:r>
          </w:p>
        </w:tc>
        <w:tc>
          <w:tcPr>
            <w:tcW w:w="2319" w:type="dxa"/>
            <w:vAlign w:val="bottom"/>
          </w:tcPr>
          <w:p w14:paraId="68C51FAE"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Mijas</w:t>
            </w:r>
          </w:p>
        </w:tc>
        <w:tc>
          <w:tcPr>
            <w:tcW w:w="1868" w:type="dxa"/>
            <w:shd w:val="clear" w:color="auto" w:fill="auto"/>
            <w:vAlign w:val="bottom"/>
          </w:tcPr>
          <w:p w14:paraId="6D5D349E" w14:textId="77777777" w:rsidR="002C0C95" w:rsidRPr="00554ECC" w:rsidRDefault="002C0C95" w:rsidP="00F118DC">
            <w:pPr>
              <w:jc w:val="center"/>
              <w:rPr>
                <w:rFonts w:ascii="Open Sans" w:hAnsi="Open Sans" w:cs="Open Sans"/>
                <w:color w:val="000000"/>
              </w:rPr>
            </w:pPr>
            <w:r>
              <w:rPr>
                <w:rFonts w:ascii="Open Sans" w:hAnsi="Open Sans" w:cs="Open Sans"/>
                <w:color w:val="000000"/>
                <w:sz w:val="22"/>
                <w:szCs w:val="22"/>
              </w:rPr>
              <w:t xml:space="preserve">   492 € </w:t>
            </w:r>
          </w:p>
        </w:tc>
        <w:tc>
          <w:tcPr>
            <w:tcW w:w="1597" w:type="dxa"/>
            <w:shd w:val="clear" w:color="auto" w:fill="auto"/>
            <w:vAlign w:val="bottom"/>
          </w:tcPr>
          <w:p w14:paraId="2BB88C82" w14:textId="77777777" w:rsidR="002C0C95" w:rsidRPr="00554ECC" w:rsidRDefault="002C0C95" w:rsidP="00F118DC">
            <w:pPr>
              <w:jc w:val="center"/>
              <w:rPr>
                <w:rFonts w:ascii="Open Sans" w:hAnsi="Open Sans" w:cs="Open Sans"/>
                <w:color w:val="000000"/>
              </w:rPr>
            </w:pPr>
            <w:r>
              <w:rPr>
                <w:rFonts w:ascii="Open Sans" w:hAnsi="Open Sans" w:cs="Open Sans"/>
                <w:color w:val="000000"/>
                <w:sz w:val="22"/>
                <w:szCs w:val="22"/>
              </w:rPr>
              <w:t xml:space="preserve">   502 € </w:t>
            </w:r>
          </w:p>
        </w:tc>
        <w:tc>
          <w:tcPr>
            <w:tcW w:w="1587" w:type="dxa"/>
            <w:vAlign w:val="bottom"/>
          </w:tcPr>
          <w:p w14:paraId="61F31B7C" w14:textId="77777777" w:rsidR="002C0C95" w:rsidRPr="00554ECC" w:rsidRDefault="002C0C95" w:rsidP="00F118DC">
            <w:pPr>
              <w:jc w:val="center"/>
              <w:rPr>
                <w:rFonts w:ascii="Open Sans" w:hAnsi="Open Sans" w:cs="Open Sans"/>
                <w:color w:val="000000"/>
              </w:rPr>
            </w:pPr>
            <w:r>
              <w:rPr>
                <w:rFonts w:ascii="Open Sans" w:hAnsi="Open Sans" w:cs="Open Sans"/>
                <w:color w:val="000000"/>
                <w:sz w:val="22"/>
                <w:szCs w:val="22"/>
              </w:rPr>
              <w:t xml:space="preserve"> 750 € </w:t>
            </w:r>
          </w:p>
        </w:tc>
      </w:tr>
      <w:tr w:rsidR="002C0C95" w:rsidRPr="00554ECC" w14:paraId="3EE4E8F2" w14:textId="77777777" w:rsidTr="00F118DC">
        <w:trPr>
          <w:trHeight w:val="157"/>
        </w:trPr>
        <w:tc>
          <w:tcPr>
            <w:tcW w:w="1550" w:type="dxa"/>
            <w:vAlign w:val="bottom"/>
          </w:tcPr>
          <w:p w14:paraId="2A777FB6"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Málaga</w:t>
            </w:r>
          </w:p>
        </w:tc>
        <w:tc>
          <w:tcPr>
            <w:tcW w:w="2319" w:type="dxa"/>
            <w:vAlign w:val="bottom"/>
          </w:tcPr>
          <w:p w14:paraId="456B3E89"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Torremolinos</w:t>
            </w:r>
          </w:p>
        </w:tc>
        <w:tc>
          <w:tcPr>
            <w:tcW w:w="1868" w:type="dxa"/>
            <w:shd w:val="clear" w:color="auto" w:fill="auto"/>
            <w:vAlign w:val="bottom"/>
          </w:tcPr>
          <w:p w14:paraId="3E4AEA4E"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593 € </w:t>
            </w:r>
          </w:p>
        </w:tc>
        <w:tc>
          <w:tcPr>
            <w:tcW w:w="1597" w:type="dxa"/>
            <w:shd w:val="clear" w:color="auto" w:fill="auto"/>
            <w:vAlign w:val="bottom"/>
          </w:tcPr>
          <w:p w14:paraId="5B0B98B0"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588 € </w:t>
            </w:r>
          </w:p>
        </w:tc>
        <w:tc>
          <w:tcPr>
            <w:tcW w:w="1587" w:type="dxa"/>
            <w:vAlign w:val="bottom"/>
          </w:tcPr>
          <w:p w14:paraId="66ED766C"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865 € </w:t>
            </w:r>
          </w:p>
        </w:tc>
      </w:tr>
      <w:tr w:rsidR="002C0C95" w:rsidRPr="00554ECC" w14:paraId="086B6D72" w14:textId="77777777" w:rsidTr="00F118DC">
        <w:trPr>
          <w:trHeight w:val="157"/>
        </w:trPr>
        <w:tc>
          <w:tcPr>
            <w:tcW w:w="1550" w:type="dxa"/>
            <w:vAlign w:val="bottom"/>
          </w:tcPr>
          <w:p w14:paraId="6EC97257"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Almería</w:t>
            </w:r>
          </w:p>
        </w:tc>
        <w:tc>
          <w:tcPr>
            <w:tcW w:w="2319" w:type="dxa"/>
            <w:vAlign w:val="bottom"/>
          </w:tcPr>
          <w:p w14:paraId="4134590F"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Roquetas de Mar</w:t>
            </w:r>
          </w:p>
        </w:tc>
        <w:tc>
          <w:tcPr>
            <w:tcW w:w="1868" w:type="dxa"/>
            <w:shd w:val="clear" w:color="auto" w:fill="auto"/>
            <w:vAlign w:val="bottom"/>
          </w:tcPr>
          <w:p w14:paraId="10496C32"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453 € </w:t>
            </w:r>
          </w:p>
        </w:tc>
        <w:tc>
          <w:tcPr>
            <w:tcW w:w="1597" w:type="dxa"/>
            <w:shd w:val="clear" w:color="auto" w:fill="auto"/>
            <w:vAlign w:val="bottom"/>
          </w:tcPr>
          <w:p w14:paraId="6BC8622C"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423 € </w:t>
            </w:r>
          </w:p>
        </w:tc>
        <w:tc>
          <w:tcPr>
            <w:tcW w:w="1587" w:type="dxa"/>
            <w:vAlign w:val="bottom"/>
          </w:tcPr>
          <w:p w14:paraId="016B320A"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587 € </w:t>
            </w:r>
          </w:p>
        </w:tc>
      </w:tr>
      <w:tr w:rsidR="002C0C95" w:rsidRPr="00554ECC" w14:paraId="32A014BB" w14:textId="77777777" w:rsidTr="00F118DC">
        <w:trPr>
          <w:trHeight w:val="157"/>
        </w:trPr>
        <w:tc>
          <w:tcPr>
            <w:tcW w:w="1550" w:type="dxa"/>
            <w:vAlign w:val="bottom"/>
          </w:tcPr>
          <w:p w14:paraId="1C5270A8"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Granada</w:t>
            </w:r>
          </w:p>
        </w:tc>
        <w:tc>
          <w:tcPr>
            <w:tcW w:w="2319" w:type="dxa"/>
            <w:vAlign w:val="bottom"/>
          </w:tcPr>
          <w:p w14:paraId="21B88B87"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Armilla</w:t>
            </w:r>
          </w:p>
        </w:tc>
        <w:tc>
          <w:tcPr>
            <w:tcW w:w="1868" w:type="dxa"/>
            <w:shd w:val="clear" w:color="auto" w:fill="auto"/>
            <w:vAlign w:val="bottom"/>
          </w:tcPr>
          <w:p w14:paraId="3FCD7580"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431 € </w:t>
            </w:r>
          </w:p>
        </w:tc>
        <w:tc>
          <w:tcPr>
            <w:tcW w:w="1597" w:type="dxa"/>
            <w:shd w:val="clear" w:color="auto" w:fill="auto"/>
            <w:vAlign w:val="bottom"/>
          </w:tcPr>
          <w:p w14:paraId="48217B37"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391 € </w:t>
            </w:r>
          </w:p>
        </w:tc>
        <w:tc>
          <w:tcPr>
            <w:tcW w:w="1587" w:type="dxa"/>
            <w:vAlign w:val="bottom"/>
          </w:tcPr>
          <w:p w14:paraId="4780C8B1"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534 € </w:t>
            </w:r>
          </w:p>
        </w:tc>
      </w:tr>
      <w:tr w:rsidR="002C0C95" w:rsidRPr="00554ECC" w14:paraId="54632DB6" w14:textId="77777777" w:rsidTr="00F118DC">
        <w:trPr>
          <w:trHeight w:val="157"/>
        </w:trPr>
        <w:tc>
          <w:tcPr>
            <w:tcW w:w="1550" w:type="dxa"/>
            <w:vAlign w:val="bottom"/>
          </w:tcPr>
          <w:p w14:paraId="42480906"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Sevilla</w:t>
            </w:r>
          </w:p>
        </w:tc>
        <w:tc>
          <w:tcPr>
            <w:tcW w:w="2319" w:type="dxa"/>
            <w:vAlign w:val="bottom"/>
          </w:tcPr>
          <w:p w14:paraId="608F02C5"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Dos Hermanas</w:t>
            </w:r>
          </w:p>
        </w:tc>
        <w:tc>
          <w:tcPr>
            <w:tcW w:w="1868" w:type="dxa"/>
            <w:shd w:val="clear" w:color="auto" w:fill="auto"/>
            <w:vAlign w:val="bottom"/>
          </w:tcPr>
          <w:p w14:paraId="696A265E"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535 € </w:t>
            </w:r>
          </w:p>
        </w:tc>
        <w:tc>
          <w:tcPr>
            <w:tcW w:w="1597" w:type="dxa"/>
            <w:shd w:val="clear" w:color="auto" w:fill="auto"/>
            <w:vAlign w:val="bottom"/>
          </w:tcPr>
          <w:p w14:paraId="284EC615"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442 € </w:t>
            </w:r>
          </w:p>
        </w:tc>
        <w:tc>
          <w:tcPr>
            <w:tcW w:w="1587" w:type="dxa"/>
            <w:vAlign w:val="bottom"/>
          </w:tcPr>
          <w:p w14:paraId="7111D69D"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594 € </w:t>
            </w:r>
          </w:p>
        </w:tc>
      </w:tr>
      <w:tr w:rsidR="002C0C95" w:rsidRPr="00554ECC" w14:paraId="65B05780" w14:textId="77777777" w:rsidTr="00F118DC">
        <w:trPr>
          <w:trHeight w:val="157"/>
        </w:trPr>
        <w:tc>
          <w:tcPr>
            <w:tcW w:w="1550" w:type="dxa"/>
            <w:vAlign w:val="bottom"/>
          </w:tcPr>
          <w:p w14:paraId="7BDD6F83"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Cádiz</w:t>
            </w:r>
          </w:p>
        </w:tc>
        <w:tc>
          <w:tcPr>
            <w:tcW w:w="2319" w:type="dxa"/>
            <w:vAlign w:val="bottom"/>
          </w:tcPr>
          <w:p w14:paraId="790BF0F8"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Cádiz capital</w:t>
            </w:r>
          </w:p>
        </w:tc>
        <w:tc>
          <w:tcPr>
            <w:tcW w:w="1868" w:type="dxa"/>
            <w:shd w:val="clear" w:color="auto" w:fill="auto"/>
            <w:vAlign w:val="bottom"/>
          </w:tcPr>
          <w:p w14:paraId="5A284803"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764 € </w:t>
            </w:r>
          </w:p>
        </w:tc>
        <w:tc>
          <w:tcPr>
            <w:tcW w:w="1597" w:type="dxa"/>
            <w:shd w:val="clear" w:color="auto" w:fill="auto"/>
            <w:vAlign w:val="bottom"/>
          </w:tcPr>
          <w:p w14:paraId="565F86E9"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643 € </w:t>
            </w:r>
          </w:p>
        </w:tc>
        <w:tc>
          <w:tcPr>
            <w:tcW w:w="1587" w:type="dxa"/>
            <w:vAlign w:val="bottom"/>
          </w:tcPr>
          <w:p w14:paraId="29C78119"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858 € </w:t>
            </w:r>
          </w:p>
        </w:tc>
      </w:tr>
      <w:tr w:rsidR="002C0C95" w:rsidRPr="00554ECC" w14:paraId="1A918D96" w14:textId="77777777" w:rsidTr="00F118DC">
        <w:trPr>
          <w:trHeight w:val="157"/>
        </w:trPr>
        <w:tc>
          <w:tcPr>
            <w:tcW w:w="1550" w:type="dxa"/>
            <w:vAlign w:val="bottom"/>
          </w:tcPr>
          <w:p w14:paraId="3919A4EA"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Almería</w:t>
            </w:r>
          </w:p>
        </w:tc>
        <w:tc>
          <w:tcPr>
            <w:tcW w:w="2319" w:type="dxa"/>
            <w:vAlign w:val="bottom"/>
          </w:tcPr>
          <w:p w14:paraId="27D86F90"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Almería capital</w:t>
            </w:r>
          </w:p>
        </w:tc>
        <w:tc>
          <w:tcPr>
            <w:tcW w:w="1868" w:type="dxa"/>
            <w:shd w:val="clear" w:color="auto" w:fill="auto"/>
            <w:vAlign w:val="bottom"/>
          </w:tcPr>
          <w:p w14:paraId="353CB6E3"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498 € </w:t>
            </w:r>
          </w:p>
        </w:tc>
        <w:tc>
          <w:tcPr>
            <w:tcW w:w="1597" w:type="dxa"/>
            <w:shd w:val="clear" w:color="auto" w:fill="auto"/>
            <w:vAlign w:val="bottom"/>
          </w:tcPr>
          <w:p w14:paraId="7540F88E"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445 € </w:t>
            </w:r>
          </w:p>
        </w:tc>
        <w:tc>
          <w:tcPr>
            <w:tcW w:w="1587" w:type="dxa"/>
            <w:vAlign w:val="bottom"/>
          </w:tcPr>
          <w:p w14:paraId="588C5479"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590 € </w:t>
            </w:r>
          </w:p>
        </w:tc>
      </w:tr>
      <w:tr w:rsidR="002C0C95" w:rsidRPr="00554ECC" w14:paraId="67C45F96" w14:textId="77777777" w:rsidTr="00F118DC">
        <w:trPr>
          <w:trHeight w:val="157"/>
        </w:trPr>
        <w:tc>
          <w:tcPr>
            <w:tcW w:w="1550" w:type="dxa"/>
            <w:vAlign w:val="bottom"/>
          </w:tcPr>
          <w:p w14:paraId="5CF16EFC"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Málaga</w:t>
            </w:r>
          </w:p>
        </w:tc>
        <w:tc>
          <w:tcPr>
            <w:tcW w:w="2319" w:type="dxa"/>
            <w:vAlign w:val="bottom"/>
          </w:tcPr>
          <w:p w14:paraId="353B9BEE"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Málaga capital</w:t>
            </w:r>
          </w:p>
        </w:tc>
        <w:tc>
          <w:tcPr>
            <w:tcW w:w="1868" w:type="dxa"/>
            <w:shd w:val="clear" w:color="auto" w:fill="auto"/>
            <w:vAlign w:val="bottom"/>
          </w:tcPr>
          <w:p w14:paraId="4AD9BFE5"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578 € </w:t>
            </w:r>
          </w:p>
        </w:tc>
        <w:tc>
          <w:tcPr>
            <w:tcW w:w="1597" w:type="dxa"/>
            <w:shd w:val="clear" w:color="auto" w:fill="auto"/>
            <w:vAlign w:val="bottom"/>
          </w:tcPr>
          <w:p w14:paraId="1EA38424"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582 € </w:t>
            </w:r>
          </w:p>
        </w:tc>
        <w:tc>
          <w:tcPr>
            <w:tcW w:w="1587" w:type="dxa"/>
            <w:vAlign w:val="bottom"/>
          </w:tcPr>
          <w:p w14:paraId="02112BA7"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766 € </w:t>
            </w:r>
          </w:p>
        </w:tc>
      </w:tr>
      <w:tr w:rsidR="002C0C95" w:rsidRPr="00554ECC" w14:paraId="751A40E7" w14:textId="77777777" w:rsidTr="00F118DC">
        <w:trPr>
          <w:trHeight w:val="157"/>
        </w:trPr>
        <w:tc>
          <w:tcPr>
            <w:tcW w:w="1550" w:type="dxa"/>
            <w:vAlign w:val="bottom"/>
          </w:tcPr>
          <w:p w14:paraId="7393E6FE"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Granada</w:t>
            </w:r>
          </w:p>
        </w:tc>
        <w:tc>
          <w:tcPr>
            <w:tcW w:w="2319" w:type="dxa"/>
            <w:vAlign w:val="bottom"/>
          </w:tcPr>
          <w:p w14:paraId="0C118587"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Granada capital</w:t>
            </w:r>
          </w:p>
        </w:tc>
        <w:tc>
          <w:tcPr>
            <w:tcW w:w="1868" w:type="dxa"/>
            <w:shd w:val="clear" w:color="auto" w:fill="auto"/>
            <w:vAlign w:val="bottom"/>
          </w:tcPr>
          <w:p w14:paraId="173C4B36"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524 € </w:t>
            </w:r>
          </w:p>
        </w:tc>
        <w:tc>
          <w:tcPr>
            <w:tcW w:w="1597" w:type="dxa"/>
            <w:shd w:val="clear" w:color="auto" w:fill="auto"/>
            <w:vAlign w:val="bottom"/>
          </w:tcPr>
          <w:p w14:paraId="7F1E0ECF"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496 € </w:t>
            </w:r>
          </w:p>
        </w:tc>
        <w:tc>
          <w:tcPr>
            <w:tcW w:w="1587" w:type="dxa"/>
            <w:vAlign w:val="bottom"/>
          </w:tcPr>
          <w:p w14:paraId="3F2B243E"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637 € </w:t>
            </w:r>
          </w:p>
        </w:tc>
      </w:tr>
      <w:tr w:rsidR="002C0C95" w:rsidRPr="00554ECC" w14:paraId="1CBCAAF0" w14:textId="77777777" w:rsidTr="00F118DC">
        <w:trPr>
          <w:trHeight w:val="157"/>
        </w:trPr>
        <w:tc>
          <w:tcPr>
            <w:tcW w:w="1550" w:type="dxa"/>
            <w:vAlign w:val="bottom"/>
          </w:tcPr>
          <w:p w14:paraId="0B38CAB8"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Málaga</w:t>
            </w:r>
          </w:p>
        </w:tc>
        <w:tc>
          <w:tcPr>
            <w:tcW w:w="2319" w:type="dxa"/>
            <w:vAlign w:val="bottom"/>
          </w:tcPr>
          <w:p w14:paraId="1CC59E6E"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Benalmádena</w:t>
            </w:r>
          </w:p>
        </w:tc>
        <w:tc>
          <w:tcPr>
            <w:tcW w:w="1868" w:type="dxa"/>
            <w:shd w:val="clear" w:color="auto" w:fill="auto"/>
            <w:vAlign w:val="bottom"/>
          </w:tcPr>
          <w:p w14:paraId="645BB488"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542 € </w:t>
            </w:r>
          </w:p>
        </w:tc>
        <w:tc>
          <w:tcPr>
            <w:tcW w:w="1597" w:type="dxa"/>
            <w:shd w:val="clear" w:color="auto" w:fill="auto"/>
            <w:vAlign w:val="bottom"/>
          </w:tcPr>
          <w:p w14:paraId="2D29A5B1"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614 € </w:t>
            </w:r>
          </w:p>
        </w:tc>
        <w:tc>
          <w:tcPr>
            <w:tcW w:w="1587" w:type="dxa"/>
            <w:vAlign w:val="bottom"/>
          </w:tcPr>
          <w:p w14:paraId="31C63A70"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789 € </w:t>
            </w:r>
          </w:p>
        </w:tc>
      </w:tr>
      <w:tr w:rsidR="002C0C95" w:rsidRPr="00554ECC" w14:paraId="20B145A9" w14:textId="77777777" w:rsidTr="00F118DC">
        <w:trPr>
          <w:trHeight w:val="157"/>
        </w:trPr>
        <w:tc>
          <w:tcPr>
            <w:tcW w:w="1550" w:type="dxa"/>
            <w:vAlign w:val="bottom"/>
          </w:tcPr>
          <w:p w14:paraId="0CF68146"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Sevilla</w:t>
            </w:r>
          </w:p>
        </w:tc>
        <w:tc>
          <w:tcPr>
            <w:tcW w:w="2319" w:type="dxa"/>
            <w:vAlign w:val="bottom"/>
          </w:tcPr>
          <w:p w14:paraId="67CA03DD"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Alcalá de Guadaira</w:t>
            </w:r>
          </w:p>
        </w:tc>
        <w:tc>
          <w:tcPr>
            <w:tcW w:w="1868" w:type="dxa"/>
            <w:shd w:val="clear" w:color="auto" w:fill="auto"/>
            <w:vAlign w:val="bottom"/>
          </w:tcPr>
          <w:p w14:paraId="4C032048"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545 € </w:t>
            </w:r>
          </w:p>
        </w:tc>
        <w:tc>
          <w:tcPr>
            <w:tcW w:w="1597" w:type="dxa"/>
            <w:shd w:val="clear" w:color="auto" w:fill="auto"/>
            <w:vAlign w:val="bottom"/>
          </w:tcPr>
          <w:p w14:paraId="2EFA52AF"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431 € </w:t>
            </w:r>
          </w:p>
        </w:tc>
        <w:tc>
          <w:tcPr>
            <w:tcW w:w="1587" w:type="dxa"/>
            <w:vAlign w:val="bottom"/>
          </w:tcPr>
          <w:p w14:paraId="5442C5F6"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552 € </w:t>
            </w:r>
          </w:p>
        </w:tc>
      </w:tr>
      <w:tr w:rsidR="002C0C95" w:rsidRPr="00554ECC" w14:paraId="4E95A02B" w14:textId="77777777" w:rsidTr="00F118DC">
        <w:trPr>
          <w:trHeight w:val="157"/>
        </w:trPr>
        <w:tc>
          <w:tcPr>
            <w:tcW w:w="1550" w:type="dxa"/>
            <w:vAlign w:val="bottom"/>
          </w:tcPr>
          <w:p w14:paraId="4BCA2F53"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Sevilla</w:t>
            </w:r>
          </w:p>
        </w:tc>
        <w:tc>
          <w:tcPr>
            <w:tcW w:w="2319" w:type="dxa"/>
            <w:vAlign w:val="bottom"/>
          </w:tcPr>
          <w:p w14:paraId="26864F35"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Sevilla capital</w:t>
            </w:r>
          </w:p>
        </w:tc>
        <w:tc>
          <w:tcPr>
            <w:tcW w:w="1868" w:type="dxa"/>
            <w:shd w:val="clear" w:color="auto" w:fill="auto"/>
            <w:vAlign w:val="bottom"/>
          </w:tcPr>
          <w:p w14:paraId="099965BF"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680 € </w:t>
            </w:r>
          </w:p>
        </w:tc>
        <w:tc>
          <w:tcPr>
            <w:tcW w:w="1597" w:type="dxa"/>
            <w:shd w:val="clear" w:color="auto" w:fill="auto"/>
            <w:vAlign w:val="bottom"/>
          </w:tcPr>
          <w:p w14:paraId="5CE0FA6C"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630 € </w:t>
            </w:r>
          </w:p>
        </w:tc>
        <w:tc>
          <w:tcPr>
            <w:tcW w:w="1587" w:type="dxa"/>
            <w:vAlign w:val="bottom"/>
          </w:tcPr>
          <w:p w14:paraId="3DF3D741"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805 € </w:t>
            </w:r>
          </w:p>
        </w:tc>
      </w:tr>
      <w:tr w:rsidR="002C0C95" w:rsidRPr="00554ECC" w14:paraId="4FEC8FE3" w14:textId="77777777" w:rsidTr="00F118DC">
        <w:trPr>
          <w:trHeight w:val="157"/>
        </w:trPr>
        <w:tc>
          <w:tcPr>
            <w:tcW w:w="1550" w:type="dxa"/>
            <w:vAlign w:val="bottom"/>
          </w:tcPr>
          <w:p w14:paraId="5D2E7D5E"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Cádiz</w:t>
            </w:r>
          </w:p>
        </w:tc>
        <w:tc>
          <w:tcPr>
            <w:tcW w:w="2319" w:type="dxa"/>
            <w:vAlign w:val="bottom"/>
          </w:tcPr>
          <w:p w14:paraId="5B8C60A1"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Algeciras</w:t>
            </w:r>
          </w:p>
        </w:tc>
        <w:tc>
          <w:tcPr>
            <w:tcW w:w="1868" w:type="dxa"/>
            <w:shd w:val="clear" w:color="auto" w:fill="auto"/>
            <w:vAlign w:val="bottom"/>
          </w:tcPr>
          <w:p w14:paraId="3363E664"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471 € </w:t>
            </w:r>
          </w:p>
        </w:tc>
        <w:tc>
          <w:tcPr>
            <w:tcW w:w="1597" w:type="dxa"/>
            <w:shd w:val="clear" w:color="auto" w:fill="auto"/>
            <w:vAlign w:val="bottom"/>
          </w:tcPr>
          <w:p w14:paraId="1A8A655E"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452 € </w:t>
            </w:r>
          </w:p>
        </w:tc>
        <w:tc>
          <w:tcPr>
            <w:tcW w:w="1587" w:type="dxa"/>
            <w:vAlign w:val="bottom"/>
          </w:tcPr>
          <w:p w14:paraId="4A5F9539"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566 € </w:t>
            </w:r>
          </w:p>
        </w:tc>
      </w:tr>
      <w:tr w:rsidR="002C0C95" w:rsidRPr="00554ECC" w14:paraId="7159683B" w14:textId="77777777" w:rsidTr="00F118DC">
        <w:trPr>
          <w:trHeight w:val="157"/>
        </w:trPr>
        <w:tc>
          <w:tcPr>
            <w:tcW w:w="1550" w:type="dxa"/>
            <w:vAlign w:val="bottom"/>
          </w:tcPr>
          <w:p w14:paraId="4158CBAF" w14:textId="77777777" w:rsidR="002C0C95" w:rsidRPr="00554ECC" w:rsidRDefault="002C0C95" w:rsidP="00F118DC">
            <w:pPr>
              <w:rPr>
                <w:rFonts w:ascii="Open Sans" w:hAnsi="Open Sans" w:cs="Open Sans"/>
                <w:color w:val="000000"/>
              </w:rPr>
            </w:pPr>
            <w:r>
              <w:rPr>
                <w:rFonts w:ascii="Open Sans" w:hAnsi="Open Sans" w:cs="Open Sans"/>
                <w:color w:val="000000"/>
                <w:sz w:val="22"/>
                <w:szCs w:val="22"/>
              </w:rPr>
              <w:t>Cádiz</w:t>
            </w:r>
          </w:p>
        </w:tc>
        <w:tc>
          <w:tcPr>
            <w:tcW w:w="2319" w:type="dxa"/>
            <w:vAlign w:val="bottom"/>
          </w:tcPr>
          <w:p w14:paraId="068AD8B6"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Jerez de la Frontera</w:t>
            </w:r>
          </w:p>
        </w:tc>
        <w:tc>
          <w:tcPr>
            <w:tcW w:w="1868" w:type="dxa"/>
            <w:shd w:val="clear" w:color="auto" w:fill="auto"/>
            <w:vAlign w:val="bottom"/>
          </w:tcPr>
          <w:p w14:paraId="17A87352" w14:textId="77777777" w:rsidR="002C0C95" w:rsidRPr="00554ECC" w:rsidRDefault="002C0C95" w:rsidP="00F118DC">
            <w:pPr>
              <w:jc w:val="center"/>
              <w:rPr>
                <w:rFonts w:ascii="Open Sans" w:hAnsi="Open Sans" w:cs="Open Sans"/>
                <w:color w:val="000000"/>
              </w:rPr>
            </w:pPr>
            <w:r>
              <w:rPr>
                <w:rFonts w:ascii="Open Sans" w:hAnsi="Open Sans" w:cs="Open Sans"/>
                <w:color w:val="000000"/>
                <w:sz w:val="22"/>
                <w:szCs w:val="22"/>
              </w:rPr>
              <w:t xml:space="preserve">   481 € </w:t>
            </w:r>
          </w:p>
        </w:tc>
        <w:tc>
          <w:tcPr>
            <w:tcW w:w="1597" w:type="dxa"/>
            <w:shd w:val="clear" w:color="auto" w:fill="auto"/>
            <w:vAlign w:val="bottom"/>
          </w:tcPr>
          <w:p w14:paraId="345CC2EB" w14:textId="77777777" w:rsidR="002C0C95" w:rsidRPr="00554ECC" w:rsidRDefault="002C0C95" w:rsidP="00F118DC">
            <w:pPr>
              <w:jc w:val="center"/>
              <w:rPr>
                <w:rFonts w:ascii="Open Sans" w:hAnsi="Open Sans" w:cs="Open Sans"/>
                <w:color w:val="000000"/>
              </w:rPr>
            </w:pPr>
            <w:r>
              <w:rPr>
                <w:rFonts w:ascii="Open Sans" w:hAnsi="Open Sans" w:cs="Open Sans"/>
                <w:color w:val="000000"/>
                <w:sz w:val="22"/>
                <w:szCs w:val="22"/>
              </w:rPr>
              <w:t xml:space="preserve">   423 € </w:t>
            </w:r>
          </w:p>
        </w:tc>
        <w:tc>
          <w:tcPr>
            <w:tcW w:w="1587" w:type="dxa"/>
            <w:vAlign w:val="bottom"/>
          </w:tcPr>
          <w:p w14:paraId="65AE78B3" w14:textId="77777777" w:rsidR="002C0C95" w:rsidRPr="00554ECC" w:rsidRDefault="002C0C95" w:rsidP="00F118DC">
            <w:pPr>
              <w:jc w:val="center"/>
              <w:rPr>
                <w:rFonts w:ascii="Open Sans" w:hAnsi="Open Sans" w:cs="Open Sans"/>
                <w:color w:val="000000"/>
              </w:rPr>
            </w:pPr>
            <w:r>
              <w:rPr>
                <w:rFonts w:ascii="Open Sans" w:hAnsi="Open Sans" w:cs="Open Sans"/>
                <w:color w:val="000000"/>
                <w:sz w:val="22"/>
                <w:szCs w:val="22"/>
              </w:rPr>
              <w:t xml:space="preserve"> 529 € </w:t>
            </w:r>
          </w:p>
        </w:tc>
      </w:tr>
      <w:tr w:rsidR="002C0C95" w:rsidRPr="00554ECC" w14:paraId="70591990" w14:textId="77777777" w:rsidTr="00F118DC">
        <w:trPr>
          <w:trHeight w:val="157"/>
        </w:trPr>
        <w:tc>
          <w:tcPr>
            <w:tcW w:w="1550" w:type="dxa"/>
            <w:vAlign w:val="bottom"/>
          </w:tcPr>
          <w:p w14:paraId="0E008D48"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Huelva</w:t>
            </w:r>
          </w:p>
        </w:tc>
        <w:tc>
          <w:tcPr>
            <w:tcW w:w="2319" w:type="dxa"/>
            <w:vAlign w:val="bottom"/>
          </w:tcPr>
          <w:p w14:paraId="4638C1B9"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Huelva capital</w:t>
            </w:r>
          </w:p>
        </w:tc>
        <w:tc>
          <w:tcPr>
            <w:tcW w:w="1868" w:type="dxa"/>
            <w:shd w:val="clear" w:color="auto" w:fill="auto"/>
            <w:vAlign w:val="bottom"/>
          </w:tcPr>
          <w:p w14:paraId="0A6CA363"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499 € </w:t>
            </w:r>
          </w:p>
        </w:tc>
        <w:tc>
          <w:tcPr>
            <w:tcW w:w="1597" w:type="dxa"/>
            <w:shd w:val="clear" w:color="auto" w:fill="auto"/>
            <w:vAlign w:val="bottom"/>
          </w:tcPr>
          <w:p w14:paraId="04C4C3E4"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438 € </w:t>
            </w:r>
          </w:p>
        </w:tc>
        <w:tc>
          <w:tcPr>
            <w:tcW w:w="1587" w:type="dxa"/>
            <w:vAlign w:val="bottom"/>
          </w:tcPr>
          <w:p w14:paraId="0B9BBAC7"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538 € </w:t>
            </w:r>
          </w:p>
        </w:tc>
      </w:tr>
      <w:tr w:rsidR="002C0C95" w:rsidRPr="00554ECC" w14:paraId="74631CED" w14:textId="77777777" w:rsidTr="00F118DC">
        <w:trPr>
          <w:trHeight w:val="157"/>
        </w:trPr>
        <w:tc>
          <w:tcPr>
            <w:tcW w:w="1550" w:type="dxa"/>
            <w:vAlign w:val="bottom"/>
          </w:tcPr>
          <w:p w14:paraId="2536AF23"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Córdoba</w:t>
            </w:r>
          </w:p>
        </w:tc>
        <w:tc>
          <w:tcPr>
            <w:tcW w:w="2319" w:type="dxa"/>
            <w:vAlign w:val="bottom"/>
          </w:tcPr>
          <w:p w14:paraId="3DE99513"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Córdoba capital</w:t>
            </w:r>
          </w:p>
        </w:tc>
        <w:tc>
          <w:tcPr>
            <w:tcW w:w="1868" w:type="dxa"/>
            <w:shd w:val="clear" w:color="auto" w:fill="auto"/>
            <w:vAlign w:val="bottom"/>
          </w:tcPr>
          <w:p w14:paraId="4508DF0E"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585 € </w:t>
            </w:r>
          </w:p>
        </w:tc>
        <w:tc>
          <w:tcPr>
            <w:tcW w:w="1597" w:type="dxa"/>
            <w:shd w:val="clear" w:color="auto" w:fill="auto"/>
            <w:vAlign w:val="bottom"/>
          </w:tcPr>
          <w:p w14:paraId="0061FE2C"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515 € </w:t>
            </w:r>
          </w:p>
        </w:tc>
        <w:tc>
          <w:tcPr>
            <w:tcW w:w="1587" w:type="dxa"/>
            <w:vAlign w:val="bottom"/>
          </w:tcPr>
          <w:p w14:paraId="4A60888B"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591 € </w:t>
            </w:r>
          </w:p>
        </w:tc>
      </w:tr>
      <w:tr w:rsidR="002C0C95" w:rsidRPr="00554ECC" w14:paraId="576A0102" w14:textId="77777777" w:rsidTr="00F118DC">
        <w:trPr>
          <w:trHeight w:val="157"/>
        </w:trPr>
        <w:tc>
          <w:tcPr>
            <w:tcW w:w="1550" w:type="dxa"/>
            <w:vAlign w:val="bottom"/>
          </w:tcPr>
          <w:p w14:paraId="1959B5EC"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Jaén</w:t>
            </w:r>
          </w:p>
        </w:tc>
        <w:tc>
          <w:tcPr>
            <w:tcW w:w="2319" w:type="dxa"/>
            <w:vAlign w:val="bottom"/>
          </w:tcPr>
          <w:p w14:paraId="21A4E219"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Jaén capital</w:t>
            </w:r>
          </w:p>
        </w:tc>
        <w:tc>
          <w:tcPr>
            <w:tcW w:w="1868" w:type="dxa"/>
            <w:shd w:val="clear" w:color="auto" w:fill="auto"/>
            <w:vAlign w:val="bottom"/>
          </w:tcPr>
          <w:p w14:paraId="4D8297DF"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477 € </w:t>
            </w:r>
          </w:p>
        </w:tc>
        <w:tc>
          <w:tcPr>
            <w:tcW w:w="1597" w:type="dxa"/>
            <w:shd w:val="clear" w:color="auto" w:fill="auto"/>
            <w:vAlign w:val="bottom"/>
          </w:tcPr>
          <w:p w14:paraId="26092818"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425 € </w:t>
            </w:r>
          </w:p>
        </w:tc>
        <w:tc>
          <w:tcPr>
            <w:tcW w:w="1587" w:type="dxa"/>
            <w:vAlign w:val="bottom"/>
          </w:tcPr>
          <w:p w14:paraId="4853F1A4"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471 € </w:t>
            </w:r>
          </w:p>
        </w:tc>
      </w:tr>
      <w:tr w:rsidR="002C0C95" w:rsidRPr="00554ECC" w14:paraId="7D5C7A6F" w14:textId="77777777" w:rsidTr="00F118DC">
        <w:trPr>
          <w:trHeight w:val="157"/>
        </w:trPr>
        <w:tc>
          <w:tcPr>
            <w:tcW w:w="1550" w:type="dxa"/>
            <w:vAlign w:val="bottom"/>
          </w:tcPr>
          <w:p w14:paraId="18B5A12A"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Málaga</w:t>
            </w:r>
          </w:p>
        </w:tc>
        <w:tc>
          <w:tcPr>
            <w:tcW w:w="2319" w:type="dxa"/>
            <w:vAlign w:val="bottom"/>
          </w:tcPr>
          <w:p w14:paraId="0AF49044"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Fuengirola</w:t>
            </w:r>
          </w:p>
        </w:tc>
        <w:tc>
          <w:tcPr>
            <w:tcW w:w="1868" w:type="dxa"/>
            <w:shd w:val="clear" w:color="auto" w:fill="auto"/>
            <w:vAlign w:val="bottom"/>
          </w:tcPr>
          <w:p w14:paraId="634F4988"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557 € </w:t>
            </w:r>
          </w:p>
        </w:tc>
        <w:tc>
          <w:tcPr>
            <w:tcW w:w="1597" w:type="dxa"/>
            <w:shd w:val="clear" w:color="auto" w:fill="auto"/>
            <w:vAlign w:val="bottom"/>
          </w:tcPr>
          <w:p w14:paraId="73C4D586"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685 € </w:t>
            </w:r>
          </w:p>
        </w:tc>
        <w:tc>
          <w:tcPr>
            <w:tcW w:w="1587" w:type="dxa"/>
            <w:vAlign w:val="bottom"/>
          </w:tcPr>
          <w:p w14:paraId="61405DD4"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730 € </w:t>
            </w:r>
          </w:p>
        </w:tc>
      </w:tr>
      <w:tr w:rsidR="002C0C95" w:rsidRPr="00554ECC" w14:paraId="405DF1AD" w14:textId="77777777" w:rsidTr="00F118DC">
        <w:trPr>
          <w:trHeight w:val="157"/>
        </w:trPr>
        <w:tc>
          <w:tcPr>
            <w:tcW w:w="1550" w:type="dxa"/>
            <w:vAlign w:val="bottom"/>
          </w:tcPr>
          <w:p w14:paraId="5FD1EE28"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Málaga</w:t>
            </w:r>
          </w:p>
        </w:tc>
        <w:tc>
          <w:tcPr>
            <w:tcW w:w="2319" w:type="dxa"/>
            <w:vAlign w:val="bottom"/>
          </w:tcPr>
          <w:p w14:paraId="13AA5BDC"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Marbella</w:t>
            </w:r>
          </w:p>
        </w:tc>
        <w:tc>
          <w:tcPr>
            <w:tcW w:w="1868" w:type="dxa"/>
            <w:shd w:val="clear" w:color="auto" w:fill="auto"/>
            <w:vAlign w:val="bottom"/>
          </w:tcPr>
          <w:p w14:paraId="0992CCE9"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661 € </w:t>
            </w:r>
          </w:p>
        </w:tc>
        <w:tc>
          <w:tcPr>
            <w:tcW w:w="1597" w:type="dxa"/>
            <w:shd w:val="clear" w:color="auto" w:fill="auto"/>
            <w:vAlign w:val="bottom"/>
          </w:tcPr>
          <w:p w14:paraId="5FCBACC8"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928 € </w:t>
            </w:r>
          </w:p>
        </w:tc>
        <w:tc>
          <w:tcPr>
            <w:tcW w:w="1587" w:type="dxa"/>
            <w:vAlign w:val="bottom"/>
          </w:tcPr>
          <w:p w14:paraId="23B05FF5" w14:textId="77777777" w:rsidR="002C0C95" w:rsidRDefault="002C0C95" w:rsidP="00F118DC">
            <w:pPr>
              <w:jc w:val="center"/>
              <w:rPr>
                <w:rFonts w:ascii="Open Sans" w:hAnsi="Open Sans" w:cs="Open Sans"/>
                <w:color w:val="000000"/>
                <w:sz w:val="22"/>
                <w:szCs w:val="22"/>
              </w:rPr>
            </w:pPr>
            <w:r>
              <w:rPr>
                <w:rFonts w:ascii="Open Sans" w:hAnsi="Open Sans" w:cs="Open Sans"/>
                <w:color w:val="000000"/>
                <w:sz w:val="22"/>
                <w:szCs w:val="22"/>
              </w:rPr>
              <w:t xml:space="preserve"> 957 € </w:t>
            </w:r>
          </w:p>
        </w:tc>
      </w:tr>
      <w:tr w:rsidR="002C0C95" w:rsidRPr="00554ECC" w14:paraId="08F6EC01" w14:textId="77777777" w:rsidTr="00F118DC">
        <w:trPr>
          <w:trHeight w:val="157"/>
        </w:trPr>
        <w:tc>
          <w:tcPr>
            <w:tcW w:w="1550" w:type="dxa"/>
            <w:vAlign w:val="bottom"/>
          </w:tcPr>
          <w:p w14:paraId="6F0D521C" w14:textId="77777777" w:rsidR="002C0C95" w:rsidRPr="00554ECC" w:rsidRDefault="002C0C95" w:rsidP="00F118DC">
            <w:pPr>
              <w:rPr>
                <w:rFonts w:ascii="Open Sans" w:hAnsi="Open Sans" w:cs="Open Sans"/>
                <w:color w:val="000000"/>
              </w:rPr>
            </w:pPr>
            <w:r>
              <w:rPr>
                <w:rFonts w:ascii="Open Sans" w:hAnsi="Open Sans" w:cs="Open Sans"/>
                <w:color w:val="000000"/>
                <w:sz w:val="22"/>
                <w:szCs w:val="22"/>
              </w:rPr>
              <w:t>Cádiz</w:t>
            </w:r>
          </w:p>
        </w:tc>
        <w:tc>
          <w:tcPr>
            <w:tcW w:w="2319" w:type="dxa"/>
            <w:vAlign w:val="bottom"/>
          </w:tcPr>
          <w:p w14:paraId="6D13FB53"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La Línea de la Concepción</w:t>
            </w:r>
          </w:p>
        </w:tc>
        <w:tc>
          <w:tcPr>
            <w:tcW w:w="1868" w:type="dxa"/>
            <w:shd w:val="clear" w:color="auto" w:fill="auto"/>
            <w:vAlign w:val="bottom"/>
          </w:tcPr>
          <w:p w14:paraId="329D826F" w14:textId="77777777" w:rsidR="002C0C95" w:rsidRPr="00554ECC" w:rsidRDefault="002C0C95" w:rsidP="00F118DC">
            <w:pPr>
              <w:jc w:val="center"/>
              <w:rPr>
                <w:rFonts w:ascii="Open Sans" w:hAnsi="Open Sans" w:cs="Open Sans"/>
                <w:color w:val="000000"/>
              </w:rPr>
            </w:pPr>
            <w:r>
              <w:rPr>
                <w:rFonts w:ascii="Open Sans" w:hAnsi="Open Sans" w:cs="Open Sans"/>
                <w:color w:val="000000"/>
                <w:sz w:val="22"/>
                <w:szCs w:val="22"/>
              </w:rPr>
              <w:t xml:space="preserve">   560 € </w:t>
            </w:r>
          </w:p>
        </w:tc>
        <w:tc>
          <w:tcPr>
            <w:tcW w:w="1597" w:type="dxa"/>
            <w:shd w:val="clear" w:color="auto" w:fill="auto"/>
            <w:vAlign w:val="bottom"/>
          </w:tcPr>
          <w:p w14:paraId="5FA1A9B9" w14:textId="77777777" w:rsidR="002C0C95" w:rsidRPr="00554ECC" w:rsidRDefault="002C0C95" w:rsidP="00F118DC">
            <w:pPr>
              <w:jc w:val="center"/>
              <w:rPr>
                <w:rFonts w:ascii="Open Sans" w:hAnsi="Open Sans" w:cs="Open Sans"/>
                <w:color w:val="000000"/>
              </w:rPr>
            </w:pPr>
            <w:r>
              <w:rPr>
                <w:rFonts w:ascii="Open Sans" w:hAnsi="Open Sans" w:cs="Open Sans"/>
                <w:color w:val="000000"/>
                <w:sz w:val="22"/>
                <w:szCs w:val="22"/>
              </w:rPr>
              <w:t xml:space="preserve">       -   € </w:t>
            </w:r>
          </w:p>
        </w:tc>
        <w:tc>
          <w:tcPr>
            <w:tcW w:w="1587" w:type="dxa"/>
            <w:vAlign w:val="bottom"/>
          </w:tcPr>
          <w:p w14:paraId="57F91066" w14:textId="77777777" w:rsidR="002C0C95" w:rsidRPr="00554ECC" w:rsidRDefault="002C0C95" w:rsidP="00F118DC">
            <w:pPr>
              <w:jc w:val="center"/>
              <w:rPr>
                <w:rFonts w:ascii="Open Sans" w:hAnsi="Open Sans" w:cs="Open Sans"/>
                <w:color w:val="000000"/>
              </w:rPr>
            </w:pPr>
            <w:r>
              <w:rPr>
                <w:rFonts w:ascii="Open Sans" w:hAnsi="Open Sans" w:cs="Open Sans"/>
                <w:color w:val="000000"/>
                <w:sz w:val="22"/>
                <w:szCs w:val="22"/>
              </w:rPr>
              <w:t xml:space="preserve"> 586 € </w:t>
            </w:r>
          </w:p>
        </w:tc>
      </w:tr>
      <w:tr w:rsidR="002C0C95" w:rsidRPr="00554ECC" w14:paraId="22CEC267" w14:textId="77777777" w:rsidTr="00F118DC">
        <w:trPr>
          <w:trHeight w:val="157"/>
        </w:trPr>
        <w:tc>
          <w:tcPr>
            <w:tcW w:w="1550" w:type="dxa"/>
            <w:vAlign w:val="bottom"/>
          </w:tcPr>
          <w:p w14:paraId="03C898C4" w14:textId="77777777" w:rsidR="002C0C95" w:rsidRPr="00554ECC" w:rsidRDefault="002C0C95" w:rsidP="00F118DC">
            <w:pPr>
              <w:rPr>
                <w:rFonts w:ascii="Open Sans" w:hAnsi="Open Sans" w:cs="Open Sans"/>
                <w:color w:val="000000"/>
              </w:rPr>
            </w:pPr>
            <w:r>
              <w:rPr>
                <w:rFonts w:ascii="Open Sans" w:hAnsi="Open Sans" w:cs="Open Sans"/>
                <w:color w:val="000000"/>
                <w:sz w:val="22"/>
                <w:szCs w:val="22"/>
              </w:rPr>
              <w:t>Córdoba</w:t>
            </w:r>
          </w:p>
        </w:tc>
        <w:tc>
          <w:tcPr>
            <w:tcW w:w="2319" w:type="dxa"/>
            <w:vAlign w:val="bottom"/>
          </w:tcPr>
          <w:p w14:paraId="419945BC"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Lucena</w:t>
            </w:r>
          </w:p>
        </w:tc>
        <w:tc>
          <w:tcPr>
            <w:tcW w:w="1868" w:type="dxa"/>
            <w:shd w:val="clear" w:color="auto" w:fill="auto"/>
            <w:vAlign w:val="bottom"/>
          </w:tcPr>
          <w:p w14:paraId="30150F6B" w14:textId="77777777" w:rsidR="002C0C95" w:rsidRPr="00554ECC" w:rsidRDefault="002C0C95" w:rsidP="00F118DC">
            <w:pPr>
              <w:jc w:val="center"/>
              <w:rPr>
                <w:rFonts w:ascii="Open Sans" w:hAnsi="Open Sans" w:cs="Open Sans"/>
                <w:color w:val="000000"/>
              </w:rPr>
            </w:pPr>
            <w:r>
              <w:rPr>
                <w:rFonts w:ascii="Open Sans" w:hAnsi="Open Sans" w:cs="Open Sans"/>
                <w:color w:val="000000"/>
                <w:sz w:val="22"/>
                <w:szCs w:val="22"/>
              </w:rPr>
              <w:t xml:space="preserve">       -   € </w:t>
            </w:r>
          </w:p>
        </w:tc>
        <w:tc>
          <w:tcPr>
            <w:tcW w:w="1597" w:type="dxa"/>
            <w:shd w:val="clear" w:color="auto" w:fill="auto"/>
            <w:vAlign w:val="bottom"/>
          </w:tcPr>
          <w:p w14:paraId="32FD58B5" w14:textId="77777777" w:rsidR="002C0C95" w:rsidRPr="00554ECC" w:rsidRDefault="002C0C95" w:rsidP="00F118DC">
            <w:pPr>
              <w:jc w:val="center"/>
              <w:rPr>
                <w:rFonts w:ascii="Open Sans" w:hAnsi="Open Sans" w:cs="Open Sans"/>
                <w:color w:val="000000"/>
              </w:rPr>
            </w:pPr>
            <w:r>
              <w:rPr>
                <w:rFonts w:ascii="Open Sans" w:hAnsi="Open Sans" w:cs="Open Sans"/>
                <w:color w:val="000000"/>
                <w:sz w:val="22"/>
                <w:szCs w:val="22"/>
              </w:rPr>
              <w:t xml:space="preserve">       -   € </w:t>
            </w:r>
          </w:p>
        </w:tc>
        <w:tc>
          <w:tcPr>
            <w:tcW w:w="1587" w:type="dxa"/>
            <w:vAlign w:val="bottom"/>
          </w:tcPr>
          <w:p w14:paraId="3C40F39E" w14:textId="77777777" w:rsidR="002C0C95" w:rsidRPr="00554ECC" w:rsidRDefault="002C0C95" w:rsidP="00F118DC">
            <w:pPr>
              <w:jc w:val="center"/>
              <w:rPr>
                <w:rFonts w:ascii="Open Sans" w:hAnsi="Open Sans" w:cs="Open Sans"/>
                <w:color w:val="000000"/>
              </w:rPr>
            </w:pPr>
            <w:r>
              <w:rPr>
                <w:rFonts w:ascii="Open Sans" w:hAnsi="Open Sans" w:cs="Open Sans"/>
                <w:color w:val="000000"/>
                <w:sz w:val="22"/>
                <w:szCs w:val="22"/>
              </w:rPr>
              <w:t xml:space="preserve"> 418 € </w:t>
            </w:r>
          </w:p>
        </w:tc>
      </w:tr>
      <w:tr w:rsidR="002C0C95" w:rsidRPr="00554ECC" w14:paraId="67C57400" w14:textId="77777777" w:rsidTr="00F118DC">
        <w:trPr>
          <w:trHeight w:val="157"/>
        </w:trPr>
        <w:tc>
          <w:tcPr>
            <w:tcW w:w="1550" w:type="dxa"/>
            <w:vAlign w:val="bottom"/>
          </w:tcPr>
          <w:p w14:paraId="7104A043" w14:textId="77777777" w:rsidR="002C0C95" w:rsidRPr="00554ECC" w:rsidRDefault="002C0C95" w:rsidP="00F118DC">
            <w:pPr>
              <w:rPr>
                <w:rFonts w:ascii="Open Sans" w:hAnsi="Open Sans" w:cs="Open Sans"/>
                <w:color w:val="000000"/>
              </w:rPr>
            </w:pPr>
            <w:r>
              <w:rPr>
                <w:rFonts w:ascii="Open Sans" w:hAnsi="Open Sans" w:cs="Open Sans"/>
                <w:color w:val="000000"/>
                <w:sz w:val="22"/>
                <w:szCs w:val="22"/>
              </w:rPr>
              <w:t>Málaga</w:t>
            </w:r>
          </w:p>
        </w:tc>
        <w:tc>
          <w:tcPr>
            <w:tcW w:w="2319" w:type="dxa"/>
            <w:vAlign w:val="bottom"/>
          </w:tcPr>
          <w:p w14:paraId="5985290B" w14:textId="77777777" w:rsidR="002C0C95" w:rsidRDefault="002C0C95" w:rsidP="00F118DC">
            <w:pPr>
              <w:rPr>
                <w:rFonts w:ascii="Open Sans" w:hAnsi="Open Sans" w:cs="Open Sans"/>
                <w:color w:val="000000"/>
                <w:sz w:val="22"/>
                <w:szCs w:val="22"/>
              </w:rPr>
            </w:pPr>
            <w:r>
              <w:rPr>
                <w:rFonts w:ascii="Open Sans" w:hAnsi="Open Sans" w:cs="Open Sans"/>
                <w:color w:val="000000"/>
                <w:sz w:val="22"/>
                <w:szCs w:val="22"/>
              </w:rPr>
              <w:t>Estepona</w:t>
            </w:r>
          </w:p>
        </w:tc>
        <w:tc>
          <w:tcPr>
            <w:tcW w:w="1868" w:type="dxa"/>
            <w:shd w:val="clear" w:color="auto" w:fill="auto"/>
            <w:vAlign w:val="bottom"/>
          </w:tcPr>
          <w:p w14:paraId="64846AD4" w14:textId="77777777" w:rsidR="002C0C95" w:rsidRPr="00554ECC" w:rsidRDefault="002C0C95" w:rsidP="00F118DC">
            <w:pPr>
              <w:jc w:val="center"/>
              <w:rPr>
                <w:rFonts w:ascii="Open Sans" w:hAnsi="Open Sans" w:cs="Open Sans"/>
                <w:color w:val="000000"/>
              </w:rPr>
            </w:pPr>
            <w:r>
              <w:rPr>
                <w:rFonts w:ascii="Open Sans" w:hAnsi="Open Sans" w:cs="Open Sans"/>
                <w:color w:val="000000"/>
                <w:sz w:val="22"/>
                <w:szCs w:val="22"/>
              </w:rPr>
              <w:t xml:space="preserve">   495 € </w:t>
            </w:r>
          </w:p>
        </w:tc>
        <w:tc>
          <w:tcPr>
            <w:tcW w:w="1597" w:type="dxa"/>
            <w:shd w:val="clear" w:color="auto" w:fill="auto"/>
            <w:vAlign w:val="bottom"/>
          </w:tcPr>
          <w:p w14:paraId="47032D11" w14:textId="77777777" w:rsidR="002C0C95" w:rsidRPr="00554ECC" w:rsidRDefault="002C0C95" w:rsidP="00F118DC">
            <w:pPr>
              <w:jc w:val="center"/>
              <w:rPr>
                <w:rFonts w:ascii="Open Sans" w:hAnsi="Open Sans" w:cs="Open Sans"/>
                <w:color w:val="000000"/>
              </w:rPr>
            </w:pPr>
            <w:r>
              <w:rPr>
                <w:rFonts w:ascii="Open Sans" w:hAnsi="Open Sans" w:cs="Open Sans"/>
                <w:color w:val="000000"/>
                <w:sz w:val="22"/>
                <w:szCs w:val="22"/>
              </w:rPr>
              <w:t xml:space="preserve">       -   € </w:t>
            </w:r>
          </w:p>
        </w:tc>
        <w:tc>
          <w:tcPr>
            <w:tcW w:w="1587" w:type="dxa"/>
            <w:vAlign w:val="bottom"/>
          </w:tcPr>
          <w:p w14:paraId="5FE4CE26" w14:textId="77777777" w:rsidR="002C0C95" w:rsidRPr="00554ECC" w:rsidRDefault="002C0C95" w:rsidP="00F118DC">
            <w:pPr>
              <w:jc w:val="center"/>
              <w:rPr>
                <w:rFonts w:ascii="Open Sans" w:hAnsi="Open Sans" w:cs="Open Sans"/>
                <w:color w:val="000000"/>
              </w:rPr>
            </w:pPr>
            <w:r>
              <w:rPr>
                <w:rFonts w:ascii="Open Sans" w:hAnsi="Open Sans" w:cs="Open Sans"/>
                <w:color w:val="000000"/>
                <w:sz w:val="22"/>
                <w:szCs w:val="22"/>
              </w:rPr>
              <w:t xml:space="preserve"> 706 € </w:t>
            </w:r>
          </w:p>
        </w:tc>
      </w:tr>
    </w:tbl>
    <w:p w14:paraId="451314C0" w14:textId="77777777" w:rsidR="002C0C95" w:rsidRDefault="002C0C95" w:rsidP="008E6F4B">
      <w:pPr>
        <w:spacing w:line="276" w:lineRule="auto"/>
        <w:ind w:right="-574"/>
        <w:jc w:val="both"/>
        <w:rPr>
          <w:rFonts w:ascii="Open Sans Light" w:eastAsia="Open Sans Light" w:hAnsi="Open Sans Light" w:cs="Open Sans Light"/>
          <w:b/>
          <w:color w:val="303AB2"/>
        </w:rPr>
      </w:pPr>
    </w:p>
    <w:p w14:paraId="0CAF5131" w14:textId="3CCA720F" w:rsidR="004D7BDF" w:rsidRDefault="004D7BDF" w:rsidP="008E6F4B">
      <w:pPr>
        <w:spacing w:line="276" w:lineRule="auto"/>
        <w:ind w:right="-574"/>
        <w:jc w:val="both"/>
        <w:rPr>
          <w:rFonts w:ascii="Open Sans Light" w:eastAsia="Open Sans Light" w:hAnsi="Open Sans Light" w:cs="Open Sans Light"/>
          <w:b/>
          <w:color w:val="303AB2"/>
        </w:rPr>
      </w:pPr>
    </w:p>
    <w:p w14:paraId="2CDFF910" w14:textId="77777777" w:rsidR="007F4556" w:rsidRDefault="007F4556" w:rsidP="008E6F4B">
      <w:pPr>
        <w:spacing w:line="276" w:lineRule="auto"/>
        <w:ind w:right="-574"/>
        <w:jc w:val="both"/>
        <w:rPr>
          <w:rFonts w:ascii="Open Sans Light" w:eastAsia="Open Sans Light" w:hAnsi="Open Sans Light" w:cs="Open Sans Light"/>
          <w:b/>
          <w:color w:val="303AB2"/>
        </w:rPr>
      </w:pPr>
    </w:p>
    <w:p w14:paraId="0F9F8904" w14:textId="77777777" w:rsidR="007F4556" w:rsidRDefault="007F4556" w:rsidP="008E6F4B">
      <w:pPr>
        <w:spacing w:line="276" w:lineRule="auto"/>
        <w:ind w:right="-574"/>
        <w:jc w:val="both"/>
        <w:rPr>
          <w:rFonts w:ascii="Open Sans Light" w:eastAsia="Open Sans Light" w:hAnsi="Open Sans Light" w:cs="Open Sans Light"/>
          <w:b/>
          <w:color w:val="303AB2"/>
        </w:rPr>
      </w:pPr>
    </w:p>
    <w:p w14:paraId="2EAB86FE" w14:textId="77777777" w:rsidR="007F4556" w:rsidRDefault="007F4556" w:rsidP="008E6F4B">
      <w:pPr>
        <w:spacing w:line="276" w:lineRule="auto"/>
        <w:ind w:right="-574"/>
        <w:jc w:val="both"/>
        <w:rPr>
          <w:rFonts w:ascii="Open Sans Light" w:eastAsia="Open Sans Light" w:hAnsi="Open Sans Light" w:cs="Open Sans Light"/>
          <w:b/>
          <w:color w:val="303AB2"/>
        </w:rPr>
      </w:pPr>
    </w:p>
    <w:p w14:paraId="49C9FA85" w14:textId="77777777" w:rsidR="007F4556" w:rsidRDefault="007F4556" w:rsidP="008E6F4B">
      <w:pPr>
        <w:spacing w:line="276" w:lineRule="auto"/>
        <w:ind w:right="-574"/>
        <w:jc w:val="both"/>
        <w:rPr>
          <w:rFonts w:ascii="Open Sans Light" w:eastAsia="Open Sans Light" w:hAnsi="Open Sans Light" w:cs="Open Sans Light"/>
          <w:b/>
          <w:color w:val="303AB2"/>
        </w:rPr>
      </w:pPr>
    </w:p>
    <w:p w14:paraId="67E0F60B" w14:textId="77777777" w:rsidR="007F4556" w:rsidRDefault="007F4556" w:rsidP="008E6F4B">
      <w:pPr>
        <w:spacing w:line="276" w:lineRule="auto"/>
        <w:ind w:right="-574"/>
        <w:jc w:val="both"/>
        <w:rPr>
          <w:rFonts w:ascii="Open Sans Light" w:eastAsia="Open Sans Light" w:hAnsi="Open Sans Light" w:cs="Open Sans Light"/>
          <w:b/>
          <w:color w:val="303AB2"/>
        </w:rPr>
      </w:pPr>
    </w:p>
    <w:p w14:paraId="4AA8F171" w14:textId="77777777" w:rsidR="007F4556" w:rsidRDefault="007F4556" w:rsidP="008E6F4B">
      <w:pPr>
        <w:spacing w:line="276" w:lineRule="auto"/>
        <w:ind w:right="-574"/>
        <w:jc w:val="both"/>
        <w:rPr>
          <w:rFonts w:ascii="Open Sans Light" w:eastAsia="Open Sans Light" w:hAnsi="Open Sans Light" w:cs="Open Sans Light"/>
          <w:b/>
          <w:color w:val="303AB2"/>
        </w:rPr>
      </w:pPr>
    </w:p>
    <w:p w14:paraId="08489D3F" w14:textId="77777777" w:rsidR="007F4556" w:rsidRDefault="007F4556" w:rsidP="008E6F4B">
      <w:pPr>
        <w:spacing w:line="276" w:lineRule="auto"/>
        <w:ind w:right="-574"/>
        <w:jc w:val="both"/>
        <w:rPr>
          <w:rFonts w:ascii="Open Sans Light" w:eastAsia="Open Sans Light" w:hAnsi="Open Sans Light" w:cs="Open Sans Light"/>
          <w:b/>
          <w:color w:val="303AB2"/>
        </w:rPr>
      </w:pPr>
    </w:p>
    <w:p w14:paraId="7A1CA975" w14:textId="77777777" w:rsidR="007F4556" w:rsidRDefault="007F4556" w:rsidP="008E6F4B">
      <w:pPr>
        <w:spacing w:line="276" w:lineRule="auto"/>
        <w:ind w:right="-574"/>
        <w:jc w:val="both"/>
        <w:rPr>
          <w:rFonts w:ascii="Open Sans Light" w:eastAsia="Open Sans Light" w:hAnsi="Open Sans Light" w:cs="Open Sans Light"/>
          <w:b/>
          <w:color w:val="303AB2"/>
        </w:rPr>
      </w:pPr>
    </w:p>
    <w:p w14:paraId="1A8A6EF9" w14:textId="77777777" w:rsidR="007F4556" w:rsidRDefault="007F4556" w:rsidP="008E6F4B">
      <w:pPr>
        <w:spacing w:line="276" w:lineRule="auto"/>
        <w:ind w:right="-574"/>
        <w:jc w:val="both"/>
        <w:rPr>
          <w:rFonts w:ascii="Open Sans Light" w:eastAsia="Open Sans Light" w:hAnsi="Open Sans Light" w:cs="Open Sans Light"/>
          <w:b/>
          <w:color w:val="303AB2"/>
        </w:rPr>
      </w:pPr>
    </w:p>
    <w:p w14:paraId="3D867833" w14:textId="389DD894" w:rsidR="004D7BDF" w:rsidRDefault="007F4556" w:rsidP="008E6F4B">
      <w:pPr>
        <w:spacing w:line="276" w:lineRule="auto"/>
        <w:ind w:right="-574"/>
        <w:jc w:val="both"/>
        <w:rPr>
          <w:rFonts w:ascii="Open Sans Light" w:eastAsia="Open Sans Light" w:hAnsi="Open Sans Light" w:cs="Open Sans Light"/>
          <w:b/>
          <w:color w:val="303AB2"/>
        </w:rPr>
      </w:pPr>
      <w:r w:rsidRPr="007F4556">
        <w:rPr>
          <w:rFonts w:ascii="Open Sans Light" w:eastAsia="Open Sans Light" w:hAnsi="Open Sans Light" w:cs="Open Sans Light"/>
          <w:b/>
          <w:color w:val="303AB2"/>
        </w:rPr>
        <w:lastRenderedPageBreak/>
        <w:t>El precio del alquiler vuelve a caer en Andalucía, un -2,4% en el tercer trimestre</w:t>
      </w:r>
    </w:p>
    <w:p w14:paraId="51135301" w14:textId="6D643656" w:rsidR="007F4556" w:rsidRDefault="007F4556" w:rsidP="008E6F4B">
      <w:pPr>
        <w:spacing w:line="276" w:lineRule="auto"/>
        <w:ind w:right="-574"/>
        <w:jc w:val="both"/>
        <w:rPr>
          <w:rFonts w:ascii="Open Sans Light" w:eastAsia="Open Sans Light" w:hAnsi="Open Sans Light" w:cs="Open Sans Light"/>
          <w:b/>
          <w:color w:val="303AB2"/>
        </w:rPr>
      </w:pPr>
    </w:p>
    <w:p w14:paraId="38856D70" w14:textId="4B10A161" w:rsidR="007F4556" w:rsidRDefault="007F4556" w:rsidP="008E6F4B">
      <w:pPr>
        <w:spacing w:line="276" w:lineRule="auto"/>
        <w:ind w:right="-574"/>
        <w:jc w:val="both"/>
        <w:rPr>
          <w:rStyle w:val="Hipervnculo"/>
          <w:rFonts w:ascii="Open Sans" w:hAnsi="Open Sans" w:cs="Open Sans"/>
          <w:b/>
          <w:bCs/>
        </w:rPr>
      </w:pPr>
      <w:r>
        <w:rPr>
          <w:rFonts w:ascii="Open Sans" w:hAnsi="Open Sans" w:cs="Open Sans"/>
          <w:color w:val="000000"/>
        </w:rPr>
        <w:t xml:space="preserve">El precio de la vivienda en alquiler en </w:t>
      </w:r>
      <w:r w:rsidRPr="00E0604A">
        <w:rPr>
          <w:rFonts w:ascii="Open Sans" w:hAnsi="Open Sans" w:cs="Open Sans"/>
          <w:color w:val="000000"/>
        </w:rPr>
        <w:t>Andalucía</w:t>
      </w:r>
      <w:r>
        <w:rPr>
          <w:rFonts w:ascii="Open Sans" w:hAnsi="Open Sans" w:cs="Open Sans"/>
          <w:color w:val="000000"/>
        </w:rPr>
        <w:t xml:space="preserve"> ha experimentado un descenso trimestral del -2,4% y un interanual de un -2,7% en el tercer trimestre de 2021, </w:t>
      </w:r>
      <w:r w:rsidRPr="00753088">
        <w:rPr>
          <w:rFonts w:ascii="Open Sans" w:hAnsi="Open Sans" w:cs="Open Sans"/>
          <w:color w:val="000000"/>
        </w:rPr>
        <w:t>según los</w:t>
      </w:r>
      <w:r>
        <w:rPr>
          <w:rFonts w:ascii="Open Sans" w:hAnsi="Open Sans" w:cs="Open Sans"/>
          <w:color w:val="000000"/>
        </w:rPr>
        <w:t xml:space="preserve"> datos del Índice Inmobiliario </w:t>
      </w:r>
      <w:hyperlink r:id="rId22" w:history="1">
        <w:r w:rsidRPr="00B10769">
          <w:rPr>
            <w:rStyle w:val="Hipervnculo"/>
            <w:rFonts w:ascii="Open Sans" w:hAnsi="Open Sans" w:cs="Open Sans"/>
            <w:b/>
            <w:bCs/>
          </w:rPr>
          <w:t>Fotocasa</w:t>
        </w:r>
      </w:hyperlink>
      <w:r>
        <w:rPr>
          <w:rStyle w:val="Hipervnculo"/>
          <w:rFonts w:ascii="Open Sans" w:hAnsi="Open Sans" w:cs="Open Sans"/>
          <w:b/>
          <w:bCs/>
        </w:rPr>
        <w:t>.</w:t>
      </w:r>
    </w:p>
    <w:p w14:paraId="6E16A62D" w14:textId="75F206A1" w:rsidR="007F4556" w:rsidRDefault="007F4556" w:rsidP="008E6F4B">
      <w:pPr>
        <w:spacing w:line="276" w:lineRule="auto"/>
        <w:ind w:right="-574"/>
        <w:jc w:val="both"/>
        <w:rPr>
          <w:rStyle w:val="Hipervnculo"/>
          <w:rFonts w:ascii="Open Sans" w:hAnsi="Open Sans" w:cs="Open Sans"/>
          <w:b/>
          <w:bCs/>
        </w:rPr>
      </w:pPr>
    </w:p>
    <w:p w14:paraId="503CCA22" w14:textId="37AA4333" w:rsidR="007F4556" w:rsidRDefault="007F4556" w:rsidP="007F4556">
      <w:pPr>
        <w:spacing w:line="276" w:lineRule="auto"/>
        <w:ind w:right="-574"/>
        <w:jc w:val="center"/>
        <w:rPr>
          <w:rFonts w:ascii="Open Sans Light" w:eastAsia="Open Sans Light" w:hAnsi="Open Sans Light" w:cs="Open Sans Light"/>
          <w:b/>
          <w:color w:val="303AB2"/>
        </w:rPr>
      </w:pPr>
      <w:r>
        <w:rPr>
          <w:noProof/>
        </w:rPr>
        <w:drawing>
          <wp:inline distT="0" distB="0" distL="0" distR="0" wp14:anchorId="19E0C6FC" wp14:editId="328EEEF1">
            <wp:extent cx="4486275" cy="2275118"/>
            <wp:effectExtent l="0" t="0" r="0" b="0"/>
            <wp:docPr id="4" name="Imagen 4"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en cascada&#10;&#10;Descripción generada automáticamente"/>
                    <pic:cNvPicPr/>
                  </pic:nvPicPr>
                  <pic:blipFill>
                    <a:blip r:embed="rId23"/>
                    <a:stretch>
                      <a:fillRect/>
                    </a:stretch>
                  </pic:blipFill>
                  <pic:spPr>
                    <a:xfrm>
                      <a:off x="0" y="0"/>
                      <a:ext cx="4502531" cy="2283362"/>
                    </a:xfrm>
                    <a:prstGeom prst="rect">
                      <a:avLst/>
                    </a:prstGeom>
                  </pic:spPr>
                </pic:pic>
              </a:graphicData>
            </a:graphic>
          </wp:inline>
        </w:drawing>
      </w:r>
    </w:p>
    <w:p w14:paraId="0A5BE88E" w14:textId="77777777" w:rsidR="007F4556" w:rsidRDefault="007F4556" w:rsidP="007F4556">
      <w:pPr>
        <w:pStyle w:val="NormalWeb"/>
        <w:shd w:val="clear" w:color="auto" w:fill="FFFFFF"/>
        <w:spacing w:after="225" w:line="276" w:lineRule="auto"/>
        <w:ind w:right="-574"/>
        <w:jc w:val="both"/>
        <w:rPr>
          <w:rFonts w:ascii="Open Sans Light" w:hAnsi="Open Sans Light" w:cs="Open Sans Light"/>
          <w:b/>
          <w:iCs/>
          <w:color w:val="303AB2"/>
          <w:szCs w:val="20"/>
        </w:rPr>
      </w:pPr>
    </w:p>
    <w:p w14:paraId="2A16656F" w14:textId="30716C7E" w:rsidR="007F4556" w:rsidRPr="007F4556" w:rsidRDefault="007F4556" w:rsidP="007F4556">
      <w:pPr>
        <w:pStyle w:val="NormalWeb"/>
        <w:shd w:val="clear" w:color="auto" w:fill="FFFFFF"/>
        <w:spacing w:after="225" w:line="276" w:lineRule="auto"/>
        <w:ind w:right="-574"/>
        <w:jc w:val="both"/>
        <w:rPr>
          <w:rFonts w:ascii="Open Sans Light" w:hAnsi="Open Sans Light" w:cs="Open Sans Light"/>
          <w:b/>
          <w:iCs/>
          <w:color w:val="303AB2"/>
          <w:szCs w:val="20"/>
        </w:rPr>
      </w:pPr>
      <w:r w:rsidRPr="007F4556">
        <w:rPr>
          <w:rFonts w:ascii="Open Sans Light" w:hAnsi="Open Sans Light" w:cs="Open Sans Light"/>
          <w:b/>
          <w:iCs/>
          <w:color w:val="303AB2"/>
          <w:szCs w:val="20"/>
        </w:rPr>
        <w:t>Provincias</w:t>
      </w:r>
    </w:p>
    <w:p w14:paraId="383E2EAA" w14:textId="77777777" w:rsidR="007F4556" w:rsidRDefault="007F4556" w:rsidP="007F4556">
      <w:pPr>
        <w:spacing w:line="276" w:lineRule="auto"/>
        <w:ind w:right="-574"/>
        <w:jc w:val="both"/>
        <w:rPr>
          <w:rFonts w:ascii="Open Sans" w:hAnsi="Open Sans" w:cs="Open Sans"/>
          <w:color w:val="000000"/>
        </w:rPr>
      </w:pPr>
      <w:r>
        <w:rPr>
          <w:rFonts w:ascii="Open Sans" w:hAnsi="Open Sans" w:cs="Open Sans"/>
          <w:color w:val="000000"/>
        </w:rPr>
        <w:t xml:space="preserve">El tercer trimestre de 2021 se presenta con siete caídas trimestrales y cuatro interanuales. Las siete provincias en las que ha descendido el precio de la vivienda trimestral en este periodo son: </w:t>
      </w:r>
      <w:r w:rsidRPr="00877024">
        <w:rPr>
          <w:rFonts w:ascii="Open Sans" w:hAnsi="Open Sans" w:cs="Open Sans"/>
          <w:color w:val="000000"/>
        </w:rPr>
        <w:t>Huelva</w:t>
      </w:r>
      <w:r>
        <w:rPr>
          <w:rFonts w:ascii="Open Sans" w:hAnsi="Open Sans" w:cs="Open Sans"/>
          <w:color w:val="000000"/>
        </w:rPr>
        <w:t xml:space="preserve"> (</w:t>
      </w:r>
      <w:r w:rsidRPr="00877024">
        <w:rPr>
          <w:rFonts w:ascii="Open Sans" w:hAnsi="Open Sans" w:cs="Open Sans"/>
          <w:color w:val="000000"/>
        </w:rPr>
        <w:t>-10,5%</w:t>
      </w:r>
      <w:r>
        <w:rPr>
          <w:rFonts w:ascii="Open Sans" w:hAnsi="Open Sans" w:cs="Open Sans"/>
          <w:color w:val="000000"/>
        </w:rPr>
        <w:t xml:space="preserve">), </w:t>
      </w:r>
      <w:r w:rsidRPr="00877024">
        <w:rPr>
          <w:rFonts w:ascii="Open Sans" w:hAnsi="Open Sans" w:cs="Open Sans"/>
          <w:color w:val="000000"/>
        </w:rPr>
        <w:t>Cádiz</w:t>
      </w:r>
      <w:r>
        <w:rPr>
          <w:rFonts w:ascii="Open Sans" w:hAnsi="Open Sans" w:cs="Open Sans"/>
          <w:color w:val="000000"/>
        </w:rPr>
        <w:t xml:space="preserve"> (</w:t>
      </w:r>
      <w:r w:rsidRPr="00877024">
        <w:rPr>
          <w:rFonts w:ascii="Open Sans" w:hAnsi="Open Sans" w:cs="Open Sans"/>
          <w:color w:val="000000"/>
        </w:rPr>
        <w:t>-8,3%</w:t>
      </w:r>
      <w:r>
        <w:rPr>
          <w:rFonts w:ascii="Open Sans" w:hAnsi="Open Sans" w:cs="Open Sans"/>
          <w:color w:val="000000"/>
        </w:rPr>
        <w:t xml:space="preserve">), </w:t>
      </w:r>
      <w:r w:rsidRPr="00877024">
        <w:rPr>
          <w:rFonts w:ascii="Open Sans" w:hAnsi="Open Sans" w:cs="Open Sans"/>
          <w:color w:val="000000"/>
        </w:rPr>
        <w:t>Almería</w:t>
      </w:r>
      <w:r>
        <w:rPr>
          <w:rFonts w:ascii="Open Sans" w:hAnsi="Open Sans" w:cs="Open Sans"/>
          <w:color w:val="000000"/>
        </w:rPr>
        <w:t xml:space="preserve"> (</w:t>
      </w:r>
      <w:r w:rsidRPr="00877024">
        <w:rPr>
          <w:rFonts w:ascii="Open Sans" w:hAnsi="Open Sans" w:cs="Open Sans"/>
          <w:color w:val="000000"/>
        </w:rPr>
        <w:t>-5,8%</w:t>
      </w:r>
      <w:r>
        <w:rPr>
          <w:rFonts w:ascii="Open Sans" w:hAnsi="Open Sans" w:cs="Open Sans"/>
          <w:color w:val="000000"/>
        </w:rPr>
        <w:t xml:space="preserve">), </w:t>
      </w:r>
      <w:r w:rsidRPr="00877024">
        <w:rPr>
          <w:rFonts w:ascii="Open Sans" w:hAnsi="Open Sans" w:cs="Open Sans"/>
          <w:color w:val="000000"/>
        </w:rPr>
        <w:t>Sevilla</w:t>
      </w:r>
      <w:r>
        <w:rPr>
          <w:rFonts w:ascii="Open Sans" w:hAnsi="Open Sans" w:cs="Open Sans"/>
          <w:color w:val="000000"/>
        </w:rPr>
        <w:t xml:space="preserve"> (</w:t>
      </w:r>
      <w:r w:rsidRPr="00877024">
        <w:rPr>
          <w:rFonts w:ascii="Open Sans" w:hAnsi="Open Sans" w:cs="Open Sans"/>
          <w:color w:val="000000"/>
        </w:rPr>
        <w:t>-4,1%</w:t>
      </w:r>
      <w:r>
        <w:rPr>
          <w:rFonts w:ascii="Open Sans" w:hAnsi="Open Sans" w:cs="Open Sans"/>
          <w:color w:val="000000"/>
        </w:rPr>
        <w:t>), Jaén (</w:t>
      </w:r>
      <w:r w:rsidRPr="00877024">
        <w:rPr>
          <w:rFonts w:ascii="Open Sans" w:hAnsi="Open Sans" w:cs="Open Sans"/>
          <w:color w:val="000000"/>
        </w:rPr>
        <w:t>-</w:t>
      </w:r>
      <w:r>
        <w:rPr>
          <w:rFonts w:ascii="Open Sans" w:hAnsi="Open Sans" w:cs="Open Sans"/>
          <w:color w:val="000000"/>
        </w:rPr>
        <w:t>3</w:t>
      </w:r>
      <w:r w:rsidRPr="00877024">
        <w:rPr>
          <w:rFonts w:ascii="Open Sans" w:hAnsi="Open Sans" w:cs="Open Sans"/>
          <w:color w:val="000000"/>
        </w:rPr>
        <w:t>,1%</w:t>
      </w:r>
      <w:r>
        <w:rPr>
          <w:rFonts w:ascii="Open Sans" w:hAnsi="Open Sans" w:cs="Open Sans"/>
          <w:color w:val="000000"/>
        </w:rPr>
        <w:t>), Córdoba (</w:t>
      </w:r>
      <w:r w:rsidRPr="00877024">
        <w:rPr>
          <w:rFonts w:ascii="Open Sans" w:hAnsi="Open Sans" w:cs="Open Sans"/>
          <w:color w:val="000000"/>
        </w:rPr>
        <w:t>-</w:t>
      </w:r>
      <w:r>
        <w:rPr>
          <w:rFonts w:ascii="Open Sans" w:hAnsi="Open Sans" w:cs="Open Sans"/>
          <w:color w:val="000000"/>
        </w:rPr>
        <w:t>1,9</w:t>
      </w:r>
      <w:r w:rsidRPr="00877024">
        <w:rPr>
          <w:rFonts w:ascii="Open Sans" w:hAnsi="Open Sans" w:cs="Open Sans"/>
          <w:color w:val="000000"/>
        </w:rPr>
        <w:t>%</w:t>
      </w:r>
      <w:r>
        <w:rPr>
          <w:rFonts w:ascii="Open Sans" w:hAnsi="Open Sans" w:cs="Open Sans"/>
          <w:color w:val="000000"/>
        </w:rPr>
        <w:t>), y Granada (</w:t>
      </w:r>
      <w:r w:rsidRPr="00877024">
        <w:rPr>
          <w:rFonts w:ascii="Open Sans" w:hAnsi="Open Sans" w:cs="Open Sans"/>
          <w:color w:val="000000"/>
        </w:rPr>
        <w:t>-</w:t>
      </w:r>
      <w:r>
        <w:rPr>
          <w:rFonts w:ascii="Open Sans" w:hAnsi="Open Sans" w:cs="Open Sans"/>
          <w:color w:val="000000"/>
        </w:rPr>
        <w:t>1,8</w:t>
      </w:r>
      <w:r w:rsidRPr="00877024">
        <w:rPr>
          <w:rFonts w:ascii="Open Sans" w:hAnsi="Open Sans" w:cs="Open Sans"/>
          <w:color w:val="000000"/>
        </w:rPr>
        <w:t>%</w:t>
      </w:r>
      <w:r>
        <w:rPr>
          <w:rFonts w:ascii="Open Sans" w:hAnsi="Open Sans" w:cs="Open Sans"/>
          <w:color w:val="000000"/>
        </w:rPr>
        <w:t xml:space="preserve">). Por otro lado, la provincia en donde el precio del alquiler trimestral sube es Málaga con un </w:t>
      </w:r>
      <w:r w:rsidRPr="00877024">
        <w:rPr>
          <w:rFonts w:ascii="Open Sans" w:hAnsi="Open Sans" w:cs="Open Sans"/>
          <w:color w:val="000000"/>
        </w:rPr>
        <w:t>1</w:t>
      </w:r>
      <w:r>
        <w:rPr>
          <w:rFonts w:ascii="Open Sans" w:hAnsi="Open Sans" w:cs="Open Sans"/>
          <w:color w:val="000000"/>
        </w:rPr>
        <w:t>,9</w:t>
      </w:r>
      <w:r w:rsidRPr="00877024">
        <w:rPr>
          <w:rFonts w:ascii="Open Sans" w:hAnsi="Open Sans" w:cs="Open Sans"/>
          <w:color w:val="000000"/>
        </w:rPr>
        <w:t>%</w:t>
      </w:r>
      <w:r>
        <w:rPr>
          <w:rFonts w:ascii="Open Sans" w:hAnsi="Open Sans" w:cs="Open Sans"/>
          <w:color w:val="000000"/>
        </w:rPr>
        <w:t>.</w:t>
      </w:r>
    </w:p>
    <w:p w14:paraId="4490F358" w14:textId="77777777" w:rsidR="007F4556" w:rsidRDefault="007F4556" w:rsidP="007F4556">
      <w:pPr>
        <w:spacing w:line="276" w:lineRule="auto"/>
        <w:ind w:right="-574"/>
        <w:jc w:val="both"/>
      </w:pPr>
    </w:p>
    <w:p w14:paraId="07D44AAB" w14:textId="77777777" w:rsidR="007F4556" w:rsidRDefault="007F4556" w:rsidP="007F4556">
      <w:pPr>
        <w:spacing w:line="276" w:lineRule="auto"/>
        <w:ind w:right="-574"/>
        <w:jc w:val="both"/>
        <w:rPr>
          <w:rFonts w:ascii="Open Sans" w:hAnsi="Open Sans" w:cs="Open Sans"/>
          <w:color w:val="000000"/>
        </w:rPr>
      </w:pPr>
      <w:r w:rsidRPr="003501F5">
        <w:rPr>
          <w:rFonts w:ascii="Open Sans" w:hAnsi="Open Sans" w:cs="Open Sans"/>
          <w:color w:val="000000"/>
        </w:rPr>
        <w:t>En cuanto a los precios de las viviendas</w:t>
      </w:r>
      <w:r>
        <w:rPr>
          <w:rFonts w:ascii="Open Sans" w:hAnsi="Open Sans" w:cs="Open Sans"/>
          <w:color w:val="000000"/>
        </w:rPr>
        <w:t xml:space="preserve"> por provincias</w:t>
      </w:r>
      <w:r w:rsidRPr="003501F5">
        <w:rPr>
          <w:rFonts w:ascii="Open Sans" w:hAnsi="Open Sans" w:cs="Open Sans"/>
          <w:color w:val="000000"/>
        </w:rPr>
        <w:t xml:space="preserve">, </w:t>
      </w:r>
      <w:r w:rsidRPr="00A03A33">
        <w:rPr>
          <w:rFonts w:ascii="Open Sans" w:hAnsi="Open Sans" w:cs="Open Sans"/>
          <w:color w:val="000000"/>
        </w:rPr>
        <w:t>Málaga</w:t>
      </w:r>
      <w:r>
        <w:rPr>
          <w:rFonts w:ascii="Open Sans" w:hAnsi="Open Sans" w:cs="Open Sans"/>
          <w:color w:val="000000"/>
        </w:rPr>
        <w:t xml:space="preserve"> se sitúa en 9,72 €/m</w:t>
      </w:r>
      <w:r w:rsidRPr="004D1018">
        <w:rPr>
          <w:rFonts w:ascii="Open Sans" w:hAnsi="Open Sans" w:cs="Open Sans"/>
          <w:color w:val="000000"/>
          <w:vertAlign w:val="superscript"/>
        </w:rPr>
        <w:t>2</w:t>
      </w:r>
      <w:r>
        <w:rPr>
          <w:rFonts w:ascii="Open Sans" w:hAnsi="Open Sans" w:cs="Open Sans"/>
          <w:color w:val="000000"/>
        </w:rPr>
        <w:t xml:space="preserve"> al mes y </w:t>
      </w:r>
      <w:r w:rsidRPr="00A03A33">
        <w:rPr>
          <w:rFonts w:ascii="Open Sans" w:hAnsi="Open Sans" w:cs="Open Sans"/>
          <w:color w:val="000000"/>
        </w:rPr>
        <w:t>Sevilla</w:t>
      </w:r>
      <w:r>
        <w:rPr>
          <w:rFonts w:ascii="Open Sans" w:hAnsi="Open Sans" w:cs="Open Sans"/>
          <w:color w:val="000000"/>
        </w:rPr>
        <w:t xml:space="preserve"> en 9,13 €/m</w:t>
      </w:r>
      <w:r w:rsidRPr="004D1018">
        <w:rPr>
          <w:rFonts w:ascii="Open Sans" w:hAnsi="Open Sans" w:cs="Open Sans"/>
          <w:color w:val="000000"/>
          <w:vertAlign w:val="superscript"/>
        </w:rPr>
        <w:t>2</w:t>
      </w:r>
      <w:r>
        <w:rPr>
          <w:rFonts w:ascii="Open Sans" w:hAnsi="Open Sans" w:cs="Open Sans"/>
          <w:color w:val="000000"/>
        </w:rPr>
        <w:t xml:space="preserve"> al mes. A estas provincias le siguen,</w:t>
      </w:r>
      <w:r w:rsidRPr="00A03A33">
        <w:rPr>
          <w:rFonts w:ascii="Open Sans" w:hAnsi="Open Sans" w:cs="Open Sans"/>
          <w:color w:val="000000"/>
        </w:rPr>
        <w:t xml:space="preserve"> Huelva</w:t>
      </w:r>
      <w:r>
        <w:rPr>
          <w:rFonts w:ascii="Open Sans" w:hAnsi="Open Sans" w:cs="Open Sans"/>
          <w:color w:val="000000"/>
        </w:rPr>
        <w:t xml:space="preserve"> con</w:t>
      </w:r>
      <w:r w:rsidRPr="00A03A33">
        <w:rPr>
          <w:rFonts w:ascii="Open Sans" w:hAnsi="Open Sans" w:cs="Open Sans"/>
          <w:color w:val="000000"/>
        </w:rPr>
        <w:t xml:space="preserve"> 8,71 </w:t>
      </w:r>
      <w:r>
        <w:rPr>
          <w:rFonts w:ascii="Open Sans" w:hAnsi="Open Sans" w:cs="Open Sans"/>
          <w:color w:val="000000"/>
        </w:rPr>
        <w:t>€/m</w:t>
      </w:r>
      <w:r w:rsidRPr="004D1018">
        <w:rPr>
          <w:rFonts w:ascii="Open Sans" w:hAnsi="Open Sans" w:cs="Open Sans"/>
          <w:color w:val="000000"/>
          <w:vertAlign w:val="superscript"/>
        </w:rPr>
        <w:t>2</w:t>
      </w:r>
      <w:r>
        <w:rPr>
          <w:rFonts w:ascii="Open Sans" w:hAnsi="Open Sans" w:cs="Open Sans"/>
          <w:color w:val="000000"/>
        </w:rPr>
        <w:t xml:space="preserve"> al mes, </w:t>
      </w:r>
      <w:r w:rsidRPr="00A03A33">
        <w:rPr>
          <w:rFonts w:ascii="Open Sans" w:hAnsi="Open Sans" w:cs="Open Sans"/>
          <w:color w:val="000000"/>
        </w:rPr>
        <w:t>Cádiz</w:t>
      </w:r>
      <w:r>
        <w:rPr>
          <w:rFonts w:ascii="Open Sans" w:hAnsi="Open Sans" w:cs="Open Sans"/>
          <w:color w:val="000000"/>
        </w:rPr>
        <w:t xml:space="preserve"> con</w:t>
      </w:r>
      <w:r w:rsidRPr="00A03A33">
        <w:rPr>
          <w:rFonts w:ascii="Open Sans" w:hAnsi="Open Sans" w:cs="Open Sans"/>
          <w:color w:val="000000"/>
        </w:rPr>
        <w:t xml:space="preserve"> 7,85 </w:t>
      </w:r>
      <w:r>
        <w:rPr>
          <w:rFonts w:ascii="Open Sans" w:hAnsi="Open Sans" w:cs="Open Sans"/>
          <w:color w:val="000000"/>
        </w:rPr>
        <w:t>€/m</w:t>
      </w:r>
      <w:r w:rsidRPr="004D1018">
        <w:rPr>
          <w:rFonts w:ascii="Open Sans" w:hAnsi="Open Sans" w:cs="Open Sans"/>
          <w:color w:val="000000"/>
          <w:vertAlign w:val="superscript"/>
        </w:rPr>
        <w:t>2</w:t>
      </w:r>
      <w:r>
        <w:rPr>
          <w:rFonts w:ascii="Open Sans" w:hAnsi="Open Sans" w:cs="Open Sans"/>
          <w:color w:val="000000"/>
        </w:rPr>
        <w:t xml:space="preserve"> al mes,</w:t>
      </w:r>
      <w:r w:rsidRPr="00A03A33">
        <w:rPr>
          <w:rFonts w:ascii="Open Sans" w:hAnsi="Open Sans" w:cs="Open Sans"/>
          <w:color w:val="000000"/>
        </w:rPr>
        <w:t xml:space="preserve"> Granada </w:t>
      </w:r>
      <w:r>
        <w:rPr>
          <w:rFonts w:ascii="Open Sans" w:hAnsi="Open Sans" w:cs="Open Sans"/>
          <w:color w:val="000000"/>
        </w:rPr>
        <w:t>con</w:t>
      </w:r>
      <w:r w:rsidRPr="00A03A33">
        <w:rPr>
          <w:rFonts w:ascii="Open Sans" w:hAnsi="Open Sans" w:cs="Open Sans"/>
          <w:color w:val="000000"/>
        </w:rPr>
        <w:t xml:space="preserve"> 7,69 </w:t>
      </w:r>
      <w:r>
        <w:rPr>
          <w:rFonts w:ascii="Open Sans" w:hAnsi="Open Sans" w:cs="Open Sans"/>
          <w:color w:val="000000"/>
        </w:rPr>
        <w:t>€/m</w:t>
      </w:r>
      <w:r w:rsidRPr="004D1018">
        <w:rPr>
          <w:rFonts w:ascii="Open Sans" w:hAnsi="Open Sans" w:cs="Open Sans"/>
          <w:color w:val="000000"/>
          <w:vertAlign w:val="superscript"/>
        </w:rPr>
        <w:t>2</w:t>
      </w:r>
      <w:r>
        <w:rPr>
          <w:rFonts w:ascii="Open Sans" w:hAnsi="Open Sans" w:cs="Open Sans"/>
          <w:color w:val="000000"/>
        </w:rPr>
        <w:t xml:space="preserve"> al mes,</w:t>
      </w:r>
      <w:r w:rsidRPr="00A03A33">
        <w:rPr>
          <w:rFonts w:ascii="Open Sans" w:hAnsi="Open Sans" w:cs="Open Sans"/>
          <w:color w:val="000000"/>
        </w:rPr>
        <w:t xml:space="preserve"> Córdoba </w:t>
      </w:r>
      <w:r>
        <w:rPr>
          <w:rFonts w:ascii="Open Sans" w:hAnsi="Open Sans" w:cs="Open Sans"/>
          <w:color w:val="000000"/>
        </w:rPr>
        <w:t>con</w:t>
      </w:r>
      <w:r w:rsidRPr="00A03A33">
        <w:rPr>
          <w:rFonts w:ascii="Open Sans" w:hAnsi="Open Sans" w:cs="Open Sans"/>
          <w:color w:val="000000"/>
        </w:rPr>
        <w:t xml:space="preserve"> 7,06 </w:t>
      </w:r>
      <w:r>
        <w:rPr>
          <w:rFonts w:ascii="Open Sans" w:hAnsi="Open Sans" w:cs="Open Sans"/>
          <w:color w:val="000000"/>
        </w:rPr>
        <w:t>€/m</w:t>
      </w:r>
      <w:r w:rsidRPr="004D1018">
        <w:rPr>
          <w:rFonts w:ascii="Open Sans" w:hAnsi="Open Sans" w:cs="Open Sans"/>
          <w:color w:val="000000"/>
          <w:vertAlign w:val="superscript"/>
        </w:rPr>
        <w:t>2</w:t>
      </w:r>
      <w:r>
        <w:rPr>
          <w:rFonts w:ascii="Open Sans" w:hAnsi="Open Sans" w:cs="Open Sans"/>
          <w:color w:val="000000"/>
        </w:rPr>
        <w:t xml:space="preserve"> al mes,</w:t>
      </w:r>
      <w:r w:rsidRPr="00A03A33">
        <w:rPr>
          <w:rFonts w:ascii="Open Sans" w:hAnsi="Open Sans" w:cs="Open Sans"/>
          <w:color w:val="000000"/>
        </w:rPr>
        <w:t xml:space="preserve"> Almería </w:t>
      </w:r>
      <w:r>
        <w:rPr>
          <w:rFonts w:ascii="Open Sans" w:hAnsi="Open Sans" w:cs="Open Sans"/>
          <w:color w:val="000000"/>
        </w:rPr>
        <w:t>con</w:t>
      </w:r>
      <w:r w:rsidRPr="00A03A33">
        <w:rPr>
          <w:rFonts w:ascii="Open Sans" w:hAnsi="Open Sans" w:cs="Open Sans"/>
          <w:color w:val="000000"/>
        </w:rPr>
        <w:t xml:space="preserve"> 7,00 </w:t>
      </w:r>
      <w:r>
        <w:rPr>
          <w:rFonts w:ascii="Open Sans" w:hAnsi="Open Sans" w:cs="Open Sans"/>
          <w:color w:val="000000"/>
        </w:rPr>
        <w:t>€/m</w:t>
      </w:r>
      <w:r w:rsidRPr="004D1018">
        <w:rPr>
          <w:rFonts w:ascii="Open Sans" w:hAnsi="Open Sans" w:cs="Open Sans"/>
          <w:color w:val="000000"/>
          <w:vertAlign w:val="superscript"/>
        </w:rPr>
        <w:t>2</w:t>
      </w:r>
      <w:r>
        <w:rPr>
          <w:rFonts w:ascii="Open Sans" w:hAnsi="Open Sans" w:cs="Open Sans"/>
          <w:color w:val="000000"/>
        </w:rPr>
        <w:t xml:space="preserve"> al mes</w:t>
      </w:r>
      <w:r w:rsidRPr="00A03A33">
        <w:rPr>
          <w:rFonts w:ascii="Open Sans" w:hAnsi="Open Sans" w:cs="Open Sans"/>
          <w:color w:val="000000"/>
        </w:rPr>
        <w:t xml:space="preserve"> </w:t>
      </w:r>
      <w:r>
        <w:rPr>
          <w:rFonts w:ascii="Open Sans" w:hAnsi="Open Sans" w:cs="Open Sans"/>
          <w:color w:val="000000"/>
        </w:rPr>
        <w:t xml:space="preserve">y </w:t>
      </w:r>
      <w:r w:rsidRPr="00A03A33">
        <w:rPr>
          <w:rFonts w:ascii="Open Sans" w:hAnsi="Open Sans" w:cs="Open Sans"/>
          <w:color w:val="000000"/>
        </w:rPr>
        <w:t xml:space="preserve">Jaén </w:t>
      </w:r>
      <w:r>
        <w:rPr>
          <w:rFonts w:ascii="Open Sans" w:hAnsi="Open Sans" w:cs="Open Sans"/>
          <w:color w:val="000000"/>
        </w:rPr>
        <w:t>con</w:t>
      </w:r>
      <w:r w:rsidRPr="00A03A33">
        <w:rPr>
          <w:rFonts w:ascii="Open Sans" w:hAnsi="Open Sans" w:cs="Open Sans"/>
          <w:color w:val="000000"/>
        </w:rPr>
        <w:t xml:space="preserve"> 4,99 </w:t>
      </w:r>
      <w:r>
        <w:rPr>
          <w:rFonts w:ascii="Open Sans" w:hAnsi="Open Sans" w:cs="Open Sans"/>
          <w:color w:val="000000"/>
        </w:rPr>
        <w:t>€/m</w:t>
      </w:r>
      <w:r w:rsidRPr="004D1018">
        <w:rPr>
          <w:rFonts w:ascii="Open Sans" w:hAnsi="Open Sans" w:cs="Open Sans"/>
          <w:color w:val="000000"/>
          <w:vertAlign w:val="superscript"/>
        </w:rPr>
        <w:t>2</w:t>
      </w:r>
      <w:r>
        <w:rPr>
          <w:rFonts w:ascii="Open Sans" w:hAnsi="Open Sans" w:cs="Open Sans"/>
          <w:color w:val="000000"/>
        </w:rPr>
        <w:t xml:space="preserve"> al mes.</w:t>
      </w:r>
    </w:p>
    <w:p w14:paraId="76413179" w14:textId="77777777" w:rsidR="007F4556" w:rsidRDefault="007F4556" w:rsidP="007F4556">
      <w:pPr>
        <w:spacing w:line="276" w:lineRule="auto"/>
        <w:ind w:right="-574"/>
        <w:jc w:val="both"/>
        <w:rPr>
          <w:rFonts w:ascii="Open Sans" w:hAnsi="Open Sans" w:cs="Open Sans"/>
          <w:color w:val="000000"/>
        </w:rPr>
      </w:pPr>
    </w:p>
    <w:p w14:paraId="3B0B744F" w14:textId="02F54DB5" w:rsidR="007F4556" w:rsidRDefault="007F4556" w:rsidP="007F4556">
      <w:pPr>
        <w:spacing w:line="276" w:lineRule="auto"/>
        <w:ind w:right="-574"/>
        <w:jc w:val="both"/>
      </w:pPr>
    </w:p>
    <w:p w14:paraId="17B2BC1F" w14:textId="3EE7C0EA" w:rsidR="007F4556" w:rsidRDefault="007F4556" w:rsidP="007F4556">
      <w:pPr>
        <w:spacing w:line="276" w:lineRule="auto"/>
        <w:ind w:right="-574"/>
        <w:jc w:val="both"/>
      </w:pPr>
    </w:p>
    <w:p w14:paraId="5BE09EB5" w14:textId="53356D74" w:rsidR="007F4556" w:rsidRDefault="007F4556" w:rsidP="007F4556">
      <w:pPr>
        <w:spacing w:line="276" w:lineRule="auto"/>
        <w:ind w:right="-574"/>
        <w:jc w:val="both"/>
      </w:pPr>
    </w:p>
    <w:p w14:paraId="43B4E3F7" w14:textId="77777777" w:rsidR="007F4556" w:rsidRDefault="007F4556" w:rsidP="007F4556">
      <w:pPr>
        <w:spacing w:line="276" w:lineRule="auto"/>
        <w:ind w:right="-574"/>
        <w:jc w:val="both"/>
      </w:pPr>
    </w:p>
    <w:p w14:paraId="4179C434" w14:textId="77777777" w:rsidR="007F4556" w:rsidRPr="007F4556" w:rsidRDefault="007F4556" w:rsidP="007F4556">
      <w:pPr>
        <w:spacing w:line="276" w:lineRule="auto"/>
        <w:ind w:right="-574"/>
        <w:jc w:val="center"/>
        <w:rPr>
          <w:rFonts w:ascii="Open Sans Light" w:hAnsi="Open Sans Light" w:cs="Open Sans Light"/>
          <w:b/>
          <w:iCs/>
          <w:color w:val="303AB2"/>
          <w:szCs w:val="20"/>
        </w:rPr>
      </w:pPr>
      <w:r w:rsidRPr="007F4556">
        <w:rPr>
          <w:rFonts w:ascii="Open Sans Light" w:hAnsi="Open Sans Light" w:cs="Open Sans Light"/>
          <w:b/>
          <w:iCs/>
          <w:color w:val="303AB2"/>
          <w:szCs w:val="20"/>
        </w:rPr>
        <w:lastRenderedPageBreak/>
        <w:t>Variación trimestral en el tercer trimestre por provincia</w:t>
      </w:r>
    </w:p>
    <w:p w14:paraId="7768DFFF" w14:textId="77777777" w:rsidR="007F4556" w:rsidRDefault="007F4556" w:rsidP="007F4556">
      <w:pPr>
        <w:spacing w:line="276" w:lineRule="auto"/>
        <w:ind w:right="-574"/>
        <w:jc w:val="center"/>
        <w:rPr>
          <w:rFonts w:ascii="Open Sans" w:hAnsi="Open Sans" w:cs="Open Sans"/>
          <w:color w:val="000000"/>
        </w:rPr>
      </w:pPr>
      <w:r>
        <w:rPr>
          <w:noProof/>
        </w:rPr>
        <w:drawing>
          <wp:inline distT="0" distB="0" distL="0" distR="0" wp14:anchorId="040233A2" wp14:editId="63837CFB">
            <wp:extent cx="3460014" cy="2001460"/>
            <wp:effectExtent l="0" t="0" r="7620" b="0"/>
            <wp:docPr id="6" name="Imagen 6"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apa&#10;&#10;Descripción generada automáticamente"/>
                    <pic:cNvPicPr/>
                  </pic:nvPicPr>
                  <pic:blipFill>
                    <a:blip r:embed="rId24"/>
                    <a:stretch>
                      <a:fillRect/>
                    </a:stretch>
                  </pic:blipFill>
                  <pic:spPr>
                    <a:xfrm>
                      <a:off x="0" y="0"/>
                      <a:ext cx="3466950" cy="2005472"/>
                    </a:xfrm>
                    <a:prstGeom prst="rect">
                      <a:avLst/>
                    </a:prstGeom>
                  </pic:spPr>
                </pic:pic>
              </a:graphicData>
            </a:graphic>
          </wp:inline>
        </w:drawing>
      </w:r>
    </w:p>
    <w:p w14:paraId="0D662310" w14:textId="77777777" w:rsidR="007F4556" w:rsidRDefault="007F4556" w:rsidP="007F4556">
      <w:pPr>
        <w:spacing w:line="276" w:lineRule="auto"/>
        <w:ind w:right="-574"/>
        <w:jc w:val="both"/>
        <w:rPr>
          <w:rFonts w:ascii="Open Sans" w:hAnsi="Open Sans" w:cs="Open Sans"/>
          <w:color w:val="000000"/>
        </w:rPr>
      </w:pPr>
    </w:p>
    <w:p w14:paraId="225BE62B" w14:textId="77777777" w:rsidR="007F4556" w:rsidRPr="007F4556" w:rsidRDefault="007F4556" w:rsidP="007F4556">
      <w:pPr>
        <w:pStyle w:val="NormalWeb"/>
        <w:shd w:val="clear" w:color="auto" w:fill="FFFFFF"/>
        <w:spacing w:after="225" w:line="276" w:lineRule="auto"/>
        <w:ind w:right="-574"/>
        <w:jc w:val="both"/>
        <w:rPr>
          <w:rFonts w:ascii="Open Sans" w:hAnsi="Open Sans" w:cs="Open Sans"/>
          <w:color w:val="000000"/>
          <w:sz w:val="26"/>
          <w:szCs w:val="26"/>
        </w:rPr>
      </w:pPr>
      <w:r w:rsidRPr="007F4556">
        <w:rPr>
          <w:rFonts w:ascii="Open Sans Light" w:hAnsi="Open Sans Light" w:cs="Open Sans Light"/>
          <w:b/>
          <w:iCs/>
          <w:color w:val="303AB2"/>
          <w:sz w:val="26"/>
          <w:szCs w:val="26"/>
        </w:rPr>
        <w:t xml:space="preserve">Municipios </w:t>
      </w:r>
    </w:p>
    <w:p w14:paraId="3A99D2CB" w14:textId="77777777" w:rsidR="007F4556" w:rsidRDefault="007F4556" w:rsidP="007F4556">
      <w:pPr>
        <w:spacing w:line="276" w:lineRule="auto"/>
        <w:ind w:right="-574"/>
        <w:jc w:val="both"/>
        <w:rPr>
          <w:rFonts w:ascii="Open Sans" w:hAnsi="Open Sans" w:cs="Open Sans"/>
          <w:color w:val="000000"/>
        </w:rPr>
      </w:pPr>
      <w:r>
        <w:rPr>
          <w:rFonts w:ascii="Open Sans" w:hAnsi="Open Sans" w:cs="Open Sans"/>
          <w:color w:val="000000"/>
        </w:rPr>
        <w:t xml:space="preserve">De las 20 ciudades </w:t>
      </w:r>
      <w:r w:rsidRPr="00753088">
        <w:rPr>
          <w:rFonts w:ascii="Open Sans" w:hAnsi="Open Sans" w:cs="Open Sans"/>
          <w:color w:val="000000"/>
        </w:rPr>
        <w:t>analizad</w:t>
      </w:r>
      <w:r>
        <w:rPr>
          <w:rFonts w:ascii="Open Sans" w:hAnsi="Open Sans" w:cs="Open Sans"/>
          <w:color w:val="000000"/>
        </w:rPr>
        <w:t>a</w:t>
      </w:r>
      <w:r w:rsidRPr="00753088">
        <w:rPr>
          <w:rFonts w:ascii="Open Sans" w:hAnsi="Open Sans" w:cs="Open Sans"/>
          <w:color w:val="000000"/>
        </w:rPr>
        <w:t xml:space="preserve">s por </w:t>
      </w:r>
      <w:hyperlink r:id="rId25" w:history="1">
        <w:r w:rsidRPr="00B10769">
          <w:rPr>
            <w:rStyle w:val="Hipervnculo"/>
            <w:rFonts w:ascii="Open Sans" w:hAnsi="Open Sans" w:cs="Open Sans"/>
            <w:b/>
            <w:bCs/>
          </w:rPr>
          <w:t>Fotocasa</w:t>
        </w:r>
      </w:hyperlink>
      <w:r w:rsidRPr="008E42F0">
        <w:rPr>
          <w:rStyle w:val="Hipervnculo"/>
          <w:rFonts w:ascii="Open Sans" w:hAnsi="Open Sans" w:cs="Open Sans"/>
          <w:b/>
          <w:bCs/>
        </w:rPr>
        <w:t xml:space="preserve"> </w:t>
      </w:r>
      <w:r w:rsidRPr="008E42F0">
        <w:rPr>
          <w:rFonts w:ascii="Open Sans" w:hAnsi="Open Sans" w:cs="Open Sans"/>
          <w:color w:val="000000"/>
        </w:rPr>
        <w:t xml:space="preserve">con variación </w:t>
      </w:r>
      <w:r>
        <w:rPr>
          <w:rFonts w:ascii="Open Sans" w:hAnsi="Open Sans" w:cs="Open Sans"/>
          <w:color w:val="000000"/>
        </w:rPr>
        <w:t>trimestral en septiembre de 2021</w:t>
      </w:r>
      <w:r w:rsidRPr="008E42F0">
        <w:rPr>
          <w:rFonts w:ascii="Open Sans" w:hAnsi="Open Sans" w:cs="Open Sans"/>
          <w:color w:val="000000"/>
        </w:rPr>
        <w:t>,</w:t>
      </w:r>
      <w:r>
        <w:rPr>
          <w:rFonts w:ascii="Open Sans" w:hAnsi="Open Sans" w:cs="Open Sans"/>
          <w:color w:val="000000"/>
        </w:rPr>
        <w:t xml:space="preserve"> en el 60% de ellas el precio de la vivienda en alquiler por metro cuadrado sube. </w:t>
      </w:r>
    </w:p>
    <w:p w14:paraId="3A38810D" w14:textId="77777777" w:rsidR="007F4556" w:rsidRDefault="007F4556" w:rsidP="007F4556">
      <w:pPr>
        <w:spacing w:line="276" w:lineRule="auto"/>
        <w:ind w:right="-574"/>
        <w:jc w:val="both"/>
        <w:rPr>
          <w:rFonts w:ascii="Open Sans" w:hAnsi="Open Sans" w:cs="Open Sans"/>
          <w:color w:val="000000"/>
        </w:rPr>
      </w:pPr>
    </w:p>
    <w:p w14:paraId="24BB9841" w14:textId="77777777" w:rsidR="007F4556" w:rsidRDefault="007F4556" w:rsidP="007F4556">
      <w:pPr>
        <w:spacing w:line="276" w:lineRule="auto"/>
        <w:ind w:right="-574"/>
        <w:jc w:val="both"/>
        <w:rPr>
          <w:rFonts w:ascii="Open Sans" w:hAnsi="Open Sans" w:cs="Open Sans"/>
          <w:color w:val="000000"/>
        </w:rPr>
      </w:pPr>
      <w:r>
        <w:rPr>
          <w:rFonts w:ascii="Open Sans" w:hAnsi="Open Sans" w:cs="Open Sans"/>
          <w:color w:val="000000"/>
        </w:rPr>
        <w:t xml:space="preserve">De estas subidas trimestrales, en la ciudad de </w:t>
      </w:r>
      <w:r w:rsidRPr="0084316A">
        <w:rPr>
          <w:rFonts w:ascii="Open Sans" w:hAnsi="Open Sans" w:cs="Open Sans"/>
          <w:color w:val="000000"/>
        </w:rPr>
        <w:t xml:space="preserve">Fuengirola </w:t>
      </w:r>
      <w:r>
        <w:rPr>
          <w:rFonts w:ascii="Open Sans" w:hAnsi="Open Sans" w:cs="Open Sans"/>
          <w:color w:val="000000"/>
        </w:rPr>
        <w:t>el incremento del precio del alquiler ha subido un 7,1%, en Jaén capital un 5,1% y en Jerez de la Frontera un 3,9%. Por otro lado, el mayor descenso en el precio de la vivienda se ha detectado en Roquetas de Mar con un -6,1%.</w:t>
      </w:r>
    </w:p>
    <w:p w14:paraId="4BCCC8DC" w14:textId="77777777" w:rsidR="007F4556" w:rsidRDefault="007F4556" w:rsidP="007F4556">
      <w:pPr>
        <w:spacing w:line="276" w:lineRule="auto"/>
        <w:ind w:right="-574"/>
        <w:jc w:val="both"/>
        <w:rPr>
          <w:rFonts w:ascii="Open Sans" w:hAnsi="Open Sans" w:cs="Open Sans"/>
          <w:color w:val="000000"/>
        </w:rPr>
      </w:pPr>
    </w:p>
    <w:p w14:paraId="0A427232" w14:textId="77777777" w:rsidR="007F4556" w:rsidRDefault="007F4556" w:rsidP="007F4556">
      <w:pPr>
        <w:spacing w:line="276" w:lineRule="auto"/>
        <w:ind w:right="-574"/>
        <w:jc w:val="both"/>
        <w:rPr>
          <w:rFonts w:ascii="Open Sans" w:hAnsi="Open Sans" w:cs="Open Sans"/>
          <w:color w:val="000000"/>
        </w:rPr>
      </w:pPr>
      <w:r w:rsidRPr="003501F5">
        <w:rPr>
          <w:rFonts w:ascii="Open Sans" w:hAnsi="Open Sans" w:cs="Open Sans"/>
          <w:color w:val="000000"/>
        </w:rPr>
        <w:t>En cuanto a los precios de las viviendas</w:t>
      </w:r>
      <w:r>
        <w:rPr>
          <w:rFonts w:ascii="Open Sans" w:hAnsi="Open Sans" w:cs="Open Sans"/>
          <w:color w:val="000000"/>
        </w:rPr>
        <w:t xml:space="preserve"> por ciudades</w:t>
      </w:r>
      <w:r w:rsidRPr="003501F5">
        <w:rPr>
          <w:rFonts w:ascii="Open Sans" w:hAnsi="Open Sans" w:cs="Open Sans"/>
          <w:color w:val="000000"/>
        </w:rPr>
        <w:t xml:space="preserve">, </w:t>
      </w:r>
      <w:r>
        <w:rPr>
          <w:rFonts w:ascii="Open Sans" w:hAnsi="Open Sans" w:cs="Open Sans"/>
          <w:color w:val="000000"/>
        </w:rPr>
        <w:t xml:space="preserve">cuatro de ellas superan los 10,00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y son:</w:t>
      </w:r>
      <w:r w:rsidRPr="00EF4A9C">
        <w:t xml:space="preserve"> </w:t>
      </w:r>
      <w:r w:rsidRPr="00EF4A9C">
        <w:rPr>
          <w:rFonts w:ascii="Open Sans" w:hAnsi="Open Sans" w:cs="Open Sans"/>
          <w:color w:val="000000"/>
        </w:rPr>
        <w:t>Marbella</w:t>
      </w:r>
      <w:r w:rsidRPr="00FF0D77">
        <w:rPr>
          <w:rFonts w:ascii="Open Sans" w:hAnsi="Open Sans" w:cs="Open Sans"/>
          <w:color w:val="000000"/>
        </w:rPr>
        <w:t xml:space="preserve"> </w:t>
      </w:r>
      <w:r>
        <w:rPr>
          <w:rFonts w:ascii="Open Sans" w:hAnsi="Open Sans" w:cs="Open Sans"/>
          <w:color w:val="000000"/>
        </w:rPr>
        <w:t>con</w:t>
      </w:r>
      <w:r w:rsidRPr="00EF4A9C">
        <w:rPr>
          <w:rFonts w:ascii="Open Sans" w:hAnsi="Open Sans" w:cs="Open Sans"/>
          <w:color w:val="000000"/>
        </w:rPr>
        <w:t xml:space="preserve"> 12,27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w:t>
      </w:r>
      <w:r w:rsidRPr="00EF4A9C">
        <w:rPr>
          <w:rFonts w:ascii="Open Sans" w:hAnsi="Open Sans" w:cs="Open Sans"/>
          <w:color w:val="000000"/>
        </w:rPr>
        <w:t>Torremolinos</w:t>
      </w:r>
      <w:r>
        <w:rPr>
          <w:rFonts w:ascii="Open Sans" w:hAnsi="Open Sans" w:cs="Open Sans"/>
          <w:color w:val="000000"/>
        </w:rPr>
        <w:t xml:space="preserve"> con</w:t>
      </w:r>
      <w:r w:rsidRPr="00EF4A9C">
        <w:rPr>
          <w:rFonts w:ascii="Open Sans" w:hAnsi="Open Sans" w:cs="Open Sans"/>
          <w:color w:val="000000"/>
        </w:rPr>
        <w:t xml:space="preserve"> 10,51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w:t>
      </w:r>
      <w:r w:rsidRPr="00EF4A9C">
        <w:rPr>
          <w:rFonts w:ascii="Open Sans" w:hAnsi="Open Sans" w:cs="Open Sans"/>
          <w:color w:val="000000"/>
        </w:rPr>
        <w:t>Cádiz capital</w:t>
      </w:r>
      <w:r>
        <w:rPr>
          <w:rFonts w:ascii="Open Sans" w:hAnsi="Open Sans" w:cs="Open Sans"/>
          <w:color w:val="000000"/>
        </w:rPr>
        <w:t xml:space="preserve"> con</w:t>
      </w:r>
      <w:r w:rsidRPr="00EF4A9C">
        <w:rPr>
          <w:rFonts w:ascii="Open Sans" w:hAnsi="Open Sans" w:cs="Open Sans"/>
          <w:color w:val="000000"/>
        </w:rPr>
        <w:t xml:space="preserve"> 10,39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sidRPr="00EF4A9C">
        <w:rPr>
          <w:rFonts w:ascii="Open Sans" w:hAnsi="Open Sans" w:cs="Open Sans"/>
          <w:color w:val="000000"/>
        </w:rPr>
        <w:t xml:space="preserve"> </w:t>
      </w:r>
      <w:r>
        <w:rPr>
          <w:rFonts w:ascii="Open Sans" w:hAnsi="Open Sans" w:cs="Open Sans"/>
          <w:color w:val="000000"/>
        </w:rPr>
        <w:t xml:space="preserve">y </w:t>
      </w:r>
      <w:r w:rsidRPr="00EF4A9C">
        <w:rPr>
          <w:rFonts w:ascii="Open Sans" w:hAnsi="Open Sans" w:cs="Open Sans"/>
          <w:color w:val="000000"/>
        </w:rPr>
        <w:t>Benalmádena</w:t>
      </w:r>
      <w:r w:rsidRPr="00FF0D77">
        <w:rPr>
          <w:rFonts w:ascii="Open Sans" w:hAnsi="Open Sans" w:cs="Open Sans"/>
          <w:color w:val="000000"/>
        </w:rPr>
        <w:t xml:space="preserve"> </w:t>
      </w:r>
      <w:r>
        <w:rPr>
          <w:rFonts w:ascii="Open Sans" w:hAnsi="Open Sans" w:cs="Open Sans"/>
          <w:color w:val="000000"/>
        </w:rPr>
        <w:t>con</w:t>
      </w:r>
      <w:r w:rsidRPr="00EF4A9C">
        <w:rPr>
          <w:rFonts w:ascii="Open Sans" w:hAnsi="Open Sans" w:cs="Open Sans"/>
          <w:color w:val="000000"/>
        </w:rPr>
        <w:t xml:space="preserve"> 10,22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Por otro lado, las tres ciudades en el que el precio del alquiler es más económico son: </w:t>
      </w:r>
      <w:r w:rsidRPr="00A4400A">
        <w:rPr>
          <w:rFonts w:ascii="Open Sans" w:hAnsi="Open Sans" w:cs="Open Sans"/>
          <w:color w:val="000000"/>
        </w:rPr>
        <w:t xml:space="preserve">Lucena </w:t>
      </w:r>
      <w:r>
        <w:rPr>
          <w:rFonts w:ascii="Open Sans" w:hAnsi="Open Sans" w:cs="Open Sans"/>
          <w:color w:val="000000"/>
        </w:rPr>
        <w:t>con</w:t>
      </w:r>
      <w:r w:rsidRPr="009731C0">
        <w:rPr>
          <w:rFonts w:ascii="Open Sans" w:hAnsi="Open Sans" w:cs="Open Sans"/>
          <w:color w:val="000000"/>
        </w:rPr>
        <w:t xml:space="preserve"> 5,</w:t>
      </w:r>
      <w:r>
        <w:rPr>
          <w:rFonts w:ascii="Open Sans" w:hAnsi="Open Sans" w:cs="Open Sans"/>
          <w:color w:val="000000"/>
        </w:rPr>
        <w:t>36</w:t>
      </w:r>
      <w:r w:rsidRPr="009731C0">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w:t>
      </w:r>
      <w:r w:rsidRPr="00A4400A">
        <w:rPr>
          <w:rFonts w:ascii="Open Sans" w:hAnsi="Open Sans" w:cs="Open Sans"/>
          <w:color w:val="000000"/>
        </w:rPr>
        <w:t xml:space="preserve">Jaén capital </w:t>
      </w:r>
      <w:r>
        <w:rPr>
          <w:rFonts w:ascii="Open Sans" w:hAnsi="Open Sans" w:cs="Open Sans"/>
          <w:color w:val="000000"/>
        </w:rPr>
        <w:t>con 6,19</w:t>
      </w:r>
      <w:r w:rsidRPr="009731C0">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sidRPr="009731C0">
        <w:rPr>
          <w:rFonts w:ascii="Open Sans" w:hAnsi="Open Sans" w:cs="Open Sans"/>
          <w:color w:val="000000"/>
        </w:rPr>
        <w:t xml:space="preserve"> </w:t>
      </w:r>
      <w:r>
        <w:rPr>
          <w:rFonts w:ascii="Open Sans" w:hAnsi="Open Sans" w:cs="Open Sans"/>
          <w:color w:val="000000"/>
        </w:rPr>
        <w:t xml:space="preserve">y </w:t>
      </w:r>
      <w:r w:rsidRPr="00A4400A">
        <w:rPr>
          <w:rFonts w:ascii="Open Sans" w:hAnsi="Open Sans" w:cs="Open Sans"/>
          <w:color w:val="000000"/>
        </w:rPr>
        <w:t xml:space="preserve">Armilla </w:t>
      </w:r>
      <w:r>
        <w:rPr>
          <w:rFonts w:ascii="Open Sans" w:hAnsi="Open Sans" w:cs="Open Sans"/>
          <w:color w:val="000000"/>
        </w:rPr>
        <w:t>con</w:t>
      </w:r>
      <w:r w:rsidRPr="009731C0">
        <w:rPr>
          <w:rFonts w:ascii="Open Sans" w:hAnsi="Open Sans" w:cs="Open Sans"/>
          <w:color w:val="000000"/>
        </w:rPr>
        <w:t xml:space="preserve"> </w:t>
      </w:r>
      <w:r>
        <w:rPr>
          <w:rFonts w:ascii="Open Sans" w:hAnsi="Open Sans" w:cs="Open Sans"/>
          <w:color w:val="000000"/>
        </w:rPr>
        <w:t>6,61</w:t>
      </w:r>
      <w:r w:rsidRPr="009731C0">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w:t>
      </w:r>
      <w:r w:rsidRPr="009731C0">
        <w:rPr>
          <w:rFonts w:ascii="Open Sans" w:hAnsi="Open Sans" w:cs="Open Sans"/>
          <w:color w:val="000000"/>
        </w:rPr>
        <w:t xml:space="preserve"> </w:t>
      </w:r>
      <w:r>
        <w:rPr>
          <w:rFonts w:ascii="Open Sans" w:hAnsi="Open Sans" w:cs="Open Sans"/>
          <w:color w:val="000000"/>
        </w:rPr>
        <w:t xml:space="preserve"> </w:t>
      </w:r>
    </w:p>
    <w:p w14:paraId="3223AC93" w14:textId="77777777" w:rsidR="007F4556" w:rsidRDefault="007F4556" w:rsidP="007F4556">
      <w:pPr>
        <w:spacing w:line="276" w:lineRule="auto"/>
        <w:ind w:right="-574"/>
        <w:jc w:val="both"/>
        <w:rPr>
          <w:rFonts w:ascii="Open Sans" w:hAnsi="Open Sans" w:cs="Open Sans"/>
          <w:color w:val="000000"/>
        </w:rPr>
      </w:pPr>
    </w:p>
    <w:p w14:paraId="1DA05706" w14:textId="77777777" w:rsidR="007F4556" w:rsidRDefault="007F4556" w:rsidP="007F4556">
      <w:pPr>
        <w:spacing w:line="276" w:lineRule="auto"/>
        <w:ind w:right="-574"/>
        <w:jc w:val="both"/>
        <w:rPr>
          <w:rFonts w:ascii="Open Sans" w:hAnsi="Open Sans" w:cs="Open Sans"/>
          <w:color w:val="000000"/>
        </w:rPr>
      </w:pPr>
    </w:p>
    <w:p w14:paraId="2FB5A40C" w14:textId="66633C85" w:rsidR="004D7BDF" w:rsidRDefault="004D7BDF" w:rsidP="008E6F4B">
      <w:pPr>
        <w:spacing w:line="276" w:lineRule="auto"/>
        <w:ind w:right="-574"/>
        <w:jc w:val="both"/>
        <w:rPr>
          <w:rFonts w:ascii="Open Sans Light" w:eastAsia="Open Sans Light" w:hAnsi="Open Sans Light" w:cs="Open Sans Light"/>
          <w:b/>
          <w:color w:val="303AB2"/>
        </w:rPr>
      </w:pPr>
    </w:p>
    <w:p w14:paraId="67ED1A93" w14:textId="16A74E66" w:rsidR="00F66C8A" w:rsidRDefault="00F66C8A" w:rsidP="007F4556">
      <w:pPr>
        <w:spacing w:line="276" w:lineRule="auto"/>
        <w:ind w:right="-716"/>
        <w:rPr>
          <w:rFonts w:ascii="Open Sans Light" w:eastAsia="Open Sans Light" w:hAnsi="Open Sans Light" w:cs="Open Sans Light"/>
          <w:b/>
          <w:color w:val="303AB2"/>
        </w:rPr>
      </w:pPr>
    </w:p>
    <w:p w14:paraId="2B776E1B" w14:textId="1FC7CD7D" w:rsidR="00AE265E" w:rsidRDefault="00AE265E" w:rsidP="007F4556">
      <w:pPr>
        <w:spacing w:line="276" w:lineRule="auto"/>
        <w:ind w:right="-716"/>
        <w:rPr>
          <w:rFonts w:ascii="Open Sans Light" w:eastAsia="Open Sans Light" w:hAnsi="Open Sans Light" w:cs="Open Sans Light"/>
          <w:b/>
          <w:color w:val="303AB2"/>
        </w:rPr>
      </w:pPr>
    </w:p>
    <w:p w14:paraId="4F22F96B" w14:textId="0BC762E1" w:rsidR="00AE265E" w:rsidRDefault="00AE265E" w:rsidP="007F4556">
      <w:pPr>
        <w:spacing w:line="276" w:lineRule="auto"/>
        <w:ind w:right="-716"/>
        <w:rPr>
          <w:rFonts w:ascii="Open Sans Light" w:eastAsia="Open Sans Light" w:hAnsi="Open Sans Light" w:cs="Open Sans Light"/>
          <w:b/>
          <w:color w:val="303AB2"/>
        </w:rPr>
      </w:pPr>
    </w:p>
    <w:p w14:paraId="7B28FF84" w14:textId="77777777" w:rsidR="00AE265E" w:rsidRDefault="00AE265E" w:rsidP="007F4556">
      <w:pPr>
        <w:spacing w:line="276" w:lineRule="auto"/>
        <w:ind w:right="-716"/>
        <w:rPr>
          <w:rFonts w:ascii="Open Sans Light" w:eastAsia="Open Sans Light" w:hAnsi="Open Sans Light" w:cs="Open Sans Light"/>
          <w:b/>
          <w:color w:val="303AB2"/>
        </w:rPr>
      </w:pPr>
    </w:p>
    <w:p w14:paraId="7459AE17" w14:textId="45BFDBE1" w:rsidR="00B96797" w:rsidRDefault="009A313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2F78A3C4" w14:textId="77777777" w:rsidR="00B96797" w:rsidRDefault="009A3133">
      <w:pP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2" w:name="_heading=h.30j0zll" w:colFirst="0" w:colLast="0"/>
    <w:bookmarkEnd w:id="2"/>
    <w:p w14:paraId="422F4FF9" w14:textId="77777777" w:rsidR="00B96797" w:rsidRDefault="009A3133">
      <w:pP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rsidR="00A75BCF">
        <w:fldChar w:fldCharType="begin"/>
      </w:r>
      <w:r w:rsidR="00A75BCF">
        <w:instrText xml:space="preserve"> HYPERLINK "https://www.adevinta.com/" \h </w:instrText>
      </w:r>
      <w:r w:rsidR="00A75BCF">
        <w:fldChar w:fldCharType="separate"/>
      </w:r>
      <w:r>
        <w:rPr>
          <w:rFonts w:ascii="Open Sans" w:eastAsia="Open Sans" w:hAnsi="Open Sans" w:cs="Open Sans"/>
          <w:color w:val="0000FF"/>
          <w:sz w:val="22"/>
          <w:szCs w:val="22"/>
          <w:u w:val="single"/>
        </w:rPr>
        <w:t>Adevinta</w:t>
      </w:r>
      <w:proofErr w:type="spellEnd"/>
      <w:r w:rsidR="00A75BCF">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2C1BDF05" w14:textId="77777777" w:rsidR="00B96797" w:rsidRDefault="002B12ED">
      <w:pPr>
        <w:shd w:val="clear" w:color="auto" w:fill="FFFFFF"/>
        <w:spacing w:before="280" w:after="280"/>
        <w:ind w:right="-716"/>
        <w:jc w:val="both"/>
        <w:rPr>
          <w:rFonts w:ascii="Times New Roman" w:eastAsia="Times New Roman" w:hAnsi="Times New Roman" w:cs="Times New Roman"/>
          <w:color w:val="222222"/>
          <w:sz w:val="22"/>
          <w:szCs w:val="22"/>
        </w:rPr>
      </w:pPr>
      <w:hyperlink r:id="rId27">
        <w:r w:rsidR="009A3133">
          <w:rPr>
            <w:rFonts w:ascii="Open Sans" w:eastAsia="Open Sans" w:hAnsi="Open Sans" w:cs="Open Sans"/>
            <w:color w:val="0000FF"/>
            <w:sz w:val="22"/>
            <w:szCs w:val="22"/>
            <w:u w:val="single"/>
          </w:rPr>
          <w:t>Más información sobre Fotocasa</w:t>
        </w:r>
      </w:hyperlink>
      <w:r w:rsidR="009A3133">
        <w:rPr>
          <w:rFonts w:ascii="Open Sans" w:eastAsia="Open Sans" w:hAnsi="Open Sans" w:cs="Open Sans"/>
          <w:color w:val="000000"/>
          <w:sz w:val="22"/>
          <w:szCs w:val="22"/>
        </w:rPr>
        <w:t>.</w:t>
      </w:r>
    </w:p>
    <w:p w14:paraId="44479B4F" w14:textId="77777777" w:rsidR="00B96797" w:rsidRDefault="009A3133">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rsidR="00A75BCF">
        <w:fldChar w:fldCharType="begin"/>
      </w:r>
      <w:r w:rsidR="00A75BCF">
        <w:instrText xml:space="preserve"> HYPERLINK "https://www.adevinta.com/" \h </w:instrText>
      </w:r>
      <w:r w:rsidR="00A75BCF">
        <w:fldChar w:fldCharType="separate"/>
      </w:r>
      <w:r>
        <w:rPr>
          <w:rFonts w:ascii="Open Sans" w:eastAsia="Open Sans" w:hAnsi="Open Sans" w:cs="Open Sans"/>
          <w:color w:val="0000FF"/>
          <w:sz w:val="22"/>
          <w:szCs w:val="22"/>
          <w:u w:val="single"/>
        </w:rPr>
        <w:t>Adevinta</w:t>
      </w:r>
      <w:proofErr w:type="spellEnd"/>
      <w:r w:rsidR="00A75BCF">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28">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rsidR="00A75BCF">
        <w:fldChar w:fldCharType="begin"/>
      </w:r>
      <w:r w:rsidR="00A75BCF">
        <w:instrText xml:space="preserve"> HYPERLINK "https://www.habitaclia.com/" \h </w:instrText>
      </w:r>
      <w:r w:rsidR="00A75BCF">
        <w:fldChar w:fldCharType="separate"/>
      </w:r>
      <w:r>
        <w:rPr>
          <w:rFonts w:ascii="Open Sans" w:eastAsia="Open Sans" w:hAnsi="Open Sans" w:cs="Open Sans"/>
          <w:color w:val="0000FF"/>
          <w:sz w:val="22"/>
          <w:szCs w:val="22"/>
          <w:u w:val="single"/>
        </w:rPr>
        <w:t>habitaclia</w:t>
      </w:r>
      <w:proofErr w:type="spellEnd"/>
      <w:r w:rsidR="00A75BCF">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29">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30">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31">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rsidR="00A75BCF">
        <w:fldChar w:fldCharType="begin"/>
      </w:r>
      <w:r w:rsidR="00A75BCF">
        <w:instrText xml:space="preserve"> HYPERLINK "https://www.milanuncios.es/" \h </w:instrText>
      </w:r>
      <w:r w:rsidR="00A75BCF">
        <w:fldChar w:fldCharType="separate"/>
      </w:r>
      <w:r>
        <w:rPr>
          <w:rFonts w:ascii="Open Sans" w:eastAsia="Open Sans" w:hAnsi="Open Sans" w:cs="Open Sans"/>
          <w:color w:val="0000FF"/>
          <w:sz w:val="22"/>
          <w:szCs w:val="22"/>
          <w:u w:val="single"/>
        </w:rPr>
        <w:t>Milanuncios</w:t>
      </w:r>
      <w:proofErr w:type="spellEnd"/>
      <w:r w:rsidR="00A75BCF">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rsidR="00A75BCF">
        <w:fldChar w:fldCharType="begin"/>
      </w:r>
      <w:r w:rsidR="00A75BCF">
        <w:instrText xml:space="preserve"> HYPERLINK "https://www.vibbo.com/" \h </w:instrText>
      </w:r>
      <w:r w:rsidR="00A75BCF">
        <w:fldChar w:fldCharType="separate"/>
      </w:r>
      <w:r>
        <w:rPr>
          <w:rFonts w:ascii="Open Sans" w:eastAsia="Open Sans" w:hAnsi="Open Sans" w:cs="Open Sans"/>
          <w:color w:val="0000FF"/>
          <w:sz w:val="22"/>
          <w:szCs w:val="22"/>
          <w:u w:val="single"/>
        </w:rPr>
        <w:t>vibbo</w:t>
      </w:r>
      <w:proofErr w:type="spellEnd"/>
      <w:r w:rsidR="00A75BCF">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14:paraId="0A1DED09" w14:textId="77777777" w:rsidR="00B96797" w:rsidRDefault="00B96797">
      <w:pPr>
        <w:shd w:val="clear" w:color="auto" w:fill="FFFFFF"/>
        <w:spacing w:line="276" w:lineRule="auto"/>
        <w:ind w:right="-716"/>
        <w:jc w:val="both"/>
        <w:rPr>
          <w:rFonts w:ascii="Open Sans" w:eastAsia="Open Sans" w:hAnsi="Open Sans" w:cs="Open Sans"/>
          <w:color w:val="000000"/>
          <w:sz w:val="21"/>
          <w:szCs w:val="21"/>
        </w:rPr>
      </w:pPr>
    </w:p>
    <w:p w14:paraId="391B22C0" w14:textId="77777777" w:rsidR="00B96797" w:rsidRDefault="009A3133">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32">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6110E73B" w14:textId="77777777" w:rsidR="00B96797" w:rsidRDefault="00B96797">
      <w:pPr>
        <w:shd w:val="clear" w:color="auto" w:fill="FFFFFF"/>
        <w:spacing w:line="276" w:lineRule="auto"/>
        <w:ind w:right="-716"/>
        <w:jc w:val="both"/>
        <w:rPr>
          <w:rFonts w:ascii="Open Sans" w:eastAsia="Open Sans" w:hAnsi="Open Sans" w:cs="Open Sans"/>
          <w:color w:val="000000"/>
          <w:sz w:val="21"/>
          <w:szCs w:val="21"/>
        </w:rPr>
      </w:pPr>
    </w:p>
    <w:p w14:paraId="6083A736" w14:textId="77777777" w:rsidR="00B96797" w:rsidRDefault="00B96797">
      <w:pPr>
        <w:spacing w:line="276" w:lineRule="auto"/>
        <w:ind w:right="-716"/>
        <w:rPr>
          <w:rFonts w:ascii="Open Sans Light" w:eastAsia="Open Sans Light" w:hAnsi="Open Sans Light" w:cs="Open Sans Light"/>
          <w:b/>
          <w:color w:val="303AB2"/>
          <w:sz w:val="22"/>
          <w:szCs w:val="22"/>
        </w:rPr>
      </w:pPr>
    </w:p>
    <w:p w14:paraId="35B2A839" w14:textId="77777777" w:rsidR="00B96797" w:rsidRDefault="009A3133">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21EC51E0" w14:textId="6C38BAB8" w:rsidR="00B96797" w:rsidRDefault="009A3133">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020DB693" w14:textId="04C6A9E9" w:rsidR="00B96797" w:rsidRDefault="002B12ED">
      <w:pPr>
        <w:shd w:val="clear" w:color="auto" w:fill="FFFFFF"/>
        <w:spacing w:line="276" w:lineRule="auto"/>
        <w:ind w:right="-716"/>
        <w:rPr>
          <w:rFonts w:ascii="Open Sans" w:eastAsia="Open Sans" w:hAnsi="Open Sans" w:cs="Open Sans"/>
          <w:color w:val="0000FF"/>
          <w:sz w:val="19"/>
          <w:szCs w:val="19"/>
          <w:u w:val="single"/>
        </w:rPr>
      </w:pPr>
      <w:hyperlink r:id="rId33">
        <w:r w:rsidR="009A3133">
          <w:rPr>
            <w:rFonts w:ascii="Open Sans" w:eastAsia="Open Sans" w:hAnsi="Open Sans" w:cs="Open Sans"/>
            <w:color w:val="0000FF"/>
            <w:sz w:val="19"/>
            <w:szCs w:val="19"/>
            <w:u w:val="single"/>
          </w:rPr>
          <w:t>rtorne@llorenteycuenca.com</w:t>
        </w:r>
      </w:hyperlink>
      <w:r w:rsidR="009A3133">
        <w:rPr>
          <w:rFonts w:ascii="Open Sans" w:eastAsia="Open Sans" w:hAnsi="Open Sans" w:cs="Open Sans"/>
          <w:color w:val="0000FF"/>
          <w:sz w:val="19"/>
          <w:szCs w:val="19"/>
        </w:rPr>
        <w:tab/>
      </w:r>
      <w:r w:rsidR="009A3133">
        <w:rPr>
          <w:rFonts w:ascii="Open Sans" w:eastAsia="Open Sans" w:hAnsi="Open Sans" w:cs="Open Sans"/>
          <w:color w:val="0000FF"/>
          <w:sz w:val="19"/>
          <w:szCs w:val="19"/>
        </w:rPr>
        <w:tab/>
      </w:r>
      <w:r w:rsidR="009A3133">
        <w:rPr>
          <w:rFonts w:ascii="Open Sans" w:eastAsia="Open Sans" w:hAnsi="Open Sans" w:cs="Open Sans"/>
          <w:color w:val="0000FF"/>
          <w:sz w:val="19"/>
          <w:szCs w:val="19"/>
        </w:rPr>
        <w:tab/>
        <w:t xml:space="preserve">                                              </w:t>
      </w:r>
      <w:hyperlink r:id="rId34" w:history="1">
        <w:r w:rsidR="007F4556" w:rsidRPr="00237C30">
          <w:rPr>
            <w:rStyle w:val="Hipervnculo"/>
            <w:rFonts w:ascii="Open Sans" w:eastAsia="Open Sans" w:hAnsi="Open Sans" w:cs="Open Sans"/>
            <w:sz w:val="19"/>
            <w:szCs w:val="19"/>
          </w:rPr>
          <w:t>comunicacion@fotocasa.es</w:t>
        </w:r>
      </w:hyperlink>
    </w:p>
    <w:p w14:paraId="6321E1B8" w14:textId="346862E2" w:rsidR="00B96797" w:rsidRDefault="009A3133">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w:t>
      </w:r>
      <w:r w:rsidR="007F4556">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620 66 29 26</w:t>
      </w:r>
    </w:p>
    <w:p w14:paraId="25DD3227" w14:textId="77777777" w:rsidR="00B96797" w:rsidRDefault="009A3133">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1D9D8A3" w14:textId="77777777" w:rsidR="00B96797" w:rsidRDefault="009A3133">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0D58B039" w14:textId="77777777" w:rsidR="00B96797" w:rsidRDefault="002B12ED">
      <w:pPr>
        <w:shd w:val="clear" w:color="auto" w:fill="FFFFFF"/>
        <w:ind w:right="-716"/>
        <w:rPr>
          <w:rFonts w:ascii="Open Sans" w:eastAsia="Open Sans" w:hAnsi="Open Sans" w:cs="Open Sans"/>
          <w:color w:val="0000FF"/>
          <w:sz w:val="19"/>
          <w:szCs w:val="19"/>
        </w:rPr>
      </w:pPr>
      <w:hyperlink r:id="rId35">
        <w:r w:rsidR="009A3133">
          <w:rPr>
            <w:rFonts w:ascii="Open Sans" w:eastAsia="Open Sans" w:hAnsi="Open Sans" w:cs="Open Sans"/>
            <w:color w:val="0000FF"/>
            <w:sz w:val="19"/>
            <w:szCs w:val="19"/>
            <w:u w:val="single"/>
          </w:rPr>
          <w:t>emerino@llorenteycuenca.com</w:t>
        </w:r>
      </w:hyperlink>
    </w:p>
    <w:p w14:paraId="1E6D275E" w14:textId="77777777" w:rsidR="00B96797" w:rsidRDefault="009A3133">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5C8BFE83" w14:textId="77777777" w:rsidR="00B96797" w:rsidRDefault="00B96797">
      <w:pPr>
        <w:shd w:val="clear" w:color="auto" w:fill="FFFFFF"/>
        <w:ind w:right="-716"/>
        <w:rPr>
          <w:rFonts w:ascii="Open Sans" w:eastAsia="Open Sans" w:hAnsi="Open Sans" w:cs="Open Sans"/>
          <w:color w:val="000000"/>
          <w:sz w:val="19"/>
          <w:szCs w:val="19"/>
        </w:rPr>
      </w:pPr>
    </w:p>
    <w:p w14:paraId="4F3F5D7E" w14:textId="0E2156D7" w:rsidR="00B96797" w:rsidRDefault="00B96797">
      <w:pPr>
        <w:shd w:val="clear" w:color="auto" w:fill="FFFFFF"/>
        <w:ind w:right="-716"/>
        <w:rPr>
          <w:rFonts w:ascii="Open Sans" w:eastAsia="Open Sans" w:hAnsi="Open Sans" w:cs="Open Sans"/>
          <w:color w:val="000000"/>
          <w:sz w:val="21"/>
          <w:szCs w:val="21"/>
        </w:rPr>
      </w:pPr>
    </w:p>
    <w:sectPr w:rsidR="00B96797">
      <w:footerReference w:type="default" r:id="rId3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62DF" w14:textId="77777777" w:rsidR="002B12ED" w:rsidRDefault="002B12ED">
      <w:r>
        <w:separator/>
      </w:r>
    </w:p>
  </w:endnote>
  <w:endnote w:type="continuationSeparator" w:id="0">
    <w:p w14:paraId="651B482B" w14:textId="77777777" w:rsidR="002B12ED" w:rsidRDefault="002B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768E" w14:textId="77777777" w:rsidR="00B96797" w:rsidRDefault="009A3133">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3BB176D9" wp14:editId="222938ED">
          <wp:simplePos x="0" y="0"/>
          <wp:positionH relativeFrom="column">
            <wp:posOffset>-1068066</wp:posOffset>
          </wp:positionH>
          <wp:positionV relativeFrom="paragraph">
            <wp:posOffset>174608</wp:posOffset>
          </wp:positionV>
          <wp:extent cx="7670550" cy="451315"/>
          <wp:effectExtent l="0" t="0" r="0" b="0"/>
          <wp:wrapSquare wrapText="bothSides" distT="0" distB="0" distL="0" distR="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B741" w14:textId="77777777" w:rsidR="002B12ED" w:rsidRDefault="002B12ED">
      <w:r>
        <w:separator/>
      </w:r>
    </w:p>
  </w:footnote>
  <w:footnote w:type="continuationSeparator" w:id="0">
    <w:p w14:paraId="1D30382E" w14:textId="77777777" w:rsidR="002B12ED" w:rsidRDefault="002B1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F79FA"/>
    <w:multiLevelType w:val="multilevel"/>
    <w:tmpl w:val="879AB6D4"/>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97"/>
    <w:rsid w:val="0012790B"/>
    <w:rsid w:val="0014506E"/>
    <w:rsid w:val="00151BC9"/>
    <w:rsid w:val="001C5577"/>
    <w:rsid w:val="001E7BF3"/>
    <w:rsid w:val="00291F66"/>
    <w:rsid w:val="00292D2E"/>
    <w:rsid w:val="002B12ED"/>
    <w:rsid w:val="002B6BEC"/>
    <w:rsid w:val="002C0C95"/>
    <w:rsid w:val="003342E6"/>
    <w:rsid w:val="0035413B"/>
    <w:rsid w:val="00385DF5"/>
    <w:rsid w:val="003B2C52"/>
    <w:rsid w:val="003C5C2B"/>
    <w:rsid w:val="003F1358"/>
    <w:rsid w:val="004432CA"/>
    <w:rsid w:val="004630F8"/>
    <w:rsid w:val="00497C9F"/>
    <w:rsid w:val="004D635C"/>
    <w:rsid w:val="004D7BDF"/>
    <w:rsid w:val="00517C32"/>
    <w:rsid w:val="0053047F"/>
    <w:rsid w:val="005648DC"/>
    <w:rsid w:val="005702D4"/>
    <w:rsid w:val="005741B7"/>
    <w:rsid w:val="005A12A3"/>
    <w:rsid w:val="005C73C3"/>
    <w:rsid w:val="00674663"/>
    <w:rsid w:val="006C2785"/>
    <w:rsid w:val="007800C5"/>
    <w:rsid w:val="007F4556"/>
    <w:rsid w:val="008037AD"/>
    <w:rsid w:val="0080467B"/>
    <w:rsid w:val="008279E6"/>
    <w:rsid w:val="008478D0"/>
    <w:rsid w:val="008E5510"/>
    <w:rsid w:val="008E6F4B"/>
    <w:rsid w:val="008F68AB"/>
    <w:rsid w:val="009809B6"/>
    <w:rsid w:val="009A3133"/>
    <w:rsid w:val="009F3A78"/>
    <w:rsid w:val="00A75BCF"/>
    <w:rsid w:val="00A90EB4"/>
    <w:rsid w:val="00AB0DD7"/>
    <w:rsid w:val="00AD50E4"/>
    <w:rsid w:val="00AE265E"/>
    <w:rsid w:val="00B231C3"/>
    <w:rsid w:val="00B441C7"/>
    <w:rsid w:val="00B96797"/>
    <w:rsid w:val="00BB71C5"/>
    <w:rsid w:val="00BE4D63"/>
    <w:rsid w:val="00C22EB8"/>
    <w:rsid w:val="00C31B2E"/>
    <w:rsid w:val="00C84DD1"/>
    <w:rsid w:val="00CB3C61"/>
    <w:rsid w:val="00D40842"/>
    <w:rsid w:val="00D841E5"/>
    <w:rsid w:val="00E306F2"/>
    <w:rsid w:val="00E52310"/>
    <w:rsid w:val="00E83E0D"/>
    <w:rsid w:val="00F1115B"/>
    <w:rsid w:val="00F63E8E"/>
    <w:rsid w:val="00F66C8A"/>
    <w:rsid w:val="00FE00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7D64"/>
  <w15:docId w15:val="{BC01C4D2-63A5-4FD6-B47F-B917B48A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F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s://www.fotocasa.es/indice/" TargetMode="External"/><Relationship Id="rId21" Type="http://schemas.openxmlformats.org/officeDocument/2006/relationships/hyperlink" Target="http://www.fotocasa.es" TargetMode="External"/><Relationship Id="rId34"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otocasa.es" TargetMode="External"/><Relationship Id="rId25" Type="http://schemas.openxmlformats.org/officeDocument/2006/relationships/hyperlink" Target="https://www.fotocasa.es" TargetMode="External"/><Relationship Id="rId33" Type="http://schemas.openxmlformats.org/officeDocument/2006/relationships/hyperlink" Target="mailto:rtorne@llorenteycuenca.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www.infojob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hyperlink" Target="http://prensa.fotocasa.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image" Target="media/image9.png"/><Relationship Id="rId28" Type="http://schemas.openxmlformats.org/officeDocument/2006/relationships/hyperlink" Target="http://www.fotocasa.es/" TargetMode="External"/><Relationship Id="rId36"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s://www.fotocasa.es" TargetMode="External"/><Relationship Id="rId31"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hyperlink" Target="https://s36360.pcdn.co/wp-content/uploads/2021/10/Informe-Radiografia-del-mercado-de-la-vivienda-en-el-segundo-semestre.pdf" TargetMode="External"/><Relationship Id="rId14" Type="http://schemas.openxmlformats.org/officeDocument/2006/relationships/image" Target="media/image5.png"/><Relationship Id="rId22" Type="http://schemas.openxmlformats.org/officeDocument/2006/relationships/hyperlink" Target="https://www.fotocasa.es" TargetMode="External"/><Relationship Id="rId27" Type="http://schemas.openxmlformats.org/officeDocument/2006/relationships/hyperlink" Target="https://www.fotocasa.es/es/quienes-somos/" TargetMode="External"/><Relationship Id="rId30" Type="http://schemas.openxmlformats.org/officeDocument/2006/relationships/hyperlink" Target="https://www.coches.net/" TargetMode="External"/><Relationship Id="rId35" Type="http://schemas.openxmlformats.org/officeDocument/2006/relationships/hyperlink" Target="mailto:emerino@llorenteycuenca.com"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3gV6JSqHroH2wbfw0jFxoBAX8A==">AMUW2mWeAt0guIKdocF9vG1NNguV4Ag+vM0gtnZgnoodE4iB4WCML/xZO8HhID+suk75xSjQNMlwv1u/gLi7PP6klSjB8Z0BZAygclVGc4EODkqWOYkGweM0ygdq4dbGGKG+kxL+nx7Q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13</Pages>
  <Words>2674</Words>
  <Characters>14708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43</cp:revision>
  <dcterms:created xsi:type="dcterms:W3CDTF">2021-05-04T14:46:00Z</dcterms:created>
  <dcterms:modified xsi:type="dcterms:W3CDTF">2021-11-01T17:40:00Z</dcterms:modified>
</cp:coreProperties>
</file>