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7212F" w14:textId="77777777" w:rsidR="00274A22" w:rsidRDefault="00037252">
      <w:pPr>
        <w:ind w:right="-574"/>
      </w:pPr>
      <w:r>
        <w:rPr>
          <w:noProof/>
        </w:rPr>
        <w:drawing>
          <wp:anchor distT="0" distB="0" distL="114300" distR="114300" simplePos="0" relativeHeight="251658240" behindDoc="0" locked="0" layoutInCell="1" hidden="0" allowOverlap="1" wp14:anchorId="014499FB" wp14:editId="3FD3DC38">
            <wp:simplePos x="0" y="0"/>
            <wp:positionH relativeFrom="column">
              <wp:posOffset>-1078855</wp:posOffset>
            </wp:positionH>
            <wp:positionV relativeFrom="paragraph">
              <wp:posOffset>-350443</wp:posOffset>
            </wp:positionV>
            <wp:extent cx="7581265" cy="1019175"/>
            <wp:effectExtent l="0" t="0" r="0" b="0"/>
            <wp:wrapNone/>
            <wp:docPr id="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4EF0E9B5" w14:textId="77777777" w:rsidR="00274A22" w:rsidRDefault="00274A22">
      <w:pPr>
        <w:ind w:right="-574"/>
        <w:jc w:val="right"/>
        <w:rPr>
          <w:rFonts w:ascii="National" w:eastAsia="National" w:hAnsi="National" w:cs="National"/>
          <w:color w:val="303AB2"/>
          <w:sz w:val="36"/>
          <w:szCs w:val="36"/>
        </w:rPr>
      </w:pPr>
    </w:p>
    <w:p w14:paraId="0B42923C" w14:textId="77777777" w:rsidR="00274A22" w:rsidRDefault="00274A22">
      <w:pPr>
        <w:ind w:right="-574"/>
        <w:jc w:val="right"/>
        <w:rPr>
          <w:rFonts w:ascii="National" w:eastAsia="National" w:hAnsi="National" w:cs="National"/>
          <w:color w:val="303AB2"/>
          <w:sz w:val="36"/>
          <w:szCs w:val="36"/>
        </w:rPr>
      </w:pPr>
    </w:p>
    <w:p w14:paraId="13F0B43B" w14:textId="77777777" w:rsidR="00274A22" w:rsidRDefault="00274A22">
      <w:pPr>
        <w:spacing w:line="276" w:lineRule="auto"/>
        <w:ind w:right="-574"/>
        <w:jc w:val="center"/>
        <w:rPr>
          <w:rFonts w:ascii="National" w:eastAsia="National" w:hAnsi="National" w:cs="National"/>
          <w:b/>
          <w:color w:val="1DBDC5"/>
          <w:sz w:val="20"/>
          <w:szCs w:val="20"/>
        </w:rPr>
      </w:pPr>
    </w:p>
    <w:p w14:paraId="143F0A43" w14:textId="77777777" w:rsidR="00274A22" w:rsidRDefault="00037252">
      <w:pPr>
        <w:spacing w:line="276" w:lineRule="auto"/>
        <w:ind w:right="-574"/>
        <w:jc w:val="center"/>
        <w:rPr>
          <w:rFonts w:ascii="National" w:eastAsia="National" w:hAnsi="National" w:cs="National"/>
          <w:b/>
          <w:color w:val="1DBDC5"/>
          <w:sz w:val="28"/>
          <w:szCs w:val="28"/>
        </w:rPr>
      </w:pPr>
      <w:r>
        <w:rPr>
          <w:rFonts w:ascii="National" w:eastAsia="National" w:hAnsi="National" w:cs="National"/>
          <w:b/>
          <w:color w:val="1DBDC5"/>
          <w:sz w:val="28"/>
          <w:szCs w:val="28"/>
        </w:rPr>
        <w:t>PERFIL DEL HIPOTECADO ESPAÑOL EN 2021</w:t>
      </w:r>
    </w:p>
    <w:p w14:paraId="5179631D" w14:textId="77777777" w:rsidR="00274A22" w:rsidRDefault="00037252">
      <w:pPr>
        <w:shd w:val="clear" w:color="auto" w:fill="FFFFFF"/>
        <w:ind w:right="-574"/>
        <w:jc w:val="center"/>
        <w:rPr>
          <w:rFonts w:ascii="National" w:eastAsia="National" w:hAnsi="National" w:cs="National"/>
          <w:b/>
          <w:color w:val="303AB2"/>
          <w:sz w:val="46"/>
          <w:szCs w:val="46"/>
        </w:rPr>
      </w:pPr>
      <w:r>
        <w:rPr>
          <w:rFonts w:ascii="National" w:eastAsia="National" w:hAnsi="National" w:cs="National"/>
          <w:b/>
          <w:color w:val="303AB2"/>
          <w:sz w:val="46"/>
          <w:szCs w:val="46"/>
        </w:rPr>
        <w:t>La hipoteca a tipo fijo al alza: casi el 60% de los compradores ya optan por ella</w:t>
      </w:r>
    </w:p>
    <w:p w14:paraId="38DC20E8" w14:textId="77777777" w:rsidR="00274A22" w:rsidRDefault="00274A22">
      <w:pPr>
        <w:pBdr>
          <w:top w:val="nil"/>
          <w:left w:val="nil"/>
          <w:bottom w:val="nil"/>
          <w:right w:val="nil"/>
          <w:between w:val="nil"/>
        </w:pBdr>
        <w:spacing w:line="276" w:lineRule="auto"/>
        <w:ind w:left="644" w:right="-574"/>
        <w:jc w:val="both"/>
        <w:rPr>
          <w:rFonts w:ascii="Open Sans" w:eastAsia="Open Sans" w:hAnsi="Open Sans" w:cs="Open Sans"/>
          <w:color w:val="000000"/>
          <w:sz w:val="22"/>
          <w:szCs w:val="22"/>
          <w:highlight w:val="yellow"/>
        </w:rPr>
      </w:pPr>
    </w:p>
    <w:p w14:paraId="6FE74828" w14:textId="77777777" w:rsidR="00274A22" w:rsidRDefault="00037252">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sz w:val="22"/>
          <w:szCs w:val="22"/>
        </w:rPr>
        <w:t>En 4 años la preferencia por el interés fijo hipotecario ha aumentado en 24 puntos porcentuales</w:t>
      </w:r>
    </w:p>
    <w:p w14:paraId="16C82B9B" w14:textId="77777777" w:rsidR="00274A22" w:rsidRDefault="00037252">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La opción variable representa al 26% de compradores y la mixta permanece estable con un 5%</w:t>
      </w:r>
    </w:p>
    <w:p w14:paraId="183DA391" w14:textId="77777777" w:rsidR="00274A22" w:rsidRDefault="00037252">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La media de las solicitudes: el 66 % del precio de la vivienda en un plazo de hasta 30 años</w:t>
      </w:r>
    </w:p>
    <w:p w14:paraId="0FB8A561" w14:textId="4427A119" w:rsidR="00274A22" w:rsidRPr="008A5FBA" w:rsidRDefault="00037252">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sz w:val="22"/>
          <w:szCs w:val="22"/>
        </w:rPr>
        <w:t>Tres de cada cuatro se consideran bien informados de las condiciones que han adquirido</w:t>
      </w:r>
    </w:p>
    <w:p w14:paraId="3F5C226F" w14:textId="034584E0" w:rsidR="008A5FBA" w:rsidRDefault="008A5FBA">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hyperlink r:id="rId9" w:history="1">
        <w:r w:rsidRPr="008A5FBA">
          <w:rPr>
            <w:rStyle w:val="Hipervnculo"/>
            <w:rFonts w:ascii="Open Sans" w:eastAsia="Open Sans" w:hAnsi="Open Sans" w:cs="Open Sans"/>
            <w:sz w:val="22"/>
            <w:szCs w:val="22"/>
          </w:rPr>
          <w:t>Aquí se puede ver una valoración en vídeo</w:t>
        </w:r>
      </w:hyperlink>
      <w:r>
        <w:rPr>
          <w:rFonts w:ascii="Open Sans" w:eastAsia="Open Sans" w:hAnsi="Open Sans" w:cs="Open Sans"/>
          <w:sz w:val="22"/>
          <w:szCs w:val="22"/>
        </w:rPr>
        <w:t xml:space="preserve"> de la directora de Estudios de Fotocasa</w:t>
      </w:r>
    </w:p>
    <w:p w14:paraId="39AD3A74" w14:textId="77777777" w:rsidR="00274A22" w:rsidRDefault="00274A22">
      <w:pPr>
        <w:spacing w:line="276" w:lineRule="auto"/>
        <w:ind w:right="-574"/>
        <w:rPr>
          <w:rFonts w:ascii="Open Sans" w:eastAsia="Open Sans" w:hAnsi="Open Sans" w:cs="Open Sans"/>
          <w:sz w:val="22"/>
          <w:szCs w:val="22"/>
        </w:rPr>
      </w:pPr>
    </w:p>
    <w:p w14:paraId="45A8412B" w14:textId="51059281" w:rsidR="00274A22" w:rsidRDefault="00037252">
      <w:pPr>
        <w:spacing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Madrid, </w:t>
      </w:r>
      <w:r w:rsidR="00A557D0">
        <w:rPr>
          <w:rFonts w:ascii="Open Sans Light" w:eastAsia="Open Sans Light" w:hAnsi="Open Sans Light" w:cs="Open Sans Light"/>
          <w:b/>
          <w:color w:val="303AB2"/>
        </w:rPr>
        <w:t>3 de diciembre</w:t>
      </w:r>
      <w:r>
        <w:rPr>
          <w:rFonts w:ascii="Open Sans Light" w:eastAsia="Open Sans Light" w:hAnsi="Open Sans Light" w:cs="Open Sans Light"/>
          <w:b/>
          <w:color w:val="303AB2"/>
        </w:rPr>
        <w:t xml:space="preserve"> de 2021</w:t>
      </w:r>
    </w:p>
    <w:p w14:paraId="5DD24E81" w14:textId="77777777" w:rsidR="008A5FBA" w:rsidRDefault="008A5FBA">
      <w:pPr>
        <w:spacing w:line="276" w:lineRule="auto"/>
        <w:ind w:right="-574"/>
        <w:rPr>
          <w:rFonts w:ascii="Open Sans Light" w:eastAsia="Open Sans Light" w:hAnsi="Open Sans Light" w:cs="Open Sans Light"/>
          <w:b/>
          <w:color w:val="303AB2"/>
        </w:rPr>
      </w:pPr>
    </w:p>
    <w:p w14:paraId="62D8DDF8" w14:textId="77777777" w:rsidR="00274A22" w:rsidRDefault="00037252">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Cuando se va a pedir una hipoteca, la opción preferida por los solicitantes es la hipoteca a tipo fijo. </w:t>
      </w:r>
      <w:r>
        <w:rPr>
          <w:rFonts w:ascii="Open Sans" w:eastAsia="Open Sans" w:hAnsi="Open Sans" w:cs="Open Sans"/>
          <w:b/>
          <w:sz w:val="22"/>
          <w:szCs w:val="22"/>
        </w:rPr>
        <w:t>Un 59 % de los compradores que requieren de un crédito bancario optan, de entrada, por el interés fijo</w:t>
      </w:r>
      <w:r>
        <w:rPr>
          <w:rFonts w:ascii="Open Sans" w:eastAsia="Open Sans" w:hAnsi="Open Sans" w:cs="Open Sans"/>
          <w:sz w:val="22"/>
          <w:szCs w:val="22"/>
        </w:rPr>
        <w:t>. Es una de las principales conclusiones que se desprenden del informe “</w:t>
      </w:r>
      <w:sdt>
        <w:sdtPr>
          <w:tag w:val="goog_rdk_0"/>
          <w:id w:val="175162285"/>
        </w:sdtPr>
        <w:sdtEndPr/>
        <w:sdtContent/>
      </w:sdt>
      <w:r>
        <w:rPr>
          <w:rFonts w:ascii="Open Sans" w:eastAsia="Open Sans" w:hAnsi="Open Sans" w:cs="Open Sans"/>
          <w:b/>
          <w:sz w:val="22"/>
          <w:szCs w:val="22"/>
        </w:rPr>
        <w:t>Perfil del hipotecado español</w:t>
      </w:r>
      <w:r>
        <w:rPr>
          <w:rFonts w:ascii="Open Sans" w:eastAsia="Open Sans" w:hAnsi="Open Sans" w:cs="Open Sans"/>
          <w:sz w:val="22"/>
          <w:szCs w:val="22"/>
        </w:rPr>
        <w:t xml:space="preserve">” elaborado por </w:t>
      </w:r>
      <w:hyperlink r:id="rId10">
        <w:r>
          <w:rPr>
            <w:rFonts w:ascii="Open Sans" w:eastAsia="Open Sans" w:hAnsi="Open Sans" w:cs="Open Sans"/>
            <w:color w:val="0000FF"/>
            <w:sz w:val="22"/>
            <w:szCs w:val="22"/>
            <w:u w:val="single"/>
          </w:rPr>
          <w:t>Fotocasa</w:t>
        </w:r>
      </w:hyperlink>
      <w:r>
        <w:rPr>
          <w:rFonts w:ascii="Open Sans" w:eastAsia="Open Sans" w:hAnsi="Open Sans" w:cs="Open Sans"/>
          <w:color w:val="0000FF"/>
          <w:sz w:val="22"/>
          <w:szCs w:val="22"/>
        </w:rPr>
        <w:t xml:space="preserve"> </w:t>
      </w:r>
      <w:r>
        <w:rPr>
          <w:rFonts w:ascii="Open Sans" w:eastAsia="Open Sans" w:hAnsi="Open Sans" w:cs="Open Sans"/>
          <w:sz w:val="22"/>
          <w:szCs w:val="22"/>
        </w:rPr>
        <w:t>para analizar a fondo los cambios que ha ocasionado la pandemia a la hora de recurrir a la financiación para comprar una vivienda.</w:t>
      </w:r>
    </w:p>
    <w:p w14:paraId="34C85AA5" w14:textId="77777777" w:rsidR="00274A22" w:rsidRDefault="00274A22">
      <w:pPr>
        <w:spacing w:line="276" w:lineRule="auto"/>
        <w:ind w:right="-574"/>
        <w:jc w:val="both"/>
        <w:rPr>
          <w:rFonts w:ascii="Open Sans" w:eastAsia="Open Sans" w:hAnsi="Open Sans" w:cs="Open Sans"/>
          <w:sz w:val="22"/>
          <w:szCs w:val="22"/>
        </w:rPr>
      </w:pPr>
    </w:p>
    <w:p w14:paraId="054A46D5" w14:textId="77777777" w:rsidR="00274A22" w:rsidRDefault="00037252">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El tipo fijo es una opción que cada vez cobra más peso: en 2020 eran un 52 % los que se decantaban por ella. Si se echa la vista algo más atrás, la diferencia aún es mayor: en 2017, los que preferían una hipoteca a tipo fijo eran el 35 %. </w:t>
      </w:r>
    </w:p>
    <w:p w14:paraId="0D8C1985" w14:textId="77777777" w:rsidR="00274A22" w:rsidRDefault="00274A22">
      <w:pPr>
        <w:spacing w:line="276" w:lineRule="auto"/>
        <w:ind w:right="-574"/>
        <w:jc w:val="both"/>
        <w:rPr>
          <w:rFonts w:ascii="Open Sans" w:eastAsia="Open Sans" w:hAnsi="Open Sans" w:cs="Open Sans"/>
          <w:sz w:val="22"/>
          <w:szCs w:val="22"/>
        </w:rPr>
      </w:pPr>
    </w:p>
    <w:p w14:paraId="52BBC960" w14:textId="77777777" w:rsidR="00274A22" w:rsidRDefault="00037252">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Este crecimiento es, lógicamente, equivalente a la caída de compradores que prefieren </w:t>
      </w:r>
      <w:r>
        <w:rPr>
          <w:rFonts w:ascii="Open Sans" w:eastAsia="Open Sans" w:hAnsi="Open Sans" w:cs="Open Sans"/>
          <w:b/>
          <w:sz w:val="22"/>
          <w:szCs w:val="22"/>
        </w:rPr>
        <w:t>las hipotecas variables: actualmente son el 26 %</w:t>
      </w:r>
      <w:r>
        <w:rPr>
          <w:rFonts w:ascii="Open Sans" w:eastAsia="Open Sans" w:hAnsi="Open Sans" w:cs="Open Sans"/>
          <w:sz w:val="22"/>
          <w:szCs w:val="22"/>
        </w:rPr>
        <w:t xml:space="preserve"> y hace un año representaban al 32 %. Sin embargo, </w:t>
      </w:r>
      <w:r>
        <w:rPr>
          <w:rFonts w:ascii="Open Sans" w:eastAsia="Open Sans" w:hAnsi="Open Sans" w:cs="Open Sans"/>
          <w:b/>
          <w:sz w:val="22"/>
          <w:szCs w:val="22"/>
        </w:rPr>
        <w:t>la hipoteca mixta, que es la opción menos frecuente, permanece estable</w:t>
      </w:r>
      <w:r>
        <w:rPr>
          <w:rFonts w:ascii="Open Sans" w:eastAsia="Open Sans" w:hAnsi="Open Sans" w:cs="Open Sans"/>
          <w:sz w:val="22"/>
          <w:szCs w:val="22"/>
        </w:rPr>
        <w:t xml:space="preserve">: en el último año, la han pedido un 5 % de los compradores, igual que sucedió en 2020. </w:t>
      </w:r>
    </w:p>
    <w:p w14:paraId="09293B59" w14:textId="77777777" w:rsidR="00274A22" w:rsidRDefault="00274A22">
      <w:pPr>
        <w:spacing w:line="276" w:lineRule="auto"/>
        <w:ind w:right="-574"/>
        <w:jc w:val="both"/>
        <w:rPr>
          <w:rFonts w:ascii="Open Sans" w:eastAsia="Open Sans" w:hAnsi="Open Sans" w:cs="Open Sans"/>
          <w:sz w:val="22"/>
          <w:szCs w:val="22"/>
        </w:rPr>
      </w:pPr>
    </w:p>
    <w:p w14:paraId="0DD68626" w14:textId="2B17CC83" w:rsidR="00274A22" w:rsidRDefault="00037252">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lastRenderedPageBreak/>
        <w:t xml:space="preserve">“Este impulso por los créditos hipotecarios de tipo fijo es la consecuencia de la batalla hipotecaria que están librando las entidades financieras al intentar competir contra los niveles del Euríbor. Este año, hemos visto bajadas históricas en el precio de las tasas de interés aplicadas a créditos y préstamos, lo que ha estimulado que los ciudadanos hayan escogido esta opción a muy buenos precios. También se hace necesario destacar las tendencias de fondo de los últimos años, que no sólo no han cambiado de signo, sino que se han acentuado, como la mayor comprensión de los documentos relativos a la hipoteca que se firman, o la disminución constante de los créditos por el 100 % del valor del inmueble hasta su práctica desaparición”, explica María Matos, directora de Estudios y portavoz de </w:t>
      </w:r>
      <w:hyperlink r:id="rId11">
        <w:r>
          <w:rPr>
            <w:rFonts w:ascii="Open Sans" w:eastAsia="Open Sans" w:hAnsi="Open Sans" w:cs="Open Sans"/>
            <w:color w:val="0000FF"/>
            <w:sz w:val="22"/>
            <w:szCs w:val="22"/>
            <w:u w:val="single"/>
          </w:rPr>
          <w:t>Fotocasa</w:t>
        </w:r>
      </w:hyperlink>
      <w:r>
        <w:rPr>
          <w:rFonts w:ascii="Open Sans" w:eastAsia="Open Sans" w:hAnsi="Open Sans" w:cs="Open Sans"/>
          <w:sz w:val="22"/>
          <w:szCs w:val="22"/>
        </w:rPr>
        <w:t>.</w:t>
      </w:r>
    </w:p>
    <w:p w14:paraId="4B0D8825" w14:textId="612CC303" w:rsidR="00F24E93" w:rsidRDefault="00F24E93">
      <w:pPr>
        <w:spacing w:line="276" w:lineRule="auto"/>
        <w:ind w:right="-574"/>
        <w:jc w:val="both"/>
        <w:rPr>
          <w:rFonts w:ascii="Open Sans" w:eastAsia="Open Sans" w:hAnsi="Open Sans" w:cs="Open Sans"/>
          <w:sz w:val="22"/>
          <w:szCs w:val="22"/>
        </w:rPr>
      </w:pPr>
    </w:p>
    <w:p w14:paraId="0D42468D" w14:textId="12E2CF7C" w:rsidR="00F24E93" w:rsidRDefault="00F24E93">
      <w:pPr>
        <w:spacing w:line="276" w:lineRule="auto"/>
        <w:ind w:right="-574"/>
        <w:jc w:val="both"/>
        <w:rPr>
          <w:rFonts w:ascii="Open Sans" w:eastAsia="Open Sans" w:hAnsi="Open Sans" w:cs="Open Sans"/>
          <w:sz w:val="22"/>
          <w:szCs w:val="22"/>
        </w:rPr>
      </w:pPr>
      <w:r>
        <w:rPr>
          <w:noProof/>
        </w:rPr>
        <w:drawing>
          <wp:inline distT="0" distB="0" distL="0" distR="0" wp14:anchorId="7D6C9CEC" wp14:editId="56F4F74C">
            <wp:extent cx="5617743" cy="3124200"/>
            <wp:effectExtent l="0" t="0" r="2540" b="0"/>
            <wp:docPr id="1" name="Imagen 1" descr="Interfaz de usuario gráfica, Aplicación, Teams&#10;&#10;Descripción generada automáticament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 Teams&#10;&#10;Descripción generada automáticamente">
                      <a:hlinkClick r:id="rId9"/>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2154" cy="3126653"/>
                    </a:xfrm>
                    <a:prstGeom prst="rect">
                      <a:avLst/>
                    </a:prstGeom>
                    <a:noFill/>
                    <a:ln>
                      <a:noFill/>
                    </a:ln>
                  </pic:spPr>
                </pic:pic>
              </a:graphicData>
            </a:graphic>
          </wp:inline>
        </w:drawing>
      </w:r>
    </w:p>
    <w:p w14:paraId="79E517D9" w14:textId="77777777" w:rsidR="00274A22" w:rsidRDefault="00274A22">
      <w:pPr>
        <w:spacing w:line="276" w:lineRule="auto"/>
        <w:ind w:right="-574"/>
        <w:jc w:val="both"/>
        <w:rPr>
          <w:rFonts w:ascii="Open Sans" w:eastAsia="Open Sans" w:hAnsi="Open Sans" w:cs="Open Sans"/>
          <w:sz w:val="22"/>
          <w:szCs w:val="22"/>
        </w:rPr>
      </w:pPr>
    </w:p>
    <w:p w14:paraId="64D0DAF0" w14:textId="7DB827FC" w:rsidR="00274A22" w:rsidRDefault="00037252">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Cuando se trata de los motivos que llevan a cada particular a, inicialmente, solicitar un tipo de hipoteca u otro, existen algunas diferencias. </w:t>
      </w:r>
    </w:p>
    <w:p w14:paraId="5968EAE8" w14:textId="77777777" w:rsidR="00F24E93" w:rsidRDefault="00F24E93" w:rsidP="00F24E93">
      <w:pPr>
        <w:spacing w:line="276" w:lineRule="auto"/>
        <w:ind w:right="-574"/>
        <w:jc w:val="both"/>
        <w:rPr>
          <w:rFonts w:ascii="Open Sans" w:eastAsia="Open Sans" w:hAnsi="Open Sans" w:cs="Open Sans"/>
          <w:sz w:val="22"/>
          <w:szCs w:val="22"/>
        </w:rPr>
      </w:pPr>
    </w:p>
    <w:p w14:paraId="4AFEF5B3" w14:textId="028F958D" w:rsidR="00F24E93" w:rsidRDefault="00F24E93" w:rsidP="00F24E93">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Para aquellos que se decantan por el interés fijo, </w:t>
      </w:r>
      <w:r>
        <w:rPr>
          <w:rFonts w:ascii="Open Sans" w:eastAsia="Open Sans" w:hAnsi="Open Sans" w:cs="Open Sans"/>
          <w:b/>
          <w:sz w:val="22"/>
          <w:szCs w:val="22"/>
        </w:rPr>
        <w:t>lo más importante es la estabilidad y seguridad que otorgan este tipo de créditos</w:t>
      </w:r>
      <w:r>
        <w:rPr>
          <w:rFonts w:ascii="Open Sans" w:eastAsia="Open Sans" w:hAnsi="Open Sans" w:cs="Open Sans"/>
          <w:sz w:val="22"/>
          <w:szCs w:val="22"/>
        </w:rPr>
        <w:t xml:space="preserve">. De hecho, es un argumento compartido por el 64 % de ellos. Seguidamente, un 24 % considera que se adapta mejor a sus necesidades y un 16 % que ofrece mejores condiciones. </w:t>
      </w:r>
    </w:p>
    <w:p w14:paraId="1CE2FC8A" w14:textId="77777777" w:rsidR="00F24E93" w:rsidRDefault="00F24E93">
      <w:pPr>
        <w:spacing w:line="276" w:lineRule="auto"/>
        <w:ind w:right="-574"/>
        <w:jc w:val="both"/>
        <w:rPr>
          <w:rFonts w:ascii="Open Sans" w:eastAsia="Open Sans" w:hAnsi="Open Sans" w:cs="Open Sans"/>
          <w:sz w:val="22"/>
          <w:szCs w:val="22"/>
        </w:rPr>
      </w:pPr>
    </w:p>
    <w:p w14:paraId="3C40D83F" w14:textId="2908B854" w:rsidR="00274A22" w:rsidRDefault="00037252">
      <w:pPr>
        <w:spacing w:line="276" w:lineRule="auto"/>
        <w:ind w:right="-574"/>
        <w:jc w:val="both"/>
        <w:rPr>
          <w:rFonts w:ascii="Open Sans" w:eastAsia="Open Sans" w:hAnsi="Open Sans" w:cs="Open Sans"/>
          <w:sz w:val="22"/>
          <w:szCs w:val="22"/>
        </w:rPr>
      </w:pPr>
      <w:r>
        <w:rPr>
          <w:rFonts w:ascii="Open Sans Light" w:eastAsia="Open Sans Light" w:hAnsi="Open Sans Light" w:cs="Open Sans Light"/>
          <w:b/>
          <w:noProof/>
          <w:color w:val="303AB2"/>
          <w:sz w:val="26"/>
          <w:szCs w:val="26"/>
        </w:rPr>
        <w:lastRenderedPageBreak/>
        <w:drawing>
          <wp:inline distT="114300" distB="114300" distL="114300" distR="114300" wp14:anchorId="3DB4265D" wp14:editId="15C72C38">
            <wp:extent cx="5743575" cy="3590925"/>
            <wp:effectExtent l="0" t="0" r="0" b="9525"/>
            <wp:docPr id="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r="-1638"/>
                    <a:stretch>
                      <a:fillRect/>
                    </a:stretch>
                  </pic:blipFill>
                  <pic:spPr>
                    <a:xfrm>
                      <a:off x="0" y="0"/>
                      <a:ext cx="5743575" cy="3590925"/>
                    </a:xfrm>
                    <a:prstGeom prst="rect">
                      <a:avLst/>
                    </a:prstGeom>
                    <a:ln/>
                  </pic:spPr>
                </pic:pic>
              </a:graphicData>
            </a:graphic>
          </wp:inline>
        </w:drawing>
      </w:r>
    </w:p>
    <w:p w14:paraId="1731F029" w14:textId="77777777" w:rsidR="00274A22" w:rsidRDefault="00274A22">
      <w:pPr>
        <w:spacing w:line="276" w:lineRule="auto"/>
        <w:ind w:right="-574"/>
        <w:jc w:val="both"/>
        <w:rPr>
          <w:rFonts w:ascii="Open Sans" w:eastAsia="Open Sans" w:hAnsi="Open Sans" w:cs="Open Sans"/>
          <w:sz w:val="22"/>
          <w:szCs w:val="22"/>
        </w:rPr>
      </w:pPr>
    </w:p>
    <w:p w14:paraId="71D70B11" w14:textId="77777777" w:rsidR="00274A22" w:rsidRDefault="00037252">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En el lado de las hipotecas variables, </w:t>
      </w:r>
      <w:r>
        <w:rPr>
          <w:rFonts w:ascii="Open Sans" w:eastAsia="Open Sans" w:hAnsi="Open Sans" w:cs="Open Sans"/>
          <w:b/>
          <w:sz w:val="22"/>
          <w:szCs w:val="22"/>
        </w:rPr>
        <w:t>la tendencia estable o a la baja del euríbor es lo que animó al 41 % de los particulares que la solicitaron</w:t>
      </w:r>
      <w:r>
        <w:rPr>
          <w:rFonts w:ascii="Open Sans" w:eastAsia="Open Sans" w:hAnsi="Open Sans" w:cs="Open Sans"/>
          <w:sz w:val="22"/>
          <w:szCs w:val="22"/>
        </w:rPr>
        <w:t xml:space="preserve">. Seguidamente, un 28 % opina que le ofrece mejores condiciones y un 26 % cree que se adapta mejor a sus necesidades. </w:t>
      </w:r>
    </w:p>
    <w:p w14:paraId="61D07187" w14:textId="77777777" w:rsidR="00274A22" w:rsidRDefault="00274A22">
      <w:pPr>
        <w:spacing w:line="276" w:lineRule="auto"/>
        <w:ind w:right="-574"/>
        <w:jc w:val="both"/>
        <w:rPr>
          <w:rFonts w:ascii="Open Sans" w:eastAsia="Open Sans" w:hAnsi="Open Sans" w:cs="Open Sans"/>
          <w:sz w:val="22"/>
          <w:szCs w:val="22"/>
        </w:rPr>
      </w:pPr>
    </w:p>
    <w:p w14:paraId="14A026AE" w14:textId="77777777" w:rsidR="00274A22" w:rsidRDefault="00037252">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Una de las noticias positivas para los solicitantes de hipotecas es que, por lo general, consiguen el tipo de hipoteca que inicialmente querían. El tipo de préstamo hipotecario más concedido es el de interés fijo (65 %), seguido </w:t>
      </w:r>
      <w:proofErr w:type="gramStart"/>
      <w:r>
        <w:rPr>
          <w:rFonts w:ascii="Open Sans" w:eastAsia="Open Sans" w:hAnsi="Open Sans" w:cs="Open Sans"/>
          <w:sz w:val="22"/>
          <w:szCs w:val="22"/>
        </w:rPr>
        <w:t>del variable</w:t>
      </w:r>
      <w:proofErr w:type="gramEnd"/>
      <w:r>
        <w:rPr>
          <w:rFonts w:ascii="Open Sans" w:eastAsia="Open Sans" w:hAnsi="Open Sans" w:cs="Open Sans"/>
          <w:sz w:val="22"/>
          <w:szCs w:val="22"/>
        </w:rPr>
        <w:t xml:space="preserve"> (27 %) y de las hipotecas mixtas (8 %).</w:t>
      </w:r>
    </w:p>
    <w:p w14:paraId="03CB7A53" w14:textId="77777777" w:rsidR="00274A22" w:rsidRDefault="00274A22">
      <w:pPr>
        <w:spacing w:line="276" w:lineRule="auto"/>
        <w:ind w:right="-574"/>
        <w:jc w:val="both"/>
        <w:rPr>
          <w:rFonts w:ascii="Open Sans" w:eastAsia="Open Sans" w:hAnsi="Open Sans" w:cs="Open Sans"/>
          <w:sz w:val="22"/>
          <w:szCs w:val="22"/>
        </w:rPr>
      </w:pPr>
    </w:p>
    <w:p w14:paraId="302081FE" w14:textId="77777777" w:rsidR="00274A22" w:rsidRDefault="00037252">
      <w:pPr>
        <w:spacing w:line="276" w:lineRule="auto"/>
        <w:ind w:right="-574"/>
        <w:jc w:val="both"/>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t>Cuánto se solicita y durante cuánto tiempo</w:t>
      </w:r>
    </w:p>
    <w:p w14:paraId="6A27BDD2" w14:textId="77777777" w:rsidR="00274A22" w:rsidRDefault="00274A22">
      <w:pPr>
        <w:spacing w:line="276" w:lineRule="auto"/>
        <w:ind w:right="-574"/>
        <w:jc w:val="both"/>
        <w:rPr>
          <w:rFonts w:ascii="Open Sans Light" w:eastAsia="Open Sans Light" w:hAnsi="Open Sans Light" w:cs="Open Sans Light"/>
          <w:b/>
          <w:color w:val="303AB2"/>
          <w:sz w:val="26"/>
          <w:szCs w:val="26"/>
        </w:rPr>
      </w:pPr>
    </w:p>
    <w:p w14:paraId="11AA053F" w14:textId="77777777" w:rsidR="00274A22" w:rsidRDefault="00037252">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Cuando </w:t>
      </w:r>
      <w:r>
        <w:rPr>
          <w:rFonts w:ascii="Open Sans" w:eastAsia="Open Sans" w:hAnsi="Open Sans" w:cs="Open Sans"/>
          <w:b/>
          <w:sz w:val="22"/>
          <w:szCs w:val="22"/>
        </w:rPr>
        <w:t>los solicitantes de hipoteca acuden al banco, no suelen hacerlo para pedir financiación por el coste total</w:t>
      </w:r>
      <w:r>
        <w:rPr>
          <w:rFonts w:ascii="Open Sans" w:eastAsia="Open Sans" w:hAnsi="Open Sans" w:cs="Open Sans"/>
          <w:sz w:val="22"/>
          <w:szCs w:val="22"/>
        </w:rPr>
        <w:t xml:space="preserve"> de la vivienda. De hecho, es una tendencia que va descendiendo paulatinamente: en 2020, eran un 8 % los que pedían una hipoteca del 100 % y en 2021 son el 5 %. </w:t>
      </w:r>
    </w:p>
    <w:p w14:paraId="42980134" w14:textId="77777777" w:rsidR="00274A22" w:rsidRDefault="00274A22">
      <w:pPr>
        <w:spacing w:line="276" w:lineRule="auto"/>
        <w:ind w:right="-574"/>
        <w:jc w:val="both"/>
        <w:rPr>
          <w:rFonts w:ascii="Open Sans" w:eastAsia="Open Sans" w:hAnsi="Open Sans" w:cs="Open Sans"/>
          <w:sz w:val="22"/>
          <w:szCs w:val="22"/>
        </w:rPr>
      </w:pPr>
    </w:p>
    <w:p w14:paraId="5C72EE06" w14:textId="77777777" w:rsidR="00274A22" w:rsidRDefault="00037252">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En este caso es una tendencia de largo recorrido: en 2017 eran hasta el 12 % de los hipotecados los que solicitaban un préstamo por el montante total de la compraventa y progresivamente ese porcentaje ha ido descendiendo hasta el 5 % actual. </w:t>
      </w:r>
    </w:p>
    <w:p w14:paraId="4022369E" w14:textId="77777777" w:rsidR="00274A22" w:rsidRDefault="00274A22">
      <w:pPr>
        <w:spacing w:line="276" w:lineRule="auto"/>
        <w:ind w:right="-574"/>
        <w:jc w:val="both"/>
        <w:rPr>
          <w:rFonts w:ascii="Open Sans" w:eastAsia="Open Sans" w:hAnsi="Open Sans" w:cs="Open Sans"/>
          <w:sz w:val="22"/>
          <w:szCs w:val="22"/>
        </w:rPr>
      </w:pPr>
    </w:p>
    <w:p w14:paraId="7B962E73" w14:textId="77777777" w:rsidR="00274A22" w:rsidRDefault="00037252">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lastRenderedPageBreak/>
        <w:t>De media, los particulares mayores de 18 años que quieren adquirir una vivienda a través de una hipoteca piden hasta un 66 % del precio. Es una cifra similar a la del año anterior cuando, de media, se pedían préstamos hipotecarios por un valor del 67 % de la vivienda.</w:t>
      </w:r>
    </w:p>
    <w:p w14:paraId="4B80F6ED" w14:textId="77777777" w:rsidR="00274A22" w:rsidRDefault="00274A22">
      <w:pPr>
        <w:spacing w:line="276" w:lineRule="auto"/>
        <w:ind w:right="-574"/>
        <w:jc w:val="both"/>
        <w:rPr>
          <w:rFonts w:ascii="Open Sans" w:eastAsia="Open Sans" w:hAnsi="Open Sans" w:cs="Open Sans"/>
          <w:sz w:val="22"/>
          <w:szCs w:val="22"/>
        </w:rPr>
      </w:pPr>
    </w:p>
    <w:p w14:paraId="2D8DB365" w14:textId="77777777" w:rsidR="00274A22" w:rsidRDefault="00037252">
      <w:pPr>
        <w:spacing w:line="276" w:lineRule="auto"/>
        <w:ind w:right="-574"/>
        <w:jc w:val="both"/>
        <w:rPr>
          <w:rFonts w:ascii="Open Sans" w:eastAsia="Open Sans" w:hAnsi="Open Sans" w:cs="Open Sans"/>
          <w:sz w:val="22"/>
          <w:szCs w:val="22"/>
        </w:rPr>
      </w:pPr>
      <w:r>
        <w:rPr>
          <w:rFonts w:ascii="Open Sans" w:eastAsia="Open Sans" w:hAnsi="Open Sans" w:cs="Open Sans"/>
          <w:noProof/>
          <w:sz w:val="22"/>
          <w:szCs w:val="22"/>
        </w:rPr>
        <w:drawing>
          <wp:inline distT="114300" distB="114300" distL="114300" distR="114300" wp14:anchorId="39301291" wp14:editId="04451574">
            <wp:extent cx="5811203" cy="2920656"/>
            <wp:effectExtent l="0" t="0" r="0" b="0"/>
            <wp:docPr id="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l="2376" r="3322"/>
                    <a:stretch>
                      <a:fillRect/>
                    </a:stretch>
                  </pic:blipFill>
                  <pic:spPr>
                    <a:xfrm>
                      <a:off x="0" y="0"/>
                      <a:ext cx="5811203" cy="2920656"/>
                    </a:xfrm>
                    <a:prstGeom prst="rect">
                      <a:avLst/>
                    </a:prstGeom>
                    <a:ln/>
                  </pic:spPr>
                </pic:pic>
              </a:graphicData>
            </a:graphic>
          </wp:inline>
        </w:drawing>
      </w:r>
    </w:p>
    <w:p w14:paraId="3028069B" w14:textId="77777777" w:rsidR="00274A22" w:rsidRDefault="00037252">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Otro aspecto que define las hipotecas y la planificación de los hipotecados es el plazo en el que se va a pagar. Y a este respecto no hay grandes cambios con respecto a los años anteriores. Así, los plazos más largos (por encima de los 30 años) se mantienen estables con los datos históricos: un 16 % de los compradores que se hipotecan superan ese plazo. </w:t>
      </w:r>
    </w:p>
    <w:p w14:paraId="0A9224C8" w14:textId="77777777" w:rsidR="00274A22" w:rsidRDefault="00037252">
      <w:pPr>
        <w:spacing w:line="276" w:lineRule="auto"/>
        <w:ind w:right="-574"/>
        <w:jc w:val="both"/>
        <w:rPr>
          <w:rFonts w:ascii="Open Sans" w:eastAsia="Open Sans" w:hAnsi="Open Sans" w:cs="Open Sans"/>
          <w:sz w:val="22"/>
          <w:szCs w:val="22"/>
        </w:rPr>
      </w:pPr>
      <w:r>
        <w:rPr>
          <w:rFonts w:ascii="Open Sans" w:eastAsia="Open Sans" w:hAnsi="Open Sans" w:cs="Open Sans"/>
          <w:noProof/>
          <w:sz w:val="22"/>
          <w:szCs w:val="22"/>
        </w:rPr>
        <w:drawing>
          <wp:inline distT="114300" distB="114300" distL="114300" distR="114300" wp14:anchorId="6954AF45" wp14:editId="70D4E9BE">
            <wp:extent cx="5887403" cy="2474890"/>
            <wp:effectExtent l="0" t="0" r="0" b="0"/>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l="1691" r="3068"/>
                    <a:stretch>
                      <a:fillRect/>
                    </a:stretch>
                  </pic:blipFill>
                  <pic:spPr>
                    <a:xfrm>
                      <a:off x="0" y="0"/>
                      <a:ext cx="5887403" cy="2474890"/>
                    </a:xfrm>
                    <a:prstGeom prst="rect">
                      <a:avLst/>
                    </a:prstGeom>
                    <a:ln/>
                  </pic:spPr>
                </pic:pic>
              </a:graphicData>
            </a:graphic>
          </wp:inline>
        </w:drawing>
      </w:r>
    </w:p>
    <w:p w14:paraId="2399B02D" w14:textId="77777777" w:rsidR="00274A22" w:rsidRDefault="00274A22">
      <w:pPr>
        <w:spacing w:line="276" w:lineRule="auto"/>
        <w:ind w:right="-574"/>
        <w:jc w:val="both"/>
        <w:rPr>
          <w:rFonts w:ascii="Open Sans" w:eastAsia="Open Sans" w:hAnsi="Open Sans" w:cs="Open Sans"/>
          <w:sz w:val="22"/>
          <w:szCs w:val="22"/>
        </w:rPr>
      </w:pPr>
    </w:p>
    <w:p w14:paraId="5A086592" w14:textId="77777777" w:rsidR="00274A22" w:rsidRDefault="00037252">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El grueso, sin embargo, se concentra entre los 20 y los 30 años de duración del préstamo: un 53 % en 2021 frente al 54 % de 2020. Sólo un 10 % se hipotecan por menos de 10 años. </w:t>
      </w:r>
    </w:p>
    <w:p w14:paraId="0F2D66DC" w14:textId="77777777" w:rsidR="00274A22" w:rsidRDefault="00274A22">
      <w:pPr>
        <w:spacing w:line="276" w:lineRule="auto"/>
        <w:ind w:right="-574"/>
        <w:rPr>
          <w:rFonts w:ascii="Open Sans Light" w:eastAsia="Open Sans Light" w:hAnsi="Open Sans Light" w:cs="Open Sans Light"/>
          <w:b/>
          <w:color w:val="303AB2"/>
          <w:sz w:val="26"/>
          <w:szCs w:val="26"/>
        </w:rPr>
      </w:pPr>
    </w:p>
    <w:p w14:paraId="243C3B32" w14:textId="77777777" w:rsidR="00F24E93" w:rsidRDefault="00F24E93">
      <w:pPr>
        <w:spacing w:line="276" w:lineRule="auto"/>
        <w:ind w:right="-574"/>
        <w:rPr>
          <w:rFonts w:ascii="Open Sans Light" w:eastAsia="Open Sans Light" w:hAnsi="Open Sans Light" w:cs="Open Sans Light"/>
          <w:b/>
          <w:color w:val="303AB2"/>
          <w:sz w:val="26"/>
          <w:szCs w:val="26"/>
        </w:rPr>
      </w:pPr>
    </w:p>
    <w:p w14:paraId="5BCFD113" w14:textId="4E94242A" w:rsidR="00274A22" w:rsidRDefault="00037252">
      <w:pPr>
        <w:spacing w:line="276" w:lineRule="auto"/>
        <w:ind w:right="-574"/>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lastRenderedPageBreak/>
        <w:t>¿Qué opinan sobre el mercado hipotecario?</w:t>
      </w:r>
    </w:p>
    <w:p w14:paraId="4E94A6DC" w14:textId="77777777" w:rsidR="00274A22" w:rsidRDefault="00274A22">
      <w:pPr>
        <w:spacing w:line="276" w:lineRule="auto"/>
        <w:ind w:right="-716"/>
        <w:jc w:val="both"/>
        <w:rPr>
          <w:rFonts w:ascii="Open Sans" w:eastAsia="Open Sans" w:hAnsi="Open Sans" w:cs="Open Sans"/>
          <w:sz w:val="22"/>
          <w:szCs w:val="22"/>
        </w:rPr>
      </w:pPr>
    </w:p>
    <w:p w14:paraId="37D22169" w14:textId="77777777" w:rsidR="00274A22" w:rsidRDefault="00037252">
      <w:pPr>
        <w:spacing w:line="276" w:lineRule="auto"/>
        <w:ind w:right="-716"/>
        <w:jc w:val="both"/>
        <w:rPr>
          <w:rFonts w:ascii="Open Sans" w:eastAsia="Open Sans" w:hAnsi="Open Sans" w:cs="Open Sans"/>
          <w:sz w:val="22"/>
          <w:szCs w:val="22"/>
        </w:rPr>
      </w:pPr>
      <w:r>
        <w:rPr>
          <w:rFonts w:ascii="Open Sans" w:eastAsia="Open Sans" w:hAnsi="Open Sans" w:cs="Open Sans"/>
          <w:sz w:val="22"/>
          <w:szCs w:val="22"/>
        </w:rPr>
        <w:t xml:space="preserve">El proceso de solicitud de una hipoteca, como todo el de compra de una vivienda, es largo y requiere analizar bien cada detalle para evitar problemas en el futuro. Aquellos particulares que se hipotecan son conscientes de esta situación y esto se refleja en un aumento significativo del conocimiento que se tiene sobre los trámites que se realizan y los documentos que se firman. </w:t>
      </w:r>
    </w:p>
    <w:p w14:paraId="13588AAB" w14:textId="77777777" w:rsidR="00274A22" w:rsidRDefault="00037252">
      <w:pPr>
        <w:spacing w:before="240" w:line="276" w:lineRule="auto"/>
        <w:ind w:right="-574"/>
        <w:jc w:val="both"/>
        <w:rPr>
          <w:rFonts w:ascii="Open Sans" w:eastAsia="Open Sans" w:hAnsi="Open Sans" w:cs="Open Sans"/>
          <w:sz w:val="22"/>
          <w:szCs w:val="22"/>
        </w:rPr>
      </w:pPr>
      <w:r>
        <w:rPr>
          <w:rFonts w:ascii="Open Sans" w:eastAsia="Open Sans" w:hAnsi="Open Sans" w:cs="Open Sans"/>
          <w:noProof/>
          <w:sz w:val="22"/>
          <w:szCs w:val="22"/>
        </w:rPr>
        <w:drawing>
          <wp:inline distT="114300" distB="114300" distL="114300" distR="114300" wp14:anchorId="33180BA5" wp14:editId="05B73481">
            <wp:extent cx="5819775" cy="1914525"/>
            <wp:effectExtent l="0" t="0" r="9525" b="9525"/>
            <wp:docPr id="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820675" cy="1914821"/>
                    </a:xfrm>
                    <a:prstGeom prst="rect">
                      <a:avLst/>
                    </a:prstGeom>
                    <a:ln/>
                  </pic:spPr>
                </pic:pic>
              </a:graphicData>
            </a:graphic>
          </wp:inline>
        </w:drawing>
      </w:r>
    </w:p>
    <w:p w14:paraId="46CC8D93" w14:textId="77777777" w:rsidR="00274A22" w:rsidRDefault="00274A22">
      <w:pPr>
        <w:spacing w:line="276" w:lineRule="auto"/>
        <w:ind w:right="-716"/>
        <w:jc w:val="both"/>
        <w:rPr>
          <w:rFonts w:ascii="Open Sans" w:eastAsia="Open Sans" w:hAnsi="Open Sans" w:cs="Open Sans"/>
          <w:sz w:val="22"/>
          <w:szCs w:val="22"/>
        </w:rPr>
      </w:pPr>
    </w:p>
    <w:p w14:paraId="306016DF" w14:textId="77777777" w:rsidR="00274A22" w:rsidRDefault="00037252">
      <w:pPr>
        <w:spacing w:line="276" w:lineRule="auto"/>
        <w:ind w:right="-716"/>
        <w:jc w:val="both"/>
        <w:rPr>
          <w:rFonts w:ascii="Open Sans" w:eastAsia="Open Sans" w:hAnsi="Open Sans" w:cs="Open Sans"/>
          <w:sz w:val="22"/>
          <w:szCs w:val="22"/>
        </w:rPr>
      </w:pPr>
      <w:r>
        <w:rPr>
          <w:rFonts w:ascii="Open Sans" w:eastAsia="Open Sans" w:hAnsi="Open Sans" w:cs="Open Sans"/>
          <w:b/>
          <w:sz w:val="22"/>
          <w:szCs w:val="22"/>
        </w:rPr>
        <w:t>Tres de cada cuatro de los que han comprado casa en los últimos doce meses mediante una hipoteca se consideran bien informados</w:t>
      </w:r>
      <w:r>
        <w:rPr>
          <w:rFonts w:ascii="Open Sans" w:eastAsia="Open Sans" w:hAnsi="Open Sans" w:cs="Open Sans"/>
          <w:sz w:val="22"/>
          <w:szCs w:val="22"/>
        </w:rPr>
        <w:t xml:space="preserve"> sobre lo que han firmado. Durante los últimos años, el conocimiento y la comprensión han ganado terreno entre los hipotecados: en 2017 un 59% de ellos afirmaba comprender bien todo lo relacionado con el contrato hipotecario y ese porcentaje, tras años de incrementos progresivos, es del 75 % en 2021. </w:t>
      </w:r>
    </w:p>
    <w:p w14:paraId="715A3403" w14:textId="77777777" w:rsidR="00274A22" w:rsidRDefault="00274A22">
      <w:pPr>
        <w:spacing w:line="276" w:lineRule="auto"/>
        <w:ind w:right="-716"/>
        <w:jc w:val="both"/>
        <w:rPr>
          <w:rFonts w:ascii="Open Sans" w:eastAsia="Open Sans" w:hAnsi="Open Sans" w:cs="Open Sans"/>
          <w:sz w:val="22"/>
          <w:szCs w:val="22"/>
        </w:rPr>
      </w:pPr>
    </w:p>
    <w:p w14:paraId="2C8A507A" w14:textId="77777777" w:rsidR="00274A22" w:rsidRDefault="00037252">
      <w:pPr>
        <w:spacing w:line="276" w:lineRule="auto"/>
        <w:ind w:right="-716"/>
        <w:jc w:val="both"/>
        <w:rPr>
          <w:rFonts w:ascii="Open Sans" w:eastAsia="Open Sans" w:hAnsi="Open Sans" w:cs="Open Sans"/>
          <w:sz w:val="22"/>
          <w:szCs w:val="22"/>
        </w:rPr>
      </w:pPr>
      <w:r>
        <w:rPr>
          <w:rFonts w:ascii="Open Sans" w:eastAsia="Open Sans" w:hAnsi="Open Sans" w:cs="Open Sans"/>
          <w:sz w:val="22"/>
          <w:szCs w:val="22"/>
        </w:rPr>
        <w:t xml:space="preserve">Otra idea que se refuerza positivamente es la de </w:t>
      </w:r>
      <w:r>
        <w:rPr>
          <w:rFonts w:ascii="Open Sans" w:eastAsia="Open Sans" w:hAnsi="Open Sans" w:cs="Open Sans"/>
          <w:b/>
          <w:sz w:val="22"/>
          <w:szCs w:val="22"/>
        </w:rPr>
        <w:t>la estabilidad que otorgan las hipotecas de tipo fijo en comparación con las de tipo variable</w:t>
      </w:r>
      <w:r>
        <w:rPr>
          <w:rFonts w:ascii="Open Sans" w:eastAsia="Open Sans" w:hAnsi="Open Sans" w:cs="Open Sans"/>
          <w:sz w:val="22"/>
          <w:szCs w:val="22"/>
        </w:rPr>
        <w:t xml:space="preserve">. Esta cuestión, que recibe una importancia media de 7,5 puntos sobre 10, es valorada positivamente por el 70 % (el 63 % en 2020). </w:t>
      </w:r>
    </w:p>
    <w:p w14:paraId="513E15B0" w14:textId="77777777" w:rsidR="00274A22" w:rsidRDefault="00274A22">
      <w:pPr>
        <w:spacing w:line="276" w:lineRule="auto"/>
        <w:ind w:right="-716"/>
        <w:jc w:val="both"/>
        <w:rPr>
          <w:rFonts w:ascii="Open Sans" w:eastAsia="Open Sans" w:hAnsi="Open Sans" w:cs="Open Sans"/>
          <w:sz w:val="22"/>
          <w:szCs w:val="22"/>
        </w:rPr>
      </w:pPr>
    </w:p>
    <w:p w14:paraId="55D2D1B6" w14:textId="77777777" w:rsidR="00274A22" w:rsidRDefault="00037252">
      <w:pPr>
        <w:spacing w:line="276" w:lineRule="auto"/>
        <w:ind w:right="-716"/>
        <w:jc w:val="both"/>
        <w:rPr>
          <w:rFonts w:ascii="Open Sans" w:eastAsia="Open Sans" w:hAnsi="Open Sans" w:cs="Open Sans"/>
          <w:sz w:val="22"/>
          <w:szCs w:val="22"/>
        </w:rPr>
      </w:pPr>
      <w:r>
        <w:rPr>
          <w:rFonts w:ascii="Open Sans" w:eastAsia="Open Sans" w:hAnsi="Open Sans" w:cs="Open Sans"/>
          <w:sz w:val="22"/>
          <w:szCs w:val="22"/>
        </w:rPr>
        <w:t xml:space="preserve">En relación con este asunto, uno de los aspectos que más se tiene en cuenta es el posible incremento de la cuota en las hipotecas variables si suben los tipos de interés. Es una cuestión que el 69 % considera antes de tomar una decisión. </w:t>
      </w:r>
    </w:p>
    <w:p w14:paraId="13C4059E" w14:textId="77777777" w:rsidR="00274A22" w:rsidRDefault="00274A22">
      <w:pPr>
        <w:spacing w:line="276" w:lineRule="auto"/>
        <w:ind w:right="-716"/>
        <w:jc w:val="both"/>
        <w:rPr>
          <w:rFonts w:ascii="Open Sans" w:eastAsia="Open Sans" w:hAnsi="Open Sans" w:cs="Open Sans"/>
          <w:sz w:val="22"/>
          <w:szCs w:val="22"/>
        </w:rPr>
      </w:pPr>
    </w:p>
    <w:p w14:paraId="62183159" w14:textId="77777777" w:rsidR="00274A22" w:rsidRDefault="00037252">
      <w:pPr>
        <w:spacing w:line="276" w:lineRule="auto"/>
        <w:ind w:right="-716"/>
        <w:jc w:val="both"/>
        <w:rPr>
          <w:rFonts w:ascii="Open Sans" w:eastAsia="Open Sans" w:hAnsi="Open Sans" w:cs="Open Sans"/>
          <w:sz w:val="22"/>
          <w:szCs w:val="22"/>
        </w:rPr>
      </w:pPr>
      <w:r>
        <w:rPr>
          <w:rFonts w:ascii="Open Sans" w:eastAsia="Open Sans" w:hAnsi="Open Sans" w:cs="Open Sans"/>
          <w:sz w:val="22"/>
          <w:szCs w:val="22"/>
        </w:rPr>
        <w:t xml:space="preserve">Y, pese a que se comprenden los trámites y documentos que hay que firmar, entre los solicitantes de hipoteca sigue existiendo la </w:t>
      </w:r>
      <w:r>
        <w:rPr>
          <w:rFonts w:ascii="Open Sans" w:eastAsia="Open Sans" w:hAnsi="Open Sans" w:cs="Open Sans"/>
          <w:b/>
          <w:sz w:val="22"/>
          <w:szCs w:val="22"/>
        </w:rPr>
        <w:t>sensación de que es un proceso difícil y engorroso</w:t>
      </w:r>
      <w:r>
        <w:rPr>
          <w:rFonts w:ascii="Open Sans" w:eastAsia="Open Sans" w:hAnsi="Open Sans" w:cs="Open Sans"/>
          <w:sz w:val="22"/>
          <w:szCs w:val="22"/>
        </w:rPr>
        <w:t xml:space="preserve">. Una afirmación que recibe una valoración media de 6,7 puntos sobre 10 entre aquellos que necesitan una hipoteca. </w:t>
      </w:r>
    </w:p>
    <w:p w14:paraId="49D93084" w14:textId="77777777" w:rsidR="00274A22" w:rsidRDefault="00274A22">
      <w:pPr>
        <w:spacing w:line="276" w:lineRule="auto"/>
        <w:ind w:right="-716"/>
        <w:jc w:val="both"/>
        <w:rPr>
          <w:rFonts w:ascii="Open Sans Light" w:eastAsia="Open Sans Light" w:hAnsi="Open Sans Light" w:cs="Open Sans Light"/>
          <w:b/>
          <w:color w:val="303AB2"/>
          <w:sz w:val="22"/>
          <w:szCs w:val="22"/>
        </w:rPr>
      </w:pPr>
    </w:p>
    <w:p w14:paraId="2C27038F" w14:textId="77777777" w:rsidR="00274A22" w:rsidRDefault="00037252" w:rsidP="00F24E93">
      <w:pPr>
        <w:spacing w:line="276" w:lineRule="auto"/>
        <w:ind w:right="-716"/>
        <w:jc w:val="right"/>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lastRenderedPageBreak/>
        <w:t>Sobre el informe “Perfil de hipotecado español en 2021”</w:t>
      </w:r>
    </w:p>
    <w:p w14:paraId="6FC042FD" w14:textId="77777777" w:rsidR="00274A22" w:rsidRDefault="00274A22">
      <w:pPr>
        <w:pBdr>
          <w:top w:val="nil"/>
          <w:left w:val="nil"/>
          <w:bottom w:val="nil"/>
          <w:right w:val="nil"/>
          <w:between w:val="nil"/>
        </w:pBdr>
        <w:shd w:val="clear" w:color="auto" w:fill="FFFFFF"/>
        <w:spacing w:line="276" w:lineRule="auto"/>
        <w:ind w:right="-574"/>
        <w:jc w:val="both"/>
        <w:rPr>
          <w:rFonts w:ascii="Open Sans" w:eastAsia="Open Sans" w:hAnsi="Open Sans" w:cs="Open Sans"/>
          <w:sz w:val="22"/>
          <w:szCs w:val="22"/>
        </w:rPr>
      </w:pPr>
    </w:p>
    <w:p w14:paraId="3DD6CD09" w14:textId="77777777" w:rsidR="00274A22" w:rsidRDefault="00037252">
      <w:pPr>
        <w:pBdr>
          <w:top w:val="nil"/>
          <w:left w:val="nil"/>
          <w:bottom w:val="nil"/>
          <w:right w:val="nil"/>
          <w:between w:val="nil"/>
        </w:pBdr>
        <w:shd w:val="clear" w:color="auto" w:fill="FFFFFF"/>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El portal inmobiliario </w:t>
      </w:r>
      <w:hyperlink r:id="rId17">
        <w:r>
          <w:rPr>
            <w:rFonts w:ascii="Open Sans" w:eastAsia="Open Sans" w:hAnsi="Open Sans" w:cs="Open Sans"/>
            <w:b/>
            <w:color w:val="0000FF"/>
            <w:sz w:val="22"/>
            <w:szCs w:val="22"/>
            <w:u w:val="single"/>
          </w:rPr>
          <w:t>Fotocasa</w:t>
        </w:r>
      </w:hyperlink>
      <w:r>
        <w:rPr>
          <w:rFonts w:ascii="Open Sans" w:eastAsia="Open Sans" w:hAnsi="Open Sans" w:cs="Open Sans"/>
          <w:color w:val="000000"/>
          <w:sz w:val="22"/>
          <w:szCs w:val="22"/>
        </w:rPr>
        <w:t xml:space="preserve"> ha realizado el informe “</w:t>
      </w:r>
      <w:sdt>
        <w:sdtPr>
          <w:tag w:val="goog_rdk_1"/>
          <w:id w:val="-429821342"/>
        </w:sdtPr>
        <w:sdtEndPr/>
        <w:sdtContent/>
      </w:sdt>
      <w:r>
        <w:rPr>
          <w:rFonts w:ascii="Open Sans" w:eastAsia="Open Sans" w:hAnsi="Open Sans" w:cs="Open Sans"/>
          <w:b/>
          <w:color w:val="000000"/>
          <w:sz w:val="22"/>
          <w:szCs w:val="22"/>
        </w:rPr>
        <w:t>Perfil del hipotecado español en 2021</w:t>
      </w:r>
      <w:r>
        <w:rPr>
          <w:rFonts w:ascii="Open Sans" w:eastAsia="Open Sans" w:hAnsi="Open Sans" w:cs="Open Sans"/>
          <w:b/>
          <w:i/>
          <w:color w:val="000000"/>
          <w:sz w:val="22"/>
          <w:szCs w:val="22"/>
        </w:rPr>
        <w:t>”</w:t>
      </w:r>
      <w:r>
        <w:rPr>
          <w:rFonts w:ascii="Open Sans" w:eastAsia="Open Sans" w:hAnsi="Open Sans" w:cs="Open Sans"/>
          <w:color w:val="000000"/>
          <w:sz w:val="22"/>
          <w:szCs w:val="22"/>
        </w:rPr>
        <w:t xml:space="preserve">, en base a un exhaustivo análisis del equipo de </w:t>
      </w:r>
      <w:proofErr w:type="spellStart"/>
      <w:r>
        <w:rPr>
          <w:rFonts w:ascii="Open Sans" w:eastAsia="Open Sans" w:hAnsi="Open Sans" w:cs="Open Sans"/>
          <w:color w:val="000000"/>
          <w:sz w:val="22"/>
          <w:szCs w:val="22"/>
        </w:rPr>
        <w:t>Bussiness</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Analytics</w:t>
      </w:r>
      <w:proofErr w:type="spellEnd"/>
      <w:r>
        <w:rPr>
          <w:rFonts w:ascii="Open Sans" w:eastAsia="Open Sans" w:hAnsi="Open Sans" w:cs="Open Sans"/>
          <w:color w:val="000000"/>
          <w:sz w:val="22"/>
          <w:szCs w:val="22"/>
        </w:rPr>
        <w:t xml:space="preserve"> de Fotocasa en colaboración con el instituto de investigación </w:t>
      </w:r>
      <w:proofErr w:type="spellStart"/>
      <w:r>
        <w:rPr>
          <w:rFonts w:ascii="Open Sans" w:eastAsia="Open Sans" w:hAnsi="Open Sans" w:cs="Open Sans"/>
          <w:color w:val="000000"/>
          <w:sz w:val="22"/>
          <w:szCs w:val="22"/>
        </w:rPr>
        <w:t>The</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Cocktail</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Analysis</w:t>
      </w:r>
      <w:proofErr w:type="spellEnd"/>
      <w:r>
        <w:rPr>
          <w:rFonts w:ascii="Open Sans" w:eastAsia="Open Sans" w:hAnsi="Open Sans" w:cs="Open Sans"/>
          <w:color w:val="000000"/>
          <w:sz w:val="22"/>
          <w:szCs w:val="22"/>
        </w:rPr>
        <w:t xml:space="preserve">. </w:t>
      </w:r>
    </w:p>
    <w:p w14:paraId="7484A61D" w14:textId="77777777" w:rsidR="00274A22" w:rsidRDefault="00037252">
      <w:pPr>
        <w:spacing w:before="240" w:line="276" w:lineRule="auto"/>
        <w:ind w:right="-574"/>
        <w:jc w:val="both"/>
        <w:rPr>
          <w:rFonts w:ascii="Open Sans" w:eastAsia="Open Sans" w:hAnsi="Open Sans" w:cs="Open Sans"/>
          <w:sz w:val="22"/>
          <w:szCs w:val="22"/>
        </w:rPr>
      </w:pPr>
      <w:r>
        <w:rPr>
          <w:rFonts w:ascii="Open Sans" w:eastAsia="Open Sans" w:hAnsi="Open Sans" w:cs="Open Sans"/>
          <w:color w:val="000000"/>
          <w:sz w:val="22"/>
          <w:szCs w:val="22"/>
        </w:rPr>
        <w:t xml:space="preserve">El estudio </w:t>
      </w:r>
      <w:r>
        <w:rPr>
          <w:rFonts w:ascii="Open Sans" w:eastAsia="Open Sans" w:hAnsi="Open Sans" w:cs="Open Sans"/>
          <w:sz w:val="22"/>
          <w:szCs w:val="22"/>
        </w:rPr>
        <w:t xml:space="preserve">pone el foco en la situación y el rol de la hipoteca entre los compradores de vivienda. </w:t>
      </w:r>
      <w:r>
        <w:rPr>
          <w:rFonts w:ascii="Open Sans" w:eastAsia="Open Sans" w:hAnsi="Open Sans" w:cs="Open Sans"/>
          <w:color w:val="000000"/>
          <w:sz w:val="22"/>
          <w:szCs w:val="22"/>
        </w:rPr>
        <w:t xml:space="preserve">Al igual que los anteriores </w:t>
      </w:r>
      <w:r>
        <w:rPr>
          <w:rFonts w:ascii="Open Sans" w:eastAsia="Open Sans" w:hAnsi="Open Sans" w:cs="Open Sans"/>
          <w:sz w:val="22"/>
          <w:szCs w:val="22"/>
        </w:rPr>
        <w:t>informe</w:t>
      </w:r>
      <w:r>
        <w:rPr>
          <w:rFonts w:ascii="Open Sans" w:eastAsia="Open Sans" w:hAnsi="Open Sans" w:cs="Open Sans"/>
          <w:color w:val="000000"/>
          <w:sz w:val="22"/>
          <w:szCs w:val="22"/>
        </w:rPr>
        <w:t>s, se ha realizado sobre un panel independiente con una muestra de 5.000 personas representativas de la sociedad española y que tienen entre 18 y 75 años, a través de encuestas online que se efectuaron entre febrero y marzo de 2021. Error muestral: +-1,4%</w:t>
      </w:r>
    </w:p>
    <w:p w14:paraId="1FE58A31" w14:textId="77777777" w:rsidR="00274A22" w:rsidRDefault="00274A22">
      <w:pPr>
        <w:spacing w:line="276" w:lineRule="auto"/>
        <w:ind w:right="-716"/>
        <w:jc w:val="right"/>
        <w:rPr>
          <w:rFonts w:ascii="Open Sans Light" w:eastAsia="Open Sans Light" w:hAnsi="Open Sans Light" w:cs="Open Sans Light"/>
          <w:b/>
          <w:color w:val="303AB2"/>
        </w:rPr>
      </w:pPr>
    </w:p>
    <w:p w14:paraId="43F343C1" w14:textId="77777777" w:rsidR="00274A22" w:rsidRDefault="00274A22">
      <w:pPr>
        <w:spacing w:line="276" w:lineRule="auto"/>
        <w:ind w:right="-716"/>
        <w:jc w:val="right"/>
        <w:rPr>
          <w:rFonts w:ascii="Open Sans Light" w:eastAsia="Open Sans Light" w:hAnsi="Open Sans Light" w:cs="Open Sans Light"/>
          <w:b/>
          <w:color w:val="303AB2"/>
        </w:rPr>
      </w:pPr>
    </w:p>
    <w:p w14:paraId="667B27AA" w14:textId="77777777" w:rsidR="00274A22" w:rsidRDefault="00037252">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1DAD9BD2" w14:textId="77777777" w:rsidR="00274A22" w:rsidRDefault="00037252">
      <w:pPr>
        <w:shd w:val="clear" w:color="auto" w:fill="FFFFFF"/>
        <w:spacing w:before="280" w:after="280"/>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8">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un informe de referencia sobre la evolución del precio medio de la vivienda en España, tanto en venta como en alquiler.</w:t>
      </w:r>
    </w:p>
    <w:bookmarkStart w:id="0" w:name="_heading=h.30j0zll" w:colFirst="0" w:colLast="0"/>
    <w:bookmarkEnd w:id="0"/>
    <w:p w14:paraId="283F92D2" w14:textId="77777777" w:rsidR="00274A22" w:rsidRDefault="00037252">
      <w:pPr>
        <w:shd w:val="clear" w:color="auto" w:fill="FFFFFF"/>
        <w:spacing w:before="280" w:after="280"/>
        <w:ind w:right="-716"/>
        <w:jc w:val="both"/>
        <w:rPr>
          <w:rFonts w:ascii="Open Sans" w:eastAsia="Open Sans" w:hAnsi="Open Sans" w:cs="Open Sans"/>
          <w:color w:val="000000"/>
          <w:sz w:val="22"/>
          <w:szCs w:val="22"/>
        </w:rPr>
      </w:pPr>
      <w:r>
        <w:fldChar w:fldCharType="begin"/>
      </w:r>
      <w:r>
        <w:instrText xml:space="preserve"> HYPERLINK "http://www.fotocasa.es/" \h </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color w:val="000000"/>
          <w:sz w:val="22"/>
          <w:szCs w:val="22"/>
        </w:rPr>
        <w:t> pertenece a </w:t>
      </w:r>
      <w:proofErr w:type="spellStart"/>
      <w:r>
        <w:fldChar w:fldCharType="begin"/>
      </w:r>
      <w:r>
        <w:instrText xml:space="preserve"> HYPERLINK "https://www.adevinta.com/" \h </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una empresa 100% especializada en Marketplace digitales y el único “pure </w:t>
      </w:r>
      <w:proofErr w:type="spellStart"/>
      <w:r>
        <w:rPr>
          <w:rFonts w:ascii="Open Sans" w:eastAsia="Open Sans" w:hAnsi="Open Sans" w:cs="Open Sans"/>
          <w:color w:val="000000"/>
          <w:sz w:val="22"/>
          <w:szCs w:val="22"/>
        </w:rPr>
        <w:t>player</w:t>
      </w:r>
      <w:proofErr w:type="spellEnd"/>
      <w:r>
        <w:rPr>
          <w:rFonts w:ascii="Open Sans" w:eastAsia="Open Sans" w:hAnsi="Open Sans" w:cs="Open Sans"/>
          <w:color w:val="000000"/>
          <w:sz w:val="22"/>
          <w:szCs w:val="22"/>
        </w:rPr>
        <w:t>” del sector a nivel mundial. Con presencia en 12 países de Europa, América Latina y África del Norte, el conjunto de sus plataformas locales recibe un promedio de 1.500 millones de visitas cada mes.</w:t>
      </w:r>
    </w:p>
    <w:p w14:paraId="29F0395D" w14:textId="77777777" w:rsidR="00274A22" w:rsidRDefault="00C83C96">
      <w:pPr>
        <w:shd w:val="clear" w:color="auto" w:fill="FFFFFF"/>
        <w:spacing w:before="280" w:after="280"/>
        <w:ind w:right="-716"/>
        <w:jc w:val="both"/>
        <w:rPr>
          <w:rFonts w:ascii="Times New Roman" w:eastAsia="Times New Roman" w:hAnsi="Times New Roman" w:cs="Times New Roman"/>
          <w:color w:val="222222"/>
          <w:sz w:val="22"/>
          <w:szCs w:val="22"/>
        </w:rPr>
      </w:pPr>
      <w:hyperlink r:id="rId19">
        <w:r w:rsidR="00037252">
          <w:rPr>
            <w:rFonts w:ascii="Open Sans" w:eastAsia="Open Sans" w:hAnsi="Open Sans" w:cs="Open Sans"/>
            <w:color w:val="0000FF"/>
            <w:sz w:val="22"/>
            <w:szCs w:val="22"/>
            <w:u w:val="single"/>
          </w:rPr>
          <w:t>Más información sobre Fotocasa</w:t>
        </w:r>
      </w:hyperlink>
      <w:r w:rsidR="00037252">
        <w:rPr>
          <w:rFonts w:ascii="Open Sans" w:eastAsia="Open Sans" w:hAnsi="Open Sans" w:cs="Open Sans"/>
          <w:color w:val="000000"/>
          <w:sz w:val="22"/>
          <w:szCs w:val="22"/>
        </w:rPr>
        <w:t>.</w:t>
      </w:r>
    </w:p>
    <w:p w14:paraId="7FD56BAA" w14:textId="77777777" w:rsidR="00274A22" w:rsidRDefault="00037252">
      <w:pPr>
        <w:shd w:val="clear" w:color="auto" w:fill="FFFFFF"/>
        <w:spacing w:line="276" w:lineRule="auto"/>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En España, </w:t>
      </w:r>
      <w:proofErr w:type="spellStart"/>
      <w:r>
        <w:fldChar w:fldCharType="begin"/>
      </w:r>
      <w:r>
        <w:instrText xml:space="preserve"> HYPERLINK "https://www.adevinta.com/" \h </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antes Schibsted </w:t>
      </w:r>
      <w:proofErr w:type="spellStart"/>
      <w:r>
        <w:rPr>
          <w:rFonts w:ascii="Open Sans" w:eastAsia="Open Sans" w:hAnsi="Open Sans" w:cs="Open Sans"/>
          <w:color w:val="000000"/>
          <w:sz w:val="22"/>
          <w:szCs w:val="22"/>
        </w:rPr>
        <w:t>Spain</w:t>
      </w:r>
      <w:proofErr w:type="spellEnd"/>
      <w:r>
        <w:rPr>
          <w:rFonts w:ascii="Open Sans" w:eastAsia="Open Sans" w:hAnsi="Open Sans" w:cs="Open Sans"/>
          <w:color w:val="000000"/>
          <w:sz w:val="22"/>
          <w:szCs w:val="22"/>
        </w:rPr>
        <w:t xml:space="preserve">, es una de las principales empresas del sector tecnológico del país y un referente de transformación digital. En sus 40 años de trayectoria en el mercado español de clasificados, los negocios de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han evolucionado del papel al online hasta convertirse en el referente de Internet en sectores relevantes como inmobiliaria (</w:t>
      </w:r>
      <w:hyperlink r:id="rId20">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y </w:t>
      </w:r>
      <w:proofErr w:type="spellStart"/>
      <w:r>
        <w:fldChar w:fldCharType="begin"/>
      </w:r>
      <w:r>
        <w:instrText xml:space="preserve"> HYPERLINK "https://www.habitaclia.com/" \h </w:instrText>
      </w:r>
      <w:r>
        <w:fldChar w:fldCharType="separate"/>
      </w:r>
      <w:r>
        <w:rPr>
          <w:rFonts w:ascii="Open Sans" w:eastAsia="Open Sans" w:hAnsi="Open Sans" w:cs="Open Sans"/>
          <w:color w:val="0000FF"/>
          <w:sz w:val="22"/>
          <w:szCs w:val="22"/>
          <w:u w:val="single"/>
        </w:rPr>
        <w:t>habitaclia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empleo (</w:t>
      </w:r>
      <w:hyperlink r:id="rId21">
        <w:r>
          <w:rPr>
            <w:rFonts w:ascii="Open Sans" w:eastAsia="Open Sans" w:hAnsi="Open Sans" w:cs="Open Sans"/>
            <w:color w:val="0000FF"/>
            <w:sz w:val="22"/>
            <w:szCs w:val="22"/>
            <w:u w:val="single"/>
          </w:rPr>
          <w:t>Infojobs.net</w:t>
        </w:r>
      </w:hyperlink>
      <w:r>
        <w:rPr>
          <w:rFonts w:ascii="Open Sans" w:eastAsia="Open Sans" w:hAnsi="Open Sans" w:cs="Open Sans"/>
          <w:color w:val="000000"/>
          <w:sz w:val="22"/>
          <w:szCs w:val="22"/>
        </w:rPr>
        <w:t>), motor (</w:t>
      </w:r>
      <w:hyperlink r:id="rId22">
        <w:r>
          <w:rPr>
            <w:rFonts w:ascii="Open Sans" w:eastAsia="Open Sans" w:hAnsi="Open Sans" w:cs="Open Sans"/>
            <w:color w:val="0000FF"/>
            <w:sz w:val="22"/>
            <w:szCs w:val="22"/>
            <w:u w:val="single"/>
          </w:rPr>
          <w:t>coches.net</w:t>
        </w:r>
      </w:hyperlink>
      <w:r>
        <w:rPr>
          <w:rFonts w:ascii="Open Sans" w:eastAsia="Open Sans" w:hAnsi="Open Sans" w:cs="Open Sans"/>
          <w:color w:val="000000"/>
          <w:sz w:val="22"/>
          <w:szCs w:val="22"/>
        </w:rPr>
        <w:t> y </w:t>
      </w:r>
      <w:hyperlink r:id="rId23">
        <w:r>
          <w:rPr>
            <w:rFonts w:ascii="Open Sans" w:eastAsia="Open Sans" w:hAnsi="Open Sans" w:cs="Open Sans"/>
            <w:color w:val="0000FF"/>
            <w:sz w:val="22"/>
            <w:szCs w:val="22"/>
            <w:u w:val="single"/>
          </w:rPr>
          <w:t>motos.ne</w:t>
        </w:r>
      </w:hyperlink>
      <w:r>
        <w:rPr>
          <w:rFonts w:ascii="Open Sans" w:eastAsia="Open Sans" w:hAnsi="Open Sans" w:cs="Open Sans"/>
          <w:color w:val="0000FF"/>
          <w:sz w:val="22"/>
          <w:szCs w:val="22"/>
          <w:u w:val="single"/>
        </w:rPr>
        <w:t>t</w:t>
      </w:r>
      <w:r>
        <w:rPr>
          <w:rFonts w:ascii="Open Sans" w:eastAsia="Open Sans" w:hAnsi="Open Sans" w:cs="Open Sans"/>
          <w:color w:val="000000"/>
          <w:sz w:val="22"/>
          <w:szCs w:val="22"/>
        </w:rPr>
        <w:t>) y segunda mano (</w:t>
      </w:r>
      <w:proofErr w:type="spellStart"/>
      <w:r>
        <w:fldChar w:fldCharType="begin"/>
      </w:r>
      <w:r>
        <w:instrText xml:space="preserve"> HYPERLINK "https://www.milanuncios.es/" \h </w:instrText>
      </w:r>
      <w:r>
        <w:fldChar w:fldCharType="separate"/>
      </w:r>
      <w:r>
        <w:rPr>
          <w:rFonts w:ascii="Open Sans" w:eastAsia="Open Sans" w:hAnsi="Open Sans" w:cs="Open Sans"/>
          <w:color w:val="0000FF"/>
          <w:sz w:val="22"/>
          <w:szCs w:val="22"/>
          <w:u w:val="single"/>
        </w:rPr>
        <w:t>Milanuncios</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y </w:t>
      </w:r>
      <w:proofErr w:type="spellStart"/>
      <w:r>
        <w:fldChar w:fldCharType="begin"/>
      </w:r>
      <w:r>
        <w:instrText xml:space="preserve"> HYPERLINK "https://www.vibbo.com/" \h </w:instrText>
      </w:r>
      <w:r>
        <w:fldChar w:fldCharType="separate"/>
      </w:r>
      <w:r>
        <w:rPr>
          <w:rFonts w:ascii="Open Sans" w:eastAsia="Open Sans" w:hAnsi="Open Sans" w:cs="Open Sans"/>
          <w:color w:val="0000FF"/>
          <w:sz w:val="22"/>
          <w:szCs w:val="22"/>
          <w:u w:val="single"/>
        </w:rPr>
        <w:t>vibbo</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Sus más de 18 millones de usuarios al mes sitúan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entre las diez compañías con mayor audiencia de Internet en España (y la mayor empresa digital española).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cuenta en la actualidad con una plantilla de más de 1.000 empleados en España. </w:t>
      </w:r>
    </w:p>
    <w:p w14:paraId="39905284" w14:textId="77777777" w:rsidR="00274A22" w:rsidRDefault="00274A22">
      <w:pPr>
        <w:shd w:val="clear" w:color="auto" w:fill="FFFFFF"/>
        <w:spacing w:line="276" w:lineRule="auto"/>
        <w:ind w:right="-716"/>
        <w:jc w:val="both"/>
        <w:rPr>
          <w:rFonts w:ascii="Open Sans" w:eastAsia="Open Sans" w:hAnsi="Open Sans" w:cs="Open Sans"/>
          <w:color w:val="000000"/>
          <w:sz w:val="21"/>
          <w:szCs w:val="21"/>
        </w:rPr>
      </w:pPr>
    </w:p>
    <w:p w14:paraId="70BA723C" w14:textId="77777777" w:rsidR="00274A22" w:rsidRDefault="00037252">
      <w:pPr>
        <w:shd w:val="clear" w:color="auto" w:fill="FFFFFF"/>
        <w:spacing w:line="276" w:lineRule="auto"/>
        <w:ind w:right="-716"/>
        <w:jc w:val="both"/>
        <w:rPr>
          <w:rFonts w:ascii="Open Sans" w:eastAsia="Open Sans" w:hAnsi="Open Sans" w:cs="Open Sans"/>
          <w:color w:val="000000"/>
          <w:sz w:val="21"/>
          <w:szCs w:val="21"/>
        </w:rPr>
      </w:pPr>
      <w:r>
        <w:rPr>
          <w:rFonts w:ascii="Open Sans" w:eastAsia="Open Sans" w:hAnsi="Open Sans" w:cs="Open Sans"/>
          <w:color w:val="000000"/>
          <w:sz w:val="21"/>
          <w:szCs w:val="21"/>
        </w:rPr>
        <w:t xml:space="preserve">Toda nuestra información la puedes encontrar en nuestra </w:t>
      </w:r>
      <w:hyperlink r:id="rId24">
        <w:r>
          <w:rPr>
            <w:rFonts w:ascii="Open Sans" w:eastAsia="Open Sans" w:hAnsi="Open Sans" w:cs="Open Sans"/>
            <w:color w:val="0000FF"/>
            <w:sz w:val="21"/>
            <w:szCs w:val="21"/>
            <w:u w:val="single"/>
          </w:rPr>
          <w:t>Sala de Prensa</w:t>
        </w:r>
      </w:hyperlink>
      <w:r>
        <w:rPr>
          <w:rFonts w:ascii="Open Sans" w:eastAsia="Open Sans" w:hAnsi="Open Sans" w:cs="Open Sans"/>
          <w:color w:val="000000"/>
          <w:sz w:val="21"/>
          <w:szCs w:val="21"/>
        </w:rPr>
        <w:t xml:space="preserve">. </w:t>
      </w:r>
    </w:p>
    <w:p w14:paraId="3BBD514C" w14:textId="77777777" w:rsidR="00274A22" w:rsidRDefault="00274A22">
      <w:pPr>
        <w:shd w:val="clear" w:color="auto" w:fill="FFFFFF"/>
        <w:spacing w:line="276" w:lineRule="auto"/>
        <w:ind w:right="-716"/>
        <w:jc w:val="both"/>
        <w:rPr>
          <w:rFonts w:ascii="Open Sans" w:eastAsia="Open Sans" w:hAnsi="Open Sans" w:cs="Open Sans"/>
          <w:color w:val="000000"/>
          <w:sz w:val="21"/>
          <w:szCs w:val="21"/>
        </w:rPr>
      </w:pPr>
    </w:p>
    <w:p w14:paraId="68E4A0DB" w14:textId="77777777" w:rsidR="00274A22" w:rsidRDefault="00274A22">
      <w:pPr>
        <w:spacing w:line="276" w:lineRule="auto"/>
        <w:ind w:right="-716"/>
        <w:rPr>
          <w:rFonts w:ascii="Open Sans Light" w:eastAsia="Open Sans Light" w:hAnsi="Open Sans Light" w:cs="Open Sans Light"/>
          <w:b/>
          <w:color w:val="303AB2"/>
          <w:sz w:val="22"/>
          <w:szCs w:val="22"/>
        </w:rPr>
      </w:pPr>
    </w:p>
    <w:p w14:paraId="25FBE001" w14:textId="77777777" w:rsidR="00274A22" w:rsidRDefault="00037252">
      <w:pPr>
        <w:spacing w:line="276" w:lineRule="auto"/>
        <w:ind w:right="-71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rPr>
        <w:lastRenderedPageBreak/>
        <w:t xml:space="preserve">Llorente y Cuenca    </w:t>
      </w:r>
      <w:r>
        <w:rPr>
          <w:rFonts w:ascii="Open Sans Light" w:eastAsia="Open Sans Light" w:hAnsi="Open Sans Light" w:cs="Open Sans Light"/>
          <w:b/>
          <w:color w:val="303AB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rPr>
        <w:t>Departamento Comunicación Fotocasa</w:t>
      </w:r>
    </w:p>
    <w:p w14:paraId="4ACD5629" w14:textId="77777777" w:rsidR="00274A22" w:rsidRDefault="00037252">
      <w:pPr>
        <w:shd w:val="clear" w:color="auto" w:fill="FFFFFF"/>
        <w:spacing w:line="276" w:lineRule="auto"/>
        <w:ind w:right="-716"/>
        <w:rPr>
          <w:rFonts w:ascii="Open Sans" w:eastAsia="Open Sans" w:hAnsi="Open Sans" w:cs="Open Sans"/>
          <w:b/>
          <w:color w:val="000000"/>
          <w:sz w:val="19"/>
          <w:szCs w:val="19"/>
        </w:rPr>
      </w:pPr>
      <w:r>
        <w:rPr>
          <w:rFonts w:ascii="Open Sans" w:eastAsia="Open Sans" w:hAnsi="Open Sans" w:cs="Open Sans"/>
          <w:b/>
          <w:color w:val="000000"/>
          <w:sz w:val="19"/>
          <w:szCs w:val="19"/>
        </w:rPr>
        <w:t>Ramon Torné</w:t>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t xml:space="preserve">                                Anaïs López </w:t>
      </w:r>
    </w:p>
    <w:p w14:paraId="426F4DE4" w14:textId="77777777" w:rsidR="00274A22" w:rsidRDefault="00C83C96">
      <w:pPr>
        <w:shd w:val="clear" w:color="auto" w:fill="FFFFFF"/>
        <w:spacing w:line="276" w:lineRule="auto"/>
        <w:ind w:right="-716"/>
        <w:rPr>
          <w:rFonts w:ascii="Open Sans" w:eastAsia="Open Sans" w:hAnsi="Open Sans" w:cs="Open Sans"/>
          <w:color w:val="0000FF"/>
          <w:sz w:val="19"/>
          <w:szCs w:val="19"/>
          <w:u w:val="single"/>
        </w:rPr>
      </w:pPr>
      <w:hyperlink r:id="rId25">
        <w:r w:rsidR="00037252">
          <w:rPr>
            <w:rFonts w:ascii="Open Sans" w:eastAsia="Open Sans" w:hAnsi="Open Sans" w:cs="Open Sans"/>
            <w:color w:val="0000FF"/>
            <w:sz w:val="19"/>
            <w:szCs w:val="19"/>
            <w:u w:val="single"/>
          </w:rPr>
          <w:t>rtorne@llorenteycuenca.com</w:t>
        </w:r>
      </w:hyperlink>
      <w:r w:rsidR="00037252">
        <w:rPr>
          <w:rFonts w:ascii="Open Sans" w:eastAsia="Open Sans" w:hAnsi="Open Sans" w:cs="Open Sans"/>
          <w:color w:val="0000FF"/>
          <w:sz w:val="19"/>
          <w:szCs w:val="19"/>
        </w:rPr>
        <w:tab/>
      </w:r>
      <w:r w:rsidR="00037252">
        <w:rPr>
          <w:rFonts w:ascii="Open Sans" w:eastAsia="Open Sans" w:hAnsi="Open Sans" w:cs="Open Sans"/>
          <w:color w:val="0000FF"/>
          <w:sz w:val="19"/>
          <w:szCs w:val="19"/>
        </w:rPr>
        <w:tab/>
      </w:r>
      <w:r w:rsidR="00037252">
        <w:rPr>
          <w:rFonts w:ascii="Open Sans" w:eastAsia="Open Sans" w:hAnsi="Open Sans" w:cs="Open Sans"/>
          <w:color w:val="0000FF"/>
          <w:sz w:val="19"/>
          <w:szCs w:val="19"/>
        </w:rPr>
        <w:tab/>
        <w:t xml:space="preserve">                                                  </w:t>
      </w:r>
      <w:hyperlink r:id="rId26">
        <w:r w:rsidR="00037252">
          <w:rPr>
            <w:rFonts w:ascii="Open Sans" w:eastAsia="Open Sans" w:hAnsi="Open Sans" w:cs="Open Sans"/>
            <w:color w:val="0000FF"/>
            <w:sz w:val="19"/>
            <w:szCs w:val="19"/>
            <w:u w:val="single"/>
          </w:rPr>
          <w:t>comunicacion@fotocasa.es</w:t>
        </w:r>
      </w:hyperlink>
    </w:p>
    <w:p w14:paraId="430C0C5A" w14:textId="77777777" w:rsidR="00274A22" w:rsidRDefault="00037252">
      <w:pPr>
        <w:shd w:val="clear" w:color="auto" w:fill="FFFFFF"/>
        <w:spacing w:line="276" w:lineRule="auto"/>
        <w:ind w:right="-716"/>
        <w:rPr>
          <w:rFonts w:ascii="Open Sans" w:eastAsia="Open Sans" w:hAnsi="Open Sans" w:cs="Open Sans"/>
          <w:color w:val="000000"/>
          <w:sz w:val="19"/>
          <w:szCs w:val="19"/>
        </w:rPr>
      </w:pPr>
      <w:r>
        <w:rPr>
          <w:rFonts w:ascii="Open Sans" w:eastAsia="Open Sans" w:hAnsi="Open Sans" w:cs="Open Sans"/>
          <w:color w:val="000000"/>
          <w:sz w:val="19"/>
          <w:szCs w:val="19"/>
        </w:rPr>
        <w:t xml:space="preserve">638 68 19 85      </w:t>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t xml:space="preserve">                                620 66 29 26</w:t>
      </w:r>
    </w:p>
    <w:p w14:paraId="4042C172" w14:textId="77777777" w:rsidR="00274A22" w:rsidRDefault="00037252">
      <w:pPr>
        <w:shd w:val="clear" w:color="auto" w:fill="FFFFFF"/>
        <w:ind w:right="-716"/>
        <w:rPr>
          <w:rFonts w:ascii="Open Sans" w:eastAsia="Open Sans" w:hAnsi="Open Sans" w:cs="Open Sans"/>
          <w:color w:val="0000FF"/>
          <w:sz w:val="19"/>
          <w:szCs w:val="19"/>
          <w:u w:val="single"/>
        </w:rPr>
      </w:pPr>
      <w:r>
        <w:rPr>
          <w:rFonts w:ascii="Arial" w:eastAsia="Arial" w:hAnsi="Arial" w:cs="Arial"/>
          <w:color w:val="222222"/>
          <w:sz w:val="22"/>
          <w:szCs w:val="22"/>
        </w:rPr>
        <w:tab/>
      </w:r>
      <w:r>
        <w:rPr>
          <w:rFonts w:ascii="Arial" w:eastAsia="Arial" w:hAnsi="Arial" w:cs="Arial"/>
          <w:color w:val="222222"/>
          <w:sz w:val="22"/>
          <w:szCs w:val="22"/>
        </w:rPr>
        <w:tab/>
        <w:t xml:space="preserve">                </w:t>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t xml:space="preserve">     </w:t>
      </w:r>
    </w:p>
    <w:p w14:paraId="5C0409B4" w14:textId="77777777" w:rsidR="00274A22" w:rsidRDefault="00037252">
      <w:pPr>
        <w:shd w:val="clear" w:color="auto" w:fill="FFFFFF"/>
        <w:ind w:right="-716"/>
        <w:rPr>
          <w:rFonts w:ascii="Open Sans" w:eastAsia="Open Sans" w:hAnsi="Open Sans" w:cs="Open Sans"/>
          <w:b/>
          <w:color w:val="000000"/>
          <w:sz w:val="19"/>
          <w:szCs w:val="19"/>
        </w:rPr>
      </w:pPr>
      <w:r>
        <w:rPr>
          <w:rFonts w:ascii="Open Sans" w:eastAsia="Open Sans" w:hAnsi="Open Sans" w:cs="Open Sans"/>
          <w:b/>
          <w:color w:val="000000"/>
          <w:sz w:val="19"/>
          <w:szCs w:val="19"/>
        </w:rPr>
        <w:t>Fanny Merino</w:t>
      </w:r>
    </w:p>
    <w:p w14:paraId="21F52FAF" w14:textId="77777777" w:rsidR="00274A22" w:rsidRDefault="00C83C96">
      <w:pPr>
        <w:shd w:val="clear" w:color="auto" w:fill="FFFFFF"/>
        <w:ind w:right="-716"/>
        <w:rPr>
          <w:rFonts w:ascii="Open Sans" w:eastAsia="Open Sans" w:hAnsi="Open Sans" w:cs="Open Sans"/>
          <w:color w:val="0000FF"/>
          <w:sz w:val="19"/>
          <w:szCs w:val="19"/>
        </w:rPr>
      </w:pPr>
      <w:hyperlink r:id="rId27">
        <w:r w:rsidR="00037252">
          <w:rPr>
            <w:rFonts w:ascii="Open Sans" w:eastAsia="Open Sans" w:hAnsi="Open Sans" w:cs="Open Sans"/>
            <w:color w:val="0000FF"/>
            <w:sz w:val="19"/>
            <w:szCs w:val="19"/>
            <w:u w:val="single"/>
          </w:rPr>
          <w:t>emerino@llorenteycuenca.com</w:t>
        </w:r>
      </w:hyperlink>
    </w:p>
    <w:p w14:paraId="563318A0" w14:textId="77777777" w:rsidR="00274A22" w:rsidRDefault="00037252">
      <w:pPr>
        <w:shd w:val="clear" w:color="auto" w:fill="FFFFFF"/>
        <w:ind w:right="-716"/>
        <w:rPr>
          <w:rFonts w:ascii="Open Sans" w:eastAsia="Open Sans" w:hAnsi="Open Sans" w:cs="Open Sans"/>
          <w:color w:val="000000"/>
          <w:sz w:val="21"/>
          <w:szCs w:val="21"/>
        </w:rPr>
      </w:pPr>
      <w:r>
        <w:rPr>
          <w:rFonts w:ascii="Open Sans" w:eastAsia="Open Sans" w:hAnsi="Open Sans" w:cs="Open Sans"/>
          <w:color w:val="000000"/>
          <w:sz w:val="19"/>
          <w:szCs w:val="19"/>
        </w:rPr>
        <w:t>663 35 69 75 </w:t>
      </w:r>
    </w:p>
    <w:sectPr w:rsidR="00274A22">
      <w:footerReference w:type="default" r:id="rId28"/>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70993" w14:textId="77777777" w:rsidR="00C83C96" w:rsidRDefault="00C83C96">
      <w:r>
        <w:separator/>
      </w:r>
    </w:p>
  </w:endnote>
  <w:endnote w:type="continuationSeparator" w:id="0">
    <w:p w14:paraId="3EF0D352" w14:textId="77777777" w:rsidR="00C83C96" w:rsidRDefault="00C83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National">
    <w:altName w:val="Calibri"/>
    <w:charset w:val="00"/>
    <w:family w:val="auto"/>
    <w:pitch w:val="default"/>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728F2" w14:textId="77777777" w:rsidR="00274A22" w:rsidRDefault="00037252">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0" locked="0" layoutInCell="1" hidden="0" allowOverlap="1" wp14:anchorId="78752636" wp14:editId="4147D988">
          <wp:simplePos x="0" y="0"/>
          <wp:positionH relativeFrom="column">
            <wp:posOffset>-1068060</wp:posOffset>
          </wp:positionH>
          <wp:positionV relativeFrom="paragraph">
            <wp:posOffset>174608</wp:posOffset>
          </wp:positionV>
          <wp:extent cx="7670550" cy="451315"/>
          <wp:effectExtent l="0" t="0" r="0" b="0"/>
          <wp:wrapSquare wrapText="bothSides" distT="0" distB="0" distL="0" distR="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3484A" w14:textId="77777777" w:rsidR="00C83C96" w:rsidRDefault="00C83C96">
      <w:r>
        <w:separator/>
      </w:r>
    </w:p>
  </w:footnote>
  <w:footnote w:type="continuationSeparator" w:id="0">
    <w:p w14:paraId="2DCCE253" w14:textId="77777777" w:rsidR="00C83C96" w:rsidRDefault="00C83C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904F2A"/>
    <w:multiLevelType w:val="multilevel"/>
    <w:tmpl w:val="9B745978"/>
    <w:lvl w:ilvl="0">
      <w:start w:val="1"/>
      <w:numFmt w:val="bullet"/>
      <w:lvlText w:val="●"/>
      <w:lvlJc w:val="left"/>
      <w:pPr>
        <w:ind w:left="644" w:hanging="357"/>
      </w:pPr>
      <w:rPr>
        <w:rFonts w:ascii="Noto Sans Symbols" w:eastAsia="Noto Sans Symbols" w:hAnsi="Noto Sans Symbols" w:cs="Noto Sans Symbols"/>
        <w:color w:val="000000"/>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A22"/>
    <w:rsid w:val="00037252"/>
    <w:rsid w:val="00274A22"/>
    <w:rsid w:val="008A5FBA"/>
    <w:rsid w:val="00A557D0"/>
    <w:rsid w:val="00C83C96"/>
    <w:rsid w:val="00D65EBA"/>
    <w:rsid w:val="00F24E9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91290"/>
  <w15:docId w15:val="{BB43B3D7-45C0-4F5D-961C-689F88161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3C9"/>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semiHidden/>
    <w:unhideWhenUsed/>
    <w:rsid w:val="00964BED"/>
    <w:rPr>
      <w:sz w:val="20"/>
      <w:szCs w:val="20"/>
    </w:rPr>
  </w:style>
  <w:style w:type="character" w:customStyle="1" w:styleId="TextocomentarioCar">
    <w:name w:val="Texto comentario Car"/>
    <w:basedOn w:val="Fuentedeprrafopredeter"/>
    <w:link w:val="Textocomentario"/>
    <w:uiPriority w:val="99"/>
    <w:semiHidden/>
    <w:rsid w:val="00964BED"/>
    <w:rPr>
      <w:sz w:val="20"/>
      <w:szCs w:val="20"/>
    </w:rPr>
  </w:style>
  <w:style w:type="paragraph" w:styleId="Textodeglobo">
    <w:name w:val="Balloon Text"/>
    <w:basedOn w:val="Normal"/>
    <w:link w:val="TextodegloboCar"/>
    <w:uiPriority w:val="99"/>
    <w:semiHidden/>
    <w:unhideWhenUsed/>
    <w:rsid w:val="00C72FE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2FE2"/>
    <w:rPr>
      <w:rFonts w:ascii="Segoe UI" w:hAnsi="Segoe UI" w:cs="Segoe UI"/>
      <w:sz w:val="18"/>
      <w:szCs w:val="18"/>
    </w:rPr>
  </w:style>
  <w:style w:type="character" w:styleId="Mencinsinresolver">
    <w:name w:val="Unresolved Mention"/>
    <w:basedOn w:val="Fuentedeprrafopredeter"/>
    <w:uiPriority w:val="99"/>
    <w:semiHidden/>
    <w:unhideWhenUsed/>
    <w:rsid w:val="007C4E4A"/>
    <w:rPr>
      <w:color w:val="605E5C"/>
      <w:shd w:val="clear" w:color="auto" w:fill="E1DFDD"/>
    </w:rPr>
  </w:style>
  <w:style w:type="paragraph" w:styleId="Descripcin">
    <w:name w:val="caption"/>
    <w:basedOn w:val="Normal"/>
    <w:next w:val="Normal"/>
    <w:uiPriority w:val="35"/>
    <w:unhideWhenUsed/>
    <w:qFormat/>
    <w:rsid w:val="00813155"/>
    <w:pPr>
      <w:spacing w:after="200"/>
    </w:pPr>
    <w:rPr>
      <w:i/>
      <w:iCs/>
      <w:color w:val="44546A" w:themeColor="text2"/>
      <w:sz w:val="18"/>
      <w:szCs w:val="18"/>
      <w:lang w:val="es-ES"/>
    </w:rPr>
  </w:style>
  <w:style w:type="paragraph" w:customStyle="1" w:styleId="Prrafodelista1">
    <w:name w:val="Párrafo de lista1"/>
    <w:basedOn w:val="Normal"/>
    <w:uiPriority w:val="34"/>
    <w:qFormat/>
    <w:rsid w:val="00471E3C"/>
    <w:pPr>
      <w:spacing w:after="160" w:line="259" w:lineRule="auto"/>
      <w:ind w:left="720"/>
      <w:contextualSpacing/>
    </w:pPr>
    <w:rPr>
      <w:sz w:val="22"/>
      <w:szCs w:val="22"/>
      <w:lang w:val="es-ES"/>
    </w:rPr>
  </w:style>
  <w:style w:type="table" w:styleId="Tablaconcuadrcula">
    <w:name w:val="Table Grid"/>
    <w:basedOn w:val="Tablanormal"/>
    <w:uiPriority w:val="39"/>
    <w:rsid w:val="00471E3C"/>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3A594F"/>
    <w:rPr>
      <w:b/>
      <w:bCs/>
    </w:rPr>
  </w:style>
  <w:style w:type="character" w:customStyle="1" w:styleId="AsuntodelcomentarioCar">
    <w:name w:val="Asunto del comentario Car"/>
    <w:basedOn w:val="TextocomentarioCar"/>
    <w:link w:val="Asuntodelcomentario"/>
    <w:uiPriority w:val="99"/>
    <w:semiHidden/>
    <w:rsid w:val="003A594F"/>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visitado">
    <w:name w:val="FollowedHyperlink"/>
    <w:basedOn w:val="Fuentedeprrafopredeter"/>
    <w:uiPriority w:val="99"/>
    <w:semiHidden/>
    <w:unhideWhenUsed/>
    <w:rsid w:val="00151B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fotocasa.es/indice/" TargetMode="External"/><Relationship Id="rId26" Type="http://schemas.openxmlformats.org/officeDocument/2006/relationships/hyperlink" Target="mailto:comunicacion@fotocasa.es" TargetMode="External"/><Relationship Id="rId3" Type="http://schemas.openxmlformats.org/officeDocument/2006/relationships/styles" Target="styles.xml"/><Relationship Id="rId21" Type="http://schemas.openxmlformats.org/officeDocument/2006/relationships/hyperlink" Target="https://www.infojobs.net/"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fotocasa.es" TargetMode="External"/><Relationship Id="rId25" Type="http://schemas.openxmlformats.org/officeDocument/2006/relationships/hyperlink" Target="mailto:rtorne@llorenteycuenca.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fotocasa.e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hyperlink" Target="http://prensa.fotocasa.es"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motos.coches.net/" TargetMode="External"/><Relationship Id="rId28" Type="http://schemas.openxmlformats.org/officeDocument/2006/relationships/footer" Target="footer1.xml"/><Relationship Id="rId10" Type="http://schemas.openxmlformats.org/officeDocument/2006/relationships/hyperlink" Target="https://www.fotocasa.es/es/" TargetMode="External"/><Relationship Id="rId19" Type="http://schemas.openxmlformats.org/officeDocument/2006/relationships/hyperlink" Target="https://www.fotocasa.es/es/quienes-somos/" TargetMode="External"/><Relationship Id="rId4" Type="http://schemas.openxmlformats.org/officeDocument/2006/relationships/settings" Target="settings.xml"/><Relationship Id="rId9" Type="http://schemas.openxmlformats.org/officeDocument/2006/relationships/hyperlink" Target="https://youtu.be/AQV5NPEWm7g" TargetMode="External"/><Relationship Id="rId14" Type="http://schemas.openxmlformats.org/officeDocument/2006/relationships/image" Target="media/image4.png"/><Relationship Id="rId22" Type="http://schemas.openxmlformats.org/officeDocument/2006/relationships/hyperlink" Target="https://www.coches.net/" TargetMode="External"/><Relationship Id="rId27" Type="http://schemas.openxmlformats.org/officeDocument/2006/relationships/hyperlink" Target="mailto:emerino@llorenteycuenca.com"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Ysr3UTQhMGneRpYl9P7Rj+Yprw==">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Pages>
  <Words>1555</Words>
  <Characters>8555</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3</cp:revision>
  <dcterms:created xsi:type="dcterms:W3CDTF">2021-05-04T14:46:00Z</dcterms:created>
  <dcterms:modified xsi:type="dcterms:W3CDTF">2021-11-24T15:16:00Z</dcterms:modified>
</cp:coreProperties>
</file>