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F1D80" w:rsidRDefault="00362D47">
      <w:pPr>
        <w:ind w:right="-574"/>
      </w:pPr>
      <w:r>
        <w:rPr>
          <w:noProof/>
        </w:rPr>
        <w:drawing>
          <wp:anchor distT="0" distB="0" distL="114300" distR="114300" simplePos="0" relativeHeight="251658240" behindDoc="0" locked="0" layoutInCell="1" hidden="0" allowOverlap="1" wp14:anchorId="397A9C42" wp14:editId="2FC9615A">
            <wp:simplePos x="0" y="0"/>
            <wp:positionH relativeFrom="column">
              <wp:posOffset>-1078856</wp:posOffset>
            </wp:positionH>
            <wp:positionV relativeFrom="paragraph">
              <wp:posOffset>-350444</wp:posOffset>
            </wp:positionV>
            <wp:extent cx="7581265" cy="101917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2F1D80" w:rsidRDefault="002F1D80">
      <w:pPr>
        <w:ind w:right="-574"/>
        <w:jc w:val="right"/>
        <w:rPr>
          <w:rFonts w:ascii="National" w:eastAsia="National" w:hAnsi="National" w:cs="National"/>
          <w:color w:val="303AB2"/>
          <w:sz w:val="36"/>
          <w:szCs w:val="36"/>
        </w:rPr>
      </w:pPr>
    </w:p>
    <w:p w14:paraId="00000003" w14:textId="77777777" w:rsidR="002F1D80" w:rsidRDefault="002F1D80">
      <w:pPr>
        <w:ind w:right="-574"/>
        <w:jc w:val="right"/>
        <w:rPr>
          <w:rFonts w:ascii="National" w:eastAsia="National" w:hAnsi="National" w:cs="National"/>
          <w:color w:val="303AB2"/>
          <w:sz w:val="36"/>
          <w:szCs w:val="36"/>
        </w:rPr>
      </w:pPr>
    </w:p>
    <w:p w14:paraId="00000004" w14:textId="77777777" w:rsidR="002F1D80" w:rsidRDefault="002F1D80">
      <w:pPr>
        <w:spacing w:line="276" w:lineRule="auto"/>
        <w:ind w:right="-574"/>
        <w:jc w:val="center"/>
        <w:rPr>
          <w:rFonts w:ascii="National" w:eastAsia="National" w:hAnsi="National" w:cs="National"/>
          <w:b/>
          <w:color w:val="1DBDC5"/>
          <w:sz w:val="20"/>
          <w:szCs w:val="20"/>
        </w:rPr>
      </w:pPr>
    </w:p>
    <w:p w14:paraId="00000005" w14:textId="77777777" w:rsidR="002F1D80" w:rsidRDefault="00362D47">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PERFIL DEL HIPOTECADO ESPAÑOL EN 2021</w:t>
      </w:r>
    </w:p>
    <w:p w14:paraId="00000006" w14:textId="67748C30" w:rsidR="002F1D80" w:rsidRDefault="00362D47">
      <w:pPr>
        <w:shd w:val="clear" w:color="auto" w:fill="FFFFFF"/>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El 74% de los compradores de vivienda se hipotecan</w:t>
      </w:r>
      <w:r w:rsidR="006169AA">
        <w:rPr>
          <w:rFonts w:ascii="National" w:eastAsia="National" w:hAnsi="National" w:cs="National"/>
          <w:b/>
          <w:color w:val="303AB2"/>
          <w:sz w:val="46"/>
          <w:szCs w:val="46"/>
        </w:rPr>
        <w:t xml:space="preserve"> en 2021 y representa </w:t>
      </w:r>
      <w:r>
        <w:rPr>
          <w:rFonts w:ascii="National" w:eastAsia="National" w:hAnsi="National" w:cs="National"/>
          <w:b/>
          <w:color w:val="303AB2"/>
          <w:sz w:val="46"/>
          <w:szCs w:val="46"/>
        </w:rPr>
        <w:t>cinco puntos menos que antes de la pandemia</w:t>
      </w:r>
    </w:p>
    <w:p w14:paraId="00000007" w14:textId="77777777" w:rsidR="002F1D80" w:rsidRDefault="002F1D80">
      <w:pPr>
        <w:pBdr>
          <w:top w:val="nil"/>
          <w:left w:val="nil"/>
          <w:bottom w:val="nil"/>
          <w:right w:val="nil"/>
          <w:between w:val="nil"/>
        </w:pBdr>
        <w:spacing w:line="276" w:lineRule="auto"/>
        <w:ind w:left="644" w:right="-574"/>
        <w:jc w:val="both"/>
        <w:rPr>
          <w:rFonts w:ascii="Open Sans" w:eastAsia="Open Sans" w:hAnsi="Open Sans" w:cs="Open Sans"/>
          <w:color w:val="000000"/>
          <w:sz w:val="22"/>
          <w:szCs w:val="22"/>
          <w:highlight w:val="yellow"/>
        </w:rPr>
      </w:pPr>
    </w:p>
    <w:p w14:paraId="23A0FD36" w14:textId="77777777" w:rsidR="00E872CB" w:rsidRPr="00E872CB" w:rsidRDefault="00E872CB">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Justo antes de la pandemia el 79% de los compradores de vivienda compraban con hipoteca</w:t>
      </w:r>
    </w:p>
    <w:p w14:paraId="00000008" w14:textId="5760476D" w:rsidR="002F1D80" w:rsidRDefault="00362D47">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 xml:space="preserve">De los hipotecados, el 60% necesitó financiación bancaria y el 14% también ayuda familiar </w:t>
      </w:r>
    </w:p>
    <w:p w14:paraId="00000009" w14:textId="77777777" w:rsidR="002F1D80" w:rsidRDefault="00362D47">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Solo el 12% de los que no necesitaron hipoteca tenían el suficiente dinero ahorrado</w:t>
      </w:r>
    </w:p>
    <w:p w14:paraId="0000000A" w14:textId="2C4D1FBE" w:rsidR="002F1D80" w:rsidRPr="005B7C53" w:rsidRDefault="00362D47">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Mujer, de 39 años y con nivel económico alto, es el perfil del comprador que adquiere una hipoteca</w:t>
      </w:r>
    </w:p>
    <w:p w14:paraId="25C79531" w14:textId="21CA479C" w:rsidR="005B7C53" w:rsidRPr="00E872CB" w:rsidRDefault="007345F8">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hyperlink r:id="rId9" w:history="1">
        <w:r w:rsidR="005B7C53" w:rsidRPr="007345F8">
          <w:rPr>
            <w:rStyle w:val="Hipervnculo"/>
            <w:rFonts w:ascii="Open Sans" w:eastAsia="Open Sans" w:hAnsi="Open Sans" w:cs="Open Sans"/>
            <w:sz w:val="22"/>
            <w:szCs w:val="22"/>
          </w:rPr>
          <w:t>Aquí se puede ver una valoración en video</w:t>
        </w:r>
      </w:hyperlink>
      <w:r w:rsidR="005B7C53">
        <w:rPr>
          <w:rFonts w:ascii="Open Sans" w:eastAsia="Open Sans" w:hAnsi="Open Sans" w:cs="Open Sans"/>
          <w:sz w:val="22"/>
          <w:szCs w:val="22"/>
        </w:rPr>
        <w:t xml:space="preserve"> de la directora de Estudios de Fotocasa</w:t>
      </w:r>
    </w:p>
    <w:p w14:paraId="0000000C" w14:textId="77777777" w:rsidR="002F1D80" w:rsidRDefault="002F1D80">
      <w:pPr>
        <w:spacing w:line="276" w:lineRule="auto"/>
        <w:ind w:right="-574"/>
        <w:rPr>
          <w:rFonts w:ascii="Open Sans" w:eastAsia="Open Sans" w:hAnsi="Open Sans" w:cs="Open Sans"/>
          <w:sz w:val="22"/>
          <w:szCs w:val="22"/>
        </w:rPr>
      </w:pPr>
    </w:p>
    <w:p w14:paraId="0000000D" w14:textId="6B5EE4B7" w:rsidR="002F1D80" w:rsidRDefault="00362D47">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6169AA">
        <w:rPr>
          <w:rFonts w:ascii="Open Sans Light" w:eastAsia="Open Sans Light" w:hAnsi="Open Sans Light" w:cs="Open Sans Light"/>
          <w:b/>
          <w:color w:val="303AB2"/>
        </w:rPr>
        <w:t>24</w:t>
      </w:r>
      <w:r>
        <w:rPr>
          <w:rFonts w:ascii="Open Sans Light" w:eastAsia="Open Sans Light" w:hAnsi="Open Sans Light" w:cs="Open Sans Light"/>
          <w:b/>
          <w:color w:val="303AB2"/>
        </w:rPr>
        <w:t xml:space="preserve"> de noviembre de 2021</w:t>
      </w:r>
    </w:p>
    <w:p w14:paraId="6C3E1EBC" w14:textId="77777777" w:rsidR="006169AA" w:rsidRDefault="006169AA">
      <w:pPr>
        <w:spacing w:line="276" w:lineRule="auto"/>
        <w:ind w:right="-574"/>
        <w:jc w:val="both"/>
        <w:rPr>
          <w:rFonts w:ascii="Open Sans" w:eastAsia="Open Sans" w:hAnsi="Open Sans" w:cs="Open Sans"/>
          <w:sz w:val="22"/>
          <w:szCs w:val="22"/>
        </w:rPr>
      </w:pPr>
    </w:p>
    <w:p w14:paraId="0000000E" w14:textId="55AE462B"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Desciende el porcentaje de compradores que se hipotecan. En 2021, el 74% de los que quieren adquirir una vivienda solicitan financiación, una cifra que supone cinco puntos menos que el 79% que se registraba en febrero de 2020, justo antes de la pandemia. Es una de las principales conclusiones que se desprenden del informe “</w:t>
      </w:r>
      <w:sdt>
        <w:sdtPr>
          <w:tag w:val="goog_rdk_0"/>
          <w:id w:val="827481430"/>
          <w:showingPlcHdr/>
        </w:sdtPr>
        <w:sdtEndPr/>
        <w:sdtContent>
          <w:r w:rsidR="005B7C53">
            <w:t xml:space="preserve">     </w:t>
          </w:r>
        </w:sdtContent>
      </w:sdt>
      <w:hyperlink r:id="rId10" w:history="1">
        <w:r w:rsidRPr="005B7C53">
          <w:rPr>
            <w:rStyle w:val="Hipervnculo"/>
            <w:rFonts w:ascii="Open Sans" w:eastAsia="Open Sans" w:hAnsi="Open Sans" w:cs="Open Sans"/>
            <w:b/>
            <w:sz w:val="22"/>
            <w:szCs w:val="22"/>
          </w:rPr>
          <w:t>Perfil del hipotecado español</w:t>
        </w:r>
      </w:hyperlink>
      <w:r>
        <w:rPr>
          <w:rFonts w:ascii="Open Sans" w:eastAsia="Open Sans" w:hAnsi="Open Sans" w:cs="Open Sans"/>
          <w:sz w:val="22"/>
          <w:szCs w:val="22"/>
        </w:rPr>
        <w:t xml:space="preserve">” elaborado por </w:t>
      </w:r>
      <w:hyperlink r:id="rId11">
        <w:r>
          <w:rPr>
            <w:rFonts w:ascii="Open Sans" w:eastAsia="Open Sans" w:hAnsi="Open Sans" w:cs="Open Sans"/>
            <w:color w:val="0000FF"/>
            <w:sz w:val="22"/>
            <w:szCs w:val="22"/>
            <w:u w:val="single"/>
          </w:rPr>
          <w:t>Fotocasa</w:t>
        </w:r>
      </w:hyperlink>
      <w:r>
        <w:rPr>
          <w:rFonts w:ascii="Open Sans" w:eastAsia="Open Sans" w:hAnsi="Open Sans" w:cs="Open Sans"/>
          <w:color w:val="0000FF"/>
          <w:sz w:val="22"/>
          <w:szCs w:val="22"/>
        </w:rPr>
        <w:t xml:space="preserve"> </w:t>
      </w:r>
      <w:r>
        <w:rPr>
          <w:rFonts w:ascii="Open Sans" w:eastAsia="Open Sans" w:hAnsi="Open Sans" w:cs="Open Sans"/>
          <w:sz w:val="22"/>
          <w:szCs w:val="22"/>
        </w:rPr>
        <w:t>para analizar a fondo los cambios que ha ocasionado la pandemia a la hora de recurrir a la financiación para comprar una vivienda.</w:t>
      </w:r>
    </w:p>
    <w:p w14:paraId="0000000F" w14:textId="77777777" w:rsidR="002F1D80" w:rsidRDefault="002F1D80">
      <w:pPr>
        <w:spacing w:line="276" w:lineRule="auto"/>
        <w:ind w:right="-574"/>
        <w:jc w:val="both"/>
        <w:rPr>
          <w:rFonts w:ascii="Open Sans" w:eastAsia="Open Sans" w:hAnsi="Open Sans" w:cs="Open Sans"/>
          <w:sz w:val="22"/>
          <w:szCs w:val="22"/>
        </w:rPr>
      </w:pPr>
    </w:p>
    <w:p w14:paraId="00000010" w14:textId="77777777"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panorama general del mercado de compraventa de vivienda en España indica que un 12% de los particulares mayores de 18 años ha comprado o buscado una vivienda en propiedad en 2021. Y que el 3% terminó efectivamente adquiriendo un inmueble. </w:t>
      </w:r>
      <w:r>
        <w:rPr>
          <w:rFonts w:ascii="Open Sans" w:eastAsia="Open Sans" w:hAnsi="Open Sans" w:cs="Open Sans"/>
          <w:b/>
          <w:sz w:val="22"/>
          <w:szCs w:val="22"/>
        </w:rPr>
        <w:t>Tres de cada cuatro de estos compradores financiaron la operación</w:t>
      </w:r>
      <w:r>
        <w:rPr>
          <w:rFonts w:ascii="Open Sans" w:eastAsia="Open Sans" w:hAnsi="Open Sans" w:cs="Open Sans"/>
          <w:sz w:val="22"/>
          <w:szCs w:val="22"/>
        </w:rPr>
        <w:t xml:space="preserve"> mediante alguna hipoteca.</w:t>
      </w:r>
    </w:p>
    <w:p w14:paraId="00000011" w14:textId="721EC792" w:rsidR="002F1D80" w:rsidRDefault="002F1D80">
      <w:pPr>
        <w:spacing w:line="276" w:lineRule="auto"/>
        <w:ind w:right="-574"/>
        <w:jc w:val="both"/>
        <w:rPr>
          <w:rFonts w:ascii="Open Sans" w:eastAsia="Open Sans" w:hAnsi="Open Sans" w:cs="Open Sans"/>
          <w:sz w:val="22"/>
          <w:szCs w:val="22"/>
        </w:rPr>
      </w:pPr>
    </w:p>
    <w:p w14:paraId="21DB2CC5" w14:textId="70513770" w:rsidR="00E872CB" w:rsidRDefault="00E872CB">
      <w:pPr>
        <w:spacing w:line="276" w:lineRule="auto"/>
        <w:ind w:right="-574"/>
        <w:jc w:val="both"/>
        <w:rPr>
          <w:rFonts w:ascii="Open Sans" w:eastAsia="Open Sans" w:hAnsi="Open Sans" w:cs="Open Sans"/>
          <w:sz w:val="22"/>
          <w:szCs w:val="22"/>
        </w:rPr>
      </w:pPr>
    </w:p>
    <w:p w14:paraId="76C8B487" w14:textId="77777777" w:rsidR="00E872CB" w:rsidRDefault="00E872CB">
      <w:pPr>
        <w:spacing w:line="276" w:lineRule="auto"/>
        <w:ind w:right="-574"/>
        <w:jc w:val="both"/>
        <w:rPr>
          <w:rFonts w:ascii="Open Sans" w:eastAsia="Open Sans" w:hAnsi="Open Sans" w:cs="Open Sans"/>
          <w:sz w:val="22"/>
          <w:szCs w:val="22"/>
        </w:rPr>
      </w:pPr>
    </w:p>
    <w:p w14:paraId="00000013" w14:textId="77777777"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lastRenderedPageBreak/>
        <w:drawing>
          <wp:inline distT="114300" distB="114300" distL="114300" distR="114300" wp14:anchorId="5BA87736" wp14:editId="39E71F42">
            <wp:extent cx="5743575" cy="3114675"/>
            <wp:effectExtent l="0" t="0" r="9525" b="9525"/>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313" r="2442"/>
                    <a:stretch>
                      <a:fillRect/>
                    </a:stretch>
                  </pic:blipFill>
                  <pic:spPr>
                    <a:xfrm>
                      <a:off x="0" y="0"/>
                      <a:ext cx="5744129" cy="3114975"/>
                    </a:xfrm>
                    <a:prstGeom prst="rect">
                      <a:avLst/>
                    </a:prstGeom>
                    <a:ln/>
                  </pic:spPr>
                </pic:pic>
              </a:graphicData>
            </a:graphic>
          </wp:inline>
        </w:drawing>
      </w:r>
    </w:p>
    <w:p w14:paraId="2C29AD27" w14:textId="77777777" w:rsidR="007345F8" w:rsidRDefault="007345F8" w:rsidP="007345F8">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“Todavía contamos con un alto porcentaje de compradores que necesitan un crédito hipotecario para acceder a una vivienda, aunque detectamos un leve descenso. Esto no quiere decir que tengamos una mala salud financiera, sino que se trata de compradores ligeramente más maduros y solventes que en los ejercicios precedentes. Aunque también tiene relación con que, debido a los meses de parón económico y social, los ciudadanos han podido ahorrar en los meses de incertidumbre y un año y medio después, han destinado sus ahorros al proceso de compra de la vivienda sin necesidad de solicitar hipoteca”, explica María Matos, directora de Estudios y portavoz de </w:t>
      </w:r>
      <w:hyperlink r:id="rId13">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w:t>
      </w:r>
    </w:p>
    <w:p w14:paraId="61869E55" w14:textId="0C37691F" w:rsidR="007345F8" w:rsidRDefault="007345F8">
      <w:pPr>
        <w:spacing w:line="276" w:lineRule="auto"/>
        <w:ind w:right="-574"/>
        <w:jc w:val="both"/>
        <w:rPr>
          <w:rFonts w:ascii="Open Sans Light" w:eastAsia="Open Sans Light" w:hAnsi="Open Sans Light" w:cs="Open Sans Light"/>
          <w:b/>
          <w:color w:val="303AB2"/>
          <w:sz w:val="26"/>
          <w:szCs w:val="26"/>
        </w:rPr>
      </w:pPr>
    </w:p>
    <w:p w14:paraId="44C8733F" w14:textId="63D7B449" w:rsidR="007345F8" w:rsidRDefault="007345F8">
      <w:pPr>
        <w:spacing w:line="276" w:lineRule="auto"/>
        <w:ind w:right="-574"/>
        <w:jc w:val="both"/>
        <w:rPr>
          <w:rFonts w:ascii="Open Sans Light" w:eastAsia="Open Sans Light" w:hAnsi="Open Sans Light" w:cs="Open Sans Light"/>
          <w:b/>
          <w:color w:val="303AB2"/>
          <w:sz w:val="26"/>
          <w:szCs w:val="26"/>
        </w:rPr>
      </w:pPr>
      <w:r>
        <w:rPr>
          <w:noProof/>
        </w:rPr>
        <w:drawing>
          <wp:inline distT="0" distB="0" distL="0" distR="0" wp14:anchorId="015E7BE9" wp14:editId="4E2B97D6">
            <wp:extent cx="5705475" cy="3172991"/>
            <wp:effectExtent l="0" t="0" r="0" b="8890"/>
            <wp:docPr id="1" name="Imagen 1" descr="Interfaz de usuario gráfica, Aplicación, Teams&#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Teams&#10;&#10;Descripción generada automáticamente">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19" cy="3175462"/>
                    </a:xfrm>
                    <a:prstGeom prst="rect">
                      <a:avLst/>
                    </a:prstGeom>
                    <a:noFill/>
                    <a:ln>
                      <a:noFill/>
                    </a:ln>
                  </pic:spPr>
                </pic:pic>
              </a:graphicData>
            </a:graphic>
          </wp:inline>
        </w:drawing>
      </w:r>
    </w:p>
    <w:p w14:paraId="00000016" w14:textId="4DA50488" w:rsidR="002F1D80" w:rsidRDefault="00362D47">
      <w:pPr>
        <w:spacing w:line="276" w:lineRule="auto"/>
        <w:ind w:right="-574"/>
        <w:jc w:val="both"/>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lastRenderedPageBreak/>
        <w:t>El perfil del comprador</w:t>
      </w:r>
    </w:p>
    <w:p w14:paraId="00000017" w14:textId="77777777" w:rsidR="002F1D80" w:rsidRDefault="002F1D80">
      <w:pPr>
        <w:spacing w:line="276" w:lineRule="auto"/>
        <w:ind w:right="-574"/>
        <w:jc w:val="both"/>
        <w:rPr>
          <w:rFonts w:ascii="Open Sans Light" w:eastAsia="Open Sans Light" w:hAnsi="Open Sans Light" w:cs="Open Sans Light"/>
          <w:b/>
          <w:color w:val="303AB2"/>
          <w:sz w:val="26"/>
          <w:szCs w:val="26"/>
        </w:rPr>
      </w:pPr>
    </w:p>
    <w:p w14:paraId="00000018" w14:textId="77777777"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 la hora de analizar al comprador de vivienda que contrata una hipoteca hay una serie de características específicas. Es un perfil que, aunque mantiene ciertas similitudes con respecto a años anteriores, presenta también algunos cambios. </w:t>
      </w:r>
    </w:p>
    <w:p w14:paraId="00000019" w14:textId="77777777" w:rsidR="002F1D80" w:rsidRDefault="002F1D80">
      <w:pPr>
        <w:spacing w:line="276" w:lineRule="auto"/>
        <w:ind w:right="-574"/>
        <w:jc w:val="both"/>
        <w:rPr>
          <w:rFonts w:ascii="Open Sans" w:eastAsia="Open Sans" w:hAnsi="Open Sans" w:cs="Open Sans"/>
          <w:sz w:val="22"/>
          <w:szCs w:val="22"/>
        </w:rPr>
      </w:pPr>
    </w:p>
    <w:p w14:paraId="0000001A" w14:textId="77777777"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Por ejemplo, en </w:t>
      </w:r>
      <w:r>
        <w:rPr>
          <w:rFonts w:ascii="Open Sans" w:eastAsia="Open Sans" w:hAnsi="Open Sans" w:cs="Open Sans"/>
          <w:b/>
          <w:sz w:val="22"/>
          <w:szCs w:val="22"/>
        </w:rPr>
        <w:t>el 57 % de los casos se trata de mujeres y, de media, tienen 39 años</w:t>
      </w:r>
      <w:r>
        <w:rPr>
          <w:rFonts w:ascii="Open Sans" w:eastAsia="Open Sans" w:hAnsi="Open Sans" w:cs="Open Sans"/>
          <w:sz w:val="22"/>
          <w:szCs w:val="22"/>
        </w:rPr>
        <w:t xml:space="preserve">. En cuanto al nivel socioeconómico de aquellos particulares mayores de 18 años que solicitan una hipoteca, uno de cada dos se ubica en los estratos intermedios. </w:t>
      </w:r>
    </w:p>
    <w:p w14:paraId="0000001B" w14:textId="77777777" w:rsidR="002F1D80" w:rsidRDefault="002F1D80">
      <w:pPr>
        <w:spacing w:line="276" w:lineRule="auto"/>
        <w:ind w:right="-574"/>
        <w:jc w:val="both"/>
        <w:rPr>
          <w:rFonts w:ascii="Open Sans" w:eastAsia="Open Sans" w:hAnsi="Open Sans" w:cs="Open Sans"/>
          <w:sz w:val="22"/>
          <w:szCs w:val="22"/>
        </w:rPr>
      </w:pPr>
    </w:p>
    <w:p w14:paraId="0000001C" w14:textId="77777777"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Por lo que se refiere a su situación de convivencia, sí que se aprecia un cambio estadísticamente significativo con respecto a 2020. Mientras que hace un año eran el 8 % los que vivían con sus padres, ahora son el 5 %, en línea con lo que apuntábamos de que el perfil comprador ha sido, durante este periodo, más maduro. Dejando a un lado este cambio, lo más frecuente es que los solicitantes de hipotecas vivan con su pareja e hijos (41 %) o únicamente con su pareja (35 %). </w:t>
      </w:r>
    </w:p>
    <w:p w14:paraId="0000001E" w14:textId="77777777" w:rsidR="002F1D80" w:rsidRDefault="002F1D80">
      <w:pPr>
        <w:spacing w:line="276" w:lineRule="auto"/>
        <w:ind w:right="-574"/>
        <w:jc w:val="both"/>
        <w:rPr>
          <w:rFonts w:ascii="Open Sans" w:eastAsia="Open Sans" w:hAnsi="Open Sans" w:cs="Open Sans"/>
          <w:sz w:val="22"/>
          <w:szCs w:val="22"/>
        </w:rPr>
      </w:pPr>
    </w:p>
    <w:p w14:paraId="0000001F" w14:textId="77777777" w:rsidR="002F1D80" w:rsidRDefault="00362D47" w:rsidP="007345F8">
      <w:pPr>
        <w:spacing w:line="276" w:lineRule="auto"/>
        <w:ind w:right="-574"/>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2E5B2DC5" wp14:editId="271B3970">
            <wp:extent cx="5438775" cy="4419600"/>
            <wp:effectExtent l="0" t="0" r="9525"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439186" cy="4419934"/>
                    </a:xfrm>
                    <a:prstGeom prst="rect">
                      <a:avLst/>
                    </a:prstGeom>
                    <a:ln/>
                  </pic:spPr>
                </pic:pic>
              </a:graphicData>
            </a:graphic>
          </wp:inline>
        </w:drawing>
      </w:r>
    </w:p>
    <w:p w14:paraId="00000021" w14:textId="0CC28E2A"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lastRenderedPageBreak/>
        <w:t xml:space="preserve">El estado civil de aquellas personas que solicitan un crédito hipotecario para adquirir una vivienda también ha experimentado cambios en comparación con el año anterior. Actualmente, un 74 % de los que piden una hipoteca están casados, son pareja de hecho o conviven en pareja, mientras que en 2020 eran el 68 %. Sin embargo, en los últimos doce meses han sido menos las personas solteras que han buscado financiación bancaria para comprar una vivienda. Concretamente, han sido un 19 %, una cifra cinco puntos más baja que la de 2020. </w:t>
      </w:r>
    </w:p>
    <w:p w14:paraId="00000022" w14:textId="77777777" w:rsidR="002F1D80" w:rsidRDefault="002F1D80">
      <w:pPr>
        <w:spacing w:line="276" w:lineRule="auto"/>
        <w:ind w:right="-574"/>
        <w:jc w:val="both"/>
        <w:rPr>
          <w:rFonts w:ascii="Open Sans" w:eastAsia="Open Sans" w:hAnsi="Open Sans" w:cs="Open Sans"/>
          <w:sz w:val="22"/>
          <w:szCs w:val="22"/>
        </w:rPr>
      </w:pPr>
    </w:p>
    <w:p w14:paraId="00000023" w14:textId="77777777"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Cuando se les pregunta por el uso que le van a dar a la vivienda por la que se han hipotecado, también hay algunas variaciones relevantes. Si bien sigue siendo la opción más extendida, </w:t>
      </w:r>
      <w:r>
        <w:rPr>
          <w:rFonts w:ascii="Open Sans" w:eastAsia="Open Sans" w:hAnsi="Open Sans" w:cs="Open Sans"/>
          <w:b/>
          <w:sz w:val="22"/>
          <w:szCs w:val="22"/>
        </w:rPr>
        <w:t>caen de manera estadísticamente significativa aquellos que van a utilizarla como residencia habitual: ahora son el 86 % frente al 92 % de hace un año</w:t>
      </w:r>
      <w:r>
        <w:rPr>
          <w:rFonts w:ascii="Open Sans" w:eastAsia="Open Sans" w:hAnsi="Open Sans" w:cs="Open Sans"/>
          <w:sz w:val="22"/>
          <w:szCs w:val="22"/>
        </w:rPr>
        <w:t xml:space="preserve">.  Sin embargo, aunque sea un perfil minoritario, </w:t>
      </w:r>
      <w:r>
        <w:rPr>
          <w:rFonts w:ascii="Open Sans" w:eastAsia="Open Sans" w:hAnsi="Open Sans" w:cs="Open Sans"/>
          <w:b/>
          <w:sz w:val="22"/>
          <w:szCs w:val="22"/>
        </w:rPr>
        <w:t>aquellos que compran o pretenden comprar como inversión se han duplicado con respecto a hace un año</w:t>
      </w:r>
      <w:r>
        <w:rPr>
          <w:rFonts w:ascii="Open Sans" w:eastAsia="Open Sans" w:hAnsi="Open Sans" w:cs="Open Sans"/>
          <w:sz w:val="22"/>
          <w:szCs w:val="22"/>
        </w:rPr>
        <w:t xml:space="preserve">: ahora son el 5 % en comparación con el 2 % de hace 12 meses. </w:t>
      </w:r>
    </w:p>
    <w:p w14:paraId="00000025" w14:textId="77777777" w:rsidR="002F1D80" w:rsidRDefault="00362D47">
      <w:pPr>
        <w:spacing w:line="276" w:lineRule="auto"/>
        <w:ind w:right="-574"/>
        <w:jc w:val="both"/>
        <w:rPr>
          <w:rFonts w:ascii="Open Sans Light" w:eastAsia="Open Sans Light" w:hAnsi="Open Sans Light" w:cs="Open Sans Light"/>
          <w:b/>
          <w:color w:val="303AB2"/>
          <w:sz w:val="26"/>
          <w:szCs w:val="26"/>
        </w:rPr>
      </w:pPr>
      <w:r>
        <w:rPr>
          <w:rFonts w:ascii="Open Sans" w:eastAsia="Open Sans" w:hAnsi="Open Sans" w:cs="Open Sans"/>
          <w:sz w:val="22"/>
          <w:szCs w:val="22"/>
        </w:rPr>
        <w:t xml:space="preserve">En este sentido, la pandemia ha podido desempeñar un papel relevante: no solo por el creciente valor que se le ha dado a la vivienda, sino también porque, en un contexto de crisis, </w:t>
      </w:r>
      <w:r>
        <w:rPr>
          <w:rFonts w:ascii="Open Sans" w:eastAsia="Open Sans" w:hAnsi="Open Sans" w:cs="Open Sans"/>
          <w:b/>
          <w:sz w:val="22"/>
          <w:szCs w:val="22"/>
        </w:rPr>
        <w:t>los inversores han podido ver condiciones propicias para encontrar buenas oportunidades</w:t>
      </w:r>
      <w:r>
        <w:rPr>
          <w:rFonts w:ascii="Open Sans" w:eastAsia="Open Sans" w:hAnsi="Open Sans" w:cs="Open Sans"/>
          <w:sz w:val="22"/>
          <w:szCs w:val="22"/>
        </w:rPr>
        <w:t>, incluso endeudándose vía hipoteca para intentar aprovecharlas.</w:t>
      </w:r>
    </w:p>
    <w:p w14:paraId="00000026" w14:textId="77777777" w:rsidR="002F1D80" w:rsidRDefault="002F1D80">
      <w:pPr>
        <w:spacing w:line="276" w:lineRule="auto"/>
        <w:ind w:right="-574"/>
        <w:rPr>
          <w:rFonts w:ascii="Open Sans Light" w:eastAsia="Open Sans Light" w:hAnsi="Open Sans Light" w:cs="Open Sans Light"/>
          <w:b/>
          <w:color w:val="303AB2"/>
          <w:sz w:val="26"/>
          <w:szCs w:val="26"/>
        </w:rPr>
      </w:pPr>
    </w:p>
    <w:p w14:paraId="00000027" w14:textId="77777777" w:rsidR="002F1D80" w:rsidRDefault="00362D47">
      <w:pPr>
        <w:spacing w:line="276" w:lineRule="auto"/>
        <w:ind w:right="-574"/>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Cómo se hipotecan los españoles: antes de la compra</w:t>
      </w:r>
    </w:p>
    <w:p w14:paraId="00000028" w14:textId="77777777" w:rsidR="002F1D80" w:rsidRDefault="002F1D80">
      <w:pPr>
        <w:spacing w:line="276" w:lineRule="auto"/>
        <w:ind w:right="-574"/>
        <w:rPr>
          <w:rFonts w:ascii="Open Sans Light" w:eastAsia="Open Sans Light" w:hAnsi="Open Sans Light" w:cs="Open Sans Light"/>
          <w:b/>
          <w:color w:val="303AB2"/>
          <w:sz w:val="26"/>
          <w:szCs w:val="26"/>
        </w:rPr>
      </w:pPr>
    </w:p>
    <w:p w14:paraId="00000029" w14:textId="77777777" w:rsidR="002F1D80" w:rsidRDefault="00362D47">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Como hemos visto, tres de cada cuatro compradores de vivienda han necesitado una hipoteca en los últimos doce meses para poder adquirirla. Hacer un desembolso de la magnitud que supone la compra de un inmueble es complicado y por eso hay una serie de acciones previas para garantizar la solvencia financiera de la operación. </w:t>
      </w:r>
    </w:p>
    <w:p w14:paraId="0000002A" w14:textId="77777777" w:rsidR="002F1D80" w:rsidRDefault="002F1D80">
      <w:pPr>
        <w:pBdr>
          <w:top w:val="nil"/>
          <w:left w:val="nil"/>
          <w:bottom w:val="nil"/>
          <w:right w:val="nil"/>
          <w:between w:val="nil"/>
        </w:pBdr>
        <w:spacing w:line="276" w:lineRule="auto"/>
        <w:ind w:right="-574"/>
        <w:jc w:val="both"/>
        <w:rPr>
          <w:rFonts w:ascii="Open Sans" w:eastAsia="Open Sans" w:hAnsi="Open Sans" w:cs="Open Sans"/>
          <w:sz w:val="22"/>
          <w:szCs w:val="22"/>
        </w:rPr>
      </w:pPr>
    </w:p>
    <w:p w14:paraId="0000002B" w14:textId="77777777" w:rsidR="002F1D80" w:rsidRDefault="00362D47">
      <w:pPr>
        <w:pBdr>
          <w:top w:val="nil"/>
          <w:left w:val="nil"/>
          <w:bottom w:val="nil"/>
          <w:right w:val="nil"/>
          <w:between w:val="nil"/>
        </w:pBdr>
        <w:spacing w:line="276" w:lineRule="auto"/>
        <w:ind w:right="-574"/>
        <w:jc w:val="both"/>
        <w:rPr>
          <w:rFonts w:ascii="Open Sans Light" w:eastAsia="Open Sans Light" w:hAnsi="Open Sans Light" w:cs="Open Sans Light"/>
          <w:b/>
          <w:color w:val="303AB2"/>
          <w:sz w:val="26"/>
          <w:szCs w:val="26"/>
        </w:rPr>
      </w:pPr>
      <w:r>
        <w:rPr>
          <w:rFonts w:ascii="Open Sans" w:eastAsia="Open Sans" w:hAnsi="Open Sans" w:cs="Open Sans"/>
          <w:sz w:val="22"/>
          <w:szCs w:val="22"/>
        </w:rPr>
        <w:t xml:space="preserve">Una de las opciones es la venta de una vivienda que el comprador ya tuviera en propiedad. Ya vimos que un 6% de los compradores optó por este camino y no recurrió al crédito bancario. Pero, además, </w:t>
      </w:r>
      <w:r>
        <w:rPr>
          <w:rFonts w:ascii="Open Sans" w:eastAsia="Open Sans" w:hAnsi="Open Sans" w:cs="Open Sans"/>
          <w:b/>
          <w:sz w:val="22"/>
          <w:szCs w:val="22"/>
        </w:rPr>
        <w:t>un 20 % de los compradores que se hipotecan, vendieron una vivienda para financiar la operación</w:t>
      </w:r>
      <w:r>
        <w:rPr>
          <w:rFonts w:ascii="Open Sans" w:eastAsia="Open Sans" w:hAnsi="Open Sans" w:cs="Open Sans"/>
          <w:sz w:val="22"/>
          <w:szCs w:val="22"/>
        </w:rPr>
        <w:t xml:space="preserve">. Es un porcentaje idéntico al del año 2020. </w:t>
      </w:r>
    </w:p>
    <w:p w14:paraId="0000002C" w14:textId="77777777" w:rsidR="002F1D80" w:rsidRDefault="00362D47">
      <w:pPr>
        <w:spacing w:line="276" w:lineRule="auto"/>
        <w:ind w:right="-574"/>
        <w:rPr>
          <w:rFonts w:ascii="Open Sans" w:eastAsia="Open Sans" w:hAnsi="Open Sans" w:cs="Open Sans"/>
          <w:sz w:val="22"/>
          <w:szCs w:val="22"/>
        </w:rPr>
      </w:pPr>
      <w:r>
        <w:rPr>
          <w:rFonts w:ascii="Open Sans Light" w:eastAsia="Open Sans Light" w:hAnsi="Open Sans Light" w:cs="Open Sans Light"/>
          <w:b/>
          <w:noProof/>
          <w:color w:val="303AB2"/>
          <w:sz w:val="26"/>
          <w:szCs w:val="26"/>
        </w:rPr>
        <w:lastRenderedPageBreak/>
        <w:drawing>
          <wp:inline distT="114300" distB="114300" distL="114300" distR="114300" wp14:anchorId="0C72DF12" wp14:editId="2DE45C47">
            <wp:extent cx="5951239" cy="3600132"/>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51239" cy="3600132"/>
                    </a:xfrm>
                    <a:prstGeom prst="rect">
                      <a:avLst/>
                    </a:prstGeom>
                    <a:ln/>
                  </pic:spPr>
                </pic:pic>
              </a:graphicData>
            </a:graphic>
          </wp:inline>
        </w:drawing>
      </w:r>
    </w:p>
    <w:p w14:paraId="0C753C7D" w14:textId="77777777" w:rsidR="00A07AB6" w:rsidRDefault="00A07AB6">
      <w:pPr>
        <w:spacing w:line="276" w:lineRule="auto"/>
        <w:ind w:right="-574"/>
        <w:jc w:val="both"/>
        <w:rPr>
          <w:rFonts w:ascii="Open Sans" w:eastAsia="Open Sans" w:hAnsi="Open Sans" w:cs="Open Sans"/>
          <w:sz w:val="22"/>
          <w:szCs w:val="22"/>
        </w:rPr>
      </w:pPr>
    </w:p>
    <w:p w14:paraId="0000002E" w14:textId="6174BF83"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Independientemente de contar con este ingreso o no, antes de dar el paso de comprar un inmueble, es conveniente que los compradores hagan una estimación del presupuesto del que disponen para hacer frente al pago. En este sentido, </w:t>
      </w:r>
      <w:r>
        <w:rPr>
          <w:rFonts w:ascii="Open Sans" w:eastAsia="Open Sans" w:hAnsi="Open Sans" w:cs="Open Sans"/>
          <w:b/>
          <w:sz w:val="22"/>
          <w:szCs w:val="22"/>
        </w:rPr>
        <w:t>un 50 % fue al banco para establecer un presupuesto inicial</w:t>
      </w:r>
      <w:r>
        <w:rPr>
          <w:rFonts w:ascii="Open Sans" w:eastAsia="Open Sans" w:hAnsi="Open Sans" w:cs="Open Sans"/>
          <w:sz w:val="22"/>
          <w:szCs w:val="22"/>
        </w:rPr>
        <w:t>.</w:t>
      </w:r>
    </w:p>
    <w:p w14:paraId="0000002F" w14:textId="77777777" w:rsidR="002F1D80" w:rsidRDefault="002F1D80">
      <w:pPr>
        <w:spacing w:line="276" w:lineRule="auto"/>
        <w:ind w:right="-574"/>
        <w:jc w:val="both"/>
        <w:rPr>
          <w:rFonts w:ascii="Open Sans" w:eastAsia="Open Sans" w:hAnsi="Open Sans" w:cs="Open Sans"/>
          <w:sz w:val="22"/>
          <w:szCs w:val="22"/>
        </w:rPr>
      </w:pPr>
    </w:p>
    <w:p w14:paraId="00000032" w14:textId="2627EFC1" w:rsidR="002F1D80" w:rsidRDefault="00362D47">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Además del coste en sí del inmueble, cuando se va a comprar una vivienda hay que hacer frente a una serie de gastos iniciales como, por ejemplo, la entrada, los impuestos o el notario. Para hacer frente a este gasto, </w:t>
      </w:r>
      <w:r>
        <w:rPr>
          <w:rFonts w:ascii="Open Sans" w:eastAsia="Open Sans" w:hAnsi="Open Sans" w:cs="Open Sans"/>
          <w:b/>
          <w:sz w:val="22"/>
          <w:szCs w:val="22"/>
        </w:rPr>
        <w:t>un 62 % de los compradores necesitó financiación externa: el 46 % solo recurrió a la financiación bancaria y el 17 % también fue ayudado por sus familiares</w:t>
      </w:r>
      <w:r>
        <w:rPr>
          <w:rFonts w:ascii="Open Sans" w:eastAsia="Open Sans" w:hAnsi="Open Sans" w:cs="Open Sans"/>
          <w:sz w:val="22"/>
          <w:szCs w:val="22"/>
        </w:rPr>
        <w:t>.</w:t>
      </w:r>
      <w:r w:rsidR="00E872CB">
        <w:rPr>
          <w:rFonts w:ascii="Open Sans" w:eastAsia="Open Sans" w:hAnsi="Open Sans" w:cs="Open Sans"/>
          <w:sz w:val="22"/>
          <w:szCs w:val="22"/>
        </w:rPr>
        <w:t xml:space="preserve"> </w:t>
      </w:r>
      <w:r>
        <w:rPr>
          <w:rFonts w:ascii="Open Sans" w:eastAsia="Open Sans" w:hAnsi="Open Sans" w:cs="Open Sans"/>
          <w:sz w:val="22"/>
          <w:szCs w:val="22"/>
        </w:rPr>
        <w:t>Dentro del 38% que no necesitó financiación, la mayoría pudo evitarlo gracias a que tenía suficiente dinero ahorrado (25 %). El resto, o bien se apoyaron en sus familiares (9 %), o bien sacaron el dinero de lo obtenido con la venta de la vivienda anterior (5 %).</w:t>
      </w:r>
    </w:p>
    <w:p w14:paraId="00000033" w14:textId="77777777" w:rsidR="002F1D80" w:rsidRDefault="002F1D80">
      <w:pPr>
        <w:spacing w:line="276" w:lineRule="auto"/>
        <w:ind w:right="-550"/>
        <w:jc w:val="both"/>
        <w:rPr>
          <w:rFonts w:ascii="Open Sans Light" w:eastAsia="Open Sans Light" w:hAnsi="Open Sans Light" w:cs="Open Sans Light"/>
          <w:b/>
          <w:color w:val="303AB2"/>
          <w:sz w:val="26"/>
          <w:szCs w:val="26"/>
        </w:rPr>
      </w:pPr>
    </w:p>
    <w:p w14:paraId="00000034" w14:textId="77777777" w:rsidR="002F1D80" w:rsidRDefault="00362D47">
      <w:pPr>
        <w:spacing w:line="276" w:lineRule="auto"/>
        <w:ind w:right="-71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6"/>
          <w:szCs w:val="26"/>
        </w:rPr>
        <w:t>Así es el comprador que no necesita hipoteca</w:t>
      </w:r>
    </w:p>
    <w:p w14:paraId="00000035" w14:textId="77777777" w:rsidR="002F1D80" w:rsidRDefault="002F1D80">
      <w:pPr>
        <w:spacing w:line="276" w:lineRule="auto"/>
        <w:ind w:right="-716"/>
        <w:jc w:val="both"/>
        <w:rPr>
          <w:rFonts w:ascii="Open Sans Light" w:eastAsia="Open Sans Light" w:hAnsi="Open Sans Light" w:cs="Open Sans Light"/>
          <w:b/>
          <w:color w:val="303AB2"/>
          <w:sz w:val="22"/>
          <w:szCs w:val="22"/>
        </w:rPr>
      </w:pPr>
    </w:p>
    <w:p w14:paraId="00000036" w14:textId="5A773343" w:rsidR="002F1D80" w:rsidRDefault="00362D47">
      <w:pPr>
        <w:spacing w:line="276" w:lineRule="auto"/>
        <w:ind w:right="-716"/>
        <w:jc w:val="both"/>
        <w:rPr>
          <w:rFonts w:ascii="Open Sans" w:eastAsia="Open Sans" w:hAnsi="Open Sans" w:cs="Open Sans"/>
          <w:sz w:val="22"/>
          <w:szCs w:val="22"/>
        </w:rPr>
      </w:pPr>
      <w:r>
        <w:rPr>
          <w:rFonts w:ascii="Open Sans" w:eastAsia="Open Sans" w:hAnsi="Open Sans" w:cs="Open Sans"/>
          <w:sz w:val="22"/>
          <w:szCs w:val="22"/>
        </w:rPr>
        <w:t xml:space="preserve">Aunque solicitar una hipoteca suele ser la opción más recurrente a la hora de comprar una vivienda, hay un 26 % de particulares que no la necesitan para poder adquirir un inmueble. Entre ambos colectivos existen algunas diferencias vinculadas a aspectos como la edad o el uso que se le va a dar a la vivienda. </w:t>
      </w:r>
    </w:p>
    <w:p w14:paraId="29F6664F" w14:textId="77777777" w:rsidR="007345F8" w:rsidRDefault="007345F8">
      <w:pPr>
        <w:spacing w:line="276" w:lineRule="auto"/>
        <w:ind w:right="-716"/>
        <w:jc w:val="both"/>
        <w:rPr>
          <w:rFonts w:ascii="Open Sans" w:eastAsia="Open Sans" w:hAnsi="Open Sans" w:cs="Open Sans"/>
          <w:sz w:val="22"/>
          <w:szCs w:val="22"/>
        </w:rPr>
      </w:pPr>
    </w:p>
    <w:p w14:paraId="00000037" w14:textId="77777777" w:rsidR="002F1D80" w:rsidRDefault="00362D47">
      <w:pPr>
        <w:spacing w:line="276" w:lineRule="auto"/>
        <w:ind w:right="-716"/>
        <w:jc w:val="both"/>
        <w:rPr>
          <w:rFonts w:ascii="Open Sans" w:eastAsia="Open Sans" w:hAnsi="Open Sans" w:cs="Open Sans"/>
          <w:sz w:val="22"/>
          <w:szCs w:val="22"/>
        </w:rPr>
      </w:pPr>
      <w:r>
        <w:rPr>
          <w:noProof/>
        </w:rPr>
        <w:lastRenderedPageBreak/>
        <w:drawing>
          <wp:anchor distT="114300" distB="114300" distL="114300" distR="114300" simplePos="0" relativeHeight="251659264" behindDoc="1" locked="0" layoutInCell="1" hidden="0" allowOverlap="1" wp14:anchorId="2CB4E61D" wp14:editId="55BBC8A6">
            <wp:simplePos x="0" y="0"/>
            <wp:positionH relativeFrom="column">
              <wp:posOffset>-509270</wp:posOffset>
            </wp:positionH>
            <wp:positionV relativeFrom="paragraph">
              <wp:posOffset>57150</wp:posOffset>
            </wp:positionV>
            <wp:extent cx="6630353" cy="4967875"/>
            <wp:effectExtent l="0" t="0" r="0" b="0"/>
            <wp:wrapNone/>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630353" cy="4967875"/>
                    </a:xfrm>
                    <a:prstGeom prst="rect">
                      <a:avLst/>
                    </a:prstGeom>
                    <a:ln/>
                  </pic:spPr>
                </pic:pic>
              </a:graphicData>
            </a:graphic>
          </wp:anchor>
        </w:drawing>
      </w:r>
    </w:p>
    <w:p w14:paraId="00000038" w14:textId="77777777" w:rsidR="002F1D80" w:rsidRDefault="002F1D80">
      <w:pPr>
        <w:spacing w:line="276" w:lineRule="auto"/>
        <w:ind w:right="-716"/>
        <w:jc w:val="both"/>
        <w:rPr>
          <w:rFonts w:ascii="Open Sans" w:eastAsia="Open Sans" w:hAnsi="Open Sans" w:cs="Open Sans"/>
          <w:sz w:val="22"/>
          <w:szCs w:val="22"/>
        </w:rPr>
      </w:pPr>
    </w:p>
    <w:p w14:paraId="00000039" w14:textId="77777777" w:rsidR="002F1D80" w:rsidRDefault="002F1D80">
      <w:pPr>
        <w:spacing w:line="276" w:lineRule="auto"/>
        <w:ind w:right="-716"/>
        <w:jc w:val="both"/>
        <w:rPr>
          <w:rFonts w:ascii="Open Sans" w:eastAsia="Open Sans" w:hAnsi="Open Sans" w:cs="Open Sans"/>
          <w:sz w:val="22"/>
          <w:szCs w:val="22"/>
        </w:rPr>
      </w:pPr>
    </w:p>
    <w:p w14:paraId="0000003A" w14:textId="77777777" w:rsidR="002F1D80" w:rsidRDefault="002F1D80">
      <w:pPr>
        <w:spacing w:line="276" w:lineRule="auto"/>
        <w:ind w:right="-716"/>
        <w:jc w:val="both"/>
        <w:rPr>
          <w:rFonts w:ascii="Open Sans" w:eastAsia="Open Sans" w:hAnsi="Open Sans" w:cs="Open Sans"/>
          <w:sz w:val="22"/>
          <w:szCs w:val="22"/>
        </w:rPr>
      </w:pPr>
    </w:p>
    <w:p w14:paraId="0000003B" w14:textId="77777777" w:rsidR="002F1D80" w:rsidRDefault="002F1D80">
      <w:pPr>
        <w:spacing w:line="276" w:lineRule="auto"/>
        <w:ind w:right="-716"/>
        <w:jc w:val="both"/>
        <w:rPr>
          <w:rFonts w:ascii="Open Sans" w:eastAsia="Open Sans" w:hAnsi="Open Sans" w:cs="Open Sans"/>
          <w:sz w:val="22"/>
          <w:szCs w:val="22"/>
        </w:rPr>
      </w:pPr>
    </w:p>
    <w:p w14:paraId="0000003C" w14:textId="77777777" w:rsidR="002F1D80" w:rsidRDefault="002F1D80">
      <w:pPr>
        <w:spacing w:line="276" w:lineRule="auto"/>
        <w:ind w:right="-716"/>
        <w:jc w:val="both"/>
        <w:rPr>
          <w:rFonts w:ascii="Open Sans" w:eastAsia="Open Sans" w:hAnsi="Open Sans" w:cs="Open Sans"/>
          <w:sz w:val="22"/>
          <w:szCs w:val="22"/>
        </w:rPr>
      </w:pPr>
    </w:p>
    <w:p w14:paraId="0000003D" w14:textId="77777777" w:rsidR="002F1D80" w:rsidRDefault="002F1D80">
      <w:pPr>
        <w:spacing w:line="276" w:lineRule="auto"/>
        <w:ind w:right="-716"/>
        <w:jc w:val="both"/>
        <w:rPr>
          <w:rFonts w:ascii="Open Sans" w:eastAsia="Open Sans" w:hAnsi="Open Sans" w:cs="Open Sans"/>
          <w:sz w:val="22"/>
          <w:szCs w:val="22"/>
        </w:rPr>
      </w:pPr>
    </w:p>
    <w:p w14:paraId="0000003E" w14:textId="77777777" w:rsidR="002F1D80" w:rsidRDefault="002F1D80">
      <w:pPr>
        <w:spacing w:line="276" w:lineRule="auto"/>
        <w:ind w:right="-716"/>
        <w:jc w:val="both"/>
        <w:rPr>
          <w:rFonts w:ascii="Open Sans" w:eastAsia="Open Sans" w:hAnsi="Open Sans" w:cs="Open Sans"/>
          <w:sz w:val="22"/>
          <w:szCs w:val="22"/>
        </w:rPr>
      </w:pPr>
    </w:p>
    <w:p w14:paraId="0000003F" w14:textId="77777777" w:rsidR="002F1D80" w:rsidRDefault="002F1D80">
      <w:pPr>
        <w:spacing w:line="276" w:lineRule="auto"/>
        <w:ind w:right="-716"/>
        <w:jc w:val="both"/>
        <w:rPr>
          <w:rFonts w:ascii="Open Sans" w:eastAsia="Open Sans" w:hAnsi="Open Sans" w:cs="Open Sans"/>
          <w:sz w:val="22"/>
          <w:szCs w:val="22"/>
        </w:rPr>
      </w:pPr>
    </w:p>
    <w:p w14:paraId="00000040" w14:textId="77777777" w:rsidR="002F1D80" w:rsidRDefault="002F1D80">
      <w:pPr>
        <w:spacing w:line="276" w:lineRule="auto"/>
        <w:ind w:right="-716"/>
        <w:jc w:val="both"/>
        <w:rPr>
          <w:rFonts w:ascii="Open Sans" w:eastAsia="Open Sans" w:hAnsi="Open Sans" w:cs="Open Sans"/>
          <w:sz w:val="22"/>
          <w:szCs w:val="22"/>
        </w:rPr>
      </w:pPr>
    </w:p>
    <w:p w14:paraId="00000041" w14:textId="77777777" w:rsidR="002F1D80" w:rsidRDefault="002F1D80">
      <w:pPr>
        <w:spacing w:line="276" w:lineRule="auto"/>
        <w:ind w:right="-716"/>
        <w:jc w:val="both"/>
        <w:rPr>
          <w:rFonts w:ascii="Open Sans" w:eastAsia="Open Sans" w:hAnsi="Open Sans" w:cs="Open Sans"/>
          <w:sz w:val="22"/>
          <w:szCs w:val="22"/>
        </w:rPr>
      </w:pPr>
    </w:p>
    <w:p w14:paraId="00000042" w14:textId="77777777" w:rsidR="002F1D80" w:rsidRDefault="002F1D80">
      <w:pPr>
        <w:spacing w:line="276" w:lineRule="auto"/>
        <w:ind w:right="-716"/>
        <w:jc w:val="both"/>
        <w:rPr>
          <w:rFonts w:ascii="Open Sans" w:eastAsia="Open Sans" w:hAnsi="Open Sans" w:cs="Open Sans"/>
          <w:sz w:val="22"/>
          <w:szCs w:val="22"/>
        </w:rPr>
      </w:pPr>
    </w:p>
    <w:p w14:paraId="00000043" w14:textId="77777777" w:rsidR="002F1D80" w:rsidRDefault="002F1D80">
      <w:pPr>
        <w:spacing w:line="276" w:lineRule="auto"/>
        <w:ind w:right="-716"/>
        <w:jc w:val="both"/>
        <w:rPr>
          <w:rFonts w:ascii="Open Sans" w:eastAsia="Open Sans" w:hAnsi="Open Sans" w:cs="Open Sans"/>
          <w:sz w:val="22"/>
          <w:szCs w:val="22"/>
        </w:rPr>
      </w:pPr>
    </w:p>
    <w:p w14:paraId="00000044" w14:textId="77777777" w:rsidR="002F1D80" w:rsidRDefault="002F1D80">
      <w:pPr>
        <w:spacing w:line="276" w:lineRule="auto"/>
        <w:ind w:right="-716"/>
        <w:jc w:val="both"/>
        <w:rPr>
          <w:rFonts w:ascii="Open Sans" w:eastAsia="Open Sans" w:hAnsi="Open Sans" w:cs="Open Sans"/>
          <w:sz w:val="22"/>
          <w:szCs w:val="22"/>
        </w:rPr>
      </w:pPr>
    </w:p>
    <w:p w14:paraId="00000045" w14:textId="77777777" w:rsidR="002F1D80" w:rsidRDefault="002F1D80">
      <w:pPr>
        <w:spacing w:line="276" w:lineRule="auto"/>
        <w:ind w:right="-716"/>
        <w:jc w:val="both"/>
        <w:rPr>
          <w:rFonts w:ascii="Open Sans" w:eastAsia="Open Sans" w:hAnsi="Open Sans" w:cs="Open Sans"/>
          <w:sz w:val="22"/>
          <w:szCs w:val="22"/>
        </w:rPr>
      </w:pPr>
    </w:p>
    <w:p w14:paraId="00000046" w14:textId="77777777" w:rsidR="002F1D80" w:rsidRDefault="002F1D80">
      <w:pPr>
        <w:spacing w:line="276" w:lineRule="auto"/>
        <w:ind w:right="-716"/>
        <w:jc w:val="both"/>
        <w:rPr>
          <w:rFonts w:ascii="Open Sans" w:eastAsia="Open Sans" w:hAnsi="Open Sans" w:cs="Open Sans"/>
          <w:sz w:val="22"/>
          <w:szCs w:val="22"/>
        </w:rPr>
      </w:pPr>
    </w:p>
    <w:p w14:paraId="00000047" w14:textId="77777777" w:rsidR="002F1D80" w:rsidRDefault="002F1D80">
      <w:pPr>
        <w:spacing w:line="276" w:lineRule="auto"/>
        <w:ind w:right="-716"/>
        <w:jc w:val="both"/>
        <w:rPr>
          <w:rFonts w:ascii="Open Sans" w:eastAsia="Open Sans" w:hAnsi="Open Sans" w:cs="Open Sans"/>
          <w:sz w:val="22"/>
          <w:szCs w:val="22"/>
        </w:rPr>
      </w:pPr>
    </w:p>
    <w:p w14:paraId="00000048" w14:textId="77777777" w:rsidR="002F1D80" w:rsidRDefault="002F1D80">
      <w:pPr>
        <w:spacing w:line="276" w:lineRule="auto"/>
        <w:ind w:right="-716"/>
        <w:jc w:val="both"/>
        <w:rPr>
          <w:rFonts w:ascii="Open Sans" w:eastAsia="Open Sans" w:hAnsi="Open Sans" w:cs="Open Sans"/>
          <w:sz w:val="22"/>
          <w:szCs w:val="22"/>
        </w:rPr>
      </w:pPr>
    </w:p>
    <w:p w14:paraId="5D09C63E" w14:textId="77777777" w:rsidR="007345F8" w:rsidRDefault="007345F8">
      <w:pPr>
        <w:spacing w:line="276" w:lineRule="auto"/>
        <w:ind w:right="-716"/>
        <w:jc w:val="both"/>
        <w:rPr>
          <w:rFonts w:ascii="Open Sans Light" w:eastAsia="Open Sans Light" w:hAnsi="Open Sans Light" w:cs="Open Sans Light"/>
          <w:b/>
          <w:color w:val="303AB2"/>
          <w:sz w:val="22"/>
          <w:szCs w:val="22"/>
        </w:rPr>
      </w:pPr>
    </w:p>
    <w:p w14:paraId="3CF02213" w14:textId="77777777" w:rsidR="007345F8" w:rsidRDefault="007345F8">
      <w:pPr>
        <w:spacing w:line="276" w:lineRule="auto"/>
        <w:ind w:right="-716"/>
        <w:jc w:val="both"/>
        <w:rPr>
          <w:rFonts w:ascii="Open Sans Light" w:eastAsia="Open Sans Light" w:hAnsi="Open Sans Light" w:cs="Open Sans Light"/>
          <w:b/>
          <w:color w:val="303AB2"/>
          <w:sz w:val="22"/>
          <w:szCs w:val="22"/>
        </w:rPr>
      </w:pPr>
    </w:p>
    <w:p w14:paraId="41B4804D" w14:textId="77777777" w:rsidR="007345F8" w:rsidRDefault="007345F8">
      <w:pPr>
        <w:spacing w:line="276" w:lineRule="auto"/>
        <w:ind w:right="-716"/>
        <w:jc w:val="both"/>
        <w:rPr>
          <w:rFonts w:ascii="Open Sans Light" w:eastAsia="Open Sans Light" w:hAnsi="Open Sans Light" w:cs="Open Sans Light"/>
          <w:b/>
          <w:color w:val="303AB2"/>
          <w:sz w:val="22"/>
          <w:szCs w:val="22"/>
        </w:rPr>
      </w:pPr>
    </w:p>
    <w:p w14:paraId="6C6DE329" w14:textId="77777777" w:rsidR="007345F8" w:rsidRDefault="007345F8">
      <w:pPr>
        <w:spacing w:line="276" w:lineRule="auto"/>
        <w:ind w:right="-716"/>
        <w:jc w:val="both"/>
        <w:rPr>
          <w:rFonts w:ascii="Open Sans Light" w:eastAsia="Open Sans Light" w:hAnsi="Open Sans Light" w:cs="Open Sans Light"/>
          <w:b/>
          <w:color w:val="303AB2"/>
          <w:sz w:val="22"/>
          <w:szCs w:val="22"/>
        </w:rPr>
      </w:pPr>
    </w:p>
    <w:p w14:paraId="67478980" w14:textId="77777777" w:rsidR="007345F8" w:rsidRDefault="007345F8">
      <w:pPr>
        <w:spacing w:line="276" w:lineRule="auto"/>
        <w:ind w:right="-716"/>
        <w:jc w:val="both"/>
        <w:rPr>
          <w:rFonts w:ascii="Open Sans Light" w:eastAsia="Open Sans Light" w:hAnsi="Open Sans Light" w:cs="Open Sans Light"/>
          <w:b/>
          <w:color w:val="303AB2"/>
          <w:sz w:val="22"/>
          <w:szCs w:val="22"/>
        </w:rPr>
      </w:pPr>
    </w:p>
    <w:p w14:paraId="593E861B" w14:textId="77777777" w:rsidR="007345F8" w:rsidRDefault="007345F8">
      <w:pPr>
        <w:spacing w:line="276" w:lineRule="auto"/>
        <w:ind w:right="-716"/>
        <w:jc w:val="both"/>
        <w:rPr>
          <w:rFonts w:ascii="Open Sans Light" w:eastAsia="Open Sans Light" w:hAnsi="Open Sans Light" w:cs="Open Sans Light"/>
          <w:b/>
          <w:color w:val="303AB2"/>
          <w:sz w:val="22"/>
          <w:szCs w:val="22"/>
        </w:rPr>
      </w:pPr>
    </w:p>
    <w:p w14:paraId="2AF80EB0" w14:textId="77777777" w:rsidR="007345F8" w:rsidRDefault="007345F8">
      <w:pPr>
        <w:spacing w:line="276" w:lineRule="auto"/>
        <w:ind w:right="-716"/>
        <w:jc w:val="both"/>
        <w:rPr>
          <w:rFonts w:ascii="Open Sans Light" w:eastAsia="Open Sans Light" w:hAnsi="Open Sans Light" w:cs="Open Sans Light"/>
          <w:b/>
          <w:color w:val="303AB2"/>
          <w:sz w:val="22"/>
          <w:szCs w:val="22"/>
        </w:rPr>
      </w:pPr>
    </w:p>
    <w:p w14:paraId="00000053" w14:textId="4EABAC26" w:rsidR="002F1D80" w:rsidRDefault="00362D47">
      <w:pPr>
        <w:spacing w:line="276" w:lineRule="auto"/>
        <w:ind w:right="-716"/>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Sobre el informe “Perfil de hipotecado español en 2021”</w:t>
      </w:r>
    </w:p>
    <w:p w14:paraId="00000054" w14:textId="77777777" w:rsidR="002F1D80" w:rsidRDefault="002F1D80">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00000055" w14:textId="02A34F73" w:rsidR="002F1D80" w:rsidRDefault="00362D47">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portal inmobiliario </w:t>
      </w:r>
      <w:hyperlink r:id="rId18">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ha realizado el informe</w:t>
      </w:r>
      <w:r w:rsidR="007345F8">
        <w:rPr>
          <w:rFonts w:ascii="Open Sans" w:eastAsia="Open Sans" w:hAnsi="Open Sans" w:cs="Open Sans"/>
          <w:color w:val="000000"/>
          <w:sz w:val="22"/>
          <w:szCs w:val="22"/>
        </w:rPr>
        <w:t xml:space="preserve"> “</w:t>
      </w:r>
      <w:hyperlink r:id="rId19" w:history="1">
        <w:r w:rsidR="007345F8" w:rsidRPr="007345F8">
          <w:rPr>
            <w:rStyle w:val="Hipervnculo"/>
            <w:rFonts w:ascii="Open Sans" w:eastAsia="Open Sans" w:hAnsi="Open Sans" w:cs="Open Sans"/>
            <w:b/>
            <w:bCs/>
            <w:sz w:val="22"/>
            <w:szCs w:val="22"/>
          </w:rPr>
          <w:t>Perfil del hipotecado español</w:t>
        </w:r>
        <w:r w:rsidR="007345F8" w:rsidRPr="007345F8">
          <w:rPr>
            <w:rStyle w:val="Hipervnculo"/>
            <w:rFonts w:ascii="Open Sans" w:eastAsia="Open Sans" w:hAnsi="Open Sans" w:cs="Open Sans"/>
            <w:sz w:val="22"/>
            <w:szCs w:val="22"/>
          </w:rPr>
          <w:t xml:space="preserve"> </w:t>
        </w:r>
        <w:r w:rsidRPr="007345F8">
          <w:rPr>
            <w:rStyle w:val="Hipervnculo"/>
            <w:rFonts w:ascii="Open Sans" w:eastAsia="Open Sans" w:hAnsi="Open Sans" w:cs="Open Sans"/>
            <w:b/>
            <w:sz w:val="22"/>
            <w:szCs w:val="22"/>
          </w:rPr>
          <w:t>en 2021</w:t>
        </w:r>
      </w:hyperlink>
      <w:r>
        <w:rPr>
          <w:rFonts w:ascii="Open Sans" w:eastAsia="Open Sans" w:hAnsi="Open Sans" w:cs="Open Sans"/>
          <w:b/>
          <w:i/>
          <w:color w:val="000000"/>
          <w:sz w:val="22"/>
          <w:szCs w:val="22"/>
        </w:rPr>
        <w:t>”</w:t>
      </w:r>
      <w:r>
        <w:rPr>
          <w:rFonts w:ascii="Open Sans" w:eastAsia="Open Sans" w:hAnsi="Open Sans" w:cs="Open Sans"/>
          <w:color w:val="000000"/>
          <w:sz w:val="22"/>
          <w:szCs w:val="22"/>
        </w:rPr>
        <w:t xml:space="preserve">, en base a un exhaustivo análisis del equipo de </w:t>
      </w:r>
      <w:proofErr w:type="spellStart"/>
      <w:r>
        <w:rPr>
          <w:rFonts w:ascii="Open Sans" w:eastAsia="Open Sans" w:hAnsi="Open Sans" w:cs="Open Sans"/>
          <w:color w:val="000000"/>
          <w:sz w:val="22"/>
          <w:szCs w:val="22"/>
        </w:rPr>
        <w:t>Bussiness</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Analytics</w:t>
      </w:r>
      <w:proofErr w:type="spellEnd"/>
      <w:r>
        <w:rPr>
          <w:rFonts w:ascii="Open Sans" w:eastAsia="Open Sans" w:hAnsi="Open Sans" w:cs="Open Sans"/>
          <w:color w:val="000000"/>
          <w:sz w:val="22"/>
          <w:szCs w:val="22"/>
        </w:rPr>
        <w:t xml:space="preserve"> de Fotocasa en colaboración con el instituto de investigación </w:t>
      </w:r>
      <w:proofErr w:type="spellStart"/>
      <w:r>
        <w:rPr>
          <w:rFonts w:ascii="Open Sans" w:eastAsia="Open Sans" w:hAnsi="Open Sans" w:cs="Open Sans"/>
          <w:color w:val="000000"/>
          <w:sz w:val="22"/>
          <w:szCs w:val="22"/>
        </w:rPr>
        <w:t>The</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Cocktail</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Analysis</w:t>
      </w:r>
      <w:proofErr w:type="spellEnd"/>
      <w:r>
        <w:rPr>
          <w:rFonts w:ascii="Open Sans" w:eastAsia="Open Sans" w:hAnsi="Open Sans" w:cs="Open Sans"/>
          <w:color w:val="000000"/>
          <w:sz w:val="22"/>
          <w:szCs w:val="22"/>
        </w:rPr>
        <w:t xml:space="preserve">. </w:t>
      </w:r>
    </w:p>
    <w:p w14:paraId="00000056" w14:textId="726B3D66" w:rsidR="002F1D80" w:rsidRDefault="00362D47">
      <w:pPr>
        <w:spacing w:before="24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El estudio </w:t>
      </w:r>
      <w:r>
        <w:rPr>
          <w:rFonts w:ascii="Open Sans" w:eastAsia="Open Sans" w:hAnsi="Open Sans" w:cs="Open Sans"/>
          <w:sz w:val="22"/>
          <w:szCs w:val="22"/>
        </w:rPr>
        <w:t xml:space="preserve">pone el foco en la situación y el rol de la hipoteca entre los compradores de vivienda. </w:t>
      </w:r>
      <w:r>
        <w:rPr>
          <w:rFonts w:ascii="Open Sans" w:eastAsia="Open Sans" w:hAnsi="Open Sans" w:cs="Open Sans"/>
          <w:color w:val="000000"/>
          <w:sz w:val="22"/>
          <w:szCs w:val="22"/>
        </w:rPr>
        <w:t xml:space="preserve">Al igual que los anteriores </w:t>
      </w:r>
      <w:r>
        <w:rPr>
          <w:rFonts w:ascii="Open Sans" w:eastAsia="Open Sans" w:hAnsi="Open Sans" w:cs="Open Sans"/>
          <w:sz w:val="22"/>
          <w:szCs w:val="22"/>
        </w:rPr>
        <w:t>informe</w:t>
      </w:r>
      <w:r>
        <w:rPr>
          <w:rFonts w:ascii="Open Sans" w:eastAsia="Open Sans" w:hAnsi="Open Sans" w:cs="Open Sans"/>
          <w:color w:val="000000"/>
          <w:sz w:val="22"/>
          <w:szCs w:val="22"/>
        </w:rPr>
        <w:t xml:space="preserve">s, se ha realizado sobre un panel independiente con una muestra de 5.000 personas representativas de la sociedad española y que tienen entre 18 y 75 años, a través de encuestas online que se efectuaron </w:t>
      </w:r>
      <w:r w:rsidR="00E872CB">
        <w:rPr>
          <w:rFonts w:ascii="Open Sans" w:eastAsia="Open Sans" w:hAnsi="Open Sans" w:cs="Open Sans"/>
          <w:color w:val="000000"/>
          <w:sz w:val="22"/>
          <w:szCs w:val="22"/>
        </w:rPr>
        <w:t>en el primer semestre de 2021</w:t>
      </w:r>
      <w:r>
        <w:rPr>
          <w:rFonts w:ascii="Open Sans" w:eastAsia="Open Sans" w:hAnsi="Open Sans" w:cs="Open Sans"/>
          <w:color w:val="000000"/>
          <w:sz w:val="22"/>
          <w:szCs w:val="22"/>
        </w:rPr>
        <w:t>. Error muestral: +-1,4%</w:t>
      </w:r>
    </w:p>
    <w:p w14:paraId="00000057" w14:textId="77777777" w:rsidR="002F1D80" w:rsidRDefault="002F1D80">
      <w:pPr>
        <w:spacing w:line="276" w:lineRule="auto"/>
        <w:ind w:right="-716"/>
        <w:jc w:val="right"/>
        <w:rPr>
          <w:rFonts w:ascii="Open Sans Light" w:eastAsia="Open Sans Light" w:hAnsi="Open Sans Light" w:cs="Open Sans Light"/>
          <w:b/>
          <w:color w:val="303AB2"/>
        </w:rPr>
      </w:pPr>
    </w:p>
    <w:p w14:paraId="00000058" w14:textId="77777777" w:rsidR="002F1D80" w:rsidRDefault="002F1D80">
      <w:pPr>
        <w:spacing w:line="276" w:lineRule="auto"/>
        <w:ind w:right="-716"/>
        <w:jc w:val="right"/>
        <w:rPr>
          <w:rFonts w:ascii="Open Sans Light" w:eastAsia="Open Sans Light" w:hAnsi="Open Sans Light" w:cs="Open Sans Light"/>
          <w:b/>
          <w:color w:val="303AB2"/>
        </w:rPr>
      </w:pPr>
    </w:p>
    <w:p w14:paraId="00000059" w14:textId="77777777" w:rsidR="002F1D80" w:rsidRDefault="00362D47">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5A" w14:textId="77777777" w:rsidR="002F1D80" w:rsidRDefault="00362D47">
      <w:pPr>
        <w:shd w:val="clear" w:color="auto" w:fill="FFFFFF"/>
        <w:spacing w:before="280" w:after="28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Portal inmobiliario que cuenta con inmuebles de segunda mano, promociones de obra nueva y viviendas de alquiler. Cada mes genera un tráfico de 34 millones de visitas (75%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bookmarkStart w:id="0" w:name="_heading=h.30j0zll" w:colFirst="0" w:colLast="0"/>
    <w:bookmarkEnd w:id="0"/>
    <w:p w14:paraId="0000005B" w14:textId="77777777" w:rsidR="002F1D80" w:rsidRDefault="00362D47">
      <w:pPr>
        <w:shd w:val="clear" w:color="auto" w:fill="FFFFFF"/>
        <w:spacing w:before="280" w:after="280"/>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Marketplace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del sector a nivel mundial. Con presencia en 12 países de Europa, América Latina y África del Norte, el conjunto de sus plataformas locales recibe un promedio de 1.500 millones de visitas cada mes.</w:t>
      </w:r>
    </w:p>
    <w:p w14:paraId="0000005C" w14:textId="77777777" w:rsidR="002F1D80" w:rsidRDefault="005A7B98">
      <w:pPr>
        <w:shd w:val="clear" w:color="auto" w:fill="FFFFFF"/>
        <w:spacing w:before="280" w:after="280"/>
        <w:ind w:right="-716"/>
        <w:jc w:val="both"/>
        <w:rPr>
          <w:rFonts w:ascii="Times New Roman" w:eastAsia="Times New Roman" w:hAnsi="Times New Roman" w:cs="Times New Roman"/>
          <w:color w:val="222222"/>
          <w:sz w:val="22"/>
          <w:szCs w:val="22"/>
        </w:rPr>
      </w:pPr>
      <w:hyperlink r:id="rId21">
        <w:r w:rsidR="00362D47">
          <w:rPr>
            <w:rFonts w:ascii="Open Sans" w:eastAsia="Open Sans" w:hAnsi="Open Sans" w:cs="Open Sans"/>
            <w:color w:val="0000FF"/>
            <w:sz w:val="22"/>
            <w:szCs w:val="22"/>
            <w:u w:val="single"/>
          </w:rPr>
          <w:t>Más información sobre Fotocasa</w:t>
        </w:r>
      </w:hyperlink>
      <w:r w:rsidR="00362D47">
        <w:rPr>
          <w:rFonts w:ascii="Open Sans" w:eastAsia="Open Sans" w:hAnsi="Open Sans" w:cs="Open Sans"/>
          <w:color w:val="000000"/>
          <w:sz w:val="22"/>
          <w:szCs w:val="22"/>
        </w:rPr>
        <w:t>.</w:t>
      </w:r>
    </w:p>
    <w:p w14:paraId="0000005D" w14:textId="77777777" w:rsidR="002F1D80" w:rsidRDefault="00362D47">
      <w:pPr>
        <w:shd w:val="clear" w:color="auto" w:fill="FFFFFF"/>
        <w:spacing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antes Schibsted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de las principales empresas del sector tecnológico del país y un referente de transformación digital. En sus 40 años de trayectoria en el mercado español de clasificados, 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hasta convertirse en el referente de Internet en sectores relevantes como inmobiliaria (</w:t>
      </w:r>
      <w:hyperlink r:id="rId22">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y </w:t>
      </w:r>
      <w:proofErr w:type="spellStart"/>
      <w:r>
        <w:fldChar w:fldCharType="begin"/>
      </w:r>
      <w:r>
        <w:instrText xml:space="preserve"> HYPERLINK "https://www.habitaclia.com/" \h </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empleo (</w:t>
      </w:r>
      <w:hyperlink r:id="rId23">
        <w:r>
          <w:rPr>
            <w:rFonts w:ascii="Open Sans" w:eastAsia="Open Sans" w:hAnsi="Open Sans" w:cs="Open Sans"/>
            <w:color w:val="0000FF"/>
            <w:sz w:val="22"/>
            <w:szCs w:val="22"/>
            <w:u w:val="single"/>
          </w:rPr>
          <w:t>Infojobs.net</w:t>
        </w:r>
      </w:hyperlink>
      <w:r>
        <w:rPr>
          <w:rFonts w:ascii="Open Sans" w:eastAsia="Open Sans" w:hAnsi="Open Sans" w:cs="Open Sans"/>
          <w:color w:val="000000"/>
          <w:sz w:val="22"/>
          <w:szCs w:val="22"/>
        </w:rPr>
        <w:t>), motor (</w:t>
      </w:r>
      <w:hyperlink r:id="rId24">
        <w:r>
          <w:rPr>
            <w:rFonts w:ascii="Open Sans" w:eastAsia="Open Sans" w:hAnsi="Open Sans" w:cs="Open Sans"/>
            <w:color w:val="0000FF"/>
            <w:sz w:val="22"/>
            <w:szCs w:val="22"/>
            <w:u w:val="single"/>
          </w:rPr>
          <w:t>coches.net</w:t>
        </w:r>
      </w:hyperlink>
      <w:r>
        <w:rPr>
          <w:rFonts w:ascii="Open Sans" w:eastAsia="Open Sans" w:hAnsi="Open Sans" w:cs="Open Sans"/>
          <w:color w:val="000000"/>
          <w:sz w:val="22"/>
          <w:szCs w:val="22"/>
        </w:rPr>
        <w:t> y </w:t>
      </w:r>
      <w:hyperlink r:id="rId25">
        <w:r>
          <w:rPr>
            <w:rFonts w:ascii="Open Sans" w:eastAsia="Open Sans" w:hAnsi="Open Sans" w:cs="Open Sans"/>
            <w:color w:val="0000FF"/>
            <w:sz w:val="22"/>
            <w:szCs w:val="22"/>
            <w:u w:val="single"/>
          </w:rPr>
          <w:t>motos.ne</w:t>
        </w:r>
      </w:hyperlink>
      <w:r>
        <w:rPr>
          <w:rFonts w:ascii="Open Sans" w:eastAsia="Open Sans" w:hAnsi="Open Sans" w:cs="Open Sans"/>
          <w:color w:val="0000FF"/>
          <w:sz w:val="22"/>
          <w:szCs w:val="22"/>
          <w:u w:val="single"/>
        </w:rPr>
        <w:t>t</w:t>
      </w:r>
      <w:r>
        <w:rPr>
          <w:rFonts w:ascii="Open Sans" w:eastAsia="Open Sans" w:hAnsi="Open Sans" w:cs="Open Sans"/>
          <w:color w:val="000000"/>
          <w:sz w:val="22"/>
          <w:szCs w:val="22"/>
        </w:rPr>
        <w:t>) y segunda mano (</w:t>
      </w:r>
      <w:proofErr w:type="spellStart"/>
      <w:r>
        <w:fldChar w:fldCharType="begin"/>
      </w:r>
      <w:r>
        <w:instrText xml:space="preserve"> HYPERLINK "https://www.milanuncios.es/" \h </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y </w:t>
      </w:r>
      <w:proofErr w:type="spellStart"/>
      <w:r>
        <w:fldChar w:fldCharType="begin"/>
      </w:r>
      <w:r>
        <w:instrText xml:space="preserve"> HYPERLINK "https://www.vibbo.com/" \h </w:instrText>
      </w:r>
      <w:r>
        <w:fldChar w:fldCharType="separate"/>
      </w:r>
      <w:r>
        <w:rPr>
          <w:rFonts w:ascii="Open Sans" w:eastAsia="Open Sans" w:hAnsi="Open Sans" w:cs="Open Sans"/>
          <w:color w:val="0000FF"/>
          <w:sz w:val="22"/>
          <w:szCs w:val="22"/>
          <w:u w:val="single"/>
        </w:rPr>
        <w:t>vibbo</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Sus más de 18 millones de usuarios al mes sitúan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entre las diez compañías con mayor audiencia de Internet en España (y la mayor empresa digital española).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cuenta en la actualidad con una plantilla de más de 1.000 empleados en España. </w:t>
      </w:r>
    </w:p>
    <w:p w14:paraId="0000005E" w14:textId="77777777" w:rsidR="002F1D80" w:rsidRDefault="002F1D80">
      <w:pPr>
        <w:shd w:val="clear" w:color="auto" w:fill="FFFFFF"/>
        <w:spacing w:line="276" w:lineRule="auto"/>
        <w:ind w:right="-716"/>
        <w:jc w:val="both"/>
        <w:rPr>
          <w:rFonts w:ascii="Open Sans" w:eastAsia="Open Sans" w:hAnsi="Open Sans" w:cs="Open Sans"/>
          <w:color w:val="000000"/>
          <w:sz w:val="21"/>
          <w:szCs w:val="21"/>
        </w:rPr>
      </w:pPr>
    </w:p>
    <w:p w14:paraId="0000005F" w14:textId="77777777" w:rsidR="002F1D80" w:rsidRDefault="00362D47">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6">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p w14:paraId="00000060" w14:textId="77777777" w:rsidR="002F1D80" w:rsidRDefault="002F1D80">
      <w:pPr>
        <w:shd w:val="clear" w:color="auto" w:fill="FFFFFF"/>
        <w:spacing w:line="276" w:lineRule="auto"/>
        <w:ind w:right="-716"/>
        <w:jc w:val="both"/>
        <w:rPr>
          <w:rFonts w:ascii="Open Sans" w:eastAsia="Open Sans" w:hAnsi="Open Sans" w:cs="Open Sans"/>
          <w:color w:val="000000"/>
          <w:sz w:val="21"/>
          <w:szCs w:val="21"/>
        </w:rPr>
      </w:pPr>
    </w:p>
    <w:p w14:paraId="00000061" w14:textId="77777777" w:rsidR="002F1D80" w:rsidRDefault="002F1D80">
      <w:pPr>
        <w:spacing w:line="276" w:lineRule="auto"/>
        <w:ind w:right="-716"/>
        <w:rPr>
          <w:rFonts w:ascii="Open Sans Light" w:eastAsia="Open Sans Light" w:hAnsi="Open Sans Light" w:cs="Open Sans Light"/>
          <w:b/>
          <w:color w:val="303AB2"/>
          <w:sz w:val="22"/>
          <w:szCs w:val="22"/>
        </w:rPr>
      </w:pPr>
    </w:p>
    <w:p w14:paraId="00000062" w14:textId="77777777" w:rsidR="002F1D80" w:rsidRDefault="00362D47">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00000063" w14:textId="7DA9DEF5" w:rsidR="002F1D80" w:rsidRDefault="00362D47">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00000064" w14:textId="2FD4436E" w:rsidR="002F1D80" w:rsidRDefault="005A7B98">
      <w:pPr>
        <w:shd w:val="clear" w:color="auto" w:fill="FFFFFF"/>
        <w:spacing w:line="276" w:lineRule="auto"/>
        <w:ind w:right="-716"/>
        <w:rPr>
          <w:rFonts w:ascii="Open Sans" w:eastAsia="Open Sans" w:hAnsi="Open Sans" w:cs="Open Sans"/>
          <w:color w:val="0000FF"/>
          <w:sz w:val="19"/>
          <w:szCs w:val="19"/>
          <w:u w:val="single"/>
        </w:rPr>
      </w:pPr>
      <w:hyperlink r:id="rId27">
        <w:r w:rsidR="00362D47">
          <w:rPr>
            <w:rFonts w:ascii="Open Sans" w:eastAsia="Open Sans" w:hAnsi="Open Sans" w:cs="Open Sans"/>
            <w:color w:val="0000FF"/>
            <w:sz w:val="19"/>
            <w:szCs w:val="19"/>
            <w:u w:val="single"/>
          </w:rPr>
          <w:t>rtorne@llorenteycuenca.com</w:t>
        </w:r>
      </w:hyperlink>
      <w:r w:rsidR="00362D47">
        <w:rPr>
          <w:rFonts w:ascii="Open Sans" w:eastAsia="Open Sans" w:hAnsi="Open Sans" w:cs="Open Sans"/>
          <w:color w:val="0000FF"/>
          <w:sz w:val="19"/>
          <w:szCs w:val="19"/>
        </w:rPr>
        <w:tab/>
      </w:r>
      <w:r w:rsidR="00362D47">
        <w:rPr>
          <w:rFonts w:ascii="Open Sans" w:eastAsia="Open Sans" w:hAnsi="Open Sans" w:cs="Open Sans"/>
          <w:color w:val="0000FF"/>
          <w:sz w:val="19"/>
          <w:szCs w:val="19"/>
        </w:rPr>
        <w:tab/>
      </w:r>
      <w:r w:rsidR="00362D47">
        <w:rPr>
          <w:rFonts w:ascii="Open Sans" w:eastAsia="Open Sans" w:hAnsi="Open Sans" w:cs="Open Sans"/>
          <w:color w:val="0000FF"/>
          <w:sz w:val="19"/>
          <w:szCs w:val="19"/>
        </w:rPr>
        <w:tab/>
        <w:t xml:space="preserve">                                               </w:t>
      </w:r>
      <w:hyperlink r:id="rId28">
        <w:r w:rsidR="00362D47">
          <w:rPr>
            <w:rFonts w:ascii="Open Sans" w:eastAsia="Open Sans" w:hAnsi="Open Sans" w:cs="Open Sans"/>
            <w:color w:val="0000FF"/>
            <w:sz w:val="19"/>
            <w:szCs w:val="19"/>
            <w:u w:val="single"/>
          </w:rPr>
          <w:t>comunicacion@fotocasa.es</w:t>
        </w:r>
      </w:hyperlink>
    </w:p>
    <w:p w14:paraId="00000065" w14:textId="675D22AE" w:rsidR="002F1D80" w:rsidRDefault="00362D47">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w:t>
      </w:r>
      <w:r w:rsidR="00E872CB">
        <w:rPr>
          <w:rFonts w:ascii="Open Sans" w:eastAsia="Open Sans" w:hAnsi="Open Sans" w:cs="Open Sans"/>
          <w:color w:val="000000"/>
          <w:sz w:val="19"/>
          <w:szCs w:val="19"/>
        </w:rPr>
        <w:t xml:space="preserve"> </w:t>
      </w:r>
      <w:r>
        <w:rPr>
          <w:rFonts w:ascii="Open Sans" w:eastAsia="Open Sans" w:hAnsi="Open Sans" w:cs="Open Sans"/>
          <w:color w:val="000000"/>
          <w:sz w:val="19"/>
          <w:szCs w:val="19"/>
        </w:rPr>
        <w:t xml:space="preserve"> 620 66 29 26</w:t>
      </w:r>
    </w:p>
    <w:p w14:paraId="00000066" w14:textId="77777777" w:rsidR="002F1D80" w:rsidRDefault="00362D47">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00000067" w14:textId="77777777" w:rsidR="002F1D80" w:rsidRDefault="00362D47">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00000068" w14:textId="77777777" w:rsidR="002F1D80" w:rsidRDefault="005A7B98">
      <w:pPr>
        <w:shd w:val="clear" w:color="auto" w:fill="FFFFFF"/>
        <w:ind w:right="-716"/>
        <w:rPr>
          <w:rFonts w:ascii="Open Sans" w:eastAsia="Open Sans" w:hAnsi="Open Sans" w:cs="Open Sans"/>
          <w:color w:val="0000FF"/>
          <w:sz w:val="19"/>
          <w:szCs w:val="19"/>
        </w:rPr>
      </w:pPr>
      <w:hyperlink r:id="rId29">
        <w:r w:rsidR="00362D47">
          <w:rPr>
            <w:rFonts w:ascii="Open Sans" w:eastAsia="Open Sans" w:hAnsi="Open Sans" w:cs="Open Sans"/>
            <w:color w:val="0000FF"/>
            <w:sz w:val="19"/>
            <w:szCs w:val="19"/>
            <w:u w:val="single"/>
          </w:rPr>
          <w:t>emerino@llorenteycuenca.com</w:t>
        </w:r>
      </w:hyperlink>
    </w:p>
    <w:p w14:paraId="00000069" w14:textId="77777777" w:rsidR="002F1D80" w:rsidRDefault="00362D47">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663 35 69 75 </w:t>
      </w:r>
    </w:p>
    <w:sectPr w:rsidR="002F1D80">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38EAC" w14:textId="77777777" w:rsidR="005A7B98" w:rsidRDefault="005A7B98">
      <w:r>
        <w:separator/>
      </w:r>
    </w:p>
  </w:endnote>
  <w:endnote w:type="continuationSeparator" w:id="0">
    <w:p w14:paraId="182E0733" w14:textId="77777777" w:rsidR="005A7B98" w:rsidRDefault="005A7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A" w14:textId="77777777" w:rsidR="002F1D80" w:rsidRDefault="00362D47">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3B4D2635" wp14:editId="19BFA23D">
          <wp:simplePos x="0" y="0"/>
          <wp:positionH relativeFrom="column">
            <wp:posOffset>-1068061</wp:posOffset>
          </wp:positionH>
          <wp:positionV relativeFrom="paragraph">
            <wp:posOffset>174608</wp:posOffset>
          </wp:positionV>
          <wp:extent cx="7670550" cy="451315"/>
          <wp:effectExtent l="0" t="0" r="0" b="0"/>
          <wp:wrapSquare wrapText="bothSides" distT="0" distB="0" distL="0" distR="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6BB12" w14:textId="77777777" w:rsidR="005A7B98" w:rsidRDefault="005A7B98">
      <w:r>
        <w:separator/>
      </w:r>
    </w:p>
  </w:footnote>
  <w:footnote w:type="continuationSeparator" w:id="0">
    <w:p w14:paraId="6ADA1FBF" w14:textId="77777777" w:rsidR="005A7B98" w:rsidRDefault="005A7B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B6E1D"/>
    <w:multiLevelType w:val="multilevel"/>
    <w:tmpl w:val="50425BDE"/>
    <w:lvl w:ilvl="0">
      <w:start w:val="1"/>
      <w:numFmt w:val="bullet"/>
      <w:lvlText w:val="●"/>
      <w:lvlJc w:val="left"/>
      <w:pPr>
        <w:ind w:left="644" w:hanging="357"/>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D80"/>
    <w:rsid w:val="002F1D80"/>
    <w:rsid w:val="00362D47"/>
    <w:rsid w:val="005A7B98"/>
    <w:rsid w:val="005B7C53"/>
    <w:rsid w:val="006169AA"/>
    <w:rsid w:val="00657567"/>
    <w:rsid w:val="007345F8"/>
    <w:rsid w:val="00A07AB6"/>
    <w:rsid w:val="00E872CB"/>
    <w:rsid w:val="00FE66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D09E4"/>
  <w15:docId w15:val="{C750C62D-ABE8-491A-8C7A-42380970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3C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A594F"/>
    <w:rPr>
      <w:b/>
      <w:bCs/>
    </w:rPr>
  </w:style>
  <w:style w:type="character" w:customStyle="1" w:styleId="AsuntodelcomentarioCar">
    <w:name w:val="Asunto del comentario Car"/>
    <w:basedOn w:val="TextocomentarioCar"/>
    <w:link w:val="Asuntodelcomentario"/>
    <w:uiPriority w:val="99"/>
    <w:semiHidden/>
    <w:rsid w:val="003A594F"/>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151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www.fotocasa.es" TargetMode="External"/><Relationship Id="rId26" Type="http://schemas.openxmlformats.org/officeDocument/2006/relationships/hyperlink" Target="http://prensa.fotocasa.es" TargetMode="External"/><Relationship Id="rId3" Type="http://schemas.openxmlformats.org/officeDocument/2006/relationships/styles" Target="styles.xml"/><Relationship Id="rId21" Type="http://schemas.openxmlformats.org/officeDocument/2006/relationships/hyperlink" Target="https://www.fotocasa.es/es/quienes-somo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otocasa.es/indice/"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infojobs.net/" TargetMode="External"/><Relationship Id="rId28" Type="http://schemas.openxmlformats.org/officeDocument/2006/relationships/hyperlink" Target="mailto:comunicacion@fotocasa.es" TargetMode="External"/><Relationship Id="rId10" Type="http://schemas.openxmlformats.org/officeDocument/2006/relationships/hyperlink" Target="https://s36360.pcdn.co/wp-content/uploads/2021/11/Informe-perfil-hipotecado-hipotecascom-2021.pdf" TargetMode="External"/><Relationship Id="rId19" Type="http://schemas.openxmlformats.org/officeDocument/2006/relationships/hyperlink" Target="https://s36360.pcdn.co/wp-content/uploads/2021/11/Informe-perfil-hipotecado-hipotecascom-2021.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xguNMM8vI24" TargetMode="External"/><Relationship Id="rId14" Type="http://schemas.openxmlformats.org/officeDocument/2006/relationships/image" Target="media/image3.jpeg"/><Relationship Id="rId22" Type="http://schemas.openxmlformats.org/officeDocument/2006/relationships/hyperlink" Target="http://www.fotocasa.es/" TargetMode="External"/><Relationship Id="rId27" Type="http://schemas.openxmlformats.org/officeDocument/2006/relationships/hyperlink" Target="mailto:rtorne@llorenteycuenca.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iyJg9/k3duADnQV2SfrsC3xG7A==">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1603</Words>
  <Characters>8819</Characters>
  <Application>Microsoft Office Word</Application>
  <DocSecurity>0</DocSecurity>
  <Lines>73</Lines>
  <Paragraphs>20</Paragraphs>
  <ScaleCrop>false</ScaleCrop>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7</cp:revision>
  <dcterms:created xsi:type="dcterms:W3CDTF">2021-05-04T14:46:00Z</dcterms:created>
  <dcterms:modified xsi:type="dcterms:W3CDTF">2021-11-24T08:19:00Z</dcterms:modified>
</cp:coreProperties>
</file>