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39A" w14:textId="77777777" w:rsidR="0007060B" w:rsidRDefault="005D30BA">
      <w:pPr>
        <w:ind w:right="-574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642810" wp14:editId="5361AF86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3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283D0" w14:textId="77777777" w:rsidR="0007060B" w:rsidRDefault="0007060B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74B7BD98" w14:textId="77777777" w:rsidR="0007060B" w:rsidRDefault="0007060B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7F153F3" w14:textId="77777777" w:rsidR="0007060B" w:rsidRDefault="0007060B">
      <w:pPr>
        <w:ind w:right="-574"/>
        <w:rPr>
          <w:rFonts w:ascii="National" w:eastAsia="National" w:hAnsi="National" w:cs="National"/>
          <w:color w:val="303AB2"/>
          <w:sz w:val="16"/>
          <w:szCs w:val="16"/>
        </w:rPr>
      </w:pPr>
    </w:p>
    <w:p w14:paraId="102E6221" w14:textId="77777777" w:rsidR="0007060B" w:rsidRDefault="005D30BA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8"/>
          <w:szCs w:val="38"/>
        </w:rPr>
      </w:pPr>
      <w:bookmarkStart w:id="1" w:name="_heading=h.30j0zll" w:colFirst="0" w:colLast="0"/>
      <w:bookmarkEnd w:id="1"/>
      <w:r>
        <w:rPr>
          <w:rFonts w:ascii="National" w:eastAsia="National" w:hAnsi="National" w:cs="National"/>
          <w:b/>
          <w:color w:val="1DBDC5"/>
          <w:sz w:val="38"/>
          <w:szCs w:val="38"/>
        </w:rPr>
        <w:t xml:space="preserve">ANÁLISIS RENTABILIDAD VIVIENDA </w:t>
      </w:r>
    </w:p>
    <w:p w14:paraId="5E773F16" w14:textId="77777777" w:rsidR="0007060B" w:rsidRDefault="005D30BA">
      <w:pPr>
        <w:ind w:right="-574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46"/>
          <w:szCs w:val="46"/>
        </w:rPr>
        <w:t>La rentabilidad de la vivienda en España se sitúa en un 6,4% en el tercer trimestre, un 1,2 punto más que hace 5 años</w:t>
      </w:r>
    </w:p>
    <w:p w14:paraId="1FBC2A8D" w14:textId="77777777" w:rsidR="0007060B" w:rsidRDefault="0007060B">
      <w:pPr>
        <w:ind w:right="-574"/>
        <w:rPr>
          <w:rFonts w:ascii="National" w:eastAsia="National" w:hAnsi="National" w:cs="National"/>
          <w:b/>
          <w:color w:val="303AB2"/>
          <w:sz w:val="16"/>
          <w:szCs w:val="16"/>
        </w:rPr>
      </w:pPr>
    </w:p>
    <w:p w14:paraId="10B92ADB" w14:textId="77777777" w:rsidR="0007060B" w:rsidRDefault="005D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La rentabilidad de la vivienda en España pasa del 7% registrado en el tercer trimestre de 2020 al 6,4% registrado en 2021</w:t>
      </w:r>
    </w:p>
    <w:p w14:paraId="2AADDFEA" w14:textId="77777777" w:rsidR="0007060B" w:rsidRDefault="005D3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La Región de Murcia incrementa 3,5 puntos de rentabilidad en 10 años, pasa de los 4,4% en 2011 al 7,4% en 2021 </w:t>
      </w:r>
    </w:p>
    <w:p w14:paraId="4F68BF7B" w14:textId="77777777" w:rsidR="00032B6C" w:rsidRDefault="005D30BA" w:rsidP="00032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Hace 5 años la rentabilidad de la vivienda por capitales de provincia apenas superaba el 7%, mientras que en 2021 roza el 9% </w:t>
      </w:r>
    </w:p>
    <w:p w14:paraId="4D03FC19" w14:textId="397FDD90" w:rsidR="00032B6C" w:rsidRPr="00032B6C" w:rsidRDefault="00032B6C" w:rsidP="00032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6"/>
          <w:szCs w:val="26"/>
        </w:rPr>
      </w:pPr>
      <w:r w:rsidRPr="00032B6C">
        <w:rPr>
          <w:rFonts w:ascii="Open Sans" w:eastAsia="Open Sans" w:hAnsi="Open Sans" w:cs="Open Sans"/>
        </w:rPr>
        <w:t xml:space="preserve">Fotocasa </w:t>
      </w:r>
      <w:r>
        <w:rPr>
          <w:rFonts w:ascii="Open Sans" w:eastAsia="Open Sans" w:hAnsi="Open Sans" w:cs="Open Sans"/>
        </w:rPr>
        <w:t>lanza</w:t>
      </w:r>
      <w:r w:rsidRPr="00032B6C">
        <w:rPr>
          <w:rFonts w:ascii="Open Sans" w:eastAsia="Open Sans" w:hAnsi="Open Sans" w:cs="Open Sans"/>
        </w:rPr>
        <w:t xml:space="preserve"> </w:t>
      </w:r>
      <w:hyperlink r:id="rId9">
        <w:r w:rsidR="005B4238" w:rsidRPr="005B4238">
          <w:rPr>
            <w:rFonts w:ascii="Open Sans" w:eastAsia="Open Sans" w:hAnsi="Open Sans" w:cs="Open Sans"/>
            <w:b/>
            <w:bCs/>
            <w:color w:val="1155CC"/>
            <w:sz w:val="22"/>
            <w:szCs w:val="22"/>
            <w:u w:val="single"/>
          </w:rPr>
          <w:t>Fotocasa Inversión</w:t>
        </w:r>
      </w:hyperlink>
      <w:r w:rsidRPr="00032B6C">
        <w:rPr>
          <w:rFonts w:ascii="Open Sans" w:eastAsia="Open Sans" w:hAnsi="Open Sans" w:cs="Open Sans"/>
        </w:rPr>
        <w:t>, un portal informativo para los pequeños inversores que apuestan por la vivienda como un valor de inversión segur</w:t>
      </w:r>
      <w:r w:rsidR="00B078BA">
        <w:rPr>
          <w:rFonts w:ascii="Open Sans" w:eastAsia="Open Sans" w:hAnsi="Open Sans" w:cs="Open Sans"/>
        </w:rPr>
        <w:t>o</w:t>
      </w:r>
    </w:p>
    <w:p w14:paraId="6B8AB248" w14:textId="77777777" w:rsidR="00032B6C" w:rsidRPr="00032B6C" w:rsidRDefault="00032B6C" w:rsidP="00032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color w:val="000000"/>
        </w:rPr>
      </w:pPr>
    </w:p>
    <w:p w14:paraId="12FAB81A" w14:textId="75B96F81" w:rsidR="00032B6C" w:rsidRPr="007920E3" w:rsidRDefault="005D30BA" w:rsidP="00032B6C">
      <w:pPr>
        <w:spacing w:line="276" w:lineRule="auto"/>
        <w:ind w:right="-574"/>
        <w:rPr>
          <w:rFonts w:ascii="Open Sans Light" w:eastAsia="Open Sans Light" w:hAnsi="Open Sans Light" w:cs="Open Sans Light"/>
          <w:b/>
          <w:bCs/>
          <w:color w:val="303AB2"/>
        </w:rPr>
      </w:pPr>
      <w:r w:rsidRPr="007920E3">
        <w:rPr>
          <w:rFonts w:ascii="Open Sans Light" w:eastAsia="Open Sans Light" w:hAnsi="Open Sans Light" w:cs="Open Sans Light"/>
          <w:b/>
          <w:bCs/>
          <w:color w:val="303AB2"/>
        </w:rPr>
        <w:t>Madrid, 11 de noviembre de 2021</w:t>
      </w:r>
    </w:p>
    <w:p w14:paraId="65F7A8D0" w14:textId="77777777" w:rsidR="00B970D9" w:rsidRPr="00032B6C" w:rsidRDefault="00B970D9" w:rsidP="00032B6C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  <w:sz w:val="22"/>
          <w:szCs w:val="22"/>
        </w:rPr>
      </w:pPr>
    </w:p>
    <w:p w14:paraId="626B032A" w14:textId="10C7E66B" w:rsidR="0007060B" w:rsidRPr="00032B6C" w:rsidRDefault="005D30BA" w:rsidP="00032B6C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La rentabilidad de la vivienda en E</w:t>
      </w:r>
      <w:r w:rsidR="00032B6C">
        <w:rPr>
          <w:rFonts w:ascii="Open Sans" w:eastAsia="Open Sans" w:hAnsi="Open Sans" w:cs="Open Sans"/>
          <w:color w:val="000000"/>
          <w:sz w:val="22"/>
          <w:szCs w:val="22"/>
        </w:rPr>
        <w:t>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paña en el tercer trimestre de 2021 se sitúa en un 6,4%, un 1,2 punto más que hace 5 años (un 5,2% en 2016) y un 2,2 punto más que hace 10 años (un 4,3% en 2011), según el estudio por trimestres de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“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La rentabilidad de la vivienda en España en 2021”,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basado en el análisis de los precios de la vivienda en venta y alquiler de septiembre de 2021 por el portal inmobiliario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 Los datos también indican que adquirir una propiedad para ponerla en alquiler en septiembre es un 0,6 punto menos rentable que en 2020 (7%).</w:t>
      </w:r>
    </w:p>
    <w:p w14:paraId="3E654B9B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>Rentabilidad de la vivienda en España en los últimos 10 años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5978CFB" wp14:editId="2E79DFE9">
            <wp:extent cx="5314950" cy="1866900"/>
            <wp:effectExtent l="0" t="0" r="0" b="0"/>
            <wp:docPr id="385" name="Gráfico 3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1261FC" w14:textId="3D7D5C66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“El aumento de la rentabilidad es una tendencia que se repite año tras año, a excepción de este último, debido al descenso del precio de los alquileres desde inicios de 2021. </w:t>
      </w:r>
      <w:r w:rsidR="00032B6C">
        <w:rPr>
          <w:rFonts w:ascii="Open Sans" w:eastAsia="Open Sans" w:hAnsi="Open Sans" w:cs="Open Sans"/>
          <w:sz w:val="22"/>
          <w:szCs w:val="22"/>
        </w:rPr>
        <w:t>Igualmente,</w:t>
      </w:r>
      <w:r>
        <w:rPr>
          <w:rFonts w:ascii="Open Sans" w:eastAsia="Open Sans" w:hAnsi="Open Sans" w:cs="Open Sans"/>
          <w:sz w:val="22"/>
          <w:szCs w:val="22"/>
        </w:rPr>
        <w:t xml:space="preserve"> este beneficio económico de comprar vivienda para ponerla en el mercado del alquiler muestra cifras superiores al 2019, y también al último lustro y década. Por lo tanto, la rentabilidad de este tercer trimestre es muy positiva y se está percibiendo como muy productiva por parte de los inversores. De hecho, la inversión en activos inmobiliarios se ha vuelto un refugio de cara a la incertidumbre causada por la crisis sanitaria. Muchos pequeños particulares se han lanzado a invertir al percibir este mercado como seguro tras la evolución y recuperación tan positiva tras la pandemia. Por ello, desde Fotocasa hemos lanzado </w:t>
      </w:r>
      <w:hyperlink r:id="rId12">
        <w:r w:rsidR="005B4238" w:rsidRPr="005B4238">
          <w:rPr>
            <w:rFonts w:ascii="Open Sans" w:eastAsia="Open Sans" w:hAnsi="Open Sans" w:cs="Open Sans"/>
            <w:b/>
            <w:bCs/>
            <w:color w:val="1155CC"/>
            <w:sz w:val="22"/>
            <w:szCs w:val="22"/>
            <w:u w:val="single"/>
          </w:rPr>
          <w:t>Fotocasa Inversión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un nuevo portal informativo para los pequeños inversores que apuestan por la vivienda como un valor de inversión segura. Además, es muy probable </w:t>
      </w:r>
      <w:r w:rsidR="00032B6C">
        <w:rPr>
          <w:rFonts w:ascii="Open Sans" w:eastAsia="Open Sans" w:hAnsi="Open Sans" w:cs="Open Sans"/>
          <w:sz w:val="22"/>
          <w:szCs w:val="22"/>
        </w:rPr>
        <w:t>que,</w:t>
      </w:r>
      <w:r>
        <w:rPr>
          <w:rFonts w:ascii="Open Sans" w:eastAsia="Open Sans" w:hAnsi="Open Sans" w:cs="Open Sans"/>
          <w:sz w:val="22"/>
          <w:szCs w:val="22"/>
        </w:rPr>
        <w:t xml:space="preserve"> en el próximo año, se mejore esta cifra de rendimiento</w:t>
      </w:r>
      <w:r w:rsidR="00032B6C">
        <w:rPr>
          <w:rFonts w:ascii="Open Sans" w:eastAsia="Open Sans" w:hAnsi="Open Sans" w:cs="Open Sans"/>
          <w:sz w:val="22"/>
          <w:szCs w:val="22"/>
        </w:rPr>
        <w:t xml:space="preserve">”, explica María Matos, directora de Estudios y portavoz de </w:t>
      </w:r>
      <w:hyperlink r:id="rId13">
        <w:r w:rsidR="00032B6C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="00032B6C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F45D0E0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Comunidad Autónoma</w:t>
      </w:r>
    </w:p>
    <w:p w14:paraId="046ACA11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Seis de las comunidades tienen una rentabilidad igual o por encima de la media española (6,8%) y son: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Región de Murcia (7,9%), Navarra (7,2%),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Valenciana (7,1%), Cataluña (6,6%), Canarias (6,5%) y Cantabria (6,4%). Por debajo de la rentabilidad media se encuentran las comunidades de Baleares (5,0%), Madrid (5,2%), Galicia (5,4%), País Vasco (5,6%), Extremadura (5,8%), Andalucía (5,9%), La Rioja (6,0%), Castilla y León (6,0%), Asturias (6,1%), Aragón (6,2%) y Castilla-La Mancha (6,3%).</w:t>
      </w:r>
    </w:p>
    <w:p w14:paraId="56DE0AE2" w14:textId="77777777" w:rsidR="007920E3" w:rsidRDefault="007920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</w:p>
    <w:p w14:paraId="35E50DC9" w14:textId="67162032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>Gráfica - Rentabilidad 3T-2021 por comunidades autónomas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7B8B893" wp14:editId="248D9A3A">
            <wp:extent cx="5718175" cy="2511188"/>
            <wp:effectExtent l="0" t="0" r="0" b="0"/>
            <wp:docPr id="384" name="Gráfico 3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4E96A9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</w:p>
    <w:p w14:paraId="78C8DB71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lastRenderedPageBreak/>
        <w:t>Mapa - Rentabilidad por CCAA en el 3T-2021</w:t>
      </w:r>
    </w:p>
    <w:p w14:paraId="4C97641A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7625DBD" wp14:editId="43B2FE1E">
            <wp:extent cx="4469022" cy="182571"/>
            <wp:effectExtent l="0" t="0" r="0" b="0"/>
            <wp:docPr id="3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9022" cy="182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4CB924D" wp14:editId="380784C7">
            <wp:extent cx="4754196" cy="3469141"/>
            <wp:effectExtent l="0" t="0" r="0" b="0"/>
            <wp:docPr id="387" name="image5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&#10;&#10;Descripción generada automáticament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196" cy="3469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57199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bookmarkStart w:id="2" w:name="_heading=h.1fob9te" w:colFirst="0" w:colLast="0"/>
      <w:bookmarkEnd w:id="2"/>
    </w:p>
    <w:p w14:paraId="66E82291" w14:textId="35E3CF07" w:rsidR="0007060B" w:rsidRDefault="005D30BA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Mapa comparativo de la rentabilidad por CCAA en el </w:t>
      </w: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3T 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de 2011, 2016, 2020 y 2021</w:t>
      </w:r>
    </w:p>
    <w:p w14:paraId="7F8A0E37" w14:textId="77777777" w:rsidR="00B970D9" w:rsidRDefault="00B970D9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2830ECE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C400E6B" wp14:editId="5075FBA2">
            <wp:extent cx="5362575" cy="219075"/>
            <wp:effectExtent l="0" t="0" r="0" b="0"/>
            <wp:docPr id="3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9434ABE" wp14:editId="18F7771A">
            <wp:extent cx="5686425" cy="2095500"/>
            <wp:effectExtent l="0" t="0" r="9525" b="0"/>
            <wp:docPr id="389" name="image3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pa&#10;&#10;Descripción generada automáticament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DBF7E3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Times New Roman" w:eastAsia="Times New Roman" w:hAnsi="Times New Roman" w:cs="Times New Roman"/>
          <w:color w:val="000000"/>
        </w:rPr>
      </w:pPr>
    </w:p>
    <w:p w14:paraId="19C18D78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196B7F11" wp14:editId="032E32AD">
            <wp:extent cx="5743575" cy="2143125"/>
            <wp:effectExtent l="0" t="0" r="9525" b="9525"/>
            <wp:docPr id="392" name="image4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pa&#10;&#10;Descripción generada automá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23330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15CEB71" w14:textId="6E50498A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municipios</w:t>
      </w:r>
    </w:p>
    <w:p w14:paraId="54C12664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análisis de 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también ofrece datos de rentabilidad por municipios. Así, del análisis se desprende que el 21% de los municipios estudiados (100 municipios en total) tienen una rentabilidad igual o por encima de la media de España (6,4%). </w:t>
      </w:r>
    </w:p>
    <w:p w14:paraId="10EAAA17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municipio costero de Gandía ha pasado en 10 años del 4,5% al 8,9% de rentabilidad, convirtiéndose en la ciudad más rentable de España en el tercer trimestre de 2021. Le siguen, Lleida capital con 7,7%, Agüimes con 7,6%, Algeciras con 7,3%, Manresa con 7,2%, Cartagena con 7,2%, Jerez de la Frontera con 7,2%, Santa Lucía de Tirajana con 7,1%, Reus con 7,1%, Almería capital con 6,9%, La Línea de la Concepción con 6,8%, Murcia capital con 6,8%, Santa Cruz de Tenerife capital con 6,8%, Roquetas de Mar con 6,8%, Lucena con 6,7%, Telde con 6,7%, Badalona con 6,6%, Dos Hermanas con 6,6%, Alcalá de Henares con 6,4%, Tarragona capital con 6,4% y Ponferrada con 6,4%.</w:t>
      </w:r>
    </w:p>
    <w:p w14:paraId="158BED14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las 10 ciudades menos rentables del país son: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Donostia - San Sebastián con 3,7%, Sant Cugat del Vallès con 3,8%, Santiago de Compostela con 4,0%, Pozuelo de Alarcón con 4,1%, Getxo con 4,1%, Estepona con 4,2%, Barcelona capital con 4,3%, Fuengirola con 4,3%, Sitges con 4,4% y A Coruña capital con 4,4%.</w:t>
      </w:r>
    </w:p>
    <w:p w14:paraId="3412DF00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01C875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7418F5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EEE2A6C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DE4CA7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8BE357F" w14:textId="77777777" w:rsidR="0007060B" w:rsidRDefault="005D30BA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Mapas comparativos de la rentabilidad por capitales de provincia en el </w:t>
      </w: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3T 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de 2011, 2016, 2020 y 2021</w:t>
      </w:r>
    </w:p>
    <w:p w14:paraId="1417363C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6810ED9" wp14:editId="6023780B">
            <wp:extent cx="4636539" cy="189415"/>
            <wp:effectExtent l="0" t="0" r="0" b="0"/>
            <wp:docPr id="3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539" cy="18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886141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BC11656" wp14:editId="2D5FC4BD">
            <wp:extent cx="5705475" cy="2257425"/>
            <wp:effectExtent l="0" t="0" r="9525" b="9525"/>
            <wp:docPr id="395" name="image6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pa&#10;&#10;Descripción generada automáticamente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7E310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832FC16" wp14:editId="18EA9ECC">
            <wp:extent cx="5743575" cy="2276475"/>
            <wp:effectExtent l="0" t="0" r="9525" b="9525"/>
            <wp:docPr id="393" name="image7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apa&#10;&#10;Descripción generada automáticamente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2C2695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99EBE98" w14:textId="68A0D7D1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distritos</w:t>
      </w:r>
    </w:p>
    <w:p w14:paraId="4A02A8A2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análisis de 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también ofrece datos de los distritos más rentables para comprar una vivienda y ponerla en alquiler en España. Así, del análisis se desprende que los distritos más rentables del país en septiembre de 2021 y que están por encima del 8% de rentabilidad son: el distrito Norte de Granada capital, que alcanza un 8,4% de rentabilidad, seguido del distrito sevillano de Cerro – Amate con 8,2% y el alicantino Pla – Carolinas con 8,1%.</w:t>
      </w:r>
    </w:p>
    <w:p w14:paraId="630C1967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Por otro lado, los distritos que tienen una rentabilidad inferior al 3% en España son El Sardinero de Santander con un 2,7% y el distrito Centro de Donostia - San Sebastián con un 2,8%.</w:t>
      </w:r>
    </w:p>
    <w:p w14:paraId="7FD53B4C" w14:textId="6C7779EE" w:rsidR="00B970D9" w:rsidRDefault="005D30BA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cuanto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Madrid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>, el distrito de Villaverde ha pasado en 5 años del 6,8% al 7,8% de rentabilidad, convirtiéndose en el más rentable de Madrid en el tercer trimestre de 2021. Le siguen los distritos de Puente de Vallecas con 7,1%, Usera con 6,5%, Carabanchel con 6,1%, Latina con 5,8%, Villa de Vallecas con 5,5%, Moratalaz con 5,0%, Vicálvaro con 5,0%, San Blas con 5,0%, Ciudad Lineal con 4,5%, Tetuán con 4,5%, Arganzuela con 4,4%, Barajas con 4,2%, Hortaleza con 4,0%, Centro con 3,9%, Moncloa con 3,8%, Chamberí con 3,8%, Fuencarral con 3,8%, Retiro con 3,6%, Chamartín con 3,4% y Barrio de Salamanca con 3,4%.</w:t>
      </w:r>
    </w:p>
    <w:p w14:paraId="055DCB28" w14:textId="77777777" w:rsidR="0007060B" w:rsidRDefault="005D30BA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Mapas comparativos de la rentabilidad de los distritos de Madrid en el </w:t>
      </w: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3T 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de 2016, 2020 y 2021</w:t>
      </w:r>
    </w:p>
    <w:p w14:paraId="7A4765B1" w14:textId="77777777" w:rsidR="0007060B" w:rsidRDefault="005D30BA">
      <w:pPr>
        <w:jc w:val="center"/>
        <w:rPr>
          <w:rFonts w:ascii="Open Sans Light" w:eastAsia="Open Sans Light" w:hAnsi="Open Sans Light" w:cs="Open Sans Light"/>
          <w:color w:val="404040"/>
        </w:rPr>
      </w:pPr>
      <w:r>
        <w:rPr>
          <w:noProof/>
        </w:rPr>
        <w:drawing>
          <wp:inline distT="0" distB="0" distL="0" distR="0" wp14:anchorId="1ABF0B08" wp14:editId="2E16F3FF">
            <wp:extent cx="4578577" cy="187047"/>
            <wp:effectExtent l="0" t="0" r="0" b="0"/>
            <wp:docPr id="3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577" cy="187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51EEE" w14:textId="77777777" w:rsidR="0007060B" w:rsidRDefault="0007060B">
      <w:pPr>
        <w:jc w:val="both"/>
        <w:rPr>
          <w:rFonts w:ascii="Open Sans Light" w:eastAsia="Open Sans Light" w:hAnsi="Open Sans Light" w:cs="Open Sans Light"/>
          <w:color w:val="404040"/>
        </w:rPr>
      </w:pPr>
    </w:p>
    <w:p w14:paraId="65504C07" w14:textId="77777777" w:rsidR="0007060B" w:rsidRDefault="005D30BA">
      <w:pPr>
        <w:jc w:val="both"/>
        <w:rPr>
          <w:rFonts w:ascii="Open Sans Light" w:eastAsia="Open Sans Light" w:hAnsi="Open Sans Light" w:cs="Open Sans Light"/>
          <w:color w:val="404040"/>
        </w:rPr>
      </w:pPr>
      <w:r>
        <w:rPr>
          <w:noProof/>
        </w:rPr>
        <w:drawing>
          <wp:inline distT="0" distB="0" distL="0" distR="0" wp14:anchorId="419B390E" wp14:editId="606A0957">
            <wp:extent cx="5848350" cy="2771775"/>
            <wp:effectExtent l="0" t="0" r="0" b="9525"/>
            <wp:docPr id="396" name="image8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apa&#10;&#10;Descripción generada automáticament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3E56E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191E4" w14:textId="3E8D908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cuanto 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Barcelona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distrito de Nou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Barris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 pasado en 5 años del 6,7% al 6,1% de rentabilidad; y a pesar del descenso del 0,6 punto, se convierte en el más rentable de la capital catalana. Le siguen, Horta - Guinardó con 4,9%, Sants - Montjuïc con 4,8%, Sant Andreu con 4,8%, Sant Martí con 4,5%,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Vella con 4,2%, Gràcia con 4,1%, Eixample con 3,6%, Les Corts con 3,4% y Sarrià - Sant Gervasi con 3,4%.</w:t>
      </w:r>
    </w:p>
    <w:p w14:paraId="57EE68A1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EB04436" w14:textId="77777777" w:rsidR="0007060B" w:rsidRDefault="005D30BA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Mapas comparativos de la rentabilidad de los distritos de Barcelona en el </w:t>
      </w: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3T 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de 2016, 2020 y 2021</w:t>
      </w:r>
    </w:p>
    <w:p w14:paraId="0B359068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ABB5E0E" wp14:editId="11140EBD">
            <wp:extent cx="5362575" cy="219075"/>
            <wp:effectExtent l="0" t="0" r="0" b="0"/>
            <wp:docPr id="3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F18F85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9861F5C" wp14:editId="2DBC31B0">
            <wp:extent cx="5791200" cy="1962150"/>
            <wp:effectExtent l="0" t="0" r="0" b="0"/>
            <wp:docPr id="398" name="image10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apa&#10;&#10;Descripción generada automáticamente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1B9B75" w14:textId="27CAE762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Open Sans" w:eastAsia="Open Sans" w:hAnsi="Open Sans" w:cs="Open Sans"/>
          <w:color w:val="000000"/>
          <w:sz w:val="22"/>
          <w:szCs w:val="22"/>
        </w:rPr>
        <w:t>En cuanto 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Valencia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distrito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L'Olivereta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 pasado en 5 años del 6,3% al 7,7% de rentabilidad, convirtiéndose en el más rentable de la capital valenciana. Le siguen, Rascanya con 7,5%,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Benicalap con 6,5%, Jesús con 6,4%, 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Saïdia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6,4%,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Patraix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6,3%,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Poblats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Marítims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6,0%, Benimaclet con 5,9%,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Quatre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Carreres con 5,6%,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Algirós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5,1%,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Camins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al Grau con 5,1%,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Extramurs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5,0%, Campanar con 4,8%,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Vella con 4,5%, El Pla del Real con 4,1%, L'Eixample con 4,0%.</w:t>
      </w:r>
    </w:p>
    <w:p w14:paraId="165E6140" w14:textId="77777777" w:rsidR="0007060B" w:rsidRDefault="005D30BA" w:rsidP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Mapas comparativos de la rentabilidad de los distritos de Valencia en el </w:t>
      </w: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3T 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de 2016, 2020 y 2021</w:t>
      </w:r>
    </w:p>
    <w:p w14:paraId="3DC5A480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5D744A7" wp14:editId="6E719900">
            <wp:extent cx="5115300" cy="208973"/>
            <wp:effectExtent l="0" t="0" r="0" b="0"/>
            <wp:docPr id="3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5300" cy="208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48A94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17078924" wp14:editId="3364035C">
            <wp:extent cx="5095875" cy="2847975"/>
            <wp:effectExtent l="0" t="0" r="9525" b="9525"/>
            <wp:docPr id="400" name="image9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apa&#10;&#10;Descripción generada automáticament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545ED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Por barrios</w:t>
      </w:r>
    </w:p>
    <w:p w14:paraId="65D88018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análisis de </w:t>
      </w:r>
      <w:hyperlink r:id="rId2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también ofrece datos de los barrios más rentables para comprar una vivienda y ponerla en alquiler en España. Así, del análisis se desprende que el barrio más rentable del país en el tercer trimestre de 2021 es el barrio sevillano de El Torrejón - El Cerezo en el distrito de Macarena con un 8,2% de rentabilidad. Por otro lado, el barrio madrileño de Recoletos, en el distrito de Salamanca, es el que presenta la rentabilidad más baja de España, en concreto un 2,7% en septiembre.</w:t>
      </w:r>
    </w:p>
    <w:p w14:paraId="3DB7013F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cuanto 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Madrid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>, el barrio más rentable sigue siendo el vallecano San Diego con un 7,4% de rentabilidad, seguido del barrio de Numancia con 7,1%. Por otro lado, el barrio de la capital con menos rentabilidad es Recoletos con un 2,7%, seguido del barrio de Castellana con un 3%.</w:t>
      </w:r>
    </w:p>
    <w:p w14:paraId="30B79046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cuanto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Barcelona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barrio más rentable sigue siendo El Raval con un 5,5%, seguido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Provençals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del Poblenou (5,3%). Por otro lado, los barrios de la capital catalana con menos rentabilidad son Sant Gervasi-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Galvany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y Les Tres Torres con un 3,2% cada una.</w:t>
      </w:r>
    </w:p>
    <w:p w14:paraId="0D26A4B9" w14:textId="57EC6471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cuanto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Valencia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barrio más rentable sigue siendo Nou Moles con un 6,9%, seguido de 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Cabanyal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- 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Canyamelar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(6,5%). Por otro lado, los barrios de la capital valenciana con menos rentabilidad son El Pla del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Remei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un 3,2% y Zona Gran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Via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un 3,9%.</w:t>
      </w:r>
    </w:p>
    <w:p w14:paraId="22D63219" w14:textId="0E4CA3E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389EF3" w14:textId="7036956F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0FB643" w14:textId="6AD01AC1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9F460A" w14:textId="154EC514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EB42C5" w14:textId="216D4361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EA279" w14:textId="676BEBAC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3D1F18" w14:textId="6DDEADFD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C5ADB0" w14:textId="44A4E645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522BACA" w14:textId="20648311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04F90B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8A1823" w14:textId="3E70B1EF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Tablas </w:t>
      </w:r>
    </w:p>
    <w:p w14:paraId="32CCC2C5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</w:rPr>
        <w:t>Tabla 1. Rentabilidad de la vivienda por CCAA en el 3T de 2011, 2016, 2020 y 2021</w:t>
      </w:r>
    </w:p>
    <w:tbl>
      <w:tblPr>
        <w:tblStyle w:val="a"/>
        <w:tblW w:w="901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1559"/>
        <w:gridCol w:w="1701"/>
        <w:gridCol w:w="1511"/>
      </w:tblGrid>
      <w:tr w:rsidR="0007060B" w14:paraId="6BBC6D16" w14:textId="77777777">
        <w:trPr>
          <w:trHeight w:val="549"/>
        </w:trPr>
        <w:tc>
          <w:tcPr>
            <w:tcW w:w="226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7458C10D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Comunidades Autónomas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0BF3067D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054C9925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2011</w:t>
            </w:r>
          </w:p>
          <w:p w14:paraId="669BC89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(10 años)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016BA393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196EF9E6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2016</w:t>
            </w:r>
          </w:p>
          <w:p w14:paraId="5175A893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(5 años)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29D0E157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4D617ECD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2020</w:t>
            </w:r>
          </w:p>
          <w:p w14:paraId="304A6128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i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(1 año)</w:t>
            </w:r>
          </w:p>
        </w:tc>
        <w:tc>
          <w:tcPr>
            <w:tcW w:w="151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307DF77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6B8BC2C8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2021</w:t>
            </w:r>
          </w:p>
        </w:tc>
      </w:tr>
      <w:tr w:rsidR="0007060B" w14:paraId="5D089104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6B1DDB4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Región de Murcia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60930DD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0486EDF1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4762DB31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367FB9D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7,9%</w:t>
            </w:r>
          </w:p>
        </w:tc>
      </w:tr>
      <w:tr w:rsidR="0007060B" w14:paraId="2875E5F9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CB03D97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Navarra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00379C5B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7076020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7A37F458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4FA5D8AB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07060B" w14:paraId="43C5708E" w14:textId="77777777">
        <w:trPr>
          <w:trHeight w:val="288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E0450BB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 Valenciana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1699F68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2B9304F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4232377F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1B87CCB8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6FFCDF99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87BDCE5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Cataluña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12D5E07C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3211BDB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6DA869C0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70EDDB24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07060B" w14:paraId="081152ED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31AE399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Canarias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499A378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3C5112C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0D4B3DBC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1A8C010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07060B" w14:paraId="23D36C92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BA70399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Cantabria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7141D294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05387B58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62E090F2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5C2573AC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514C636F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0F8E3C7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Castilla-La Mancha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6746E86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264E066B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1A58FDC2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630BA88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607DC654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A8F7BDA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Aragón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6D8F54E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2EB9F65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2F2B62C2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2E78847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07060B" w14:paraId="28412DD8" w14:textId="77777777">
        <w:trPr>
          <w:trHeight w:val="288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42E7834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Asturias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15C64E1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73AF859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2FA54155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71C8325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727E74C6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7888E4F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Castilla y León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7CC85A8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2D466B4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018E421D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498AF24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77A31621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852BE72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La Rioja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1961189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3CFA535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6A5B362C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483A177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54F5543D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694F164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Andalucía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5AFD577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4411CE78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7A2AA1B0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5089E3C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6EF08B83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2AD9268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Extremadura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37D68F5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3D4634E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49696201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6AE1AE81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07060B" w14:paraId="6FA7081B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D251C26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País Vasco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33B5A58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5A9B65E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16A174E3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4B0DE8C1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013D28F9" w14:textId="77777777">
        <w:trPr>
          <w:trHeight w:val="288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5EEE566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Galicia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68E361F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7632B19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11D51FFE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3839173C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07060B" w14:paraId="2290E250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2599992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Madrid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626549F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62D3322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5B36F05B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65AFC12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5B3CB782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B46C9F1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Baleares</w:t>
            </w:r>
          </w:p>
        </w:tc>
        <w:tc>
          <w:tcPr>
            <w:tcW w:w="1985" w:type="dxa"/>
            <w:shd w:val="clear" w:color="auto" w:fill="B4C6E7"/>
            <w:vAlign w:val="bottom"/>
          </w:tcPr>
          <w:p w14:paraId="55BDE2D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shd w:val="clear" w:color="auto" w:fill="B4C6E7"/>
            <w:vAlign w:val="bottom"/>
          </w:tcPr>
          <w:p w14:paraId="70B4261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4A267EAC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11" w:type="dxa"/>
            <w:shd w:val="clear" w:color="auto" w:fill="B4C6E7"/>
            <w:vAlign w:val="bottom"/>
          </w:tcPr>
          <w:p w14:paraId="41D6746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7E1D2CC1" w14:textId="77777777">
        <w:trPr>
          <w:trHeight w:val="273"/>
        </w:trPr>
        <w:tc>
          <w:tcPr>
            <w:tcW w:w="226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bottom"/>
          </w:tcPr>
          <w:p w14:paraId="4358EE7D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España</w:t>
            </w:r>
          </w:p>
        </w:tc>
        <w:tc>
          <w:tcPr>
            <w:tcW w:w="1985" w:type="dxa"/>
            <w:shd w:val="clear" w:color="auto" w:fill="D9E2F3"/>
            <w:vAlign w:val="bottom"/>
          </w:tcPr>
          <w:p w14:paraId="45C1F957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shd w:val="clear" w:color="auto" w:fill="D9E2F3"/>
            <w:vAlign w:val="bottom"/>
          </w:tcPr>
          <w:p w14:paraId="3D8766D5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0E80C642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511" w:type="dxa"/>
            <w:shd w:val="clear" w:color="auto" w:fill="D9E2F3"/>
            <w:vAlign w:val="bottom"/>
          </w:tcPr>
          <w:p w14:paraId="7D42936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</w:tbl>
    <w:p w14:paraId="404AE89E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</w:rPr>
        <w:t>Tabla 2. Rentabilidad de la vivienda por provincias en el 3T de 2011, 2016, 2020 y 2021</w:t>
      </w:r>
    </w:p>
    <w:tbl>
      <w:tblPr>
        <w:tblStyle w:val="a0"/>
        <w:tblW w:w="912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642"/>
        <w:gridCol w:w="1701"/>
        <w:gridCol w:w="1701"/>
        <w:gridCol w:w="1757"/>
      </w:tblGrid>
      <w:tr w:rsidR="0007060B" w14:paraId="0D049F0A" w14:textId="77777777" w:rsidTr="0007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14CABCA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1642" w:type="dxa"/>
            <w:vAlign w:val="center"/>
          </w:tcPr>
          <w:p w14:paraId="40B448E8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5F5DB7E2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2011</w:t>
            </w:r>
          </w:p>
          <w:p w14:paraId="29643D82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(10 años)</w:t>
            </w:r>
          </w:p>
        </w:tc>
        <w:tc>
          <w:tcPr>
            <w:tcW w:w="1701" w:type="dxa"/>
            <w:vAlign w:val="center"/>
          </w:tcPr>
          <w:p w14:paraId="059866FE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42B3CBAE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2016</w:t>
            </w:r>
          </w:p>
          <w:p w14:paraId="0699AEE7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(5 años)</w:t>
            </w:r>
          </w:p>
        </w:tc>
        <w:tc>
          <w:tcPr>
            <w:tcW w:w="1701" w:type="dxa"/>
            <w:vAlign w:val="center"/>
          </w:tcPr>
          <w:p w14:paraId="50D77B7B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75A8F3EC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2020</w:t>
            </w:r>
          </w:p>
          <w:p w14:paraId="6DA2A78F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(1 año)</w:t>
            </w:r>
          </w:p>
        </w:tc>
        <w:tc>
          <w:tcPr>
            <w:tcW w:w="1757" w:type="dxa"/>
            <w:vAlign w:val="center"/>
          </w:tcPr>
          <w:p w14:paraId="1402F87C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5103774D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07060B" w14:paraId="659DCB18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55602D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1642" w:type="dxa"/>
            <w:vAlign w:val="bottom"/>
          </w:tcPr>
          <w:p w14:paraId="4FB80BD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62ABC64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01" w:type="dxa"/>
            <w:vAlign w:val="bottom"/>
          </w:tcPr>
          <w:p w14:paraId="72E22C9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1757" w:type="dxa"/>
            <w:vAlign w:val="bottom"/>
          </w:tcPr>
          <w:p w14:paraId="69D6844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7,7%</w:t>
            </w:r>
          </w:p>
        </w:tc>
      </w:tr>
      <w:tr w:rsidR="0007060B" w14:paraId="37CB096F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1854B1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1642" w:type="dxa"/>
            <w:vAlign w:val="bottom"/>
          </w:tcPr>
          <w:p w14:paraId="219F408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757B15F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0E05A06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757" w:type="dxa"/>
            <w:vAlign w:val="bottom"/>
          </w:tcPr>
          <w:p w14:paraId="08E7985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07060B" w14:paraId="124C5DF7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335AF0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1642" w:type="dxa"/>
            <w:vAlign w:val="bottom"/>
          </w:tcPr>
          <w:p w14:paraId="3D88993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3C6B1F5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01" w:type="dxa"/>
            <w:vAlign w:val="bottom"/>
          </w:tcPr>
          <w:p w14:paraId="749D175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757" w:type="dxa"/>
            <w:vAlign w:val="bottom"/>
          </w:tcPr>
          <w:p w14:paraId="4995C8F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12633DCB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6BD8E3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1642" w:type="dxa"/>
            <w:vAlign w:val="bottom"/>
          </w:tcPr>
          <w:p w14:paraId="0105CAB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563FB10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6477BA8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757" w:type="dxa"/>
            <w:vAlign w:val="bottom"/>
          </w:tcPr>
          <w:p w14:paraId="603CAA6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7,9%</w:t>
            </w:r>
          </w:p>
        </w:tc>
      </w:tr>
      <w:tr w:rsidR="0007060B" w14:paraId="76707992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446439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1642" w:type="dxa"/>
            <w:vAlign w:val="bottom"/>
          </w:tcPr>
          <w:p w14:paraId="169B4C6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5ECEB16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3A78C02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757" w:type="dxa"/>
            <w:vAlign w:val="bottom"/>
          </w:tcPr>
          <w:p w14:paraId="45700B5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8,1%</w:t>
            </w:r>
          </w:p>
        </w:tc>
      </w:tr>
      <w:tr w:rsidR="0007060B" w14:paraId="43A26812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3F4DC3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1642" w:type="dxa"/>
            <w:vAlign w:val="bottom"/>
          </w:tcPr>
          <w:p w14:paraId="73B1CFE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078280A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348F551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57" w:type="dxa"/>
            <w:vAlign w:val="bottom"/>
          </w:tcPr>
          <w:p w14:paraId="79BF86C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</w:tr>
      <w:tr w:rsidR="0007060B" w14:paraId="510D553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87F440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1642" w:type="dxa"/>
            <w:vAlign w:val="bottom"/>
          </w:tcPr>
          <w:p w14:paraId="55623B1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34823DD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14:paraId="038C5D4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57" w:type="dxa"/>
            <w:vAlign w:val="bottom"/>
          </w:tcPr>
          <w:p w14:paraId="3AE3D27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</w:tr>
      <w:tr w:rsidR="0007060B" w14:paraId="34A36935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78A740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1642" w:type="dxa"/>
            <w:vAlign w:val="bottom"/>
          </w:tcPr>
          <w:p w14:paraId="6592C72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4AEDFD8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2723006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757" w:type="dxa"/>
            <w:vAlign w:val="bottom"/>
          </w:tcPr>
          <w:p w14:paraId="04D32E4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07060B" w14:paraId="17D56181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C07E30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1642" w:type="dxa"/>
            <w:vAlign w:val="bottom"/>
          </w:tcPr>
          <w:p w14:paraId="559E70E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3A5DCEB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01" w:type="dxa"/>
            <w:vAlign w:val="bottom"/>
          </w:tcPr>
          <w:p w14:paraId="3BD128C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757" w:type="dxa"/>
            <w:vAlign w:val="bottom"/>
          </w:tcPr>
          <w:p w14:paraId="6216981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6D2669C2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00A5FB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1642" w:type="dxa"/>
            <w:vAlign w:val="bottom"/>
          </w:tcPr>
          <w:p w14:paraId="5906BEC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72D0D2D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5035956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757" w:type="dxa"/>
            <w:vAlign w:val="bottom"/>
          </w:tcPr>
          <w:p w14:paraId="32B1E18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48B0C7F9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5B436A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1642" w:type="dxa"/>
            <w:vAlign w:val="bottom"/>
          </w:tcPr>
          <w:p w14:paraId="1DA0A1C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366ACFF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01" w:type="dxa"/>
            <w:vAlign w:val="bottom"/>
          </w:tcPr>
          <w:p w14:paraId="3AB928E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757" w:type="dxa"/>
            <w:vAlign w:val="bottom"/>
          </w:tcPr>
          <w:p w14:paraId="6C63B8A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07060B" w14:paraId="602E0C3E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0F4708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1642" w:type="dxa"/>
            <w:vAlign w:val="bottom"/>
          </w:tcPr>
          <w:p w14:paraId="7C8CBE8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3E77488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0126D93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757" w:type="dxa"/>
            <w:vAlign w:val="bottom"/>
          </w:tcPr>
          <w:p w14:paraId="4A66AE0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07060B" w14:paraId="3D1E3997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1988E7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1642" w:type="dxa"/>
            <w:vAlign w:val="bottom"/>
          </w:tcPr>
          <w:p w14:paraId="349DA92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1F6EC25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14:paraId="77224B8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57" w:type="dxa"/>
            <w:vAlign w:val="bottom"/>
          </w:tcPr>
          <w:p w14:paraId="79B8AEF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07060B" w14:paraId="28E23280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B941E5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Zaragoza</w:t>
            </w:r>
          </w:p>
        </w:tc>
        <w:tc>
          <w:tcPr>
            <w:tcW w:w="1642" w:type="dxa"/>
            <w:vAlign w:val="bottom"/>
          </w:tcPr>
          <w:p w14:paraId="0C5BAF5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3462730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3FE28B0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757" w:type="dxa"/>
            <w:vAlign w:val="bottom"/>
          </w:tcPr>
          <w:p w14:paraId="70FCAF6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2639A249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8B82CF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1642" w:type="dxa"/>
            <w:vAlign w:val="bottom"/>
          </w:tcPr>
          <w:p w14:paraId="1CA10E9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69B9860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14:paraId="0D58A0B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757" w:type="dxa"/>
            <w:vAlign w:val="bottom"/>
          </w:tcPr>
          <w:p w14:paraId="1C19D62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76DE4015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C1397A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1642" w:type="dxa"/>
            <w:vAlign w:val="bottom"/>
          </w:tcPr>
          <w:p w14:paraId="66AC851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037A33B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021E0EE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757" w:type="dxa"/>
            <w:vAlign w:val="bottom"/>
          </w:tcPr>
          <w:p w14:paraId="562F7D1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07060B" w14:paraId="7A87C760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74D51F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642" w:type="dxa"/>
            <w:vAlign w:val="bottom"/>
          </w:tcPr>
          <w:p w14:paraId="7C4EB07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71D4E4D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701" w:type="dxa"/>
            <w:vAlign w:val="bottom"/>
          </w:tcPr>
          <w:p w14:paraId="0F5B6EF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757" w:type="dxa"/>
            <w:vAlign w:val="bottom"/>
          </w:tcPr>
          <w:p w14:paraId="41BC940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116B9EF7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5F8B13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1642" w:type="dxa"/>
            <w:vAlign w:val="bottom"/>
          </w:tcPr>
          <w:p w14:paraId="70B3C19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3B163DD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5F4FD46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57" w:type="dxa"/>
            <w:vAlign w:val="bottom"/>
          </w:tcPr>
          <w:p w14:paraId="14941EB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07060B" w14:paraId="6BEE488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8BE119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1642" w:type="dxa"/>
            <w:vAlign w:val="bottom"/>
          </w:tcPr>
          <w:p w14:paraId="5EB5BFF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7D927F6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782FA63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57" w:type="dxa"/>
            <w:vAlign w:val="bottom"/>
          </w:tcPr>
          <w:p w14:paraId="570813D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07060B" w14:paraId="56241BE9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F60E43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1642" w:type="dxa"/>
            <w:vAlign w:val="bottom"/>
          </w:tcPr>
          <w:p w14:paraId="3320F4C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125ADFA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14:paraId="43435C2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57" w:type="dxa"/>
            <w:vAlign w:val="bottom"/>
          </w:tcPr>
          <w:p w14:paraId="0A32B3B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3980BFD6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24FA39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1642" w:type="dxa"/>
            <w:vAlign w:val="bottom"/>
          </w:tcPr>
          <w:p w14:paraId="0443D1E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38D8D3B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713F589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757" w:type="dxa"/>
            <w:vAlign w:val="bottom"/>
          </w:tcPr>
          <w:p w14:paraId="26377B4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6C2C23CB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B4C504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642" w:type="dxa"/>
            <w:vAlign w:val="bottom"/>
          </w:tcPr>
          <w:p w14:paraId="59B198D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0D40C45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08B9612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757" w:type="dxa"/>
            <w:vAlign w:val="bottom"/>
          </w:tcPr>
          <w:p w14:paraId="4AD1C2D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333C4C6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466085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1642" w:type="dxa"/>
            <w:vAlign w:val="bottom"/>
          </w:tcPr>
          <w:p w14:paraId="095B23D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087B8D8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06F26A3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757" w:type="dxa"/>
            <w:vAlign w:val="bottom"/>
          </w:tcPr>
          <w:p w14:paraId="1CE25DF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01F13E78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B4B428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1642" w:type="dxa"/>
            <w:vAlign w:val="bottom"/>
          </w:tcPr>
          <w:p w14:paraId="01437F8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1580DD2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0BB1CD7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3F24CDA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0366CB05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EF63A6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1642" w:type="dxa"/>
            <w:vAlign w:val="bottom"/>
          </w:tcPr>
          <w:p w14:paraId="672ADC0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7247F73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4DE50BA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66FC982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34A2FC2B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9873C0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1642" w:type="dxa"/>
            <w:vAlign w:val="bottom"/>
          </w:tcPr>
          <w:p w14:paraId="7416E81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2DD32E8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19AD898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3180C8C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5235645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BB0C5D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1642" w:type="dxa"/>
            <w:vAlign w:val="bottom"/>
          </w:tcPr>
          <w:p w14:paraId="77A319E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4726A24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302CE13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57" w:type="dxa"/>
            <w:vAlign w:val="bottom"/>
          </w:tcPr>
          <w:p w14:paraId="44C8461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737385FD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556B60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1642" w:type="dxa"/>
            <w:vAlign w:val="bottom"/>
          </w:tcPr>
          <w:p w14:paraId="4A92A16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7647E63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14:paraId="3F5752A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57" w:type="dxa"/>
            <w:vAlign w:val="bottom"/>
          </w:tcPr>
          <w:p w14:paraId="140A8A9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7AF969B2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1E8318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1642" w:type="dxa"/>
            <w:vAlign w:val="bottom"/>
          </w:tcPr>
          <w:p w14:paraId="33C0A9D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01404D8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14:paraId="1AEA5B1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57" w:type="dxa"/>
            <w:vAlign w:val="bottom"/>
          </w:tcPr>
          <w:p w14:paraId="2BB5DD5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1F930955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D58C95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1642" w:type="dxa"/>
            <w:vAlign w:val="bottom"/>
          </w:tcPr>
          <w:p w14:paraId="6231C20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bottom"/>
          </w:tcPr>
          <w:p w14:paraId="29EDB78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1FA66AD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4E5EA2A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3F836160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6D9D6D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1642" w:type="dxa"/>
            <w:vAlign w:val="bottom"/>
          </w:tcPr>
          <w:p w14:paraId="4E141BE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7480057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6E5DE90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23C1090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32602445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E3B7CF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1642" w:type="dxa"/>
            <w:vAlign w:val="bottom"/>
          </w:tcPr>
          <w:p w14:paraId="3B34CD9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73C001D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28140CE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243F7B0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5005A55D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D5C4BA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1642" w:type="dxa"/>
            <w:vAlign w:val="bottom"/>
          </w:tcPr>
          <w:p w14:paraId="48CEFE5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47FF293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22DC066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6DED9F5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21D49770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3A5D0C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1642" w:type="dxa"/>
            <w:vAlign w:val="bottom"/>
          </w:tcPr>
          <w:p w14:paraId="0B48378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bottom"/>
          </w:tcPr>
          <w:p w14:paraId="6C86A42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04539CB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57" w:type="dxa"/>
            <w:vAlign w:val="bottom"/>
          </w:tcPr>
          <w:p w14:paraId="16B1108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5B14723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3C26F9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1642" w:type="dxa"/>
            <w:vAlign w:val="bottom"/>
          </w:tcPr>
          <w:p w14:paraId="053FCDC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7BC5D73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6FDDE18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57" w:type="dxa"/>
            <w:vAlign w:val="bottom"/>
          </w:tcPr>
          <w:p w14:paraId="2E21A06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2C2611DA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A6E115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1642" w:type="dxa"/>
            <w:vAlign w:val="bottom"/>
          </w:tcPr>
          <w:p w14:paraId="2B9C891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2F43A6D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vAlign w:val="bottom"/>
          </w:tcPr>
          <w:p w14:paraId="5165945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57" w:type="dxa"/>
            <w:vAlign w:val="bottom"/>
          </w:tcPr>
          <w:p w14:paraId="40F9044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07060B" w14:paraId="2DE0037C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B87ADE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1642" w:type="dxa"/>
            <w:vAlign w:val="bottom"/>
          </w:tcPr>
          <w:p w14:paraId="2F27BC0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22663AF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46F082A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57" w:type="dxa"/>
            <w:vAlign w:val="bottom"/>
          </w:tcPr>
          <w:p w14:paraId="13D001C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6DD57133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5F272A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1642" w:type="dxa"/>
            <w:vAlign w:val="bottom"/>
          </w:tcPr>
          <w:p w14:paraId="4124686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2CC4F53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1AFFACE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57" w:type="dxa"/>
            <w:vAlign w:val="bottom"/>
          </w:tcPr>
          <w:p w14:paraId="5D99BC3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07060B" w14:paraId="0280F3A0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064A3B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1642" w:type="dxa"/>
            <w:vAlign w:val="bottom"/>
          </w:tcPr>
          <w:p w14:paraId="1FE99CC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6030CE2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4B61365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57" w:type="dxa"/>
            <w:vAlign w:val="bottom"/>
          </w:tcPr>
          <w:p w14:paraId="6B6E535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2934FF35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80EF6B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1642" w:type="dxa"/>
            <w:vAlign w:val="bottom"/>
          </w:tcPr>
          <w:p w14:paraId="611B05F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64C1F7B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0049909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57" w:type="dxa"/>
            <w:vAlign w:val="bottom"/>
          </w:tcPr>
          <w:p w14:paraId="213C813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5E6694AE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12F644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1642" w:type="dxa"/>
            <w:vAlign w:val="bottom"/>
          </w:tcPr>
          <w:p w14:paraId="4226D15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6639861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47DAF76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57" w:type="dxa"/>
            <w:vAlign w:val="bottom"/>
          </w:tcPr>
          <w:p w14:paraId="36510CD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07060B" w14:paraId="24CA74BC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062CBB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1642" w:type="dxa"/>
            <w:vAlign w:val="bottom"/>
          </w:tcPr>
          <w:p w14:paraId="092E635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53A66A2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3243610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57" w:type="dxa"/>
            <w:vAlign w:val="bottom"/>
          </w:tcPr>
          <w:p w14:paraId="5DEE94A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07060B" w14:paraId="31401012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5ED198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1642" w:type="dxa"/>
            <w:vAlign w:val="bottom"/>
          </w:tcPr>
          <w:p w14:paraId="73F82F1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1333A5A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3F65D95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57" w:type="dxa"/>
            <w:vAlign w:val="bottom"/>
          </w:tcPr>
          <w:p w14:paraId="414FE63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2F403149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1B5439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1642" w:type="dxa"/>
            <w:vAlign w:val="bottom"/>
          </w:tcPr>
          <w:p w14:paraId="21EE51B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4EC1C83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7B2B356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57" w:type="dxa"/>
            <w:vAlign w:val="bottom"/>
          </w:tcPr>
          <w:p w14:paraId="43ABC20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63AC38BD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CAF78B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1642" w:type="dxa"/>
            <w:vAlign w:val="bottom"/>
          </w:tcPr>
          <w:p w14:paraId="02B6CAF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399622D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4FC2ED7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57" w:type="dxa"/>
            <w:vAlign w:val="bottom"/>
          </w:tcPr>
          <w:p w14:paraId="041CE5E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07060B" w14:paraId="2F68FC5B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1098D7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1642" w:type="dxa"/>
            <w:vAlign w:val="bottom"/>
          </w:tcPr>
          <w:p w14:paraId="4685E4A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19A1B84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01" w:type="dxa"/>
            <w:vAlign w:val="bottom"/>
          </w:tcPr>
          <w:p w14:paraId="6C266A6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57" w:type="dxa"/>
            <w:vAlign w:val="bottom"/>
          </w:tcPr>
          <w:p w14:paraId="18CDEF7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465C37F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9A5EB2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1642" w:type="dxa"/>
            <w:vAlign w:val="bottom"/>
          </w:tcPr>
          <w:p w14:paraId="1D3B049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7C2B20D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1D98B79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57" w:type="dxa"/>
            <w:vAlign w:val="bottom"/>
          </w:tcPr>
          <w:p w14:paraId="06C81F0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51F6208F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ADB334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1642" w:type="dxa"/>
            <w:vAlign w:val="bottom"/>
          </w:tcPr>
          <w:p w14:paraId="264B080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701" w:type="dxa"/>
            <w:vAlign w:val="bottom"/>
          </w:tcPr>
          <w:p w14:paraId="277EE6B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4A65672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57" w:type="dxa"/>
            <w:vAlign w:val="bottom"/>
          </w:tcPr>
          <w:p w14:paraId="2F32FBE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274B067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A4BF9C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1642" w:type="dxa"/>
            <w:vAlign w:val="bottom"/>
          </w:tcPr>
          <w:p w14:paraId="7FB9E30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1946F23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51C7C34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vAlign w:val="bottom"/>
          </w:tcPr>
          <w:p w14:paraId="779B990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07060B" w14:paraId="571A1665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443405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1642" w:type="dxa"/>
            <w:vAlign w:val="bottom"/>
          </w:tcPr>
          <w:p w14:paraId="23075BC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6C5816B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0A6D34C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vAlign w:val="bottom"/>
          </w:tcPr>
          <w:p w14:paraId="1A8E107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7A582789" w14:textId="77777777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2A7AAE17" w14:textId="1E0214C6" w:rsidR="00B970D9" w:rsidRDefault="00B97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568164F9" w14:textId="77777777" w:rsidR="006B7E3B" w:rsidRDefault="006B7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1ED9FBE2" w14:textId="22F19F58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Tabla 3. Rentabilidad de la vivienda por ciudades en el 3T de 2011, 2016, 2020 y 2021</w:t>
      </w:r>
    </w:p>
    <w:tbl>
      <w:tblPr>
        <w:tblStyle w:val="a1"/>
        <w:tblW w:w="929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560"/>
        <w:gridCol w:w="1500"/>
      </w:tblGrid>
      <w:tr w:rsidR="0007060B" w14:paraId="0ABE8D3E" w14:textId="77777777" w:rsidTr="0007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BA0C2C0" w14:textId="77777777" w:rsidR="0007060B" w:rsidRDefault="005D30B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Ciudades</w:t>
            </w:r>
          </w:p>
        </w:tc>
        <w:tc>
          <w:tcPr>
            <w:tcW w:w="1701" w:type="dxa"/>
            <w:vAlign w:val="center"/>
          </w:tcPr>
          <w:p w14:paraId="515C1BB0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559F03E8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2011</w:t>
            </w:r>
          </w:p>
          <w:p w14:paraId="5065B45F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(10 años)</w:t>
            </w:r>
          </w:p>
        </w:tc>
        <w:tc>
          <w:tcPr>
            <w:tcW w:w="1559" w:type="dxa"/>
            <w:vAlign w:val="center"/>
          </w:tcPr>
          <w:p w14:paraId="68C5793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7AC8824E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2016</w:t>
            </w:r>
          </w:p>
          <w:p w14:paraId="793BDB2D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(5 años)</w:t>
            </w:r>
          </w:p>
        </w:tc>
        <w:tc>
          <w:tcPr>
            <w:tcW w:w="1560" w:type="dxa"/>
            <w:vAlign w:val="center"/>
          </w:tcPr>
          <w:p w14:paraId="08543C78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22A08975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2020</w:t>
            </w:r>
          </w:p>
          <w:p w14:paraId="03C61A62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 año)</w:t>
            </w:r>
          </w:p>
        </w:tc>
        <w:tc>
          <w:tcPr>
            <w:tcW w:w="1500" w:type="dxa"/>
            <w:vAlign w:val="center"/>
          </w:tcPr>
          <w:p w14:paraId="61EEE303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2487D9E3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2021</w:t>
            </w:r>
          </w:p>
        </w:tc>
      </w:tr>
      <w:tr w:rsidR="0007060B" w14:paraId="3C7D7C45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B3D4AB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Gandía</w:t>
            </w:r>
          </w:p>
        </w:tc>
        <w:tc>
          <w:tcPr>
            <w:tcW w:w="1701" w:type="dxa"/>
            <w:vAlign w:val="bottom"/>
          </w:tcPr>
          <w:p w14:paraId="0967CAA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vAlign w:val="bottom"/>
          </w:tcPr>
          <w:p w14:paraId="6DD6851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560" w:type="dxa"/>
            <w:vAlign w:val="bottom"/>
          </w:tcPr>
          <w:p w14:paraId="59BDB3E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500" w:type="dxa"/>
            <w:vAlign w:val="bottom"/>
          </w:tcPr>
          <w:p w14:paraId="5DAC77D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8,9%</w:t>
            </w:r>
          </w:p>
        </w:tc>
      </w:tr>
      <w:tr w:rsidR="0007060B" w14:paraId="07A8BDCB" w14:textId="77777777" w:rsidTr="0007060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51539C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0A55A76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130347A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60" w:type="dxa"/>
            <w:vAlign w:val="bottom"/>
          </w:tcPr>
          <w:p w14:paraId="7FDF839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500" w:type="dxa"/>
            <w:vAlign w:val="bottom"/>
          </w:tcPr>
          <w:p w14:paraId="3CC90A9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7,7%</w:t>
            </w:r>
          </w:p>
        </w:tc>
      </w:tr>
      <w:tr w:rsidR="0007060B" w14:paraId="64E0FBCD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F85D44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Agüimes</w:t>
            </w:r>
          </w:p>
        </w:tc>
        <w:tc>
          <w:tcPr>
            <w:tcW w:w="1701" w:type="dxa"/>
            <w:vAlign w:val="bottom"/>
          </w:tcPr>
          <w:p w14:paraId="7C2DCF8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</w:tcPr>
          <w:p w14:paraId="04806F1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4E32FD4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bottom"/>
          </w:tcPr>
          <w:p w14:paraId="152C706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7,6%</w:t>
            </w:r>
          </w:p>
        </w:tc>
      </w:tr>
      <w:tr w:rsidR="0007060B" w14:paraId="405C84F1" w14:textId="77777777" w:rsidTr="0007060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628E64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Algeciras</w:t>
            </w:r>
          </w:p>
        </w:tc>
        <w:tc>
          <w:tcPr>
            <w:tcW w:w="1701" w:type="dxa"/>
            <w:vAlign w:val="bottom"/>
          </w:tcPr>
          <w:p w14:paraId="0A160BF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0AD650C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560" w:type="dxa"/>
            <w:vAlign w:val="bottom"/>
          </w:tcPr>
          <w:p w14:paraId="5AE5F62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500" w:type="dxa"/>
            <w:vAlign w:val="bottom"/>
          </w:tcPr>
          <w:p w14:paraId="432011E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</w:tr>
      <w:tr w:rsidR="0007060B" w14:paraId="1DF38D5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864F53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Manresa</w:t>
            </w:r>
          </w:p>
        </w:tc>
        <w:tc>
          <w:tcPr>
            <w:tcW w:w="1701" w:type="dxa"/>
            <w:vAlign w:val="bottom"/>
          </w:tcPr>
          <w:p w14:paraId="141FBC1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59" w:type="dxa"/>
            <w:vAlign w:val="bottom"/>
          </w:tcPr>
          <w:p w14:paraId="207E621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560" w:type="dxa"/>
            <w:vAlign w:val="bottom"/>
          </w:tcPr>
          <w:p w14:paraId="2B84FF1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500" w:type="dxa"/>
            <w:vAlign w:val="bottom"/>
          </w:tcPr>
          <w:p w14:paraId="283BECA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7,2%</w:t>
            </w:r>
          </w:p>
        </w:tc>
      </w:tr>
      <w:tr w:rsidR="0007060B" w14:paraId="5DBF413C" w14:textId="77777777" w:rsidTr="0007060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381993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Cartagena</w:t>
            </w:r>
          </w:p>
        </w:tc>
        <w:tc>
          <w:tcPr>
            <w:tcW w:w="1701" w:type="dxa"/>
            <w:vAlign w:val="bottom"/>
          </w:tcPr>
          <w:p w14:paraId="3DE0D58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59" w:type="dxa"/>
            <w:vAlign w:val="bottom"/>
          </w:tcPr>
          <w:p w14:paraId="756CC5D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60" w:type="dxa"/>
            <w:vAlign w:val="bottom"/>
          </w:tcPr>
          <w:p w14:paraId="68EE46C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500" w:type="dxa"/>
            <w:vAlign w:val="bottom"/>
          </w:tcPr>
          <w:p w14:paraId="181E4EB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7,2%</w:t>
            </w:r>
          </w:p>
        </w:tc>
      </w:tr>
      <w:tr w:rsidR="0007060B" w14:paraId="782E3C65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D368AD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Jerez de la Frontera</w:t>
            </w:r>
          </w:p>
        </w:tc>
        <w:tc>
          <w:tcPr>
            <w:tcW w:w="1701" w:type="dxa"/>
            <w:vAlign w:val="bottom"/>
          </w:tcPr>
          <w:p w14:paraId="00783C9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59" w:type="dxa"/>
            <w:vAlign w:val="bottom"/>
          </w:tcPr>
          <w:p w14:paraId="1FB9E77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60" w:type="dxa"/>
            <w:vAlign w:val="bottom"/>
          </w:tcPr>
          <w:p w14:paraId="39F296C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500" w:type="dxa"/>
            <w:vAlign w:val="bottom"/>
          </w:tcPr>
          <w:p w14:paraId="2A902D7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7,2%</w:t>
            </w:r>
          </w:p>
        </w:tc>
      </w:tr>
      <w:tr w:rsidR="0007060B" w14:paraId="7D4F04F6" w14:textId="77777777" w:rsidTr="0007060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0CFF80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Santa Lucía de Tirajana</w:t>
            </w:r>
          </w:p>
        </w:tc>
        <w:tc>
          <w:tcPr>
            <w:tcW w:w="1701" w:type="dxa"/>
            <w:vAlign w:val="bottom"/>
          </w:tcPr>
          <w:p w14:paraId="656B492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59" w:type="dxa"/>
            <w:vAlign w:val="bottom"/>
          </w:tcPr>
          <w:p w14:paraId="5FE2863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104370B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500" w:type="dxa"/>
            <w:vAlign w:val="bottom"/>
          </w:tcPr>
          <w:p w14:paraId="06476DE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6F59A329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B7E425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Reus</w:t>
            </w:r>
          </w:p>
        </w:tc>
        <w:tc>
          <w:tcPr>
            <w:tcW w:w="1701" w:type="dxa"/>
            <w:vAlign w:val="bottom"/>
          </w:tcPr>
          <w:p w14:paraId="15C499F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32536AB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560" w:type="dxa"/>
            <w:vAlign w:val="bottom"/>
          </w:tcPr>
          <w:p w14:paraId="45314A4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500" w:type="dxa"/>
            <w:vAlign w:val="bottom"/>
          </w:tcPr>
          <w:p w14:paraId="0EFBDCF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5D519AB7" w14:textId="77777777" w:rsidTr="0007060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CD5402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7C0ACD2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456CC80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7942886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00" w:type="dxa"/>
            <w:vAlign w:val="bottom"/>
          </w:tcPr>
          <w:p w14:paraId="087721A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6,9%</w:t>
            </w:r>
          </w:p>
        </w:tc>
      </w:tr>
      <w:tr w:rsidR="0007060B" w14:paraId="103CB08B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EA9430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La Línea de la Concepción</w:t>
            </w:r>
          </w:p>
        </w:tc>
        <w:tc>
          <w:tcPr>
            <w:tcW w:w="1701" w:type="dxa"/>
            <w:vAlign w:val="bottom"/>
          </w:tcPr>
          <w:p w14:paraId="5E7D80F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59" w:type="dxa"/>
            <w:vAlign w:val="bottom"/>
          </w:tcPr>
          <w:p w14:paraId="0FC975A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560" w:type="dxa"/>
            <w:vAlign w:val="bottom"/>
          </w:tcPr>
          <w:p w14:paraId="3EB2323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500" w:type="dxa"/>
            <w:vAlign w:val="bottom"/>
          </w:tcPr>
          <w:p w14:paraId="553C956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6,8%</w:t>
            </w:r>
          </w:p>
        </w:tc>
      </w:tr>
      <w:tr w:rsidR="0007060B" w14:paraId="5CD21601" w14:textId="77777777" w:rsidTr="0007060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34D7E5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4EF4B22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1C62BD1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60" w:type="dxa"/>
            <w:vAlign w:val="bottom"/>
          </w:tcPr>
          <w:p w14:paraId="12FCD3B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500" w:type="dxa"/>
            <w:vAlign w:val="bottom"/>
          </w:tcPr>
          <w:p w14:paraId="08526AA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6,8%</w:t>
            </w:r>
          </w:p>
        </w:tc>
      </w:tr>
      <w:tr w:rsidR="0007060B" w14:paraId="4EA0E5AC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2A30AF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43E78C9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2508D91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60" w:type="dxa"/>
            <w:vAlign w:val="bottom"/>
          </w:tcPr>
          <w:p w14:paraId="5F7E2C1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500" w:type="dxa"/>
            <w:vAlign w:val="bottom"/>
          </w:tcPr>
          <w:p w14:paraId="066E402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6,8%</w:t>
            </w:r>
          </w:p>
        </w:tc>
      </w:tr>
      <w:tr w:rsidR="0007060B" w14:paraId="24B640BD" w14:textId="77777777" w:rsidTr="0007060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D97E3D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Roquetas de Mar</w:t>
            </w:r>
          </w:p>
        </w:tc>
        <w:tc>
          <w:tcPr>
            <w:tcW w:w="1701" w:type="dxa"/>
            <w:vAlign w:val="bottom"/>
          </w:tcPr>
          <w:p w14:paraId="170C2EE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59" w:type="dxa"/>
            <w:vAlign w:val="bottom"/>
          </w:tcPr>
          <w:p w14:paraId="496F590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4FB78C4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00" w:type="dxa"/>
            <w:vAlign w:val="bottom"/>
          </w:tcPr>
          <w:p w14:paraId="4F8E649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6,8%</w:t>
            </w:r>
          </w:p>
        </w:tc>
      </w:tr>
      <w:tr w:rsidR="0007060B" w14:paraId="78A992E9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EDE4F8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Lucena</w:t>
            </w:r>
          </w:p>
        </w:tc>
        <w:tc>
          <w:tcPr>
            <w:tcW w:w="1701" w:type="dxa"/>
            <w:vAlign w:val="bottom"/>
          </w:tcPr>
          <w:p w14:paraId="319CCE3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67A029C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60" w:type="dxa"/>
            <w:vAlign w:val="bottom"/>
          </w:tcPr>
          <w:p w14:paraId="066EFB8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bottom"/>
          </w:tcPr>
          <w:p w14:paraId="6AB3394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6,7%</w:t>
            </w:r>
          </w:p>
        </w:tc>
      </w:tr>
      <w:tr w:rsidR="0007060B" w14:paraId="05FCCBB3" w14:textId="77777777" w:rsidTr="0007060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C75FC5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Telde</w:t>
            </w:r>
          </w:p>
        </w:tc>
        <w:tc>
          <w:tcPr>
            <w:tcW w:w="1701" w:type="dxa"/>
            <w:vAlign w:val="bottom"/>
          </w:tcPr>
          <w:p w14:paraId="755E6DA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vAlign w:val="bottom"/>
          </w:tcPr>
          <w:p w14:paraId="42A13D3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3EB54A2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500" w:type="dxa"/>
            <w:vAlign w:val="bottom"/>
          </w:tcPr>
          <w:p w14:paraId="4BEAB3B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6,7%</w:t>
            </w:r>
          </w:p>
        </w:tc>
      </w:tr>
      <w:tr w:rsidR="0007060B" w14:paraId="51C1AA0B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E1F343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Badalona</w:t>
            </w:r>
          </w:p>
        </w:tc>
        <w:tc>
          <w:tcPr>
            <w:tcW w:w="1701" w:type="dxa"/>
            <w:vAlign w:val="bottom"/>
          </w:tcPr>
          <w:p w14:paraId="1E22356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2167CF6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60" w:type="dxa"/>
            <w:vAlign w:val="bottom"/>
          </w:tcPr>
          <w:p w14:paraId="268D004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00" w:type="dxa"/>
            <w:vAlign w:val="bottom"/>
          </w:tcPr>
          <w:p w14:paraId="0A509DC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</w:tr>
      <w:tr w:rsidR="0007060B" w14:paraId="159441B6" w14:textId="77777777" w:rsidTr="000706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DA53E2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Dos Hermanas</w:t>
            </w:r>
          </w:p>
        </w:tc>
        <w:tc>
          <w:tcPr>
            <w:tcW w:w="1701" w:type="dxa"/>
            <w:vAlign w:val="bottom"/>
          </w:tcPr>
          <w:p w14:paraId="174EA6C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3F5FF74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5F9D5AD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vAlign w:val="bottom"/>
          </w:tcPr>
          <w:p w14:paraId="32B2EF5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</w:tr>
      <w:tr w:rsidR="0007060B" w14:paraId="2FD2590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3A98E9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Alcalá de Henares</w:t>
            </w:r>
          </w:p>
        </w:tc>
        <w:tc>
          <w:tcPr>
            <w:tcW w:w="1701" w:type="dxa"/>
            <w:vAlign w:val="bottom"/>
          </w:tcPr>
          <w:p w14:paraId="4ACF84B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59" w:type="dxa"/>
            <w:vAlign w:val="bottom"/>
          </w:tcPr>
          <w:p w14:paraId="1623BFF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60" w:type="dxa"/>
            <w:vAlign w:val="bottom"/>
          </w:tcPr>
          <w:p w14:paraId="748946B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516BCE3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47C62F00" w14:textId="77777777" w:rsidTr="0007060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3ADA3C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2771D5E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5527BE0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60" w:type="dxa"/>
            <w:vAlign w:val="bottom"/>
          </w:tcPr>
          <w:p w14:paraId="70B12A5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500" w:type="dxa"/>
            <w:vAlign w:val="bottom"/>
          </w:tcPr>
          <w:p w14:paraId="57B14C3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7D9B158C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905FC5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Ponferrada</w:t>
            </w:r>
          </w:p>
        </w:tc>
        <w:tc>
          <w:tcPr>
            <w:tcW w:w="1701" w:type="dxa"/>
            <w:vAlign w:val="bottom"/>
          </w:tcPr>
          <w:p w14:paraId="15AECB0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6DAEDC0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683CADC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00" w:type="dxa"/>
            <w:vAlign w:val="bottom"/>
          </w:tcPr>
          <w:p w14:paraId="7AE350A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00401E35" w14:textId="77777777" w:rsidTr="0007060B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196A34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4B01D72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20A77AD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541F454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500" w:type="dxa"/>
            <w:vAlign w:val="bottom"/>
          </w:tcPr>
          <w:p w14:paraId="4EB13B6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14B99036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6D3978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Terrassa</w:t>
            </w:r>
          </w:p>
        </w:tc>
        <w:tc>
          <w:tcPr>
            <w:tcW w:w="1701" w:type="dxa"/>
            <w:vAlign w:val="bottom"/>
          </w:tcPr>
          <w:p w14:paraId="6E69837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vAlign w:val="bottom"/>
          </w:tcPr>
          <w:p w14:paraId="60E6526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60" w:type="dxa"/>
            <w:vAlign w:val="bottom"/>
          </w:tcPr>
          <w:p w14:paraId="7EF3831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500" w:type="dxa"/>
            <w:vAlign w:val="bottom"/>
          </w:tcPr>
          <w:p w14:paraId="5EF9157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41B6FE5E" w14:textId="77777777" w:rsidTr="0007060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DDE258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L'Hospitalet de Llobregat</w:t>
            </w:r>
          </w:p>
        </w:tc>
        <w:tc>
          <w:tcPr>
            <w:tcW w:w="1701" w:type="dxa"/>
            <w:vAlign w:val="bottom"/>
          </w:tcPr>
          <w:p w14:paraId="3E51C76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59" w:type="dxa"/>
            <w:vAlign w:val="bottom"/>
          </w:tcPr>
          <w:p w14:paraId="625C098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560" w:type="dxa"/>
            <w:vAlign w:val="bottom"/>
          </w:tcPr>
          <w:p w14:paraId="7FE60F4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500" w:type="dxa"/>
            <w:vAlign w:val="bottom"/>
          </w:tcPr>
          <w:p w14:paraId="37E4059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040D6D3C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44942C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Granadilla de Abona</w:t>
            </w:r>
          </w:p>
        </w:tc>
        <w:tc>
          <w:tcPr>
            <w:tcW w:w="1701" w:type="dxa"/>
            <w:vAlign w:val="bottom"/>
          </w:tcPr>
          <w:p w14:paraId="2994867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59" w:type="dxa"/>
            <w:vAlign w:val="bottom"/>
          </w:tcPr>
          <w:p w14:paraId="41F774D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4D49843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00" w:type="dxa"/>
            <w:vAlign w:val="bottom"/>
          </w:tcPr>
          <w:p w14:paraId="1862095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799BA92B" w14:textId="77777777" w:rsidTr="000706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224385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 Bartolomé de Tirajana</w:t>
            </w:r>
          </w:p>
        </w:tc>
        <w:tc>
          <w:tcPr>
            <w:tcW w:w="1701" w:type="dxa"/>
            <w:vAlign w:val="bottom"/>
          </w:tcPr>
          <w:p w14:paraId="12933003" w14:textId="77777777" w:rsidR="0007060B" w:rsidRDefault="00070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3A5AFF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765C7E8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556E0AA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6EAB7C7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3B5C42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4F336EA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0329C08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60" w:type="dxa"/>
            <w:vAlign w:val="bottom"/>
          </w:tcPr>
          <w:p w14:paraId="73CB170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500" w:type="dxa"/>
            <w:vAlign w:val="bottom"/>
          </w:tcPr>
          <w:p w14:paraId="513EBB7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74A764F3" w14:textId="77777777" w:rsidTr="0007060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3D26A5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7A479EA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bottom"/>
          </w:tcPr>
          <w:p w14:paraId="289DFB8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4FC65C8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00" w:type="dxa"/>
            <w:vAlign w:val="bottom"/>
          </w:tcPr>
          <w:p w14:paraId="07D7962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</w:tr>
      <w:tr w:rsidR="0007060B" w14:paraId="52A135DD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4D8ACD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Sabadell</w:t>
            </w:r>
          </w:p>
        </w:tc>
        <w:tc>
          <w:tcPr>
            <w:tcW w:w="1701" w:type="dxa"/>
            <w:vAlign w:val="bottom"/>
          </w:tcPr>
          <w:p w14:paraId="176CC4C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42C4B62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560" w:type="dxa"/>
            <w:vAlign w:val="bottom"/>
          </w:tcPr>
          <w:p w14:paraId="0F8C6C5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00" w:type="dxa"/>
            <w:vAlign w:val="bottom"/>
          </w:tcPr>
          <w:p w14:paraId="19259A6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</w:tr>
      <w:tr w:rsidR="0007060B" w14:paraId="012E4672" w14:textId="77777777" w:rsidTr="0007060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D9C2DF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3B9C059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6B8E654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50D0AB0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00" w:type="dxa"/>
            <w:vAlign w:val="bottom"/>
          </w:tcPr>
          <w:p w14:paraId="703D77E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</w:tr>
      <w:tr w:rsidR="0007060B" w14:paraId="0B7D0277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7512F6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Móstoles</w:t>
            </w:r>
          </w:p>
        </w:tc>
        <w:tc>
          <w:tcPr>
            <w:tcW w:w="1701" w:type="dxa"/>
            <w:vAlign w:val="bottom"/>
          </w:tcPr>
          <w:p w14:paraId="3094276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3EB9A84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60" w:type="dxa"/>
            <w:vAlign w:val="bottom"/>
          </w:tcPr>
          <w:p w14:paraId="7379E5F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00" w:type="dxa"/>
            <w:vAlign w:val="bottom"/>
          </w:tcPr>
          <w:p w14:paraId="2679033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0C34DF78" w14:textId="77777777" w:rsidTr="0007060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5D44C8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Ferrol</w:t>
            </w:r>
          </w:p>
        </w:tc>
        <w:tc>
          <w:tcPr>
            <w:tcW w:w="1701" w:type="dxa"/>
            <w:vAlign w:val="bottom"/>
          </w:tcPr>
          <w:p w14:paraId="4C887A7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59" w:type="dxa"/>
            <w:vAlign w:val="bottom"/>
          </w:tcPr>
          <w:p w14:paraId="2ACFBDA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60" w:type="dxa"/>
            <w:vAlign w:val="bottom"/>
          </w:tcPr>
          <w:p w14:paraId="7EABFBB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26E3CCC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62C7EBAD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36DAFE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Elche / Elx</w:t>
            </w:r>
          </w:p>
        </w:tc>
        <w:tc>
          <w:tcPr>
            <w:tcW w:w="1701" w:type="dxa"/>
            <w:vAlign w:val="bottom"/>
          </w:tcPr>
          <w:p w14:paraId="0201D1F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1AE0A82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60" w:type="dxa"/>
            <w:vAlign w:val="bottom"/>
          </w:tcPr>
          <w:p w14:paraId="37A0B01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00" w:type="dxa"/>
            <w:vAlign w:val="bottom"/>
          </w:tcPr>
          <w:p w14:paraId="2A8F9EB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22A2AF25" w14:textId="77777777" w:rsidTr="0007060B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AA943F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El Puerto de Santa María</w:t>
            </w:r>
          </w:p>
        </w:tc>
        <w:tc>
          <w:tcPr>
            <w:tcW w:w="1701" w:type="dxa"/>
            <w:vAlign w:val="bottom"/>
          </w:tcPr>
          <w:p w14:paraId="3AA0EE5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4AE52FE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556B09F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0669C47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0767A9F8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625F4D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092E79C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57029E6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60" w:type="dxa"/>
            <w:vAlign w:val="bottom"/>
          </w:tcPr>
          <w:p w14:paraId="1A84EBA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00" w:type="dxa"/>
            <w:vAlign w:val="bottom"/>
          </w:tcPr>
          <w:p w14:paraId="7852468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0720712B" w14:textId="77777777" w:rsidTr="0007060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EF0402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51DAB0D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4DBF5F0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41AC91F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00" w:type="dxa"/>
            <w:vAlign w:val="bottom"/>
          </w:tcPr>
          <w:p w14:paraId="14687A1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3141DA9B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2A2239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213B13D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59" w:type="dxa"/>
            <w:vAlign w:val="bottom"/>
          </w:tcPr>
          <w:p w14:paraId="727518B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60" w:type="dxa"/>
            <w:vAlign w:val="bottom"/>
          </w:tcPr>
          <w:p w14:paraId="11420DC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00" w:type="dxa"/>
            <w:vAlign w:val="bottom"/>
          </w:tcPr>
          <w:p w14:paraId="2E1686E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35737D45" w14:textId="77777777" w:rsidTr="00070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66C36D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40818BD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44DF4D0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459A60F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00" w:type="dxa"/>
            <w:vAlign w:val="bottom"/>
          </w:tcPr>
          <w:p w14:paraId="4E873E7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5BCF9C1E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A99A27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Gijón</w:t>
            </w:r>
          </w:p>
        </w:tc>
        <w:tc>
          <w:tcPr>
            <w:tcW w:w="1701" w:type="dxa"/>
            <w:vAlign w:val="bottom"/>
          </w:tcPr>
          <w:p w14:paraId="62F9DC3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2681D39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60" w:type="dxa"/>
            <w:vAlign w:val="bottom"/>
          </w:tcPr>
          <w:p w14:paraId="5D9E343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1947352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</w:tr>
      <w:tr w:rsidR="0007060B" w14:paraId="4276800D" w14:textId="77777777" w:rsidTr="0007060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6A5218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lastRenderedPageBreak/>
              <w:t>Jaén capital</w:t>
            </w:r>
          </w:p>
        </w:tc>
        <w:tc>
          <w:tcPr>
            <w:tcW w:w="1701" w:type="dxa"/>
            <w:vAlign w:val="bottom"/>
          </w:tcPr>
          <w:p w14:paraId="480366A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59" w:type="dxa"/>
            <w:vAlign w:val="bottom"/>
          </w:tcPr>
          <w:p w14:paraId="4586A44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60" w:type="dxa"/>
            <w:vAlign w:val="bottom"/>
          </w:tcPr>
          <w:p w14:paraId="5959492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00" w:type="dxa"/>
            <w:vAlign w:val="bottom"/>
          </w:tcPr>
          <w:p w14:paraId="515845B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</w:tr>
      <w:tr w:rsidR="0007060B" w14:paraId="0A26B380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71B4A0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Fuenlabrada</w:t>
            </w:r>
          </w:p>
        </w:tc>
        <w:tc>
          <w:tcPr>
            <w:tcW w:w="1701" w:type="dxa"/>
            <w:vAlign w:val="bottom"/>
          </w:tcPr>
          <w:p w14:paraId="4CF3466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59" w:type="dxa"/>
            <w:vAlign w:val="bottom"/>
          </w:tcPr>
          <w:p w14:paraId="2BDFE9A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60" w:type="dxa"/>
            <w:vAlign w:val="bottom"/>
          </w:tcPr>
          <w:p w14:paraId="48139385" w14:textId="77777777" w:rsidR="0007060B" w:rsidRDefault="0007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14:paraId="320F25B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</w:tr>
      <w:tr w:rsidR="0007060B" w14:paraId="2F054774" w14:textId="77777777" w:rsidTr="0007060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9C0FD0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4BB8EDD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59" w:type="dxa"/>
            <w:vAlign w:val="bottom"/>
          </w:tcPr>
          <w:p w14:paraId="1088E5D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60" w:type="dxa"/>
            <w:vAlign w:val="bottom"/>
          </w:tcPr>
          <w:p w14:paraId="6EE70ED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31308FB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7B409EF1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892F1E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3857E13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1E671BC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60" w:type="dxa"/>
            <w:vAlign w:val="bottom"/>
          </w:tcPr>
          <w:p w14:paraId="74A04D6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44C601D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429FD00C" w14:textId="77777777" w:rsidTr="0007060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91E729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Arona</w:t>
            </w:r>
          </w:p>
        </w:tc>
        <w:tc>
          <w:tcPr>
            <w:tcW w:w="1701" w:type="dxa"/>
            <w:vAlign w:val="bottom"/>
          </w:tcPr>
          <w:p w14:paraId="201F128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63178343" w14:textId="77777777" w:rsidR="0007060B" w:rsidRDefault="00070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18138B9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40DEE91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3EB0A21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7FD2FE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Torrejón de Ardoz</w:t>
            </w:r>
          </w:p>
        </w:tc>
        <w:tc>
          <w:tcPr>
            <w:tcW w:w="1701" w:type="dxa"/>
            <w:vAlign w:val="bottom"/>
          </w:tcPr>
          <w:p w14:paraId="17239F1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vAlign w:val="bottom"/>
          </w:tcPr>
          <w:p w14:paraId="4C9A031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560" w:type="dxa"/>
            <w:vAlign w:val="bottom"/>
          </w:tcPr>
          <w:p w14:paraId="4B75D19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01F5685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1A5AD95B" w14:textId="77777777" w:rsidTr="0007060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946B642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48CAB60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23B6F3C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3CB2F81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500" w:type="dxa"/>
            <w:vAlign w:val="bottom"/>
          </w:tcPr>
          <w:p w14:paraId="38E3E87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047F9B78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A5138A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08F701D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070D434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60" w:type="dxa"/>
            <w:vAlign w:val="bottom"/>
          </w:tcPr>
          <w:p w14:paraId="22DBF0C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500" w:type="dxa"/>
            <w:vAlign w:val="bottom"/>
          </w:tcPr>
          <w:p w14:paraId="6AB0321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67710FAC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E7BF3A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Torrevieja</w:t>
            </w:r>
          </w:p>
        </w:tc>
        <w:tc>
          <w:tcPr>
            <w:tcW w:w="1701" w:type="dxa"/>
            <w:vAlign w:val="bottom"/>
          </w:tcPr>
          <w:p w14:paraId="643F3C2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59" w:type="dxa"/>
            <w:vAlign w:val="bottom"/>
          </w:tcPr>
          <w:p w14:paraId="68F4D43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60" w:type="dxa"/>
            <w:vAlign w:val="bottom"/>
          </w:tcPr>
          <w:p w14:paraId="137DB5C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00" w:type="dxa"/>
            <w:vAlign w:val="bottom"/>
          </w:tcPr>
          <w:p w14:paraId="58B3091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16E32B0F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773228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1700AE9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1035F7E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0174ED4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500" w:type="dxa"/>
            <w:vAlign w:val="bottom"/>
          </w:tcPr>
          <w:p w14:paraId="7DBEAC4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616548B5" w14:textId="77777777" w:rsidTr="0007060B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3F79D9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Leganés</w:t>
            </w:r>
          </w:p>
        </w:tc>
        <w:tc>
          <w:tcPr>
            <w:tcW w:w="1701" w:type="dxa"/>
            <w:vAlign w:val="bottom"/>
          </w:tcPr>
          <w:p w14:paraId="6D666E9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59" w:type="dxa"/>
            <w:vAlign w:val="bottom"/>
          </w:tcPr>
          <w:p w14:paraId="0DAD9FE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560" w:type="dxa"/>
            <w:vAlign w:val="bottom"/>
          </w:tcPr>
          <w:p w14:paraId="58DC1CE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00" w:type="dxa"/>
            <w:vAlign w:val="bottom"/>
          </w:tcPr>
          <w:p w14:paraId="0F4EE9A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07060B" w14:paraId="2D2704C5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5A340B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62F5803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7F44CDD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60" w:type="dxa"/>
            <w:vAlign w:val="bottom"/>
          </w:tcPr>
          <w:p w14:paraId="0D99A7B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5AC4060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69A81FCC" w14:textId="77777777" w:rsidTr="0007060B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CEEBA1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Avilés</w:t>
            </w:r>
          </w:p>
        </w:tc>
        <w:tc>
          <w:tcPr>
            <w:tcW w:w="1701" w:type="dxa"/>
            <w:vAlign w:val="bottom"/>
          </w:tcPr>
          <w:p w14:paraId="7D657A2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390C827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60" w:type="dxa"/>
            <w:vAlign w:val="bottom"/>
          </w:tcPr>
          <w:p w14:paraId="2FF6B82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270443C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57E8F238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1D8C96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Alcorcón</w:t>
            </w:r>
          </w:p>
        </w:tc>
        <w:tc>
          <w:tcPr>
            <w:tcW w:w="1701" w:type="dxa"/>
            <w:vAlign w:val="bottom"/>
          </w:tcPr>
          <w:p w14:paraId="24B3244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vAlign w:val="bottom"/>
          </w:tcPr>
          <w:p w14:paraId="0784542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560" w:type="dxa"/>
            <w:vAlign w:val="bottom"/>
          </w:tcPr>
          <w:p w14:paraId="7A9CF5C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00" w:type="dxa"/>
            <w:vAlign w:val="bottom"/>
          </w:tcPr>
          <w:p w14:paraId="728E4B3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69AB2600" w14:textId="77777777" w:rsidTr="0007060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EA13BD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2A8082D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1F292C2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098ED1A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470D70B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05AEE846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5DDCD4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Getafe</w:t>
            </w:r>
          </w:p>
        </w:tc>
        <w:tc>
          <w:tcPr>
            <w:tcW w:w="1701" w:type="dxa"/>
            <w:vAlign w:val="bottom"/>
          </w:tcPr>
          <w:p w14:paraId="0919F41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59" w:type="dxa"/>
            <w:vAlign w:val="bottom"/>
          </w:tcPr>
          <w:p w14:paraId="43B6E10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60" w:type="dxa"/>
            <w:vAlign w:val="bottom"/>
          </w:tcPr>
          <w:p w14:paraId="59E3202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00" w:type="dxa"/>
            <w:vAlign w:val="bottom"/>
          </w:tcPr>
          <w:p w14:paraId="79567AB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2085F2E0" w14:textId="77777777" w:rsidTr="0007060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211699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110DC85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59" w:type="dxa"/>
            <w:vAlign w:val="bottom"/>
          </w:tcPr>
          <w:p w14:paraId="58CB615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60" w:type="dxa"/>
            <w:vAlign w:val="bottom"/>
          </w:tcPr>
          <w:p w14:paraId="0D61EEC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0111BCD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58F7333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DC3376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Melilla capital</w:t>
            </w:r>
          </w:p>
        </w:tc>
        <w:tc>
          <w:tcPr>
            <w:tcW w:w="1701" w:type="dxa"/>
            <w:vAlign w:val="bottom"/>
          </w:tcPr>
          <w:p w14:paraId="5530EFA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5165ABA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44783B4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00" w:type="dxa"/>
            <w:vAlign w:val="bottom"/>
          </w:tcPr>
          <w:p w14:paraId="53860EE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</w:tr>
      <w:tr w:rsidR="0007060B" w14:paraId="7FD7D53B" w14:textId="77777777" w:rsidTr="0007060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E73FF9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Pinto</w:t>
            </w:r>
          </w:p>
        </w:tc>
        <w:tc>
          <w:tcPr>
            <w:tcW w:w="1701" w:type="dxa"/>
            <w:vAlign w:val="bottom"/>
          </w:tcPr>
          <w:p w14:paraId="632162C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12D7501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60" w:type="dxa"/>
            <w:vAlign w:val="bottom"/>
          </w:tcPr>
          <w:p w14:paraId="6928A6D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500" w:type="dxa"/>
            <w:vAlign w:val="bottom"/>
          </w:tcPr>
          <w:p w14:paraId="5794BB0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</w:tr>
      <w:tr w:rsidR="0007060B" w14:paraId="0306FE8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61C228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Torremolinos</w:t>
            </w:r>
          </w:p>
        </w:tc>
        <w:tc>
          <w:tcPr>
            <w:tcW w:w="1701" w:type="dxa"/>
            <w:vAlign w:val="bottom"/>
          </w:tcPr>
          <w:p w14:paraId="50659D0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6546561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60" w:type="dxa"/>
            <w:vAlign w:val="bottom"/>
          </w:tcPr>
          <w:p w14:paraId="566242F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00" w:type="dxa"/>
            <w:vAlign w:val="bottom"/>
          </w:tcPr>
          <w:p w14:paraId="12AFF2E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</w:tr>
      <w:tr w:rsidR="0007060B" w14:paraId="4AC0B3F3" w14:textId="77777777" w:rsidTr="000706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E5E929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El Campello</w:t>
            </w:r>
          </w:p>
        </w:tc>
        <w:tc>
          <w:tcPr>
            <w:tcW w:w="1701" w:type="dxa"/>
            <w:vAlign w:val="bottom"/>
          </w:tcPr>
          <w:p w14:paraId="4D2ADB7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0032339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60" w:type="dxa"/>
            <w:vAlign w:val="bottom"/>
          </w:tcPr>
          <w:p w14:paraId="20F19C5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7006AA5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07060B" w14:paraId="09239E91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DC458E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Santa Pola</w:t>
            </w:r>
          </w:p>
        </w:tc>
        <w:tc>
          <w:tcPr>
            <w:tcW w:w="1701" w:type="dxa"/>
            <w:vAlign w:val="bottom"/>
          </w:tcPr>
          <w:p w14:paraId="509377C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4466C95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60" w:type="dxa"/>
            <w:vAlign w:val="bottom"/>
          </w:tcPr>
          <w:p w14:paraId="3645C87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2E29801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07060B" w14:paraId="361DE4F5" w14:textId="77777777" w:rsidTr="0007060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686DA9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6E7CE2B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bottom"/>
          </w:tcPr>
          <w:p w14:paraId="48127D1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60" w:type="dxa"/>
            <w:vAlign w:val="bottom"/>
          </w:tcPr>
          <w:p w14:paraId="0855C9E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00" w:type="dxa"/>
            <w:vAlign w:val="bottom"/>
          </w:tcPr>
          <w:p w14:paraId="5E2E6D2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29ED5CB9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3E54D8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7EDC8C5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6E018E7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60" w:type="dxa"/>
            <w:vAlign w:val="bottom"/>
          </w:tcPr>
          <w:p w14:paraId="4CC384E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00" w:type="dxa"/>
            <w:vAlign w:val="bottom"/>
          </w:tcPr>
          <w:p w14:paraId="03CEA71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089EDD7F" w14:textId="77777777" w:rsidTr="000706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20AFB9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Adeje</w:t>
            </w:r>
          </w:p>
        </w:tc>
        <w:tc>
          <w:tcPr>
            <w:tcW w:w="1701" w:type="dxa"/>
            <w:vAlign w:val="bottom"/>
          </w:tcPr>
          <w:p w14:paraId="4A6306F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59" w:type="dxa"/>
            <w:vAlign w:val="bottom"/>
          </w:tcPr>
          <w:p w14:paraId="540FA253" w14:textId="77777777" w:rsidR="0007060B" w:rsidRDefault="00070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76D32D8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1E85A88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25AB77A6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1A4092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Castro-Urdiales</w:t>
            </w:r>
          </w:p>
        </w:tc>
        <w:tc>
          <w:tcPr>
            <w:tcW w:w="1701" w:type="dxa"/>
            <w:vAlign w:val="bottom"/>
          </w:tcPr>
          <w:p w14:paraId="1D0124D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bottom"/>
          </w:tcPr>
          <w:p w14:paraId="4FEE507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60" w:type="dxa"/>
            <w:vAlign w:val="bottom"/>
          </w:tcPr>
          <w:p w14:paraId="0492170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00" w:type="dxa"/>
            <w:vAlign w:val="bottom"/>
          </w:tcPr>
          <w:p w14:paraId="738A8F6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66A518BB" w14:textId="77777777" w:rsidTr="0007060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E19D513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0010157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bottom"/>
          </w:tcPr>
          <w:p w14:paraId="04144EB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60" w:type="dxa"/>
            <w:vAlign w:val="bottom"/>
          </w:tcPr>
          <w:p w14:paraId="1A1CD68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00" w:type="dxa"/>
            <w:vAlign w:val="bottom"/>
          </w:tcPr>
          <w:p w14:paraId="5F5F50A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07060B" w14:paraId="227B714F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6B2A94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6F15FA5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3931AFC0" w14:textId="77777777" w:rsidR="0007060B" w:rsidRDefault="0007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423031F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00" w:type="dxa"/>
            <w:vAlign w:val="bottom"/>
          </w:tcPr>
          <w:p w14:paraId="4DFA9D9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58F3DEF3" w14:textId="77777777" w:rsidTr="0007060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4B6AEE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Mijas</w:t>
            </w:r>
          </w:p>
        </w:tc>
        <w:tc>
          <w:tcPr>
            <w:tcW w:w="1701" w:type="dxa"/>
            <w:vAlign w:val="bottom"/>
          </w:tcPr>
          <w:p w14:paraId="1F61A20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7F91979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60" w:type="dxa"/>
            <w:vAlign w:val="bottom"/>
          </w:tcPr>
          <w:p w14:paraId="0F7287A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00" w:type="dxa"/>
            <w:vAlign w:val="bottom"/>
          </w:tcPr>
          <w:p w14:paraId="37C9EF7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45464BC0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EBCF7C1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52797B0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559" w:type="dxa"/>
            <w:vAlign w:val="bottom"/>
          </w:tcPr>
          <w:p w14:paraId="1971CC8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60" w:type="dxa"/>
            <w:vAlign w:val="bottom"/>
          </w:tcPr>
          <w:p w14:paraId="3DC0431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00" w:type="dxa"/>
            <w:vAlign w:val="bottom"/>
          </w:tcPr>
          <w:p w14:paraId="13DAA05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69E85EEE" w14:textId="77777777" w:rsidTr="0007060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4D4E14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65D393D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00DCB08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60" w:type="dxa"/>
            <w:vAlign w:val="bottom"/>
          </w:tcPr>
          <w:p w14:paraId="2D6BD3D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1CAB124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6F42D6FD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128EB6B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0803D84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559" w:type="dxa"/>
            <w:vAlign w:val="bottom"/>
          </w:tcPr>
          <w:p w14:paraId="168D012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60" w:type="dxa"/>
            <w:vAlign w:val="bottom"/>
          </w:tcPr>
          <w:p w14:paraId="3A72C59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00" w:type="dxa"/>
            <w:vAlign w:val="bottom"/>
          </w:tcPr>
          <w:p w14:paraId="6013B63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58669D90" w14:textId="77777777" w:rsidTr="0007060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23E94C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65DE93A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26D31CC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60" w:type="dxa"/>
            <w:vAlign w:val="bottom"/>
          </w:tcPr>
          <w:p w14:paraId="0C04A19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28B8E64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646E282B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3B7758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6023A7A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59" w:type="dxa"/>
            <w:vAlign w:val="bottom"/>
          </w:tcPr>
          <w:p w14:paraId="52E4CBE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60" w:type="dxa"/>
            <w:vAlign w:val="bottom"/>
          </w:tcPr>
          <w:p w14:paraId="2E6F22E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789AC46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4E10A46A" w14:textId="77777777" w:rsidTr="0007060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107D7A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Benidorm</w:t>
            </w:r>
          </w:p>
        </w:tc>
        <w:tc>
          <w:tcPr>
            <w:tcW w:w="1701" w:type="dxa"/>
            <w:vAlign w:val="bottom"/>
          </w:tcPr>
          <w:p w14:paraId="54E9204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0E88DC8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3381D80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17485C7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17EAC888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F80462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2710499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36E416C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60" w:type="dxa"/>
            <w:vAlign w:val="bottom"/>
          </w:tcPr>
          <w:p w14:paraId="674A798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00" w:type="dxa"/>
            <w:vAlign w:val="bottom"/>
          </w:tcPr>
          <w:p w14:paraId="2F241FF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63DBE104" w14:textId="77777777" w:rsidTr="0007060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51BCAA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Rincón de la Victoria</w:t>
            </w:r>
          </w:p>
        </w:tc>
        <w:tc>
          <w:tcPr>
            <w:tcW w:w="1701" w:type="dxa"/>
            <w:vAlign w:val="bottom"/>
          </w:tcPr>
          <w:p w14:paraId="363AE3F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0C48D03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6068215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00" w:type="dxa"/>
            <w:vAlign w:val="bottom"/>
          </w:tcPr>
          <w:p w14:paraId="15D33D1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5018386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55436B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Armilla</w:t>
            </w:r>
          </w:p>
        </w:tc>
        <w:tc>
          <w:tcPr>
            <w:tcW w:w="1701" w:type="dxa"/>
            <w:vAlign w:val="bottom"/>
          </w:tcPr>
          <w:p w14:paraId="0AC4B3C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3732695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60" w:type="dxa"/>
            <w:vAlign w:val="bottom"/>
          </w:tcPr>
          <w:p w14:paraId="2400B68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00" w:type="dxa"/>
            <w:vAlign w:val="bottom"/>
          </w:tcPr>
          <w:p w14:paraId="4A6642A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69CB8079" w14:textId="77777777" w:rsidTr="0007060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C383CD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Vigo</w:t>
            </w:r>
          </w:p>
        </w:tc>
        <w:tc>
          <w:tcPr>
            <w:tcW w:w="1701" w:type="dxa"/>
            <w:vAlign w:val="bottom"/>
          </w:tcPr>
          <w:p w14:paraId="24835FF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559" w:type="dxa"/>
            <w:vAlign w:val="bottom"/>
          </w:tcPr>
          <w:p w14:paraId="5F049E3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60" w:type="dxa"/>
            <w:vAlign w:val="bottom"/>
          </w:tcPr>
          <w:p w14:paraId="4F36222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6ACA312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1279C8A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F0C98D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6151609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09F3D9A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60" w:type="dxa"/>
            <w:vAlign w:val="bottom"/>
          </w:tcPr>
          <w:p w14:paraId="6AF0954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00" w:type="dxa"/>
            <w:vAlign w:val="bottom"/>
          </w:tcPr>
          <w:p w14:paraId="2A9ADF6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</w:tr>
      <w:tr w:rsidR="0007060B" w14:paraId="58791B17" w14:textId="77777777" w:rsidTr="000706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6512FAF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 Sebastián de los Reyes</w:t>
            </w:r>
          </w:p>
        </w:tc>
        <w:tc>
          <w:tcPr>
            <w:tcW w:w="1701" w:type="dxa"/>
            <w:vAlign w:val="bottom"/>
          </w:tcPr>
          <w:p w14:paraId="2432C93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4B5D597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60" w:type="dxa"/>
            <w:vAlign w:val="bottom"/>
          </w:tcPr>
          <w:p w14:paraId="573EA71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00" w:type="dxa"/>
            <w:vAlign w:val="bottom"/>
          </w:tcPr>
          <w:p w14:paraId="199DDEC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</w:tr>
      <w:tr w:rsidR="0007060B" w14:paraId="4D5DCBD2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911192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5FFF825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6837A61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60" w:type="dxa"/>
            <w:vAlign w:val="bottom"/>
          </w:tcPr>
          <w:p w14:paraId="39EB5E1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00" w:type="dxa"/>
            <w:vAlign w:val="bottom"/>
          </w:tcPr>
          <w:p w14:paraId="1585E98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</w:tr>
      <w:tr w:rsidR="0007060B" w14:paraId="7DB62C78" w14:textId="77777777" w:rsidTr="0007060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2610BF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Benalmádena</w:t>
            </w:r>
          </w:p>
        </w:tc>
        <w:tc>
          <w:tcPr>
            <w:tcW w:w="1701" w:type="dxa"/>
            <w:vAlign w:val="bottom"/>
          </w:tcPr>
          <w:p w14:paraId="0014999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3154D25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60" w:type="dxa"/>
            <w:vAlign w:val="bottom"/>
          </w:tcPr>
          <w:p w14:paraId="1E15BB4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00" w:type="dxa"/>
            <w:vAlign w:val="bottom"/>
          </w:tcPr>
          <w:p w14:paraId="42BD92D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0C5623FA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0D501E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16B72D7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0C584F0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60" w:type="dxa"/>
            <w:vAlign w:val="bottom"/>
          </w:tcPr>
          <w:p w14:paraId="32DC91BE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00" w:type="dxa"/>
            <w:vAlign w:val="bottom"/>
          </w:tcPr>
          <w:p w14:paraId="52CFE37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08405BAF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FAED5D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Calvià</w:t>
            </w:r>
          </w:p>
        </w:tc>
        <w:tc>
          <w:tcPr>
            <w:tcW w:w="1701" w:type="dxa"/>
            <w:vAlign w:val="bottom"/>
          </w:tcPr>
          <w:p w14:paraId="514E261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3E174446" w14:textId="77777777" w:rsidR="0007060B" w:rsidRDefault="00070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1DA3131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00" w:type="dxa"/>
            <w:vAlign w:val="bottom"/>
          </w:tcPr>
          <w:p w14:paraId="141F1A4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</w:tr>
      <w:tr w:rsidR="0007060B" w14:paraId="4ED16DCB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809F10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2070C36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bottom"/>
          </w:tcPr>
          <w:p w14:paraId="21053E2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60" w:type="dxa"/>
            <w:vAlign w:val="bottom"/>
          </w:tcPr>
          <w:p w14:paraId="612E420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00" w:type="dxa"/>
            <w:vAlign w:val="bottom"/>
          </w:tcPr>
          <w:p w14:paraId="46A8A51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</w:tr>
      <w:tr w:rsidR="0007060B" w14:paraId="02AFF698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536DDEC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lastRenderedPageBreak/>
              <w:t>Marbella</w:t>
            </w:r>
          </w:p>
        </w:tc>
        <w:tc>
          <w:tcPr>
            <w:tcW w:w="1701" w:type="dxa"/>
            <w:vAlign w:val="bottom"/>
          </w:tcPr>
          <w:p w14:paraId="390991C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3F2A4C5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60" w:type="dxa"/>
            <w:vAlign w:val="bottom"/>
          </w:tcPr>
          <w:p w14:paraId="54BEB52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00" w:type="dxa"/>
            <w:vAlign w:val="bottom"/>
          </w:tcPr>
          <w:p w14:paraId="3337E74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</w:tr>
      <w:tr w:rsidR="0007060B" w14:paraId="6B60A34E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393E55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Las Rozas de Madrid</w:t>
            </w:r>
          </w:p>
        </w:tc>
        <w:tc>
          <w:tcPr>
            <w:tcW w:w="1701" w:type="dxa"/>
            <w:vAlign w:val="bottom"/>
          </w:tcPr>
          <w:p w14:paraId="4BD2C07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6F2F192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60" w:type="dxa"/>
            <w:vAlign w:val="bottom"/>
          </w:tcPr>
          <w:p w14:paraId="7CE4F1A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00" w:type="dxa"/>
            <w:vAlign w:val="bottom"/>
          </w:tcPr>
          <w:p w14:paraId="7616FFC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</w:tr>
      <w:tr w:rsidR="0007060B" w14:paraId="636A8A47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565D1F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5E34902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559" w:type="dxa"/>
            <w:vAlign w:val="bottom"/>
          </w:tcPr>
          <w:p w14:paraId="2189F9A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560" w:type="dxa"/>
            <w:vAlign w:val="bottom"/>
          </w:tcPr>
          <w:p w14:paraId="453BA0A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00" w:type="dxa"/>
            <w:vAlign w:val="bottom"/>
          </w:tcPr>
          <w:p w14:paraId="1B8F4C3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74AB9267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947B28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1E983AF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559" w:type="dxa"/>
            <w:vAlign w:val="bottom"/>
          </w:tcPr>
          <w:p w14:paraId="5119B98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60" w:type="dxa"/>
            <w:vAlign w:val="bottom"/>
          </w:tcPr>
          <w:p w14:paraId="62EEDCD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00" w:type="dxa"/>
            <w:vAlign w:val="bottom"/>
          </w:tcPr>
          <w:p w14:paraId="009BD0F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29218E31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51C65F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5D8187E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4D489A64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560" w:type="dxa"/>
            <w:vAlign w:val="bottom"/>
          </w:tcPr>
          <w:p w14:paraId="7557BB8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00" w:type="dxa"/>
            <w:vAlign w:val="bottom"/>
          </w:tcPr>
          <w:p w14:paraId="41C1212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5964CFB8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758AA0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6F80435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559" w:type="dxa"/>
            <w:vAlign w:val="bottom"/>
          </w:tcPr>
          <w:p w14:paraId="26A3FDD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60" w:type="dxa"/>
            <w:vAlign w:val="bottom"/>
          </w:tcPr>
          <w:p w14:paraId="7C4D81D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00" w:type="dxa"/>
            <w:vAlign w:val="bottom"/>
          </w:tcPr>
          <w:p w14:paraId="447BB89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4,4%</w:t>
            </w:r>
          </w:p>
        </w:tc>
      </w:tr>
      <w:tr w:rsidR="0007060B" w14:paraId="1EB2ADCA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B81AA6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Sitges</w:t>
            </w:r>
          </w:p>
        </w:tc>
        <w:tc>
          <w:tcPr>
            <w:tcW w:w="1701" w:type="dxa"/>
            <w:vAlign w:val="bottom"/>
          </w:tcPr>
          <w:p w14:paraId="0872DBC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396546A4" w14:textId="77777777" w:rsidR="0007060B" w:rsidRDefault="000706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14:paraId="7D53DF0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00" w:type="dxa"/>
            <w:vAlign w:val="bottom"/>
          </w:tcPr>
          <w:p w14:paraId="159F635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4,4%</w:t>
            </w:r>
          </w:p>
        </w:tc>
      </w:tr>
      <w:tr w:rsidR="0007060B" w14:paraId="45B1A179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7C1E62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Fuengirola</w:t>
            </w:r>
          </w:p>
        </w:tc>
        <w:tc>
          <w:tcPr>
            <w:tcW w:w="1701" w:type="dxa"/>
            <w:vAlign w:val="bottom"/>
          </w:tcPr>
          <w:p w14:paraId="74A7B38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609FD6F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60" w:type="dxa"/>
            <w:vAlign w:val="bottom"/>
          </w:tcPr>
          <w:p w14:paraId="6F071BD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00" w:type="dxa"/>
            <w:vAlign w:val="bottom"/>
          </w:tcPr>
          <w:p w14:paraId="7EC4244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</w:tr>
      <w:tr w:rsidR="0007060B" w14:paraId="44085458" w14:textId="77777777" w:rsidTr="0007060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4A8C7067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08C10A4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70B3AD4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560" w:type="dxa"/>
            <w:vAlign w:val="bottom"/>
          </w:tcPr>
          <w:p w14:paraId="380BE0E0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00" w:type="dxa"/>
            <w:vAlign w:val="bottom"/>
          </w:tcPr>
          <w:p w14:paraId="3ABEC7E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</w:tr>
      <w:tr w:rsidR="0007060B" w14:paraId="101B194E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E9882D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Estepona</w:t>
            </w:r>
          </w:p>
        </w:tc>
        <w:tc>
          <w:tcPr>
            <w:tcW w:w="1701" w:type="dxa"/>
            <w:vAlign w:val="bottom"/>
          </w:tcPr>
          <w:p w14:paraId="0BE162C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6096535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560" w:type="dxa"/>
            <w:vAlign w:val="bottom"/>
          </w:tcPr>
          <w:p w14:paraId="0208FB0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00" w:type="dxa"/>
            <w:vAlign w:val="bottom"/>
          </w:tcPr>
          <w:p w14:paraId="2D9389D2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</w:tr>
      <w:tr w:rsidR="0007060B" w14:paraId="58B06B80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AA691E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Getxo</w:t>
            </w:r>
          </w:p>
        </w:tc>
        <w:tc>
          <w:tcPr>
            <w:tcW w:w="1701" w:type="dxa"/>
            <w:vAlign w:val="bottom"/>
          </w:tcPr>
          <w:p w14:paraId="633889E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559" w:type="dxa"/>
            <w:vAlign w:val="bottom"/>
          </w:tcPr>
          <w:p w14:paraId="0B0F89A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60" w:type="dxa"/>
            <w:vAlign w:val="bottom"/>
          </w:tcPr>
          <w:p w14:paraId="6E1FEB7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00" w:type="dxa"/>
            <w:vAlign w:val="bottom"/>
          </w:tcPr>
          <w:p w14:paraId="5998DF0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</w:tr>
      <w:tr w:rsidR="0007060B" w14:paraId="5F2DD5A7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0318FF8B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Pozuelo de Alarcón</w:t>
            </w:r>
          </w:p>
        </w:tc>
        <w:tc>
          <w:tcPr>
            <w:tcW w:w="1701" w:type="dxa"/>
            <w:vAlign w:val="bottom"/>
          </w:tcPr>
          <w:p w14:paraId="71103C8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16EE05D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446400D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00" w:type="dxa"/>
            <w:vAlign w:val="bottom"/>
          </w:tcPr>
          <w:p w14:paraId="4B82421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</w:tr>
      <w:tr w:rsidR="0007060B" w14:paraId="3FE76B56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7C6A401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Santiago de Compostela</w:t>
            </w:r>
          </w:p>
        </w:tc>
        <w:tc>
          <w:tcPr>
            <w:tcW w:w="1701" w:type="dxa"/>
            <w:vAlign w:val="bottom"/>
          </w:tcPr>
          <w:p w14:paraId="13294C5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559" w:type="dxa"/>
            <w:vAlign w:val="bottom"/>
          </w:tcPr>
          <w:p w14:paraId="32631A1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560" w:type="dxa"/>
            <w:vAlign w:val="bottom"/>
          </w:tcPr>
          <w:p w14:paraId="1EECFF29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00" w:type="dxa"/>
            <w:vAlign w:val="bottom"/>
          </w:tcPr>
          <w:p w14:paraId="050585B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</w:tr>
      <w:tr w:rsidR="0007060B" w14:paraId="5168D496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2C0DA260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221B187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59" w:type="dxa"/>
            <w:vAlign w:val="bottom"/>
          </w:tcPr>
          <w:p w14:paraId="0485592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14:paraId="0ABB010C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00" w:type="dxa"/>
            <w:vAlign w:val="bottom"/>
          </w:tcPr>
          <w:p w14:paraId="4323D9D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</w:tr>
      <w:tr w:rsidR="0007060B" w14:paraId="639A0FDA" w14:textId="77777777" w:rsidTr="000706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14:paraId="3DB0634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32DD33A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559" w:type="dxa"/>
            <w:vAlign w:val="bottom"/>
          </w:tcPr>
          <w:p w14:paraId="6B140CA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560" w:type="dxa"/>
            <w:vAlign w:val="bottom"/>
          </w:tcPr>
          <w:p w14:paraId="7B361AD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00" w:type="dxa"/>
            <w:vAlign w:val="bottom"/>
          </w:tcPr>
          <w:p w14:paraId="65B1731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</w:tr>
    </w:tbl>
    <w:p w14:paraId="285F02C0" w14:textId="77777777" w:rsidR="0007060B" w:rsidRDefault="0007060B">
      <w:pPr>
        <w:jc w:val="both"/>
        <w:rPr>
          <w:rFonts w:ascii="Open Sans Light" w:eastAsia="Open Sans Light" w:hAnsi="Open Sans Light" w:cs="Open Sans Light"/>
          <w:color w:val="404040"/>
        </w:rPr>
      </w:pPr>
    </w:p>
    <w:p w14:paraId="5FF95072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</w:rPr>
        <w:t>Tabla 4. Rentabilidad de la vivienda por distritos de Madrid en el 3T de 2016, 2020 y 2021</w:t>
      </w:r>
    </w:p>
    <w:tbl>
      <w:tblPr>
        <w:tblStyle w:val="a2"/>
        <w:tblW w:w="888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4"/>
        <w:gridCol w:w="2133"/>
        <w:gridCol w:w="1956"/>
        <w:gridCol w:w="1947"/>
      </w:tblGrid>
      <w:tr w:rsidR="0007060B" w14:paraId="481343F6" w14:textId="77777777">
        <w:trPr>
          <w:trHeight w:val="593"/>
        </w:trPr>
        <w:tc>
          <w:tcPr>
            <w:tcW w:w="284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7A90174D" w14:textId="77777777" w:rsidR="0007060B" w:rsidRDefault="005D30BA">
            <w:pP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Distritos de Madrid</w:t>
            </w:r>
          </w:p>
        </w:tc>
        <w:tc>
          <w:tcPr>
            <w:tcW w:w="2133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04DAE8C7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 xml:space="preserve">Rentabilidad </w:t>
            </w:r>
          </w:p>
          <w:p w14:paraId="5D20BAE3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2016 (5 años)</w:t>
            </w:r>
          </w:p>
        </w:tc>
        <w:tc>
          <w:tcPr>
            <w:tcW w:w="195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4BAE70D4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Rentabilidad</w:t>
            </w:r>
          </w:p>
          <w:p w14:paraId="7E2B5119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2020 (1 año)</w:t>
            </w:r>
          </w:p>
        </w:tc>
        <w:tc>
          <w:tcPr>
            <w:tcW w:w="194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vAlign w:val="center"/>
          </w:tcPr>
          <w:p w14:paraId="5ED33559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Rentabilidad</w:t>
            </w:r>
          </w:p>
          <w:p w14:paraId="67B28E8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2021</w:t>
            </w:r>
          </w:p>
        </w:tc>
      </w:tr>
      <w:tr w:rsidR="0007060B" w14:paraId="1BD61218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6230990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Villaverde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932A0F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1655304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5D297E1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</w:tr>
      <w:tr w:rsidR="0007060B" w14:paraId="6DBDA0F8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E80D3DE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Puente de Vallecas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2F4CF1D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35E6D19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7303A42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07060B" w14:paraId="6B39ACD8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ED52F79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Usera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738B05A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3764C98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3095506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07060B" w14:paraId="2CEDFF9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EA8D43B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Carabanchel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4DE2955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0888873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78B7596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3495FE42" w14:textId="77777777">
        <w:trPr>
          <w:trHeight w:val="304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17313CE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Latina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76CB986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7BA2AE1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2AFC856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07060B" w14:paraId="5F8782EF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947F4E7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Villa de Vallecas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588B345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6F6388C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58841E3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07060B" w14:paraId="228DF3C0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CB7070E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Moratalaz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4496841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5D55743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32592FD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1E2636D3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ACCC4A6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Vicálvaro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5CA0DB1C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2202B3F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5CBEC8B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11E0C10C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B11EE2E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 Blas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39EB3706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0FAAB2A1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22938EF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3992D278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65AB3FC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Ciudad Lineal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10B7C77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756B7F2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37FB2A4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6D57FACE" w14:textId="77777777">
        <w:trPr>
          <w:trHeight w:val="304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0A12128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Tetuán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5081D40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1FAFB184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3239C56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1785451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33D959D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Arganzuela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4CA18DB6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6CC66B9C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131B407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07060B" w14:paraId="6C14F32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EB842BE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Barajas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DE5667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54999FC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249465D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07060B" w14:paraId="0BF9497E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AC10285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Hortaleza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598AA31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36A0D16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528D260B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07060B" w14:paraId="4CE16D70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58523E9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Centro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0FBFAA3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46F2C518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6A8008E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07060B" w14:paraId="738D25EF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F304962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Moncloa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7A7C43C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0C417AB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470DB2B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07060B" w14:paraId="62580ED3" w14:textId="77777777">
        <w:trPr>
          <w:trHeight w:val="304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8F548C6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Chamberí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44F58CA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1B21A96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756C99E0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07060B" w14:paraId="5885316A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73D9695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Fuencarral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40C6BB7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23131FF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2FBF49F6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07060B" w14:paraId="506BFB8B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8C5A18D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Retiro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0D3633C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6892B36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5EFAA3D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07060B" w14:paraId="39053AB1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99DE32E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Chamartín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192133D4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29CE16DF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62502E18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07060B" w14:paraId="41C8C4C0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bottom"/>
          </w:tcPr>
          <w:p w14:paraId="18A96854" w14:textId="77777777" w:rsidR="0007060B" w:rsidRDefault="005D30BA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Barrio de Salamanca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361411B1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3AF78F7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46478BB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</w:tbl>
    <w:p w14:paraId="4E30D397" w14:textId="77777777" w:rsidR="0007060B" w:rsidRDefault="000706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42321987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Tabla 5. Rentabilidad de la vivienda por distritos de Barcelona en el 3T de 2016, 2020 y 2021</w:t>
      </w:r>
    </w:p>
    <w:tbl>
      <w:tblPr>
        <w:tblStyle w:val="a3"/>
        <w:tblW w:w="914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27"/>
        <w:gridCol w:w="2218"/>
        <w:gridCol w:w="1972"/>
      </w:tblGrid>
      <w:tr w:rsidR="0007060B" w14:paraId="06662136" w14:textId="77777777">
        <w:trPr>
          <w:trHeight w:val="559"/>
        </w:trPr>
        <w:tc>
          <w:tcPr>
            <w:tcW w:w="283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170A296F" w14:textId="77777777" w:rsidR="0007060B" w:rsidRDefault="005D30BA">
            <w:pP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Distritos de Barcelona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7BE4558C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 xml:space="preserve">Rentabilidad </w:t>
            </w:r>
          </w:p>
          <w:p w14:paraId="01B2CDFB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2016 (5 años)</w:t>
            </w:r>
          </w:p>
        </w:tc>
        <w:tc>
          <w:tcPr>
            <w:tcW w:w="221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4394BBDF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Rentabilidad</w:t>
            </w:r>
          </w:p>
          <w:p w14:paraId="3BF841DE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2020 (1 año)</w:t>
            </w:r>
          </w:p>
        </w:tc>
        <w:tc>
          <w:tcPr>
            <w:tcW w:w="197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vAlign w:val="center"/>
          </w:tcPr>
          <w:p w14:paraId="3E03A2B0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Rentabilidad</w:t>
            </w:r>
          </w:p>
          <w:p w14:paraId="2C8506E4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2021</w:t>
            </w:r>
          </w:p>
        </w:tc>
      </w:tr>
      <w:tr w:rsidR="0007060B" w14:paraId="4D558C1D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714D9EE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127" w:type="dxa"/>
            <w:shd w:val="clear" w:color="auto" w:fill="B4C6E7"/>
            <w:vAlign w:val="bottom"/>
          </w:tcPr>
          <w:p w14:paraId="15F9339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143DD1B3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22A27454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07060B" w14:paraId="2372618B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5ED06F4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Horta - Guinardó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5130B759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54F6C31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19A67F67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07060B" w14:paraId="78141A43" w14:textId="77777777">
        <w:trPr>
          <w:trHeight w:val="294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614E424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Sants - Montjuïc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1A81205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66C21C0B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3FBAB08E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28F4F9E0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6408503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 Andreu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643B838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5A32B2A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65FCA93A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7ECBEE44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922DE1D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 Martí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29AFF346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5E149E1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5802CEFF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7CB82483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0809A8A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 Vella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10B59972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21CC60E4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38ADC054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07060B" w14:paraId="61204208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F5DB92A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Gràcia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0995589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4174C557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37C379B1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07060B" w14:paraId="6B6C9230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D9218BB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Eixample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58CB8005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11FB219A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6A44C5FE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07060B" w14:paraId="278A5A85" w14:textId="77777777">
        <w:trPr>
          <w:trHeight w:val="294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F313160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Les Corts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5D40061E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7C37895B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799D6DCD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07060B" w14:paraId="6630C4CA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bottom"/>
          </w:tcPr>
          <w:p w14:paraId="01BF5C57" w14:textId="77777777" w:rsidR="0007060B" w:rsidRDefault="005D30BA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Sarrià - Sant Gervasi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254615A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0CBA5DCD" w14:textId="77777777" w:rsidR="0007060B" w:rsidRDefault="005D30BA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64AD44AE" w14:textId="77777777" w:rsidR="0007060B" w:rsidRDefault="005D30BA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</w:tbl>
    <w:p w14:paraId="77FA63B4" w14:textId="77777777" w:rsidR="0007060B" w:rsidRDefault="0007060B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BCFE6ED" w14:textId="77777777" w:rsidR="0007060B" w:rsidRDefault="005D3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</w:rPr>
        <w:t>Tabla 6. Rentabilidad de la vivienda por distritos de Valenciana en el 3T de 2016, 2020 y 2021</w:t>
      </w:r>
    </w:p>
    <w:tbl>
      <w:tblPr>
        <w:tblStyle w:val="a4"/>
        <w:tblW w:w="914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218"/>
        <w:gridCol w:w="1972"/>
      </w:tblGrid>
      <w:tr w:rsidR="0007060B" w14:paraId="7AF8E1F1" w14:textId="77777777" w:rsidTr="0007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1DAF9B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Distritos de Valencia</w:t>
            </w:r>
          </w:p>
        </w:tc>
        <w:tc>
          <w:tcPr>
            <w:tcW w:w="2127" w:type="dxa"/>
          </w:tcPr>
          <w:p w14:paraId="58AB1010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 xml:space="preserve">Rentabilidad </w:t>
            </w:r>
          </w:p>
          <w:p w14:paraId="35941832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2016 (5 años)</w:t>
            </w:r>
          </w:p>
        </w:tc>
        <w:tc>
          <w:tcPr>
            <w:tcW w:w="2218" w:type="dxa"/>
          </w:tcPr>
          <w:p w14:paraId="0D70FC9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42974988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2020 (1 año)</w:t>
            </w:r>
          </w:p>
        </w:tc>
        <w:tc>
          <w:tcPr>
            <w:tcW w:w="1972" w:type="dxa"/>
          </w:tcPr>
          <w:p w14:paraId="40ECB8F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54812F1A" w14:textId="77777777" w:rsidR="0007060B" w:rsidRDefault="005D3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07060B" w14:paraId="0590EDFB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00D12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L'Olivereta</w:t>
            </w:r>
            <w:proofErr w:type="spellEnd"/>
          </w:p>
        </w:tc>
        <w:tc>
          <w:tcPr>
            <w:tcW w:w="2127" w:type="dxa"/>
          </w:tcPr>
          <w:p w14:paraId="6F65006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2218" w:type="dxa"/>
          </w:tcPr>
          <w:p w14:paraId="10CDB94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972" w:type="dxa"/>
          </w:tcPr>
          <w:p w14:paraId="3F499975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7,7%</w:t>
            </w:r>
          </w:p>
        </w:tc>
      </w:tr>
      <w:tr w:rsidR="0007060B" w14:paraId="1616E62C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066CCF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Rascanya</w:t>
            </w:r>
          </w:p>
        </w:tc>
        <w:tc>
          <w:tcPr>
            <w:tcW w:w="2127" w:type="dxa"/>
          </w:tcPr>
          <w:p w14:paraId="258904A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218" w:type="dxa"/>
          </w:tcPr>
          <w:p w14:paraId="1483A6F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972" w:type="dxa"/>
          </w:tcPr>
          <w:p w14:paraId="19A97C6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07060B" w14:paraId="600ED03C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88DC8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Benicalap</w:t>
            </w:r>
          </w:p>
        </w:tc>
        <w:tc>
          <w:tcPr>
            <w:tcW w:w="2127" w:type="dxa"/>
          </w:tcPr>
          <w:p w14:paraId="2881303D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2218" w:type="dxa"/>
          </w:tcPr>
          <w:p w14:paraId="7F245E0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972" w:type="dxa"/>
          </w:tcPr>
          <w:p w14:paraId="31388338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07060B" w14:paraId="5A3A95B1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57864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Jesús</w:t>
            </w:r>
          </w:p>
        </w:tc>
        <w:tc>
          <w:tcPr>
            <w:tcW w:w="2127" w:type="dxa"/>
          </w:tcPr>
          <w:p w14:paraId="3FC754F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2218" w:type="dxa"/>
          </w:tcPr>
          <w:p w14:paraId="5D14702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972" w:type="dxa"/>
          </w:tcPr>
          <w:p w14:paraId="741EBCB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68BF65B5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8D7FA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Saïdia</w:t>
            </w:r>
            <w:proofErr w:type="spellEnd"/>
          </w:p>
        </w:tc>
        <w:tc>
          <w:tcPr>
            <w:tcW w:w="2127" w:type="dxa"/>
          </w:tcPr>
          <w:p w14:paraId="1366965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2218" w:type="dxa"/>
          </w:tcPr>
          <w:p w14:paraId="61A2405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972" w:type="dxa"/>
          </w:tcPr>
          <w:p w14:paraId="288A9D40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07060B" w14:paraId="5A43C9BF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ADB935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Patraix</w:t>
            </w:r>
            <w:proofErr w:type="spellEnd"/>
          </w:p>
        </w:tc>
        <w:tc>
          <w:tcPr>
            <w:tcW w:w="2127" w:type="dxa"/>
          </w:tcPr>
          <w:p w14:paraId="50A6E1A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2218" w:type="dxa"/>
          </w:tcPr>
          <w:p w14:paraId="2D2C5EE6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972" w:type="dxa"/>
          </w:tcPr>
          <w:p w14:paraId="1A41681C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07060B" w14:paraId="5C29B89A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9F7A7A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Poblats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Marítims</w:t>
            </w:r>
            <w:proofErr w:type="spellEnd"/>
          </w:p>
        </w:tc>
        <w:tc>
          <w:tcPr>
            <w:tcW w:w="2127" w:type="dxa"/>
          </w:tcPr>
          <w:p w14:paraId="022A8F3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2218" w:type="dxa"/>
          </w:tcPr>
          <w:p w14:paraId="35C4CBE1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972" w:type="dxa"/>
          </w:tcPr>
          <w:p w14:paraId="59CE589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07060B" w14:paraId="23A3B381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9BCFA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Benimaclet</w:t>
            </w:r>
          </w:p>
        </w:tc>
        <w:tc>
          <w:tcPr>
            <w:tcW w:w="2127" w:type="dxa"/>
          </w:tcPr>
          <w:p w14:paraId="3F7AF09F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218" w:type="dxa"/>
          </w:tcPr>
          <w:p w14:paraId="6A6DD641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972" w:type="dxa"/>
          </w:tcPr>
          <w:p w14:paraId="12C17B4B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07060B" w14:paraId="3755AE93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2A2BBC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Quatre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Carreres</w:t>
            </w:r>
          </w:p>
        </w:tc>
        <w:tc>
          <w:tcPr>
            <w:tcW w:w="2127" w:type="dxa"/>
          </w:tcPr>
          <w:p w14:paraId="1EDCBD4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218" w:type="dxa"/>
          </w:tcPr>
          <w:p w14:paraId="155597BF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972" w:type="dxa"/>
          </w:tcPr>
          <w:p w14:paraId="0FAB3D2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07060B" w14:paraId="4D28327C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171A16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Algirós</w:t>
            </w:r>
            <w:proofErr w:type="spellEnd"/>
          </w:p>
        </w:tc>
        <w:tc>
          <w:tcPr>
            <w:tcW w:w="2127" w:type="dxa"/>
          </w:tcPr>
          <w:p w14:paraId="2A50B248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218" w:type="dxa"/>
          </w:tcPr>
          <w:p w14:paraId="74D44A6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972" w:type="dxa"/>
          </w:tcPr>
          <w:p w14:paraId="0F37078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47C85DD4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25AF98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Camins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al Grau</w:t>
            </w:r>
          </w:p>
        </w:tc>
        <w:tc>
          <w:tcPr>
            <w:tcW w:w="2127" w:type="dxa"/>
          </w:tcPr>
          <w:p w14:paraId="32CE06F4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218" w:type="dxa"/>
          </w:tcPr>
          <w:p w14:paraId="24ED82F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972" w:type="dxa"/>
          </w:tcPr>
          <w:p w14:paraId="46C67D79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07060B" w14:paraId="7D68C790" w14:textId="77777777" w:rsidTr="0007060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C463C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Extramurs</w:t>
            </w:r>
            <w:proofErr w:type="spellEnd"/>
          </w:p>
        </w:tc>
        <w:tc>
          <w:tcPr>
            <w:tcW w:w="2127" w:type="dxa"/>
          </w:tcPr>
          <w:p w14:paraId="4535D537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218" w:type="dxa"/>
          </w:tcPr>
          <w:p w14:paraId="3D4170BA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972" w:type="dxa"/>
          </w:tcPr>
          <w:p w14:paraId="128E6FE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07060B" w14:paraId="74FAF0EF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BCD1CE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Campanar</w:t>
            </w:r>
          </w:p>
        </w:tc>
        <w:tc>
          <w:tcPr>
            <w:tcW w:w="2127" w:type="dxa"/>
          </w:tcPr>
          <w:p w14:paraId="61C9944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218" w:type="dxa"/>
          </w:tcPr>
          <w:p w14:paraId="0D4ACD87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972" w:type="dxa"/>
          </w:tcPr>
          <w:p w14:paraId="09BB6413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07060B" w14:paraId="0CE6FD69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F9FE54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127" w:type="dxa"/>
          </w:tcPr>
          <w:p w14:paraId="669EBFF2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218" w:type="dxa"/>
          </w:tcPr>
          <w:p w14:paraId="7336822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972" w:type="dxa"/>
          </w:tcPr>
          <w:p w14:paraId="0D2CDB55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07060B" w14:paraId="433464C2" w14:textId="77777777" w:rsidTr="0007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945B19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El Pla del Real</w:t>
            </w:r>
          </w:p>
        </w:tc>
        <w:tc>
          <w:tcPr>
            <w:tcW w:w="2127" w:type="dxa"/>
          </w:tcPr>
          <w:p w14:paraId="1A77792B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218" w:type="dxa"/>
          </w:tcPr>
          <w:p w14:paraId="74702B1A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972" w:type="dxa"/>
          </w:tcPr>
          <w:p w14:paraId="0E328566" w14:textId="77777777" w:rsidR="0007060B" w:rsidRDefault="005D3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07060B" w14:paraId="63FCA0E8" w14:textId="77777777" w:rsidTr="0007060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0A43FD" w14:textId="77777777" w:rsidR="0007060B" w:rsidRDefault="005D30BA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L'Eixample</w:t>
            </w:r>
          </w:p>
        </w:tc>
        <w:tc>
          <w:tcPr>
            <w:tcW w:w="2127" w:type="dxa"/>
          </w:tcPr>
          <w:p w14:paraId="40DF0EC3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218" w:type="dxa"/>
          </w:tcPr>
          <w:p w14:paraId="48461E1D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972" w:type="dxa"/>
          </w:tcPr>
          <w:p w14:paraId="44FE1F1E" w14:textId="77777777" w:rsidR="0007060B" w:rsidRDefault="005D3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</w:tbl>
    <w:p w14:paraId="161F973B" w14:textId="77777777" w:rsidR="00B970D9" w:rsidRDefault="00B970D9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2C3DF69" w14:textId="5B3B3FC7" w:rsidR="00B970D9" w:rsidRDefault="00B970D9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B0A997A" w14:textId="30AE8B2D" w:rsidR="00DD4FCE" w:rsidRDefault="00DD4FCE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B7DF061" w14:textId="77777777" w:rsidR="00DD4FCE" w:rsidRDefault="00DD4FCE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4887922" w14:textId="77777777" w:rsidR="00B970D9" w:rsidRDefault="00B970D9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5B0A18A" w14:textId="77777777" w:rsidR="00044B67" w:rsidRDefault="00044B67" w:rsidP="00044B67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24320426" w14:textId="77777777" w:rsidR="00044B67" w:rsidRDefault="00044B67" w:rsidP="00044B67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2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2DD5F78E" w14:textId="77777777" w:rsidR="00044B67" w:rsidRDefault="008C2C80" w:rsidP="00044B67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28">
        <w:r w:rsidR="00044B67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 w:rsidR="00044B67"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 w:rsidR="00044B67">
        <w:fldChar w:fldCharType="begin"/>
      </w:r>
      <w:r w:rsidR="00044B67">
        <w:instrText xml:space="preserve"> HYPERLINK "https://www.adevinta.com/" \h </w:instrText>
      </w:r>
      <w:r w:rsidR="00044B67">
        <w:fldChar w:fldCharType="separate"/>
      </w:r>
      <w:r w:rsidR="00044B67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044B67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="00044B67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 w:rsidR="00044B67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="00044B67"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0486BC96" w14:textId="77777777" w:rsidR="00044B67" w:rsidRDefault="008C2C80" w:rsidP="00044B67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29">
        <w:r w:rsidR="00044B67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044B67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3FFD6A3C" w14:textId="77777777" w:rsidR="00044B67" w:rsidRDefault="00044B67" w:rsidP="00044B6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3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3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3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3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77E14BEC" w14:textId="77777777" w:rsidR="00044B67" w:rsidRDefault="00044B67" w:rsidP="00044B6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2A8B8E" w14:textId="77777777" w:rsidR="00044B67" w:rsidRDefault="00044B67" w:rsidP="00044B6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3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103892F1" w14:textId="77777777" w:rsidR="00044B67" w:rsidRDefault="00044B67" w:rsidP="00044B6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6569DE8C" w14:textId="77777777" w:rsidR="00044B67" w:rsidRDefault="00044B67" w:rsidP="00044B67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98B8723" w14:textId="77777777" w:rsidR="00044B67" w:rsidRDefault="00044B67" w:rsidP="00044B67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68CC213B" w14:textId="77777777" w:rsidR="00044B67" w:rsidRDefault="00044B67" w:rsidP="00044B6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 Anaïs López </w:t>
      </w:r>
    </w:p>
    <w:p w14:paraId="7A23B443" w14:textId="77777777" w:rsidR="00044B67" w:rsidRDefault="008C2C80" w:rsidP="00044B6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35">
        <w:r w:rsidR="00044B67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044B67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044B67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044B67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36">
        <w:r w:rsidR="00044B67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46C77AC1" w14:textId="77777777" w:rsidR="00044B67" w:rsidRDefault="00044B67" w:rsidP="00044B6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        620 66 29 26</w:t>
      </w:r>
    </w:p>
    <w:p w14:paraId="6DBD273C" w14:textId="77777777" w:rsidR="00044B67" w:rsidRDefault="00044B67" w:rsidP="00044B67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C9722EF" w14:textId="77777777" w:rsidR="00044B67" w:rsidRDefault="00044B67" w:rsidP="00044B67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1D23E14D" w14:textId="77777777" w:rsidR="00044B67" w:rsidRDefault="008C2C80" w:rsidP="00044B67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37">
        <w:r w:rsidR="00044B67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0486FC7A" w14:textId="77777777" w:rsidR="00044B67" w:rsidRDefault="00044B67" w:rsidP="00044B67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5A489AB6" w14:textId="3584E0CB" w:rsidR="0007060B" w:rsidRDefault="0007060B" w:rsidP="00044B67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07060B">
      <w:footerReference w:type="default" r:id="rId38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621C" w14:textId="77777777" w:rsidR="008C2C80" w:rsidRDefault="008C2C80">
      <w:r>
        <w:separator/>
      </w:r>
    </w:p>
  </w:endnote>
  <w:endnote w:type="continuationSeparator" w:id="0">
    <w:p w14:paraId="7E66C583" w14:textId="77777777" w:rsidR="008C2C80" w:rsidRDefault="008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848" w14:textId="77777777" w:rsidR="0007060B" w:rsidRDefault="005D3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4472C4"/>
        <w:sz w:val="20"/>
        <w:szCs w:val="20"/>
      </w:rPr>
      <w:t xml:space="preserve">pág.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>PAGE</w:instrText>
    </w:r>
    <w:r>
      <w:rPr>
        <w:color w:val="4472C4"/>
        <w:sz w:val="20"/>
        <w:szCs w:val="20"/>
      </w:rPr>
      <w:fldChar w:fldCharType="separate"/>
    </w:r>
    <w:r w:rsidR="00032B6C">
      <w:rPr>
        <w:noProof/>
        <w:color w:val="4472C4"/>
        <w:sz w:val="20"/>
        <w:szCs w:val="20"/>
      </w:rPr>
      <w:t>1</w:t>
    </w:r>
    <w:r>
      <w:rPr>
        <w:color w:val="4472C4"/>
        <w:sz w:val="20"/>
        <w:szCs w:val="20"/>
      </w:rPr>
      <w:fldChar w:fldCharType="end"/>
    </w:r>
  </w:p>
  <w:p w14:paraId="1298FAB9" w14:textId="77777777" w:rsidR="0007060B" w:rsidRDefault="000706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3270" w14:textId="77777777" w:rsidR="008C2C80" w:rsidRDefault="008C2C80">
      <w:r>
        <w:separator/>
      </w:r>
    </w:p>
  </w:footnote>
  <w:footnote w:type="continuationSeparator" w:id="0">
    <w:p w14:paraId="73809FF9" w14:textId="77777777" w:rsidR="008C2C80" w:rsidRDefault="008C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525"/>
    <w:multiLevelType w:val="multilevel"/>
    <w:tmpl w:val="D81C3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0B"/>
    <w:rsid w:val="00032B6C"/>
    <w:rsid w:val="00044B67"/>
    <w:rsid w:val="0007060B"/>
    <w:rsid w:val="005859B3"/>
    <w:rsid w:val="005B4238"/>
    <w:rsid w:val="005D30BA"/>
    <w:rsid w:val="006B7E3B"/>
    <w:rsid w:val="007920E3"/>
    <w:rsid w:val="008C2C80"/>
    <w:rsid w:val="00B078BA"/>
    <w:rsid w:val="00B970D9"/>
    <w:rsid w:val="00D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59C"/>
  <w15:docId w15:val="{D2A1CE39-1B34-41A4-A57D-2CA19FB1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9"/>
    <w:rPr>
      <w:lang w:val="es-ES_tradnl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Refdecomentario">
    <w:name w:val="annotation reference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 w:eastAsia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fotocasa.es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yperlink" Target="http://prensa.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version-inmobiliaria/?utm_source=fc&amp;utm_medium=ndp&amp;utm_campaign=n1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hyperlink" Target="https://motos.coches.net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www.fotocasa.es/es/quienes-som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9.png"/><Relationship Id="rId32" Type="http://schemas.openxmlformats.org/officeDocument/2006/relationships/hyperlink" Target="https://www.coches.net/" TargetMode="External"/><Relationship Id="rId37" Type="http://schemas.openxmlformats.org/officeDocument/2006/relationships/hyperlink" Target="mailto:emerino@llorenteycuenca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fotocasa.es/" TargetMode="External"/><Relationship Id="rId36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" TargetMode="External"/><Relationship Id="rId31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inversion-inmobiliaria/?utm_source=fc&amp;utm_medium=ndp&amp;utm_campaign=n1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www.fotocasa.es" TargetMode="External"/><Relationship Id="rId27" Type="http://schemas.openxmlformats.org/officeDocument/2006/relationships/hyperlink" Target="https://www.fotocasa.es/indice/" TargetMode="External"/><Relationship Id="rId30" Type="http://schemas.openxmlformats.org/officeDocument/2006/relationships/hyperlink" Target="http://www.fotocasa.es/" TargetMode="External"/><Relationship Id="rId35" Type="http://schemas.openxmlformats.org/officeDocument/2006/relationships/hyperlink" Target="mailto:rtorne@llorenteycuenca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4-ESTUDIO%20NdP\RENTABILIDAD\NOTAS%20DE%20PRENSA\2021\SEP%202021\Prensa%20Rentabilidad%20SEP-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rani\Google%20Drive\PATRI%20Y%20ELENA\001%20CLIENTES\01-SCHIBSTED\04-ESTUDIO%20NdP\RENTABILIDAD\NOTAS%20DE%20PRENSA\2021\SEP%202021\Prensa%20Rentabilidad%20SEP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spPr>
          <a:solidFill>
            <a:srgbClr val="5B9BD5">
              <a:lumMod val="75000"/>
            </a:srgb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5B9BD5">
              <a:lumMod val="75000"/>
            </a:srgbClr>
          </a:solidFill>
          <a:ln>
            <a:noFill/>
          </a:ln>
          <a:effectLst/>
        </c:spPr>
      </c:pivotFmt>
      <c:pivotFmt>
        <c:idx val="2"/>
        <c:spPr>
          <a:solidFill>
            <a:srgbClr val="FFC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FFC000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2.7891324128141309E-2"/>
          <c:y val="5.0455953908592345E-2"/>
          <c:w val="0.95388576839756645"/>
          <c:h val="0.76381969086304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Hoja1!$F$2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Hoja1!$E$3:$E$13</c:f>
              <c:strCache>
                <c:ptCount val="11"/>
                <c:pt idx="0">
                  <c:v>3T - 2011      (10 AÑOS)</c:v>
                </c:pt>
                <c:pt idx="1">
                  <c:v>3T - 2012</c:v>
                </c:pt>
                <c:pt idx="2">
                  <c:v>3T - 2013</c:v>
                </c:pt>
                <c:pt idx="3">
                  <c:v>3T - 2014</c:v>
                </c:pt>
                <c:pt idx="4">
                  <c:v>3T - 2015</c:v>
                </c:pt>
                <c:pt idx="5">
                  <c:v>3T - 2016         (5 AÑOS)</c:v>
                </c:pt>
                <c:pt idx="6">
                  <c:v>3T - 2017</c:v>
                </c:pt>
                <c:pt idx="7">
                  <c:v>3T - 2018</c:v>
                </c:pt>
                <c:pt idx="8">
                  <c:v>3T - 2019</c:v>
                </c:pt>
                <c:pt idx="9">
                  <c:v>3T - 2020        (1 AÑO)</c:v>
                </c:pt>
                <c:pt idx="10">
                  <c:v>3T - 2021</c:v>
                </c:pt>
              </c:strCache>
            </c:strRef>
          </c:cat>
          <c:val>
            <c:numRef>
              <c:f>Hoja1!$F$3:$F$13</c:f>
              <c:numCache>
                <c:formatCode>0.0%</c:formatCode>
                <c:ptCount val="11"/>
                <c:pt idx="0">
                  <c:v>4.2754694493056578E-2</c:v>
                </c:pt>
                <c:pt idx="1">
                  <c:v>4.5750047624161523E-2</c:v>
                </c:pt>
                <c:pt idx="2">
                  <c:v>4.7627816443052917E-2</c:v>
                </c:pt>
                <c:pt idx="3">
                  <c:v>4.9164115754528948E-2</c:v>
                </c:pt>
                <c:pt idx="4">
                  <c:v>5.0014994777345778E-2</c:v>
                </c:pt>
                <c:pt idx="5">
                  <c:v>5.2068411536991065E-2</c:v>
                </c:pt>
                <c:pt idx="6">
                  <c:v>5.700878739744393E-2</c:v>
                </c:pt>
                <c:pt idx="7">
                  <c:v>6.0824552433209285E-2</c:v>
                </c:pt>
                <c:pt idx="8">
                  <c:v>6.0869227162337253E-2</c:v>
                </c:pt>
                <c:pt idx="9">
                  <c:v>6.9835868369575241E-2</c:v>
                </c:pt>
                <c:pt idx="10">
                  <c:v>6.4321055525013757E-2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A-4E6D-A409-9CDE77F8A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587936352"/>
        <c:axId val="663677872"/>
      </c:barChart>
      <c:catAx>
        <c:axId val="15879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63677872"/>
        <c:crosses val="autoZero"/>
        <c:auto val="1"/>
        <c:lblAlgn val="ctr"/>
        <c:lblOffset val="100"/>
        <c:noMultiLvlLbl val="0"/>
      </c:catAx>
      <c:valAx>
        <c:axId val="6636778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58793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spPr>
          <a:solidFill>
            <a:srgbClr val="5B9BD5">
              <a:lumMod val="75000"/>
            </a:srgb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5B9BD5">
              <a:lumMod val="75000"/>
            </a:srgbClr>
          </a:solidFill>
          <a:ln>
            <a:noFill/>
          </a:ln>
          <a:effectLst/>
        </c:spPr>
      </c:pivotFmt>
      <c:pivotFmt>
        <c:idx val="2"/>
        <c:spPr>
          <a:solidFill>
            <a:srgbClr val="FFC00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FFC000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0.10093991545949672"/>
          <c:y val="3.9327323903516585E-2"/>
          <c:w val="0.87639129540438421"/>
          <c:h val="0.52975455348386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Hoja1!$B$36</c:f>
              <c:strCache>
                <c:ptCount val="1"/>
                <c:pt idx="0">
                  <c:v>01/09/2021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Hoja1!$A$37:$A$54</c:f>
              <c:strCache>
                <c:ptCount val="18"/>
                <c:pt idx="0">
                  <c:v>Región de Murcia</c:v>
                </c:pt>
                <c:pt idx="1">
                  <c:v>Navarra</c:v>
                </c:pt>
                <c:pt idx="2">
                  <c:v>Comunitat Valenciana</c:v>
                </c:pt>
                <c:pt idx="3">
                  <c:v>Cataluña</c:v>
                </c:pt>
                <c:pt idx="4">
                  <c:v>Canarias</c:v>
                </c:pt>
                <c:pt idx="5">
                  <c:v>España</c:v>
                </c:pt>
                <c:pt idx="6">
                  <c:v>Cantabria</c:v>
                </c:pt>
                <c:pt idx="7">
                  <c:v>Castilla-La Mancha</c:v>
                </c:pt>
                <c:pt idx="8">
                  <c:v>Aragón</c:v>
                </c:pt>
                <c:pt idx="9">
                  <c:v>Asturias</c:v>
                </c:pt>
                <c:pt idx="10">
                  <c:v>Castilla y León</c:v>
                </c:pt>
                <c:pt idx="11">
                  <c:v>La Rioja</c:v>
                </c:pt>
                <c:pt idx="12">
                  <c:v>Andalucía</c:v>
                </c:pt>
                <c:pt idx="13">
                  <c:v>Extremadura</c:v>
                </c:pt>
                <c:pt idx="14">
                  <c:v>País Vasco</c:v>
                </c:pt>
                <c:pt idx="15">
                  <c:v>Galicia</c:v>
                </c:pt>
                <c:pt idx="16">
                  <c:v>Madrid</c:v>
                </c:pt>
                <c:pt idx="17">
                  <c:v>Baleares</c:v>
                </c:pt>
              </c:strCache>
            </c:strRef>
          </c:cat>
          <c:val>
            <c:numRef>
              <c:f>Hoja1!$B$37:$B$54</c:f>
              <c:numCache>
                <c:formatCode>0.0%</c:formatCode>
                <c:ptCount val="18"/>
                <c:pt idx="0">
                  <c:v>7.8865481598054302E-2</c:v>
                </c:pt>
                <c:pt idx="1">
                  <c:v>7.2280610054322458E-2</c:v>
                </c:pt>
                <c:pt idx="2">
                  <c:v>7.1162389203528645E-2</c:v>
                </c:pt>
                <c:pt idx="3">
                  <c:v>6.556187155080255E-2</c:v>
                </c:pt>
                <c:pt idx="4">
                  <c:v>6.5153741740798493E-2</c:v>
                </c:pt>
                <c:pt idx="5">
                  <c:v>6.4321055525013757E-2</c:v>
                </c:pt>
                <c:pt idx="6">
                  <c:v>6.3869197347358797E-2</c:v>
                </c:pt>
                <c:pt idx="7">
                  <c:v>6.3486930746429526E-2</c:v>
                </c:pt>
                <c:pt idx="8">
                  <c:v>6.2146329303253152E-2</c:v>
                </c:pt>
                <c:pt idx="9">
                  <c:v>6.146724592589782E-2</c:v>
                </c:pt>
                <c:pt idx="10">
                  <c:v>6.0436579156058275E-2</c:v>
                </c:pt>
                <c:pt idx="11">
                  <c:v>5.9854721549636801E-2</c:v>
                </c:pt>
                <c:pt idx="12">
                  <c:v>5.8664344879518084E-2</c:v>
                </c:pt>
                <c:pt idx="13">
                  <c:v>5.8050202288249877E-2</c:v>
                </c:pt>
                <c:pt idx="14">
                  <c:v>5.6284240273852745E-2</c:v>
                </c:pt>
                <c:pt idx="15">
                  <c:v>5.3854178884272762E-2</c:v>
                </c:pt>
                <c:pt idx="16">
                  <c:v>5.2114250472189025E-2</c:v>
                </c:pt>
                <c:pt idx="17">
                  <c:v>4.9527085124677551E-2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B-4FC8-B12D-88F1632BE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587936352"/>
        <c:axId val="663677872"/>
      </c:barChart>
      <c:catAx>
        <c:axId val="15879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63677872"/>
        <c:crosses val="autoZero"/>
        <c:auto val="1"/>
        <c:lblAlgn val="ctr"/>
        <c:lblOffset val="100"/>
        <c:noMultiLvlLbl val="0"/>
      </c:catAx>
      <c:valAx>
        <c:axId val="6636778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58793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ersonalizado 1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0070C0"/>
    </a:accent1>
    <a:accent2>
      <a:srgbClr val="FFC000"/>
    </a:accent2>
    <a:accent3>
      <a:srgbClr val="FF0000"/>
    </a:accent3>
    <a:accent4>
      <a:srgbClr val="00B0F0"/>
    </a:accent4>
    <a:accent5>
      <a:srgbClr val="92D050"/>
    </a:accent5>
    <a:accent6>
      <a:srgbClr val="00B050"/>
    </a:accent6>
    <a:hlink>
      <a:srgbClr val="F07F09"/>
    </a:hlink>
    <a:folHlink>
      <a:srgbClr val="C0000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ersonalizado 1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0070C0"/>
    </a:accent1>
    <a:accent2>
      <a:srgbClr val="FFC000"/>
    </a:accent2>
    <a:accent3>
      <a:srgbClr val="FF0000"/>
    </a:accent3>
    <a:accent4>
      <a:srgbClr val="00B0F0"/>
    </a:accent4>
    <a:accent5>
      <a:srgbClr val="92D050"/>
    </a:accent5>
    <a:accent6>
      <a:srgbClr val="00B050"/>
    </a:accent6>
    <a:hlink>
      <a:srgbClr val="F07F09"/>
    </a:hlink>
    <a:folHlink>
      <a:srgbClr val="C0000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pWWWwrKNlnmYBzYw5DDZ0fApA==">AMUW2mWuXqKJN2wzvnjgz0hYbDagAU0eMISVHkWoRSfUu2d6m1tvCLUj3P28lDNl+ZKARL/oK65whD4Cfx2Z+IqAhLNr/mrvw0d9wJ5RbX8zbIZmxY2lPLaWhafINRD63La2QyMgGHknYtyvqY+NoYbwV1GynMN/RHI26Tyfn5qsMq4jiwcs9+0=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2997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8</cp:revision>
  <cp:lastPrinted>2021-11-08T13:29:00Z</cp:lastPrinted>
  <dcterms:created xsi:type="dcterms:W3CDTF">2021-01-12T19:15:00Z</dcterms:created>
  <dcterms:modified xsi:type="dcterms:W3CDTF">2021-11-08T13:31:00Z</dcterms:modified>
</cp:coreProperties>
</file>