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9F5F" w14:textId="77777777" w:rsidR="0083031D" w:rsidRDefault="00C07EBC">
      <w:pPr>
        <w:ind w:right="-574"/>
      </w:pPr>
      <w:r>
        <w:rPr>
          <w:noProof/>
        </w:rPr>
        <w:drawing>
          <wp:anchor distT="0" distB="0" distL="114300" distR="114300" simplePos="0" relativeHeight="251658240" behindDoc="0" locked="0" layoutInCell="1" hidden="0" allowOverlap="1" wp14:anchorId="05E5A24B" wp14:editId="558FDC67">
            <wp:simplePos x="0" y="0"/>
            <wp:positionH relativeFrom="column">
              <wp:posOffset>-1078863</wp:posOffset>
            </wp:positionH>
            <wp:positionV relativeFrom="paragraph">
              <wp:posOffset>-350451</wp:posOffset>
            </wp:positionV>
            <wp:extent cx="7581265" cy="1019175"/>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7030B947" w14:textId="77777777" w:rsidR="0083031D" w:rsidRDefault="0083031D">
      <w:pPr>
        <w:ind w:right="-574"/>
        <w:jc w:val="right"/>
        <w:rPr>
          <w:rFonts w:ascii="National" w:eastAsia="National" w:hAnsi="National" w:cs="National"/>
          <w:color w:val="303AB2"/>
          <w:sz w:val="36"/>
          <w:szCs w:val="36"/>
        </w:rPr>
      </w:pPr>
    </w:p>
    <w:p w14:paraId="1840DAB9" w14:textId="77777777" w:rsidR="0083031D" w:rsidRDefault="0083031D">
      <w:pPr>
        <w:ind w:right="-574"/>
        <w:jc w:val="right"/>
        <w:rPr>
          <w:rFonts w:ascii="National" w:eastAsia="National" w:hAnsi="National" w:cs="National"/>
          <w:color w:val="303AB2"/>
          <w:sz w:val="36"/>
          <w:szCs w:val="36"/>
        </w:rPr>
      </w:pPr>
    </w:p>
    <w:p w14:paraId="0B139D7D" w14:textId="77777777" w:rsidR="0083031D" w:rsidRDefault="0083031D">
      <w:pPr>
        <w:spacing w:line="276" w:lineRule="auto"/>
        <w:ind w:right="-574"/>
        <w:jc w:val="center"/>
        <w:rPr>
          <w:rFonts w:ascii="National" w:eastAsia="National" w:hAnsi="National" w:cs="National"/>
          <w:b/>
          <w:color w:val="1DBDC5"/>
          <w:sz w:val="20"/>
          <w:szCs w:val="20"/>
        </w:rPr>
      </w:pPr>
    </w:p>
    <w:p w14:paraId="0A8D7352" w14:textId="77777777" w:rsidR="0083031D" w:rsidRDefault="00C07EBC">
      <w:pPr>
        <w:spacing w:line="276" w:lineRule="auto"/>
        <w:ind w:right="-574"/>
        <w:jc w:val="center"/>
        <w:rPr>
          <w:rFonts w:ascii="National" w:eastAsia="National" w:hAnsi="National" w:cs="National"/>
          <w:b/>
          <w:color w:val="1DBDC5"/>
          <w:sz w:val="34"/>
          <w:szCs w:val="34"/>
        </w:rPr>
      </w:pPr>
      <w:r>
        <w:rPr>
          <w:rFonts w:ascii="National" w:eastAsia="National" w:hAnsi="National" w:cs="National"/>
          <w:b/>
          <w:color w:val="1DBDC5"/>
          <w:sz w:val="34"/>
          <w:szCs w:val="34"/>
        </w:rPr>
        <w:t xml:space="preserve">ANÁLISIS SOBRE LA EVOLUCIÓN DEL ALQUILER TURÍSTICO </w:t>
      </w:r>
    </w:p>
    <w:p w14:paraId="6F8DB906" w14:textId="77777777" w:rsidR="0083031D" w:rsidRPr="00CC3FC7" w:rsidRDefault="00C07EBC">
      <w:pPr>
        <w:ind w:right="-574"/>
        <w:jc w:val="center"/>
        <w:rPr>
          <w:rFonts w:ascii="National" w:eastAsia="National" w:hAnsi="National" w:cs="National"/>
          <w:b/>
          <w:color w:val="303AB2"/>
          <w:sz w:val="50"/>
          <w:szCs w:val="50"/>
        </w:rPr>
      </w:pPr>
      <w:r w:rsidRPr="00CC3FC7">
        <w:rPr>
          <w:rFonts w:ascii="National" w:eastAsia="National" w:hAnsi="National" w:cs="National"/>
          <w:b/>
          <w:color w:val="303AB2"/>
          <w:sz w:val="50"/>
          <w:szCs w:val="50"/>
        </w:rPr>
        <w:t>El 2,1% de las viviendas en propiedad que hay en España se mantienen en régimen de alquiler vacacional en 2021</w:t>
      </w:r>
    </w:p>
    <w:p w14:paraId="2B0009C7" w14:textId="77777777" w:rsidR="0083031D" w:rsidRDefault="0083031D">
      <w:pPr>
        <w:pBdr>
          <w:top w:val="nil"/>
          <w:left w:val="nil"/>
          <w:bottom w:val="nil"/>
          <w:right w:val="nil"/>
          <w:between w:val="nil"/>
        </w:pBdr>
        <w:spacing w:line="276" w:lineRule="auto"/>
        <w:ind w:left="644" w:right="-574"/>
        <w:rPr>
          <w:rFonts w:ascii="Open Sans" w:eastAsia="Open Sans" w:hAnsi="Open Sans" w:cs="Open Sans"/>
          <w:color w:val="000000"/>
          <w:sz w:val="22"/>
          <w:szCs w:val="22"/>
        </w:rPr>
      </w:pPr>
    </w:p>
    <w:p w14:paraId="3B83CEAA" w14:textId="77777777" w:rsidR="0083031D" w:rsidRDefault="00C07EBC">
      <w:pPr>
        <w:numPr>
          <w:ilvl w:val="0"/>
          <w:numId w:val="1"/>
        </w:numPr>
        <w:pBdr>
          <w:top w:val="nil"/>
          <w:left w:val="nil"/>
          <w:bottom w:val="nil"/>
          <w:right w:val="nil"/>
          <w:between w:val="nil"/>
        </w:pBdr>
        <w:spacing w:line="276" w:lineRule="auto"/>
        <w:ind w:right="-574" w:hanging="360"/>
        <w:jc w:val="both"/>
        <w:rPr>
          <w:rFonts w:ascii="Open Sans" w:eastAsia="Open Sans" w:hAnsi="Open Sans" w:cs="Open Sans"/>
          <w:color w:val="FF0000"/>
          <w:sz w:val="22"/>
          <w:szCs w:val="22"/>
        </w:rPr>
      </w:pPr>
      <w:r>
        <w:rPr>
          <w:rFonts w:ascii="Open Sans" w:eastAsia="Open Sans" w:hAnsi="Open Sans" w:cs="Open Sans"/>
          <w:sz w:val="22"/>
          <w:szCs w:val="22"/>
        </w:rPr>
        <w:t>A pesar del repunte del turismo asociado al fin de las restricciones por la pandemia, este tipo de alquiler vacacional no ha crecido en los últi</w:t>
      </w:r>
      <w:r>
        <w:rPr>
          <w:rFonts w:ascii="Open Sans" w:eastAsia="Open Sans" w:hAnsi="Open Sans" w:cs="Open Sans"/>
          <w:sz w:val="22"/>
          <w:szCs w:val="22"/>
        </w:rPr>
        <w:t>mos meses</w:t>
      </w:r>
    </w:p>
    <w:p w14:paraId="4A9C3283" w14:textId="77777777" w:rsidR="0083031D" w:rsidRDefault="00C07EBC">
      <w:pPr>
        <w:numPr>
          <w:ilvl w:val="0"/>
          <w:numId w:val="1"/>
        </w:numPr>
        <w:pBdr>
          <w:top w:val="nil"/>
          <w:left w:val="nil"/>
          <w:bottom w:val="nil"/>
          <w:right w:val="nil"/>
          <w:between w:val="nil"/>
        </w:pBdr>
        <w:spacing w:line="276" w:lineRule="auto"/>
        <w:ind w:right="-574" w:hanging="360"/>
        <w:jc w:val="both"/>
        <w:rPr>
          <w:rFonts w:ascii="Open Sans" w:eastAsia="Open Sans" w:hAnsi="Open Sans" w:cs="Open Sans"/>
          <w:color w:val="FF0000"/>
          <w:sz w:val="22"/>
          <w:szCs w:val="22"/>
        </w:rPr>
      </w:pPr>
      <w:r>
        <w:rPr>
          <w:rFonts w:ascii="Open Sans" w:eastAsia="Open Sans" w:hAnsi="Open Sans" w:cs="Open Sans"/>
          <w:color w:val="000000"/>
          <w:sz w:val="22"/>
          <w:szCs w:val="22"/>
        </w:rPr>
        <w:t>También se interrumpen los traslados de vivienda vacacional hacia regímenes de alquiler a largo plazo que hubo en la fase álgida de la pandemia de Covid-19</w:t>
      </w:r>
    </w:p>
    <w:p w14:paraId="654AB4DD" w14:textId="77777777" w:rsidR="0083031D" w:rsidRDefault="00C07EBC">
      <w:pPr>
        <w:numPr>
          <w:ilvl w:val="0"/>
          <w:numId w:val="1"/>
        </w:numPr>
        <w:pBdr>
          <w:top w:val="nil"/>
          <w:left w:val="nil"/>
          <w:bottom w:val="nil"/>
          <w:right w:val="nil"/>
          <w:between w:val="nil"/>
        </w:pBdr>
        <w:spacing w:line="276" w:lineRule="auto"/>
        <w:ind w:right="-574" w:hanging="360"/>
        <w:jc w:val="both"/>
        <w:rPr>
          <w:rFonts w:ascii="Open Sans" w:eastAsia="Open Sans" w:hAnsi="Open Sans" w:cs="Open Sans"/>
          <w:color w:val="FF0000"/>
          <w:sz w:val="22"/>
          <w:szCs w:val="22"/>
        </w:rPr>
      </w:pPr>
      <w:r>
        <w:rPr>
          <w:rFonts w:ascii="Open Sans" w:eastAsia="Open Sans" w:hAnsi="Open Sans" w:cs="Open Sans"/>
          <w:color w:val="000000"/>
          <w:sz w:val="22"/>
          <w:szCs w:val="22"/>
        </w:rPr>
        <w:t>Esta congelación de la oferta del mercado del alquiler vacacional choca con las preferenci</w:t>
      </w:r>
      <w:r>
        <w:rPr>
          <w:rFonts w:ascii="Open Sans" w:eastAsia="Open Sans" w:hAnsi="Open Sans" w:cs="Open Sans"/>
          <w:color w:val="000000"/>
          <w:sz w:val="22"/>
          <w:szCs w:val="22"/>
        </w:rPr>
        <w:t xml:space="preserve">as de los consumidores, que paulatinamente están recuperando su demanda </w:t>
      </w:r>
      <w:r>
        <w:rPr>
          <w:rFonts w:ascii="Open Sans" w:eastAsia="Open Sans" w:hAnsi="Open Sans" w:cs="Open Sans"/>
          <w:sz w:val="22"/>
          <w:szCs w:val="22"/>
        </w:rPr>
        <w:t>por</w:t>
      </w:r>
      <w:r>
        <w:rPr>
          <w:rFonts w:ascii="Open Sans" w:eastAsia="Open Sans" w:hAnsi="Open Sans" w:cs="Open Sans"/>
          <w:color w:val="000000"/>
          <w:sz w:val="22"/>
          <w:szCs w:val="22"/>
        </w:rPr>
        <w:t xml:space="preserve"> este tipo de establecimientos</w:t>
      </w:r>
    </w:p>
    <w:p w14:paraId="7E0963FD" w14:textId="77777777" w:rsidR="0083031D" w:rsidRDefault="0083031D">
      <w:p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p>
    <w:p w14:paraId="494DDBB8" w14:textId="77777777" w:rsidR="0083031D" w:rsidRDefault="00C07EBC">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17 de diciembre de 2021</w:t>
      </w:r>
    </w:p>
    <w:p w14:paraId="4AF2F098" w14:textId="77777777" w:rsidR="0083031D" w:rsidRDefault="00C07EB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bookmarkStart w:id="0" w:name="_heading=h.30j0zll" w:colFirst="0" w:colLast="0"/>
      <w:bookmarkEnd w:id="0"/>
      <w:r>
        <w:rPr>
          <w:rFonts w:ascii="Open Sans" w:eastAsia="Open Sans" w:hAnsi="Open Sans" w:cs="Open Sans"/>
          <w:color w:val="000000"/>
          <w:sz w:val="22"/>
          <w:szCs w:val="22"/>
        </w:rPr>
        <w:t>El 2,1% de las viviendas en propiedad que existen en España se han mantenido en alquiler de régimen vacacional durante el 2021, a pesar del repunte experimentado por el turismo una vez se han relajado las restricciones impuestas durante la pandemia. Pese a</w:t>
      </w:r>
      <w:r>
        <w:rPr>
          <w:rFonts w:ascii="Open Sans" w:eastAsia="Open Sans" w:hAnsi="Open Sans" w:cs="Open Sans"/>
          <w:color w:val="000000"/>
          <w:sz w:val="22"/>
          <w:szCs w:val="22"/>
        </w:rPr>
        <w:t xml:space="preserve"> dicho aumento de la actividad observado en el sector turístico, y tras el largo periodo de vacunación masiva de la mayoría de la población, el porcentaje de vivienda en régimen vacacional no ha sufrido cambios, puesto que hace seis meses esta cifra se sit</w:t>
      </w:r>
      <w:r>
        <w:rPr>
          <w:rFonts w:ascii="Open Sans" w:eastAsia="Open Sans" w:hAnsi="Open Sans" w:cs="Open Sans"/>
          <w:color w:val="000000"/>
          <w:sz w:val="22"/>
          <w:szCs w:val="22"/>
        </w:rPr>
        <w:t>uaba exactamente en un 2,1%, según el análisis “</w:t>
      </w:r>
      <w:r>
        <w:rPr>
          <w:rFonts w:ascii="Open Sans" w:eastAsia="Open Sans" w:hAnsi="Open Sans" w:cs="Open Sans"/>
          <w:b/>
          <w:i/>
          <w:color w:val="000000"/>
          <w:sz w:val="22"/>
          <w:szCs w:val="22"/>
        </w:rPr>
        <w:t>La vivienda vacacional en 2021</w:t>
      </w:r>
      <w:r>
        <w:rPr>
          <w:rFonts w:ascii="Open Sans" w:eastAsia="Open Sans" w:hAnsi="Open Sans" w:cs="Open Sans"/>
          <w:color w:val="000000"/>
          <w:sz w:val="22"/>
          <w:szCs w:val="22"/>
        </w:rPr>
        <w:t xml:space="preserve">” realizado por el portal inmobiliario </w:t>
      </w:r>
      <w:hyperlink r:id="rId9">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w:t>
      </w:r>
    </w:p>
    <w:p w14:paraId="6504CD62" w14:textId="140DBCC3" w:rsidR="0083031D" w:rsidRDefault="00C07EB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Esto indica que no se han producido los trasvases de vivienda vacacional hac</w:t>
      </w:r>
      <w:r>
        <w:rPr>
          <w:rFonts w:ascii="Open Sans" w:eastAsia="Open Sans" w:hAnsi="Open Sans" w:cs="Open Sans"/>
          <w:sz w:val="22"/>
          <w:szCs w:val="22"/>
        </w:rPr>
        <w:t>i</w:t>
      </w:r>
      <w:r>
        <w:rPr>
          <w:rFonts w:ascii="Open Sans" w:eastAsia="Open Sans" w:hAnsi="Open Sans" w:cs="Open Sans"/>
          <w:color w:val="000000"/>
          <w:sz w:val="22"/>
          <w:szCs w:val="22"/>
        </w:rPr>
        <w:t>a alquil</w:t>
      </w:r>
      <w:r>
        <w:rPr>
          <w:rFonts w:ascii="Open Sans" w:eastAsia="Open Sans" w:hAnsi="Open Sans" w:cs="Open Sans"/>
          <w:color w:val="000000"/>
          <w:sz w:val="22"/>
          <w:szCs w:val="22"/>
        </w:rPr>
        <w:t xml:space="preserve">eres a largo plazo que se vieron durante los primeros meses de la pandemia, según los últimos datos de </w:t>
      </w:r>
      <w:hyperlink r:id="rId10">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En sentido inverso, tampoco los pisos que se pasaron al alquiler convencional durante</w:t>
      </w:r>
      <w:r>
        <w:rPr>
          <w:rFonts w:ascii="Open Sans" w:eastAsia="Open Sans" w:hAnsi="Open Sans" w:cs="Open Sans"/>
          <w:color w:val="000000"/>
          <w:sz w:val="22"/>
          <w:szCs w:val="22"/>
        </w:rPr>
        <w:t xml:space="preserve"> la fase álgida de la pandemia están volviendo por ahora a la modalidad turística.</w:t>
      </w:r>
    </w:p>
    <w:p w14:paraId="04482476" w14:textId="1848245D" w:rsidR="0083031D" w:rsidRDefault="00C07EB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 xml:space="preserve">“La Covid-19 ha frenado la tendencia de crecimiento al alza del porcentaje de viviendas de alquiler turístico en España. De momento, el alquiler vacacional, se estanca, </w:t>
      </w:r>
      <w:r>
        <w:rPr>
          <w:rFonts w:ascii="Open Sans" w:eastAsia="Open Sans" w:hAnsi="Open Sans" w:cs="Open Sans"/>
          <w:sz w:val="22"/>
          <w:szCs w:val="22"/>
        </w:rPr>
        <w:lastRenderedPageBreak/>
        <w:t>perm</w:t>
      </w:r>
      <w:r>
        <w:rPr>
          <w:rFonts w:ascii="Open Sans" w:eastAsia="Open Sans" w:hAnsi="Open Sans" w:cs="Open Sans"/>
          <w:sz w:val="22"/>
          <w:szCs w:val="22"/>
        </w:rPr>
        <w:t xml:space="preserve">aneciendo estable y contenido debido a dos factores fundamentales: la incertidumbre derivada de la crisis sanitaria al poder suponer restricciones a turistas y las medidas regulatorias adoptadas por cada comunidad autónoma, que según los propietarios, tal </w:t>
      </w:r>
      <w:r>
        <w:rPr>
          <w:rFonts w:ascii="Open Sans" w:eastAsia="Open Sans" w:hAnsi="Open Sans" w:cs="Open Sans"/>
          <w:sz w:val="22"/>
          <w:szCs w:val="22"/>
        </w:rPr>
        <w:t>y como indican en el informe de “</w:t>
      </w:r>
      <w:hyperlink r:id="rId11">
        <w:r>
          <w:rPr>
            <w:rFonts w:ascii="Open Sans" w:eastAsia="Open Sans" w:hAnsi="Open Sans" w:cs="Open Sans"/>
            <w:color w:val="1155CC"/>
            <w:sz w:val="22"/>
            <w:szCs w:val="22"/>
            <w:u w:val="single"/>
          </w:rPr>
          <w:t>Radiografía del arrendador en España</w:t>
        </w:r>
      </w:hyperlink>
      <w:r>
        <w:rPr>
          <w:rFonts w:ascii="Open Sans" w:eastAsia="Open Sans" w:hAnsi="Open Sans" w:cs="Open Sans"/>
          <w:sz w:val="22"/>
          <w:szCs w:val="22"/>
        </w:rPr>
        <w:t>”, son restrictivas y desincentivan la puesta de viviendas en este mercado</w:t>
      </w:r>
      <w:r>
        <w:rPr>
          <w:rFonts w:ascii="Open Sans" w:eastAsia="Open Sans" w:hAnsi="Open Sans" w:cs="Open Sans"/>
          <w:sz w:val="22"/>
          <w:szCs w:val="22"/>
        </w:rPr>
        <w:t xml:space="preserve"> vacacional”, </w:t>
      </w:r>
      <w:r w:rsidRPr="00CC3FC7">
        <w:rPr>
          <w:rFonts w:ascii="Open Sans" w:eastAsia="Open Sans" w:hAnsi="Open Sans" w:cs="Open Sans"/>
          <w:sz w:val="22"/>
          <w:szCs w:val="22"/>
        </w:rPr>
        <w:t>explica</w:t>
      </w:r>
      <w:r w:rsidR="00CC3FC7">
        <w:rPr>
          <w:rFonts w:ascii="Open Sans" w:eastAsia="Open Sans" w:hAnsi="Open Sans" w:cs="Open Sans"/>
          <w:sz w:val="22"/>
          <w:szCs w:val="22"/>
        </w:rPr>
        <w:t xml:space="preserve"> María Matos, </w:t>
      </w:r>
      <w:r>
        <w:rPr>
          <w:rFonts w:ascii="Open Sans" w:eastAsia="Open Sans" w:hAnsi="Open Sans" w:cs="Open Sans"/>
          <w:sz w:val="22"/>
          <w:szCs w:val="22"/>
        </w:rPr>
        <w:t xml:space="preserve">directora de Estudios y portavoz de </w:t>
      </w:r>
      <w:hyperlink r:id="rId12">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5EAB8002" w14:textId="77777777" w:rsidR="0083031D" w:rsidRDefault="00C07EB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Esta congelación de la oferta del mercado del alquiler vacacional choca con las preferencias de los consumidores, que paulatinamente están recuperando su demanda de este tipo de establecimientos. Así, el porcentaje de encuestados que han alquilado o piensa</w:t>
      </w:r>
      <w:r>
        <w:rPr>
          <w:rFonts w:ascii="Open Sans" w:eastAsia="Open Sans" w:hAnsi="Open Sans" w:cs="Open Sans"/>
          <w:color w:val="000000"/>
          <w:sz w:val="22"/>
          <w:szCs w:val="22"/>
        </w:rPr>
        <w:t>n alquilar un apartamento turístico durante sus vacaciones ha incrementado del 12,8% en septiembre de 2020 a un 15,3% en la actualidad,</w:t>
      </w:r>
      <w:r>
        <w:rPr>
          <w:rFonts w:ascii="Open Sans" w:eastAsia="Open Sans" w:hAnsi="Open Sans" w:cs="Open Sans"/>
          <w:sz w:val="22"/>
          <w:szCs w:val="22"/>
        </w:rPr>
        <w:t xml:space="preserve"> </w:t>
      </w:r>
      <w:r>
        <w:rPr>
          <w:rFonts w:ascii="Open Sans" w:eastAsia="Open Sans" w:hAnsi="Open Sans" w:cs="Open Sans"/>
          <w:color w:val="000000"/>
          <w:sz w:val="22"/>
          <w:szCs w:val="22"/>
        </w:rPr>
        <w:t>remontando progresivamente hacia el 17,2% que existía en 2019, antes de la pandemia de Covid-19.</w:t>
      </w:r>
    </w:p>
    <w:p w14:paraId="745AAEF4" w14:textId="77777777" w:rsidR="0083031D" w:rsidRDefault="00C07EB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también </w:t>
      </w:r>
      <w:r>
        <w:rPr>
          <w:rFonts w:ascii="Open Sans" w:eastAsia="Open Sans" w:hAnsi="Open Sans" w:cs="Open Sans"/>
          <w:color w:val="000000"/>
          <w:sz w:val="22"/>
          <w:szCs w:val="22"/>
        </w:rPr>
        <w:t>ha incrementado la demanda por parte de los usuarios de alojamientos hoteleros convencionales, que pasa de un 22,8% del total de encuestados en 2020 a un 33,2% en la actualidad, acercándose también a la cifra del 42,2% de septiembre de 2019. Por el contrar</w:t>
      </w:r>
      <w:r>
        <w:rPr>
          <w:rFonts w:ascii="Open Sans" w:eastAsia="Open Sans" w:hAnsi="Open Sans" w:cs="Open Sans"/>
          <w:color w:val="000000"/>
          <w:sz w:val="22"/>
          <w:szCs w:val="22"/>
        </w:rPr>
        <w:t xml:space="preserve">io, se reduce el porcentaje de personas que han disfrutado o piensan hacer uso de su segunda residencia (del 10,6% -tanto en 2019 como en 2020- al 6% en 2021) o bien acudir a una segunda residencia de familiares o amigos (del 23,3% en 2019 y 21,9% en 2020 </w:t>
      </w:r>
      <w:r>
        <w:rPr>
          <w:rFonts w:ascii="Open Sans" w:eastAsia="Open Sans" w:hAnsi="Open Sans" w:cs="Open Sans"/>
          <w:color w:val="000000"/>
          <w:sz w:val="22"/>
          <w:szCs w:val="22"/>
        </w:rPr>
        <w:t>al 14,4% en 2021).</w:t>
      </w:r>
    </w:p>
    <w:p w14:paraId="09B4DD7D" w14:textId="77777777" w:rsidR="00CC3FC7" w:rsidRDefault="00C07EBC" w:rsidP="00CC3FC7">
      <w:pPr>
        <w:spacing w:line="276" w:lineRule="auto"/>
        <w:ind w:right="-574"/>
        <w:jc w:val="both"/>
        <w:rPr>
          <w:rFonts w:ascii="Open Sans Light" w:eastAsia="Open Sans Light" w:hAnsi="Open Sans Light" w:cs="Open Sans Light"/>
          <w:b/>
          <w:color w:val="303AB2"/>
          <w:sz w:val="26"/>
          <w:szCs w:val="26"/>
        </w:rPr>
      </w:pPr>
      <w:r>
        <w:rPr>
          <w:rFonts w:ascii="Open Sans Light" w:eastAsia="Open Sans Light" w:hAnsi="Open Sans Light" w:cs="Open Sans Light"/>
          <w:b/>
          <w:color w:val="303AB2"/>
          <w:sz w:val="26"/>
          <w:szCs w:val="26"/>
        </w:rPr>
        <w:t>Remontan el turismo nacional e internacional</w:t>
      </w:r>
    </w:p>
    <w:p w14:paraId="2B62B6C1" w14:textId="77777777" w:rsidR="00CC3FC7" w:rsidRDefault="00CC3FC7" w:rsidP="00CC3FC7">
      <w:pPr>
        <w:spacing w:line="276" w:lineRule="auto"/>
        <w:ind w:right="-574"/>
        <w:jc w:val="both"/>
        <w:rPr>
          <w:rFonts w:ascii="Open Sans Light" w:eastAsia="Open Sans Light" w:hAnsi="Open Sans Light" w:cs="Open Sans Light"/>
          <w:b/>
          <w:color w:val="303AB2"/>
          <w:sz w:val="26"/>
          <w:szCs w:val="26"/>
        </w:rPr>
      </w:pPr>
    </w:p>
    <w:p w14:paraId="77F7B59F" w14:textId="7AA1C72B" w:rsidR="0083031D" w:rsidRPr="00CC3FC7" w:rsidRDefault="00C07EBC" w:rsidP="00CC3FC7">
      <w:pPr>
        <w:spacing w:line="276" w:lineRule="auto"/>
        <w:ind w:right="-574"/>
        <w:jc w:val="both"/>
        <w:rPr>
          <w:rFonts w:ascii="Open Sans Light" w:eastAsia="Open Sans Light" w:hAnsi="Open Sans Light" w:cs="Open Sans Light"/>
          <w:b/>
          <w:color w:val="303AB2"/>
          <w:sz w:val="26"/>
          <w:szCs w:val="26"/>
        </w:rPr>
      </w:pPr>
      <w:r>
        <w:rPr>
          <w:rFonts w:ascii="Open Sans" w:eastAsia="Open Sans" w:hAnsi="Open Sans" w:cs="Open Sans"/>
          <w:color w:val="000000"/>
          <w:sz w:val="22"/>
          <w:szCs w:val="22"/>
        </w:rPr>
        <w:t xml:space="preserve">Por último, los españoles están recuperando progresivamente su demanda general por el turismo, tanto nacional como internacional, un hábito que se vio muy resentido por la pandemia a causa de </w:t>
      </w:r>
      <w:r>
        <w:rPr>
          <w:rFonts w:ascii="Open Sans" w:eastAsia="Open Sans" w:hAnsi="Open Sans" w:cs="Open Sans"/>
          <w:color w:val="000000"/>
          <w:sz w:val="22"/>
          <w:szCs w:val="22"/>
        </w:rPr>
        <w:t>las restricciones impuestas a los viajes por ocio y a las precauciones de muchos usuarios ante los riesgos de contagio. Los viajes al extranjero, los más damnificados por la pandemia, han atraído este 2021 a un 12,3% de los encuestados, mientras que este p</w:t>
      </w:r>
      <w:r>
        <w:rPr>
          <w:rFonts w:ascii="Open Sans" w:eastAsia="Open Sans" w:hAnsi="Open Sans" w:cs="Open Sans"/>
          <w:color w:val="000000"/>
          <w:sz w:val="22"/>
          <w:szCs w:val="22"/>
        </w:rPr>
        <w:t xml:space="preserve">orcentaje fue solo del 7,1% en 2020 y se alzaba hasta el 28,8% en 2019, en la época prepandemia. </w:t>
      </w:r>
    </w:p>
    <w:p w14:paraId="74FF9AE1" w14:textId="77777777" w:rsidR="0083031D" w:rsidRDefault="00C07EBC">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turismo nacional, que resistió mejor las restricciones a la movilidad impuestas por la Covid-19, ha atraído en 2021 al 48,8% de los encuestados, superando </w:t>
      </w:r>
      <w:r>
        <w:rPr>
          <w:rFonts w:ascii="Open Sans" w:eastAsia="Open Sans" w:hAnsi="Open Sans" w:cs="Open Sans"/>
          <w:color w:val="000000"/>
          <w:sz w:val="22"/>
          <w:szCs w:val="22"/>
        </w:rPr>
        <w:t>la cifra de hace un año, cuando este porcentaje se situó en un 44,7%. En la fase prepandemia (2019), los que realizaban turismo nacional alcanzaban un 55% de la población. En cambio, los encuestados que no se han decantado por turismo nacional ni internaci</w:t>
      </w:r>
      <w:r>
        <w:rPr>
          <w:rFonts w:ascii="Open Sans" w:eastAsia="Open Sans" w:hAnsi="Open Sans" w:cs="Open Sans"/>
          <w:color w:val="000000"/>
          <w:sz w:val="22"/>
          <w:szCs w:val="22"/>
        </w:rPr>
        <w:t>onal se sitúan en 2021 en un 42,8%, ya por debajo del 51,3% de 2020, pero todavía muy por encima del 28,4% de 2019.</w:t>
      </w:r>
    </w:p>
    <w:p w14:paraId="44C5BECF" w14:textId="77777777" w:rsidR="0083031D" w:rsidRDefault="00C07EBC">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7135DFCA" w14:textId="77777777" w:rsidR="0083031D" w:rsidRDefault="00C07EBC">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AD74B5C" w14:textId="77777777" w:rsidR="0083031D" w:rsidRDefault="00C07EBC">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4">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1" w:name="_heading=h.1fob9te" w:colFirst="0" w:colLast="0"/>
    <w:bookmarkEnd w:id="1"/>
    <w:p w14:paraId="7072CF60" w14:textId="77777777" w:rsidR="0083031D" w:rsidRDefault="00C07EBC">
      <w:pPr>
        <w:shd w:val="clear" w:color="auto" w:fill="FFFFFF"/>
        <w:spacing w:before="280" w:after="280" w:line="276" w:lineRule="auto"/>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w:t>
      </w:r>
      <w:r>
        <w:rPr>
          <w:rFonts w:ascii="Open Sans" w:eastAsia="Open Sans" w:hAnsi="Open Sans" w:cs="Open Sans"/>
          <w:color w:val="000000"/>
          <w:sz w:val="22"/>
          <w:szCs w:val="22"/>
        </w:rPr>
        <w:t>yer</w:t>
      </w:r>
      <w:proofErr w:type="spellEnd"/>
      <w:r>
        <w:rPr>
          <w:rFonts w:ascii="Open Sans" w:eastAsia="Open Sans" w:hAnsi="Open Sans" w:cs="Open Sans"/>
          <w:color w:val="000000"/>
          <w:sz w:val="22"/>
          <w:szCs w:val="22"/>
        </w:rPr>
        <w:t xml:space="preserve">” del sector a nivel mundial. </w:t>
      </w:r>
    </w:p>
    <w:p w14:paraId="7F8A9699" w14:textId="77777777" w:rsidR="0083031D" w:rsidRDefault="00C07EBC">
      <w:pPr>
        <w:shd w:val="clear" w:color="auto" w:fill="FFFFFF"/>
        <w:spacing w:before="280" w:after="280" w:line="276" w:lineRule="auto"/>
        <w:ind w:right="-716"/>
        <w:jc w:val="both"/>
        <w:rPr>
          <w:rFonts w:ascii="Open Sans" w:eastAsia="Open Sans" w:hAnsi="Open Sans" w:cs="Open Sans"/>
          <w:color w:val="000000"/>
          <w:sz w:val="22"/>
          <w:szCs w:val="22"/>
        </w:rPr>
      </w:pPr>
      <w:hyperlink r:id="rId1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w:t>
      </w:r>
    </w:p>
    <w:p w14:paraId="02C06E30" w14:textId="77777777" w:rsidR="0083031D" w:rsidRDefault="0083031D">
      <w:pPr>
        <w:shd w:val="clear" w:color="auto" w:fill="FFFFFF"/>
        <w:spacing w:before="280" w:after="280" w:line="276" w:lineRule="auto"/>
        <w:ind w:right="-716"/>
        <w:jc w:val="both"/>
        <w:rPr>
          <w:rFonts w:ascii="Open Sans" w:eastAsia="Open Sans" w:hAnsi="Open Sans" w:cs="Open Sans"/>
          <w:color w:val="000000"/>
          <w:sz w:val="21"/>
          <w:szCs w:val="21"/>
        </w:rPr>
      </w:pPr>
    </w:p>
    <w:p w14:paraId="2B4FCBA1" w14:textId="77777777" w:rsidR="0083031D" w:rsidRDefault="00C07EBC">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2F43AF11" w14:textId="77777777" w:rsidR="0083031D" w:rsidRDefault="00C07EBC">
      <w:pPr>
        <w:pBdr>
          <w:top w:val="nil"/>
          <w:left w:val="nil"/>
          <w:bottom w:val="nil"/>
          <w:right w:val="nil"/>
          <w:between w:val="nil"/>
        </w:pBd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compañía líder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1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color w:val="000000"/>
          <w:sz w:val="22"/>
          <w:szCs w:val="22"/>
        </w:rPr>
        <w:t>), empleo (</w:t>
      </w:r>
      <w:hyperlink r:id="rId18">
        <w:r>
          <w:rPr>
            <w:rFonts w:ascii="Open Sans" w:eastAsia="Open Sans" w:hAnsi="Open Sans" w:cs="Open Sans"/>
            <w:color w:val="1155CC"/>
            <w:sz w:val="22"/>
            <w:szCs w:val="22"/>
            <w:u w:val="single"/>
          </w:rPr>
          <w:t>InfoJobs</w:t>
        </w:r>
      </w:hyperlink>
      <w:r>
        <w:rPr>
          <w:rFonts w:ascii="Open Sans" w:eastAsia="Open Sans" w:hAnsi="Open Sans" w:cs="Open Sans"/>
          <w:color w:val="000000"/>
          <w:sz w:val="22"/>
          <w:szCs w:val="22"/>
        </w:rPr>
        <w:t>), motor (</w:t>
      </w:r>
      <w:hyperlink r:id="rId1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color w:val="000000"/>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m</w:t>
        </w:r>
        <w:r>
          <w:rPr>
            <w:rFonts w:ascii="Open Sans" w:eastAsia="Open Sans" w:hAnsi="Open Sans" w:cs="Open Sans"/>
            <w:color w:val="1155CC"/>
            <w:sz w:val="22"/>
            <w:szCs w:val="22"/>
            <w:u w:val="single"/>
          </w:rPr>
          <w:t>otos.net</w:t>
        </w:r>
      </w:hyperlink>
      <w:r>
        <w:rPr>
          <w:rFonts w:ascii="Open Sans" w:eastAsia="Open Sans" w:hAnsi="Open Sans" w:cs="Open Sans"/>
          <w:color w:val="000000"/>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color w:val="000000"/>
          <w:sz w:val="22"/>
          <w:szCs w:val="22"/>
        </w:rPr>
        <w:t>).</w:t>
      </w:r>
    </w:p>
    <w:p w14:paraId="529FE5E8" w14:textId="77777777" w:rsidR="0083031D" w:rsidRDefault="00C07EBC">
      <w:pPr>
        <w:pBdr>
          <w:top w:val="nil"/>
          <w:left w:val="nil"/>
          <w:bottom w:val="nil"/>
          <w:right w:val="nil"/>
          <w:between w:val="nil"/>
        </w:pBdr>
        <w:spacing w:after="16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w:t>
      </w:r>
      <w:r>
        <w:rPr>
          <w:rFonts w:ascii="Open Sans" w:eastAsia="Open Sans" w:hAnsi="Open Sans" w:cs="Open Sans"/>
          <w:color w:val="000000"/>
          <w:sz w:val="22"/>
          <w:szCs w:val="22"/>
        </w:rPr>
        <w:t>prometidos con fomentar un cambio positivo en el mundo a través de tecnología innovadora, otorgando una nueva oportunidad a quienes la están buscando y dando a las cosas una segunda vida.</w:t>
      </w:r>
    </w:p>
    <w:p w14:paraId="5B43E11A" w14:textId="77777777" w:rsidR="0083031D" w:rsidRDefault="00C07EBC">
      <w:pPr>
        <w:pBdr>
          <w:top w:val="nil"/>
          <w:left w:val="nil"/>
          <w:bottom w:val="nil"/>
          <w:right w:val="nil"/>
          <w:between w:val="nil"/>
        </w:pBdr>
        <w:spacing w:after="16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16 países. El conjunto de sus pl</w:t>
      </w:r>
      <w:r>
        <w:rPr>
          <w:rFonts w:ascii="Open Sans" w:eastAsia="Open Sans" w:hAnsi="Open Sans" w:cs="Open Sans"/>
          <w:color w:val="000000"/>
          <w:sz w:val="22"/>
          <w:szCs w:val="22"/>
        </w:rPr>
        <w:t>ataformas locales recibe un promedio de 3.000 millones de visitas cada mes. </w:t>
      </w:r>
    </w:p>
    <w:p w14:paraId="561F8AE5" w14:textId="22A7C008" w:rsidR="0083031D" w:rsidRDefault="00C07EBC">
      <w:pPr>
        <w:pBdr>
          <w:top w:val="nil"/>
          <w:left w:val="nil"/>
          <w:bottom w:val="nil"/>
          <w:right w:val="nil"/>
          <w:between w:val="nil"/>
        </w:pBdr>
        <w:spacing w:after="160"/>
        <w:ind w:right="-716"/>
        <w:jc w:val="both"/>
        <w:rPr>
          <w:rFonts w:ascii="Open Sans" w:eastAsia="Open Sans" w:hAnsi="Open Sans" w:cs="Open Sans"/>
          <w:color w:val="1155CC"/>
          <w:sz w:val="22"/>
          <w:szCs w:val="22"/>
          <w:u w:val="single"/>
        </w:rPr>
      </w:pPr>
      <w:r>
        <w:rPr>
          <w:rFonts w:ascii="Open Sans" w:eastAsia="Open Sans" w:hAnsi="Open Sans" w:cs="Open Sans"/>
          <w:color w:val="000000"/>
          <w:sz w:val="22"/>
          <w:szCs w:val="22"/>
        </w:rPr>
        <w:t xml:space="preserve">Más información en </w:t>
      </w:r>
      <w:hyperlink r:id="rId21">
        <w:r>
          <w:rPr>
            <w:rFonts w:ascii="Open Sans" w:eastAsia="Open Sans" w:hAnsi="Open Sans" w:cs="Open Sans"/>
            <w:color w:val="1155CC"/>
            <w:sz w:val="22"/>
            <w:szCs w:val="22"/>
            <w:u w:val="single"/>
          </w:rPr>
          <w:t>adevinta.es</w:t>
        </w:r>
      </w:hyperlink>
    </w:p>
    <w:p w14:paraId="187EA7E2" w14:textId="4DFB4CB0" w:rsidR="00CC3FC7" w:rsidRDefault="00CC3FC7">
      <w:pPr>
        <w:pBdr>
          <w:top w:val="nil"/>
          <w:left w:val="nil"/>
          <w:bottom w:val="nil"/>
          <w:right w:val="nil"/>
          <w:between w:val="nil"/>
        </w:pBdr>
        <w:spacing w:after="160"/>
        <w:ind w:right="-716"/>
        <w:jc w:val="both"/>
        <w:rPr>
          <w:rFonts w:ascii="Open Sans" w:eastAsia="Open Sans" w:hAnsi="Open Sans" w:cs="Open Sans"/>
          <w:color w:val="1155CC"/>
          <w:sz w:val="22"/>
          <w:szCs w:val="22"/>
          <w:u w:val="single"/>
        </w:rPr>
      </w:pPr>
    </w:p>
    <w:p w14:paraId="3CB9CFA2" w14:textId="77777777" w:rsidR="00CC3FC7" w:rsidRDefault="00CC3FC7">
      <w:pPr>
        <w:pBdr>
          <w:top w:val="nil"/>
          <w:left w:val="nil"/>
          <w:bottom w:val="nil"/>
          <w:right w:val="nil"/>
          <w:between w:val="nil"/>
        </w:pBdr>
        <w:spacing w:after="160"/>
        <w:ind w:right="-716"/>
        <w:jc w:val="both"/>
        <w:rPr>
          <w:rFonts w:ascii="Open Sans" w:eastAsia="Open Sans" w:hAnsi="Open Sans" w:cs="Open Sans"/>
          <w:color w:val="000000"/>
          <w:sz w:val="22"/>
          <w:szCs w:val="22"/>
        </w:rPr>
      </w:pPr>
    </w:p>
    <w:p w14:paraId="132054FA" w14:textId="77777777" w:rsidR="0083031D" w:rsidRDefault="0083031D">
      <w:pPr>
        <w:spacing w:line="276" w:lineRule="auto"/>
        <w:ind w:right="-574"/>
        <w:rPr>
          <w:rFonts w:ascii="Open Sans Light" w:eastAsia="Open Sans Light" w:hAnsi="Open Sans Light" w:cs="Open Sans Light"/>
          <w:b/>
          <w:color w:val="303AB2"/>
        </w:rPr>
      </w:pPr>
    </w:p>
    <w:p w14:paraId="5A68AFDE" w14:textId="032F5FDD" w:rsidR="0083031D" w:rsidRPr="00CC3FC7" w:rsidRDefault="00C07EBC">
      <w:pPr>
        <w:spacing w:line="276" w:lineRule="auto"/>
        <w:ind w:right="-574"/>
        <w:rPr>
          <w:rFonts w:ascii="Open Sans Light" w:eastAsia="Open Sans Light" w:hAnsi="Open Sans Light" w:cs="Open Sans Light"/>
          <w:b/>
          <w:color w:val="303AB2"/>
          <w:sz w:val="22"/>
          <w:szCs w:val="22"/>
        </w:rPr>
      </w:pPr>
      <w:r w:rsidRPr="00CC3FC7">
        <w:rPr>
          <w:rFonts w:ascii="Open Sans Light" w:eastAsia="Open Sans Light" w:hAnsi="Open Sans Light" w:cs="Open Sans Light"/>
          <w:b/>
          <w:color w:val="303AB2"/>
        </w:rPr>
        <w:t xml:space="preserve">Llorente y Cuenca    </w:t>
      </w:r>
      <w:r w:rsidRPr="00CC3FC7">
        <w:rPr>
          <w:rFonts w:ascii="Open Sans Light" w:eastAsia="Open Sans Light" w:hAnsi="Open Sans Light" w:cs="Open Sans Light"/>
          <w:b/>
          <w:color w:val="303AB2"/>
        </w:rPr>
        <w:tab/>
      </w:r>
      <w:r w:rsidRPr="00CC3FC7">
        <w:rPr>
          <w:rFonts w:ascii="Open Sans Light" w:eastAsia="Open Sans Light" w:hAnsi="Open Sans Light" w:cs="Open Sans Light"/>
          <w:b/>
          <w:color w:val="303AB2"/>
          <w:sz w:val="22"/>
          <w:szCs w:val="22"/>
        </w:rPr>
        <w:tab/>
      </w:r>
      <w:r w:rsidRPr="00CC3FC7">
        <w:rPr>
          <w:rFonts w:ascii="Open Sans Light" w:eastAsia="Open Sans Light" w:hAnsi="Open Sans Light" w:cs="Open Sans Light"/>
          <w:b/>
          <w:color w:val="303AB2"/>
          <w:sz w:val="22"/>
          <w:szCs w:val="22"/>
        </w:rPr>
        <w:tab/>
      </w:r>
      <w:r w:rsidR="00CC3FC7">
        <w:rPr>
          <w:rFonts w:ascii="Open Sans Light" w:eastAsia="Open Sans Light" w:hAnsi="Open Sans Light" w:cs="Open Sans Light"/>
          <w:b/>
          <w:color w:val="303AB2"/>
          <w:sz w:val="22"/>
          <w:szCs w:val="22"/>
        </w:rPr>
        <w:t xml:space="preserve">      </w:t>
      </w:r>
      <w:r w:rsidRPr="00CC3FC7">
        <w:rPr>
          <w:rFonts w:ascii="Open Sans Light" w:eastAsia="Open Sans Light" w:hAnsi="Open Sans Light" w:cs="Open Sans Light"/>
          <w:b/>
          <w:color w:val="303AB2"/>
        </w:rPr>
        <w:t>Departamento Comunicación Fotocasa</w:t>
      </w:r>
    </w:p>
    <w:p w14:paraId="7D2FC890" w14:textId="77777777" w:rsidR="0083031D" w:rsidRDefault="00C07EBC">
      <w:pPr>
        <w:pBdr>
          <w:top w:val="nil"/>
          <w:left w:val="nil"/>
          <w:bottom w:val="nil"/>
          <w:right w:val="nil"/>
          <w:between w:val="nil"/>
        </w:pBdr>
        <w:shd w:val="clear" w:color="auto" w:fill="FFFFFF"/>
        <w:spacing w:line="276" w:lineRule="auto"/>
        <w:ind w:right="-574"/>
        <w:rPr>
          <w:rFonts w:ascii="Open Sans" w:eastAsia="Open Sans" w:hAnsi="Open Sans" w:cs="Open Sans"/>
          <w:b/>
          <w:color w:val="000000"/>
          <w:sz w:val="21"/>
          <w:szCs w:val="21"/>
        </w:rPr>
      </w:pPr>
      <w:r>
        <w:rPr>
          <w:rFonts w:ascii="Open Sans" w:eastAsia="Open Sans" w:hAnsi="Open Sans" w:cs="Open Sans"/>
          <w:b/>
          <w:color w:val="000000"/>
          <w:sz w:val="21"/>
          <w:szCs w:val="21"/>
        </w:rPr>
        <w:t>Ramon Torné</w:t>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ab/>
      </w:r>
      <w:r>
        <w:rPr>
          <w:rFonts w:ascii="Open Sans" w:eastAsia="Open Sans" w:hAnsi="Open Sans" w:cs="Open Sans"/>
          <w:b/>
          <w:color w:val="000000"/>
          <w:sz w:val="21"/>
          <w:szCs w:val="21"/>
        </w:rPr>
        <w:t xml:space="preserve">                        Anaïs López </w:t>
      </w:r>
    </w:p>
    <w:p w14:paraId="2D2E3240" w14:textId="77777777" w:rsidR="0083031D" w:rsidRDefault="00C07EBC">
      <w:pPr>
        <w:pBdr>
          <w:top w:val="nil"/>
          <w:left w:val="nil"/>
          <w:bottom w:val="nil"/>
          <w:right w:val="nil"/>
          <w:between w:val="nil"/>
        </w:pBdr>
        <w:shd w:val="clear" w:color="auto" w:fill="FFFFFF"/>
        <w:spacing w:line="276" w:lineRule="auto"/>
        <w:ind w:right="-574"/>
        <w:rPr>
          <w:rFonts w:ascii="Open Sans" w:eastAsia="Open Sans" w:hAnsi="Open Sans" w:cs="Open Sans"/>
          <w:color w:val="0000FF"/>
          <w:sz w:val="21"/>
          <w:szCs w:val="21"/>
          <w:u w:val="single"/>
        </w:rPr>
      </w:pPr>
      <w:hyperlink r:id="rId22">
        <w:r>
          <w:rPr>
            <w:rFonts w:ascii="Open Sans" w:eastAsia="Open Sans" w:hAnsi="Open Sans" w:cs="Open Sans"/>
            <w:color w:val="0000FF"/>
            <w:sz w:val="21"/>
            <w:szCs w:val="21"/>
            <w:u w:val="single"/>
          </w:rPr>
          <w:t>rtorne@llorenteycuenca.com</w:t>
        </w:r>
      </w:hyperlink>
      <w:r>
        <w:rPr>
          <w:rFonts w:ascii="Open Sans" w:eastAsia="Open Sans" w:hAnsi="Open Sans" w:cs="Open Sans"/>
          <w:color w:val="0000FF"/>
          <w:sz w:val="21"/>
          <w:szCs w:val="21"/>
        </w:rPr>
        <w:tab/>
      </w:r>
      <w:r>
        <w:rPr>
          <w:rFonts w:ascii="Open Sans" w:eastAsia="Open Sans" w:hAnsi="Open Sans" w:cs="Open Sans"/>
          <w:color w:val="0000FF"/>
          <w:sz w:val="21"/>
          <w:szCs w:val="21"/>
        </w:rPr>
        <w:tab/>
      </w:r>
      <w:r>
        <w:rPr>
          <w:rFonts w:ascii="Open Sans" w:eastAsia="Open Sans" w:hAnsi="Open Sans" w:cs="Open Sans"/>
          <w:color w:val="0000FF"/>
          <w:sz w:val="21"/>
          <w:szCs w:val="21"/>
        </w:rPr>
        <w:tab/>
        <w:t xml:space="preserve">                                      </w:t>
      </w:r>
      <w:hyperlink r:id="rId23">
        <w:r>
          <w:rPr>
            <w:rFonts w:ascii="Open Sans" w:eastAsia="Open Sans" w:hAnsi="Open Sans" w:cs="Open Sans"/>
            <w:color w:val="0000FF"/>
            <w:sz w:val="21"/>
            <w:szCs w:val="21"/>
            <w:u w:val="single"/>
          </w:rPr>
          <w:t>comunicacion@fotocasa.es</w:t>
        </w:r>
      </w:hyperlink>
    </w:p>
    <w:p w14:paraId="604A977E" w14:textId="77777777" w:rsidR="0083031D" w:rsidRDefault="00C07EBC">
      <w:pPr>
        <w:pBdr>
          <w:top w:val="nil"/>
          <w:left w:val="nil"/>
          <w:bottom w:val="nil"/>
          <w:right w:val="nil"/>
          <w:between w:val="nil"/>
        </w:pBdr>
        <w:shd w:val="clear" w:color="auto" w:fill="FFFFFF"/>
        <w:spacing w:line="276" w:lineRule="auto"/>
        <w:ind w:right="-574"/>
        <w:rPr>
          <w:rFonts w:ascii="Open Sans" w:eastAsia="Open Sans" w:hAnsi="Open Sans" w:cs="Open Sans"/>
          <w:color w:val="000000"/>
          <w:sz w:val="21"/>
          <w:szCs w:val="21"/>
        </w:rPr>
      </w:pPr>
      <w:r>
        <w:rPr>
          <w:rFonts w:ascii="Open Sans" w:eastAsia="Open Sans" w:hAnsi="Open Sans" w:cs="Open Sans"/>
          <w:color w:val="000000"/>
          <w:sz w:val="21"/>
          <w:szCs w:val="21"/>
        </w:rPr>
        <w:lastRenderedPageBreak/>
        <w:t xml:space="preserve">638 68 19 85      </w:t>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r>
      <w:r>
        <w:rPr>
          <w:rFonts w:ascii="Open Sans" w:eastAsia="Open Sans" w:hAnsi="Open Sans" w:cs="Open Sans"/>
          <w:color w:val="000000"/>
          <w:sz w:val="21"/>
          <w:szCs w:val="21"/>
        </w:rPr>
        <w:tab/>
        <w:t xml:space="preserve">           620 66 29 26</w:t>
      </w:r>
    </w:p>
    <w:p w14:paraId="28A2993D" w14:textId="77777777" w:rsidR="0083031D" w:rsidRDefault="00C07EBC">
      <w:pPr>
        <w:shd w:val="clear" w:color="auto" w:fill="FFFFFF"/>
        <w:rPr>
          <w:rFonts w:ascii="Open Sans" w:eastAsia="Open Sans" w:hAnsi="Open Sans" w:cs="Open Sans"/>
          <w:color w:val="0000FF"/>
          <w:sz w:val="21"/>
          <w:szCs w:val="21"/>
          <w:u w:val="single"/>
        </w:rPr>
      </w:pP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xml:space="preserve">     </w:t>
      </w:r>
    </w:p>
    <w:p w14:paraId="00DD722F" w14:textId="77777777" w:rsidR="0083031D" w:rsidRDefault="00C07EBC">
      <w:pPr>
        <w:shd w:val="clear" w:color="auto" w:fill="FFFFFF"/>
        <w:rPr>
          <w:rFonts w:ascii="Open Sans" w:eastAsia="Open Sans" w:hAnsi="Open Sans" w:cs="Open Sans"/>
          <w:b/>
          <w:color w:val="000000"/>
          <w:sz w:val="21"/>
          <w:szCs w:val="21"/>
        </w:rPr>
      </w:pPr>
      <w:r>
        <w:rPr>
          <w:rFonts w:ascii="Open Sans" w:eastAsia="Open Sans" w:hAnsi="Open Sans" w:cs="Open Sans"/>
          <w:b/>
          <w:color w:val="000000"/>
          <w:sz w:val="21"/>
          <w:szCs w:val="21"/>
        </w:rPr>
        <w:t>Fanny Merino</w:t>
      </w:r>
    </w:p>
    <w:p w14:paraId="4A723151" w14:textId="77777777" w:rsidR="0083031D" w:rsidRDefault="00C07EBC">
      <w:pPr>
        <w:shd w:val="clear" w:color="auto" w:fill="FFFFFF"/>
        <w:rPr>
          <w:rFonts w:ascii="Open Sans" w:eastAsia="Open Sans" w:hAnsi="Open Sans" w:cs="Open Sans"/>
          <w:color w:val="0000FF"/>
          <w:sz w:val="21"/>
          <w:szCs w:val="21"/>
        </w:rPr>
      </w:pPr>
      <w:hyperlink r:id="rId24">
        <w:r>
          <w:rPr>
            <w:rFonts w:ascii="Open Sans" w:eastAsia="Open Sans" w:hAnsi="Open Sans" w:cs="Open Sans"/>
            <w:color w:val="0000FF"/>
            <w:sz w:val="21"/>
            <w:szCs w:val="21"/>
          </w:rPr>
          <w:t>emerino@llorenteycuenca.com</w:t>
        </w:r>
      </w:hyperlink>
      <w:r>
        <w:rPr>
          <w:rFonts w:ascii="Open Sans" w:eastAsia="Open Sans" w:hAnsi="Open Sans" w:cs="Open Sans"/>
          <w:color w:val="0000FF"/>
          <w:sz w:val="21"/>
          <w:szCs w:val="21"/>
        </w:rPr>
        <w:t xml:space="preserve"> </w:t>
      </w:r>
    </w:p>
    <w:p w14:paraId="19DACBC4" w14:textId="77777777" w:rsidR="0083031D" w:rsidRDefault="00C07EBC">
      <w:pPr>
        <w:shd w:val="clear" w:color="auto" w:fill="FFFFFF"/>
        <w:rPr>
          <w:rFonts w:ascii="Open Sans" w:eastAsia="Open Sans" w:hAnsi="Open Sans" w:cs="Open Sans"/>
          <w:color w:val="000000"/>
          <w:sz w:val="21"/>
          <w:szCs w:val="21"/>
        </w:rPr>
      </w:pPr>
      <w:r>
        <w:rPr>
          <w:rFonts w:ascii="Open Sans" w:eastAsia="Open Sans" w:hAnsi="Open Sans" w:cs="Open Sans"/>
          <w:color w:val="000000"/>
          <w:sz w:val="21"/>
          <w:szCs w:val="21"/>
        </w:rPr>
        <w:t>663 35 69 75</w:t>
      </w:r>
    </w:p>
    <w:p w14:paraId="79C7ED40" w14:textId="77777777" w:rsidR="0083031D" w:rsidRDefault="0083031D">
      <w:pPr>
        <w:shd w:val="clear" w:color="auto" w:fill="FFFFFF"/>
        <w:rPr>
          <w:rFonts w:ascii="Open Sans" w:eastAsia="Open Sans" w:hAnsi="Open Sans" w:cs="Open Sans"/>
          <w:color w:val="000000"/>
          <w:sz w:val="21"/>
          <w:szCs w:val="21"/>
        </w:rPr>
      </w:pPr>
    </w:p>
    <w:sectPr w:rsidR="0083031D">
      <w:footerReference w:type="default" r:id="rId25"/>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317A" w14:textId="77777777" w:rsidR="00C07EBC" w:rsidRDefault="00C07EBC">
      <w:r>
        <w:separator/>
      </w:r>
    </w:p>
  </w:endnote>
  <w:endnote w:type="continuationSeparator" w:id="0">
    <w:p w14:paraId="026711FE" w14:textId="77777777" w:rsidR="00C07EBC" w:rsidRDefault="00C0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49AF" w14:textId="77777777" w:rsidR="0083031D" w:rsidRDefault="00C07EBC">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007045B1" wp14:editId="6E2E3F3C">
          <wp:simplePos x="0" y="0"/>
          <wp:positionH relativeFrom="column">
            <wp:posOffset>-1068068</wp:posOffset>
          </wp:positionH>
          <wp:positionV relativeFrom="paragraph">
            <wp:posOffset>174608</wp:posOffset>
          </wp:positionV>
          <wp:extent cx="7670550" cy="451315"/>
          <wp:effectExtent l="0" t="0" r="0" b="0"/>
          <wp:wrapSquare wrapText="bothSides" distT="0" distB="0" distL="0" distR="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711F" w14:textId="77777777" w:rsidR="00C07EBC" w:rsidRDefault="00C07EBC">
      <w:r>
        <w:separator/>
      </w:r>
    </w:p>
  </w:footnote>
  <w:footnote w:type="continuationSeparator" w:id="0">
    <w:p w14:paraId="0F42F8BD" w14:textId="77777777" w:rsidR="00C07EBC" w:rsidRDefault="00C07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54EBE"/>
    <w:multiLevelType w:val="multilevel"/>
    <w:tmpl w:val="06343B12"/>
    <w:lvl w:ilvl="0">
      <w:start w:val="1"/>
      <w:numFmt w:val="bullet"/>
      <w:lvlText w:val="●"/>
      <w:lvlJc w:val="left"/>
      <w:pPr>
        <w:ind w:left="644" w:hanging="358"/>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31D"/>
    <w:rsid w:val="0083031D"/>
    <w:rsid w:val="00C07EBC"/>
    <w:rsid w:val="00CC3F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867F"/>
  <w15:docId w15:val="{8E8DCDDC-C185-4802-A232-C5C1FF76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delista2-nfasis1">
    <w:name w:val="List Table 2 Accent 1"/>
    <w:basedOn w:val="Tablanormal"/>
    <w:uiPriority w:val="47"/>
    <w:rsid w:val="00C87A22"/>
    <w:pPr>
      <w:spacing w:before="100" w:beforeAutospacing="1" w:afterAutospacing="1"/>
    </w:pPr>
    <w:rPr>
      <w:rFonts w:asciiTheme="minorHAnsi" w:eastAsiaTheme="minorHAnsi" w:hAnsiTheme="minorHAnsi" w:cstheme="minorBidi"/>
      <w:lang w:eastAsia="en-US"/>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suntodelcomentario">
    <w:name w:val="annotation subject"/>
    <w:basedOn w:val="Textocomentario"/>
    <w:next w:val="Textocomentario"/>
    <w:link w:val="AsuntodelcomentarioCar"/>
    <w:uiPriority w:val="99"/>
    <w:semiHidden/>
    <w:unhideWhenUsed/>
    <w:rsid w:val="00C659EE"/>
    <w:rPr>
      <w:b/>
      <w:bCs/>
    </w:rPr>
  </w:style>
  <w:style w:type="character" w:customStyle="1" w:styleId="AsuntodelcomentarioCar">
    <w:name w:val="Asunto del comentario Car"/>
    <w:basedOn w:val="TextocomentarioCar"/>
    <w:link w:val="Asuntodelcomentario"/>
    <w:uiPriority w:val="99"/>
    <w:semiHidden/>
    <w:rsid w:val="00C659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indice/" TargetMode="External"/><Relationship Id="rId18" Type="http://schemas.openxmlformats.org/officeDocument/2006/relationships/hyperlink" Target="https://www.infojobs.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devinta.es"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habitaclia.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6027.pcdn.co/wp-content/uploads/2021/04/Informe-RADIOGRAFIA-ARRENDADOR-ESPANA-1.pdf" TargetMode="External"/><Relationship Id="rId24"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comunicacion@fotocasa.es" TargetMode="External"/><Relationship Id="rId10" Type="http://schemas.openxmlformats.org/officeDocument/2006/relationships/hyperlink" Target="https://research.fotocasa.es/" TargetMode="External"/><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prensa.fotocasa.es" TargetMode="External"/><Relationship Id="rId22" Type="http://schemas.openxmlformats.org/officeDocument/2006/relationships/hyperlink" Target="mailto:rtorne@llorenteycuenca.co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HGokjYhIhQtp8G/h3+9HmRUt1w==">AMUW2mWR06VTPYQEVrbxNbqglAl7QR1V9XYf5GLbCtGASgNKirl3scpEY4qDtBIIhQ6Qe0W2OqnZ3f9I0FegkPgx9t6gXWt/kT7dRBiZ3/RtlvBTGBL1KL1qY7JD8UEPocMaz4EIMOXfGpdrZm0YMUeqx2bYqx6HKQ==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1153</Words>
  <Characters>6345</Characters>
  <Application>Microsoft Office Word</Application>
  <DocSecurity>0</DocSecurity>
  <Lines>52</Lines>
  <Paragraphs>14</Paragraphs>
  <ScaleCrop>false</ScaleCrop>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Anais Garcia</cp:lastModifiedBy>
  <cp:revision>2</cp:revision>
  <dcterms:created xsi:type="dcterms:W3CDTF">2021-11-08T09:37:00Z</dcterms:created>
  <dcterms:modified xsi:type="dcterms:W3CDTF">2021-12-14T10:10:00Z</dcterms:modified>
</cp:coreProperties>
</file>