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EC5A" w14:textId="77777777" w:rsidR="005B4627" w:rsidRDefault="007F28F2">
      <w:pPr>
        <w:spacing w:line="276" w:lineRule="auto"/>
        <w:ind w:right="283"/>
      </w:pPr>
      <w:r>
        <w:rPr>
          <w:noProof/>
        </w:rPr>
        <w:drawing>
          <wp:anchor distT="0" distB="0" distL="114300" distR="114300" simplePos="0" relativeHeight="251658240" behindDoc="0" locked="0" layoutInCell="1" hidden="0" allowOverlap="1" wp14:anchorId="4836076F" wp14:editId="5BC8110D">
            <wp:simplePos x="0" y="0"/>
            <wp:positionH relativeFrom="column">
              <wp:posOffset>-1080134</wp:posOffset>
            </wp:positionH>
            <wp:positionV relativeFrom="paragraph">
              <wp:posOffset>-447674</wp:posOffset>
            </wp:positionV>
            <wp:extent cx="7581265" cy="101917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5C8FF250" w14:textId="77777777" w:rsidR="005B4627" w:rsidRDefault="005B4627">
      <w:pPr>
        <w:spacing w:line="276" w:lineRule="auto"/>
        <w:ind w:right="283"/>
        <w:jc w:val="right"/>
        <w:rPr>
          <w:rFonts w:ascii="National" w:eastAsia="National" w:hAnsi="National" w:cs="National"/>
          <w:color w:val="303AB2"/>
          <w:sz w:val="36"/>
          <w:szCs w:val="36"/>
        </w:rPr>
      </w:pPr>
    </w:p>
    <w:p w14:paraId="194FDB0E" w14:textId="77777777" w:rsidR="005B4627" w:rsidRDefault="005B4627">
      <w:pPr>
        <w:spacing w:line="276" w:lineRule="auto"/>
        <w:ind w:right="283"/>
        <w:jc w:val="right"/>
        <w:rPr>
          <w:rFonts w:ascii="National" w:eastAsia="National" w:hAnsi="National" w:cs="National"/>
          <w:color w:val="303AB2"/>
          <w:sz w:val="36"/>
          <w:szCs w:val="36"/>
        </w:rPr>
      </w:pPr>
    </w:p>
    <w:p w14:paraId="27936275" w14:textId="77777777" w:rsidR="005B4627" w:rsidRDefault="007F28F2">
      <w:pPr>
        <w:spacing w:line="276" w:lineRule="auto"/>
        <w:ind w:right="283"/>
        <w:jc w:val="center"/>
        <w:rPr>
          <w:rFonts w:ascii="National" w:eastAsia="National" w:hAnsi="National" w:cs="National"/>
          <w:b/>
          <w:color w:val="1DBDC5"/>
          <w:sz w:val="46"/>
          <w:szCs w:val="46"/>
        </w:rPr>
      </w:pPr>
      <w:r>
        <w:rPr>
          <w:rFonts w:ascii="National" w:eastAsia="National" w:hAnsi="National" w:cs="National"/>
          <w:b/>
          <w:color w:val="1DBDC5"/>
          <w:sz w:val="46"/>
          <w:szCs w:val="46"/>
        </w:rPr>
        <w:t>2021: PRECIO VIVIENDA EN VENTA</w:t>
      </w:r>
    </w:p>
    <w:p w14:paraId="5C34E916" w14:textId="77777777" w:rsidR="005B4627" w:rsidRDefault="007F28F2">
      <w:pPr>
        <w:spacing w:line="276" w:lineRule="auto"/>
        <w:ind w:right="283"/>
        <w:jc w:val="center"/>
        <w:rPr>
          <w:rFonts w:ascii="National" w:eastAsia="National" w:hAnsi="National" w:cs="National"/>
          <w:b/>
          <w:color w:val="303AB2"/>
          <w:sz w:val="50"/>
          <w:szCs w:val="50"/>
        </w:rPr>
      </w:pPr>
      <w:bookmarkStart w:id="0" w:name="_heading=h.gjdgxs" w:colFirst="0" w:colLast="0"/>
      <w:bookmarkEnd w:id="0"/>
      <w:r>
        <w:rPr>
          <w:rFonts w:ascii="National" w:eastAsia="National" w:hAnsi="National" w:cs="National"/>
          <w:b/>
          <w:color w:val="303AB2"/>
          <w:sz w:val="50"/>
          <w:szCs w:val="50"/>
        </w:rPr>
        <w:t xml:space="preserve">El precio de la vivienda de segunda mano en España sube un 1,7% en 2021 </w:t>
      </w:r>
    </w:p>
    <w:p w14:paraId="74DECEE0" w14:textId="77777777" w:rsidR="005B4627" w:rsidRDefault="005B4627">
      <w:pPr>
        <w:spacing w:line="276" w:lineRule="auto"/>
        <w:ind w:right="283"/>
        <w:rPr>
          <w:rFonts w:ascii="National" w:eastAsia="National" w:hAnsi="National" w:cs="National"/>
          <w:b/>
          <w:color w:val="303AB2"/>
          <w:sz w:val="16"/>
          <w:szCs w:val="16"/>
        </w:rPr>
      </w:pPr>
    </w:p>
    <w:p w14:paraId="22B35812" w14:textId="77777777" w:rsidR="005B4627" w:rsidRDefault="007F28F2">
      <w:pPr>
        <w:numPr>
          <w:ilvl w:val="0"/>
          <w:numId w:val="1"/>
        </w:numPr>
        <w:pBdr>
          <w:top w:val="nil"/>
          <w:left w:val="nil"/>
          <w:bottom w:val="nil"/>
          <w:right w:val="nil"/>
          <w:between w:val="nil"/>
        </w:pBdr>
        <w:spacing w:line="276" w:lineRule="auto"/>
        <w:ind w:right="283"/>
        <w:jc w:val="both"/>
        <w:rPr>
          <w:rFonts w:ascii="Open Sans" w:eastAsia="Open Sans" w:hAnsi="Open Sans" w:cs="Open Sans"/>
          <w:color w:val="303AB2"/>
        </w:rPr>
      </w:pPr>
      <w:r>
        <w:rPr>
          <w:rFonts w:ascii="Open Sans" w:eastAsia="Open Sans" w:hAnsi="Open Sans" w:cs="Open Sans"/>
          <w:color w:val="303AB2"/>
        </w:rPr>
        <w:t>En España el precio medio de la vivienda de segunda mano se sitúa en diciembre en 1.907 €/m</w:t>
      </w:r>
      <w:r>
        <w:rPr>
          <w:rFonts w:ascii="Open Sans" w:eastAsia="Open Sans" w:hAnsi="Open Sans" w:cs="Open Sans"/>
          <w:color w:val="303AB2"/>
          <w:vertAlign w:val="superscript"/>
        </w:rPr>
        <w:t>2</w:t>
      </w:r>
      <w:r>
        <w:rPr>
          <w:rFonts w:ascii="Open Sans" w:eastAsia="Open Sans" w:hAnsi="Open Sans" w:cs="Open Sans"/>
          <w:color w:val="303AB2"/>
        </w:rPr>
        <w:t xml:space="preserve">  </w:t>
      </w:r>
    </w:p>
    <w:p w14:paraId="55466535" w14:textId="77777777" w:rsidR="005B4627" w:rsidRDefault="007F28F2">
      <w:pPr>
        <w:numPr>
          <w:ilvl w:val="0"/>
          <w:numId w:val="1"/>
        </w:numPr>
        <w:pBdr>
          <w:top w:val="nil"/>
          <w:left w:val="nil"/>
          <w:bottom w:val="nil"/>
          <w:right w:val="nil"/>
          <w:between w:val="nil"/>
        </w:pBdr>
        <w:spacing w:line="276" w:lineRule="auto"/>
        <w:ind w:right="283"/>
        <w:jc w:val="both"/>
        <w:rPr>
          <w:rFonts w:ascii="Open Sans" w:eastAsia="Open Sans" w:hAnsi="Open Sans" w:cs="Open Sans"/>
          <w:color w:val="303AB2"/>
        </w:rPr>
      </w:pPr>
      <w:r>
        <w:rPr>
          <w:rFonts w:ascii="Open Sans" w:eastAsia="Open Sans" w:hAnsi="Open Sans" w:cs="Open Sans"/>
          <w:color w:val="303AB2"/>
        </w:rPr>
        <w:t>El precio de la vivienda sube en 11 Comunidades Autónomas, en 7 de cada 10 provincias y en más del 60% de los municipios estudiados</w:t>
      </w:r>
    </w:p>
    <w:p w14:paraId="08A584B7" w14:textId="77777777" w:rsidR="005B4627" w:rsidRDefault="007F28F2">
      <w:pPr>
        <w:numPr>
          <w:ilvl w:val="0"/>
          <w:numId w:val="1"/>
        </w:numPr>
        <w:pBdr>
          <w:top w:val="nil"/>
          <w:left w:val="nil"/>
          <w:bottom w:val="nil"/>
          <w:right w:val="nil"/>
          <w:between w:val="nil"/>
        </w:pBdr>
        <w:spacing w:line="276" w:lineRule="auto"/>
        <w:ind w:right="283"/>
        <w:jc w:val="both"/>
        <w:rPr>
          <w:rFonts w:ascii="Open Sans" w:eastAsia="Open Sans" w:hAnsi="Open Sans" w:cs="Open Sans"/>
          <w:color w:val="303AB2"/>
        </w:rPr>
      </w:pPr>
      <w:r>
        <w:rPr>
          <w:rFonts w:ascii="Open Sans" w:eastAsia="Open Sans" w:hAnsi="Open Sans" w:cs="Open Sans"/>
          <w:color w:val="303AB2"/>
        </w:rPr>
        <w:t xml:space="preserve">Baleares escala del octavo al segundo puesto del ranking de las comunidades más caras en 15 años (de 2007 a 2021) </w:t>
      </w:r>
    </w:p>
    <w:p w14:paraId="50E10784" w14:textId="77777777" w:rsidR="005B4627" w:rsidRDefault="007F28F2">
      <w:pPr>
        <w:pBdr>
          <w:top w:val="nil"/>
          <w:left w:val="nil"/>
          <w:bottom w:val="nil"/>
          <w:right w:val="nil"/>
          <w:between w:val="nil"/>
        </w:pBdr>
        <w:spacing w:line="276" w:lineRule="auto"/>
        <w:ind w:right="283"/>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12 de enero de 2022</w:t>
      </w:r>
    </w:p>
    <w:p w14:paraId="63EA4524" w14:textId="77777777" w:rsidR="005B4627" w:rsidRDefault="005B4627">
      <w:pPr>
        <w:pBdr>
          <w:top w:val="nil"/>
          <w:left w:val="nil"/>
          <w:bottom w:val="nil"/>
          <w:right w:val="nil"/>
          <w:between w:val="nil"/>
        </w:pBdr>
        <w:spacing w:line="276" w:lineRule="auto"/>
        <w:ind w:right="283"/>
        <w:jc w:val="both"/>
        <w:rPr>
          <w:rFonts w:ascii="Open Sans Light" w:eastAsia="Open Sans Light" w:hAnsi="Open Sans Light" w:cs="Open Sans Light"/>
          <w:color w:val="303AB2"/>
        </w:rPr>
      </w:pPr>
    </w:p>
    <w:p w14:paraId="2D6B6F63" w14:textId="77777777" w:rsidR="005B4627" w:rsidRDefault="007F28F2">
      <w:pPr>
        <w:spacing w:line="276" w:lineRule="auto"/>
        <w:ind w:right="283"/>
        <w:jc w:val="both"/>
        <w:rPr>
          <w:rFonts w:ascii="Open Sans" w:eastAsia="Open Sans" w:hAnsi="Open Sans" w:cs="Open Sans"/>
          <w:color w:val="000000"/>
        </w:rPr>
      </w:pPr>
      <w:r>
        <w:rPr>
          <w:rFonts w:ascii="Open Sans" w:eastAsia="Open Sans" w:hAnsi="Open Sans" w:cs="Open Sans"/>
          <w:color w:val="000000"/>
        </w:rPr>
        <w:t>El precio de la vivienda de segunda mano en España cierra 2021 con un incremento anual del 1,7% y sitúa el precio de diciembre en 1.907 €/m</w:t>
      </w:r>
      <w:r>
        <w:rPr>
          <w:rFonts w:ascii="Open Sans" w:eastAsia="Open Sans" w:hAnsi="Open Sans" w:cs="Open Sans"/>
          <w:color w:val="000000"/>
          <w:vertAlign w:val="superscript"/>
        </w:rPr>
        <w:t>2</w:t>
      </w:r>
      <w:r>
        <w:rPr>
          <w:rFonts w:ascii="Open Sans" w:eastAsia="Open Sans" w:hAnsi="Open Sans" w:cs="Open Sans"/>
          <w:color w:val="000000"/>
        </w:rPr>
        <w:t xml:space="preserve">, según los datos del informe de </w:t>
      </w:r>
      <w:r>
        <w:rPr>
          <w:rFonts w:ascii="Open Sans" w:eastAsia="Open Sans" w:hAnsi="Open Sans" w:cs="Open Sans"/>
          <w:b/>
          <w:color w:val="000000"/>
        </w:rPr>
        <w:t>“</w:t>
      </w:r>
      <w:r>
        <w:rPr>
          <w:rFonts w:ascii="Open Sans" w:eastAsia="Open Sans" w:hAnsi="Open Sans" w:cs="Open Sans"/>
          <w:b/>
          <w:i/>
          <w:color w:val="000000"/>
        </w:rPr>
        <w:t>La vivienda de segunda mano en 2021”</w:t>
      </w:r>
      <w:r>
        <w:rPr>
          <w:rFonts w:ascii="Open Sans" w:eastAsia="Open Sans" w:hAnsi="Open Sans" w:cs="Open Sans"/>
          <w:i/>
          <w:color w:val="000000"/>
        </w:rPr>
        <w:t xml:space="preserve"> </w:t>
      </w:r>
      <w:r>
        <w:rPr>
          <w:rFonts w:ascii="Open Sans" w:eastAsia="Open Sans" w:hAnsi="Open Sans" w:cs="Open Sans"/>
          <w:color w:val="000000"/>
        </w:rPr>
        <w:t>elaborado a partir</w:t>
      </w:r>
      <w:r>
        <w:rPr>
          <w:rFonts w:ascii="Open Sans" w:eastAsia="Open Sans" w:hAnsi="Open Sans" w:cs="Open Sans"/>
          <w:i/>
          <w:color w:val="000000"/>
        </w:rPr>
        <w:t xml:space="preserve"> </w:t>
      </w:r>
      <w:r>
        <w:rPr>
          <w:rFonts w:ascii="Open Sans" w:eastAsia="Open Sans" w:hAnsi="Open Sans" w:cs="Open Sans"/>
          <w:color w:val="000000"/>
        </w:rPr>
        <w:t>del</w:t>
      </w:r>
      <w:r>
        <w:rPr>
          <w:rFonts w:ascii="Open Sans" w:eastAsia="Open Sans" w:hAnsi="Open Sans" w:cs="Open Sans"/>
          <w:i/>
          <w:color w:val="000000"/>
        </w:rPr>
        <w:t xml:space="preserve"> </w:t>
      </w:r>
      <w:r>
        <w:rPr>
          <w:rFonts w:ascii="Open Sans" w:eastAsia="Open Sans" w:hAnsi="Open Sans" w:cs="Open Sans"/>
          <w:color w:val="000000"/>
        </w:rPr>
        <w:t xml:space="preserve">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xml:space="preserve">.  Así, la subida anual de este 2021 (1,7%) es la segunda registrada después del último descenso registrado en 2019 (-1,3%). </w:t>
      </w:r>
    </w:p>
    <w:p w14:paraId="0D9D05BB" w14:textId="77777777" w:rsidR="005B4627" w:rsidRDefault="005B4627">
      <w:pPr>
        <w:spacing w:line="276" w:lineRule="auto"/>
        <w:ind w:right="283"/>
        <w:jc w:val="both"/>
        <w:rPr>
          <w:rFonts w:ascii="Open Sans" w:eastAsia="Open Sans" w:hAnsi="Open Sans" w:cs="Open Sans"/>
          <w:color w:val="000000"/>
          <w:sz w:val="16"/>
          <w:szCs w:val="16"/>
        </w:rPr>
      </w:pPr>
    </w:p>
    <w:p w14:paraId="5BF18576" w14:textId="77777777" w:rsidR="005B4627" w:rsidRDefault="007F28F2">
      <w:pPr>
        <w:spacing w:line="276" w:lineRule="auto"/>
        <w:ind w:right="283"/>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anual del precio medio de la vivienda en España</w:t>
      </w:r>
    </w:p>
    <w:p w14:paraId="5B99F85A" w14:textId="77777777" w:rsidR="005B4627" w:rsidRDefault="005B4627">
      <w:pPr>
        <w:spacing w:line="276" w:lineRule="auto"/>
        <w:ind w:right="283"/>
        <w:rPr>
          <w:b/>
          <w:color w:val="1F3864"/>
          <w:sz w:val="20"/>
          <w:szCs w:val="20"/>
          <w:highlight w:val="yellow"/>
        </w:rPr>
      </w:pPr>
    </w:p>
    <w:p w14:paraId="3CD97188" w14:textId="77777777" w:rsidR="005B4627" w:rsidRDefault="007F28F2">
      <w:pPr>
        <w:spacing w:line="276" w:lineRule="auto"/>
        <w:ind w:right="283"/>
        <w:jc w:val="center"/>
        <w:rPr>
          <w:rFonts w:ascii="Open Sans" w:eastAsia="Open Sans" w:hAnsi="Open Sans" w:cs="Open Sans"/>
          <w:b/>
          <w:color w:val="000000"/>
        </w:rPr>
      </w:pPr>
      <w:r>
        <w:rPr>
          <w:noProof/>
        </w:rPr>
        <w:drawing>
          <wp:inline distT="0" distB="0" distL="0" distR="0" wp14:anchorId="254316DC" wp14:editId="19D0C86C">
            <wp:extent cx="4953000" cy="23241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E54A44" w14:textId="7207DA61" w:rsidR="005B4627" w:rsidRDefault="007F28F2">
      <w:pPr>
        <w:pBdr>
          <w:top w:val="nil"/>
          <w:left w:val="nil"/>
          <w:bottom w:val="nil"/>
          <w:right w:val="nil"/>
          <w:between w:val="nil"/>
        </w:pBdr>
        <w:spacing w:line="276" w:lineRule="auto"/>
        <w:ind w:right="283"/>
        <w:jc w:val="both"/>
        <w:rPr>
          <w:rFonts w:ascii="Open Sans" w:eastAsia="Open Sans" w:hAnsi="Open Sans" w:cs="Open Sans"/>
        </w:rPr>
      </w:pPr>
      <w:r>
        <w:rPr>
          <w:rFonts w:ascii="Open Sans" w:eastAsia="Open Sans" w:hAnsi="Open Sans" w:cs="Open Sans"/>
        </w:rPr>
        <w:lastRenderedPageBreak/>
        <w:t xml:space="preserve">“El precio de la vivienda de segunda mano se mantiene muy estable con respecto a 2020. Sigue una senda saludable y moderada teniendo en cuenta la cifra histórica de compraventas alcanzadas durante el año, resistiéndose a que la demanda empuje los precios al alza por encima del 2%. A lo largo del año ha ido presentando fluctuaciones en forma de aumentos, con un pico máximo del 2,9% y un mínimo del 0,3%. </w:t>
      </w:r>
      <w:r w:rsidR="00D2350A">
        <w:rPr>
          <w:rFonts w:ascii="Open Sans" w:eastAsia="Open Sans" w:hAnsi="Open Sans" w:cs="Open Sans"/>
        </w:rPr>
        <w:t>Concluimos,</w:t>
      </w:r>
      <w:r>
        <w:rPr>
          <w:rFonts w:ascii="Open Sans" w:eastAsia="Open Sans" w:hAnsi="Open Sans" w:cs="Open Sans"/>
        </w:rPr>
        <w:t xml:space="preserve"> por tanto, que es un gran dato de cierre de año, ya que el pronóstico para 2022, no es tan contenido y se prevé que el precio continúe al alza, incluso doblando el aumento alcanzado en 2021”, explica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w:t>
      </w:r>
    </w:p>
    <w:p w14:paraId="035F0712" w14:textId="77777777" w:rsidR="005B4627" w:rsidRDefault="005B4627">
      <w:pPr>
        <w:spacing w:line="276" w:lineRule="auto"/>
        <w:ind w:right="283"/>
        <w:rPr>
          <w:rFonts w:ascii="Open Sans Light" w:eastAsia="Open Sans Light" w:hAnsi="Open Sans Light" w:cs="Open Sans Light"/>
          <w:b/>
          <w:color w:val="303AB2"/>
          <w:sz w:val="28"/>
          <w:szCs w:val="28"/>
        </w:rPr>
      </w:pPr>
    </w:p>
    <w:p w14:paraId="6F9EF475" w14:textId="77777777" w:rsidR="005B4627" w:rsidRDefault="007F28F2">
      <w:pPr>
        <w:spacing w:line="276" w:lineRule="auto"/>
        <w:ind w:right="283"/>
      </w:pPr>
      <w:r>
        <w:rPr>
          <w:rFonts w:ascii="Open Sans Light" w:eastAsia="Open Sans Light" w:hAnsi="Open Sans Light" w:cs="Open Sans Light"/>
          <w:b/>
          <w:color w:val="303AB2"/>
          <w:sz w:val="28"/>
          <w:szCs w:val="28"/>
        </w:rPr>
        <w:t>Por Comunidades Autónomas</w:t>
      </w:r>
    </w:p>
    <w:p w14:paraId="4015322D" w14:textId="77777777" w:rsidR="005B4627" w:rsidRDefault="005B4627">
      <w:pPr>
        <w:spacing w:line="276" w:lineRule="auto"/>
        <w:ind w:right="283"/>
        <w:jc w:val="both"/>
        <w:rPr>
          <w:rFonts w:ascii="Open Sans" w:eastAsia="Open Sans" w:hAnsi="Open Sans" w:cs="Open Sans"/>
          <w:color w:val="000000"/>
        </w:rPr>
      </w:pPr>
    </w:p>
    <w:p w14:paraId="0832C3FD" w14:textId="77777777" w:rsidR="005B4627" w:rsidRDefault="007F28F2">
      <w:pPr>
        <w:spacing w:line="276" w:lineRule="auto"/>
        <w:ind w:right="283"/>
        <w:jc w:val="both"/>
        <w:rPr>
          <w:rFonts w:ascii="Open Sans" w:eastAsia="Open Sans" w:hAnsi="Open Sans" w:cs="Open Sans"/>
        </w:rPr>
      </w:pPr>
      <w:r>
        <w:rPr>
          <w:rFonts w:ascii="Open Sans" w:eastAsia="Open Sans" w:hAnsi="Open Sans" w:cs="Open Sans"/>
        </w:rPr>
        <w:t xml:space="preserve">El precio medio de la vivienda de segunda mano en España ha ido fluctuando a lo largo de 2021 hasta situarse en diciembre en los 1.907 euros/m² y nos devuelve a cifras de noviembre de 2012. </w:t>
      </w:r>
    </w:p>
    <w:p w14:paraId="1E957A02" w14:textId="77777777" w:rsidR="005B4627" w:rsidRDefault="005B4627">
      <w:pPr>
        <w:spacing w:line="276" w:lineRule="auto"/>
        <w:ind w:right="283"/>
        <w:jc w:val="both"/>
        <w:rPr>
          <w:rFonts w:ascii="Open Sans" w:eastAsia="Open Sans" w:hAnsi="Open Sans" w:cs="Open Sans"/>
          <w:color w:val="000000"/>
        </w:rPr>
      </w:pPr>
    </w:p>
    <w:p w14:paraId="677661EF" w14:textId="57F04673" w:rsidR="005B4627" w:rsidRDefault="007F28F2">
      <w:pPr>
        <w:spacing w:line="276" w:lineRule="auto"/>
        <w:ind w:right="283"/>
        <w:jc w:val="both"/>
        <w:rPr>
          <w:rFonts w:ascii="Open Sans" w:eastAsia="Open Sans" w:hAnsi="Open Sans" w:cs="Open Sans"/>
        </w:rPr>
      </w:pPr>
      <w:r>
        <w:rPr>
          <w:rFonts w:ascii="Open Sans" w:eastAsia="Open Sans" w:hAnsi="Open Sans" w:cs="Open Sans"/>
        </w:rPr>
        <w:t>A cierre de 2021, La Rioja</w:t>
      </w:r>
      <w:r w:rsidR="009B271B">
        <w:rPr>
          <w:rFonts w:ascii="Open Sans" w:eastAsia="Open Sans" w:hAnsi="Open Sans" w:cs="Open Sans"/>
        </w:rPr>
        <w:t xml:space="preserve"> es la comunidad que más incrementa el precio</w:t>
      </w:r>
      <w:r>
        <w:rPr>
          <w:rFonts w:ascii="Open Sans" w:eastAsia="Open Sans" w:hAnsi="Open Sans" w:cs="Open Sans"/>
        </w:rPr>
        <w:t xml:space="preserve"> (5,4%), seguido de Andalucía (3,9%), Baleares (3,4%), Aragón (3,3%), Cataluña (2,6%), Galicia (2,5%), Madrid (2,1%), Cantabria (1,9%), Castilla y León (0,9%), Canarias (0,9%) y Comunitat Valenciana (0,8%). En 2017 y 2018 en Baleares las subidas superaban los dos dígitos (15,1% y 10,4%); en 2019 el incremento anual no superó el 1% (apenas llegó al 0,3%); y en 2020 y 2021 las máximas subidas superaron el 5% de variación anual.  </w:t>
      </w:r>
    </w:p>
    <w:p w14:paraId="43980B67" w14:textId="77777777" w:rsidR="005B4627" w:rsidRDefault="005B4627">
      <w:pPr>
        <w:spacing w:line="276" w:lineRule="auto"/>
        <w:ind w:right="283"/>
        <w:jc w:val="both"/>
        <w:rPr>
          <w:rFonts w:ascii="Open Sans" w:eastAsia="Open Sans" w:hAnsi="Open Sans" w:cs="Open Sans"/>
        </w:rPr>
      </w:pPr>
    </w:p>
    <w:p w14:paraId="3AFA58BE" w14:textId="77777777" w:rsidR="005B4627" w:rsidRDefault="007F28F2">
      <w:pPr>
        <w:spacing w:line="276" w:lineRule="auto"/>
        <w:ind w:right="283"/>
        <w:jc w:val="both"/>
        <w:rPr>
          <w:rFonts w:ascii="Open Sans" w:eastAsia="Open Sans" w:hAnsi="Open Sans" w:cs="Open Sans"/>
        </w:rPr>
      </w:pPr>
      <w:r>
        <w:rPr>
          <w:rFonts w:ascii="Open Sans" w:eastAsia="Open Sans" w:hAnsi="Open Sans" w:cs="Open Sans"/>
        </w:rPr>
        <w:t xml:space="preserve">En el otro extremo, seis comunidades autónomas cierran el año con tasas anuales negativas. No obstante, son caídas leves comparadas con las registradas hace años. De hecho, hemos dejado atrás las caídas de dos dígitos que reinaron a cierre de 2012 y 2013. En este sentido, las caídas van desde el -0,3% de País Vasco al -4,9% de Navarra. </w:t>
      </w:r>
    </w:p>
    <w:p w14:paraId="312B4133" w14:textId="77777777" w:rsidR="005B4627" w:rsidRDefault="005B4627">
      <w:pPr>
        <w:spacing w:line="276" w:lineRule="auto"/>
        <w:ind w:right="283"/>
        <w:jc w:val="both"/>
        <w:rPr>
          <w:rFonts w:ascii="Open Sans" w:eastAsia="Open Sans" w:hAnsi="Open Sans" w:cs="Open Sans"/>
        </w:rPr>
      </w:pPr>
    </w:p>
    <w:p w14:paraId="637102A3" w14:textId="77777777" w:rsidR="005B4627" w:rsidRDefault="007F28F2">
      <w:pPr>
        <w:spacing w:line="276" w:lineRule="auto"/>
        <w:ind w:right="283"/>
        <w:jc w:val="both"/>
        <w:rPr>
          <w:rFonts w:ascii="Open Sans" w:eastAsia="Open Sans" w:hAnsi="Open Sans" w:cs="Open Sans"/>
        </w:rPr>
      </w:pPr>
      <w:r>
        <w:rPr>
          <w:rFonts w:ascii="Open Sans" w:eastAsia="Open Sans" w:hAnsi="Open Sans" w:cs="Open Sans"/>
        </w:rPr>
        <w:t>Así, Madrid, que supera los 3.000 euros/m² desde 2010, se sitúa en el primer puesto del ranking de los más caros con 3.123 euros/m². Le sigue Baleares con un precio medio en diciembre de 2021 de 2.890 euros/m², País Vasco con un precio medio de 2.882 euros/m² y Cataluña con un precio medio de 2.544 euros/m², como las cuatro comunidades que lideran el ranking con los precios más altos desde 2014.</w:t>
      </w:r>
    </w:p>
    <w:p w14:paraId="017F2181" w14:textId="77777777" w:rsidR="005B4627" w:rsidRDefault="005B4627">
      <w:pPr>
        <w:spacing w:line="276" w:lineRule="auto"/>
        <w:ind w:right="283"/>
        <w:jc w:val="both"/>
        <w:rPr>
          <w:rFonts w:ascii="Open Sans" w:eastAsia="Open Sans" w:hAnsi="Open Sans" w:cs="Open Sans"/>
        </w:rPr>
      </w:pPr>
    </w:p>
    <w:p w14:paraId="0534EFC3" w14:textId="77777777" w:rsidR="005B4627" w:rsidRDefault="007F28F2">
      <w:pPr>
        <w:spacing w:line="276" w:lineRule="auto"/>
        <w:ind w:right="283"/>
        <w:jc w:val="both"/>
        <w:rPr>
          <w:rFonts w:ascii="Open Sans" w:eastAsia="Open Sans" w:hAnsi="Open Sans" w:cs="Open Sans"/>
        </w:rPr>
      </w:pPr>
      <w:r>
        <w:rPr>
          <w:rFonts w:ascii="Open Sans" w:eastAsia="Open Sans" w:hAnsi="Open Sans" w:cs="Open Sans"/>
        </w:rPr>
        <w:lastRenderedPageBreak/>
        <w:t>Aunque los precios anteriormente mencionados son superiores a la media nacional de 1.907 euros/m², no todos ellos superan dicha media en la misma medida. Madrid supera a la media nacional en un 64%, Baleares en un 52%, País Vasco en un 51% y Cataluña en un 33%.</w:t>
      </w:r>
    </w:p>
    <w:p w14:paraId="5ADED186" w14:textId="77777777" w:rsidR="005B4627" w:rsidRDefault="005B4627">
      <w:pPr>
        <w:spacing w:line="276" w:lineRule="auto"/>
        <w:ind w:right="283"/>
        <w:jc w:val="both"/>
        <w:rPr>
          <w:rFonts w:ascii="Open Sans" w:eastAsia="Open Sans" w:hAnsi="Open Sans" w:cs="Open Sans"/>
        </w:rPr>
      </w:pPr>
    </w:p>
    <w:p w14:paraId="3118E42B" w14:textId="77777777" w:rsidR="005B4627" w:rsidRDefault="007F28F2">
      <w:pPr>
        <w:spacing w:line="276" w:lineRule="auto"/>
        <w:ind w:right="283"/>
        <w:jc w:val="both"/>
        <w:rPr>
          <w:rFonts w:ascii="Open Sans" w:eastAsia="Open Sans" w:hAnsi="Open Sans" w:cs="Open Sans"/>
        </w:rPr>
      </w:pPr>
      <w:r>
        <w:rPr>
          <w:rFonts w:ascii="Open Sans" w:eastAsia="Open Sans" w:hAnsi="Open Sans" w:cs="Open Sans"/>
        </w:rPr>
        <w:t>A cierre de 2021 (y como los últimos seis años), cuatro de las 17 comunidades autónomas superan el precio medio de la vivienda de segunda mano de 2.000 euros/m², cuando en 2005, eran 14; en 2010 eran diez y en 2015 eran tan solo tres comunidades las que superaban dicha cifra.</w:t>
      </w:r>
    </w:p>
    <w:p w14:paraId="22F62216" w14:textId="77777777" w:rsidR="005B4627" w:rsidRDefault="005B4627">
      <w:pPr>
        <w:spacing w:line="276" w:lineRule="auto"/>
        <w:ind w:right="283"/>
        <w:jc w:val="both"/>
        <w:rPr>
          <w:rFonts w:ascii="Open Sans" w:eastAsia="Open Sans" w:hAnsi="Open Sans" w:cs="Open Sans"/>
          <w:color w:val="000000"/>
        </w:rPr>
      </w:pPr>
    </w:p>
    <w:p w14:paraId="57865F03" w14:textId="77777777" w:rsidR="005B4627" w:rsidRDefault="007F28F2">
      <w:pPr>
        <w:pBdr>
          <w:top w:val="nil"/>
          <w:left w:val="nil"/>
          <w:bottom w:val="nil"/>
          <w:right w:val="nil"/>
          <w:between w:val="nil"/>
        </w:pBdr>
        <w:shd w:val="clear" w:color="auto" w:fill="FFFFFF"/>
        <w:spacing w:before="280" w:after="280" w:line="276" w:lineRule="auto"/>
        <w:ind w:right="283"/>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Variación anual 2021 por comunidades autónomas </w:t>
      </w:r>
    </w:p>
    <w:p w14:paraId="58F7D8B2" w14:textId="77777777" w:rsidR="005B4627" w:rsidRDefault="007F28F2">
      <w:pPr>
        <w:pBdr>
          <w:top w:val="nil"/>
          <w:left w:val="nil"/>
          <w:bottom w:val="nil"/>
          <w:right w:val="nil"/>
          <w:between w:val="nil"/>
        </w:pBdr>
        <w:shd w:val="clear" w:color="auto" w:fill="FFFFFF"/>
        <w:spacing w:before="280" w:after="280" w:line="276" w:lineRule="auto"/>
        <w:ind w:right="283"/>
        <w:jc w:val="both"/>
        <w:rPr>
          <w:rFonts w:ascii="Open Sans Light" w:eastAsia="Open Sans Light" w:hAnsi="Open Sans Light" w:cs="Open Sans Light"/>
          <w:b/>
          <w:color w:val="303AB2"/>
          <w:sz w:val="28"/>
          <w:szCs w:val="28"/>
        </w:rPr>
      </w:pPr>
      <w:r>
        <w:rPr>
          <w:rFonts w:ascii="Times New Roman" w:eastAsia="Times New Roman" w:hAnsi="Times New Roman" w:cs="Times New Roman"/>
          <w:noProof/>
          <w:color w:val="000000"/>
        </w:rPr>
        <w:drawing>
          <wp:inline distT="0" distB="0" distL="0" distR="0" wp14:anchorId="79A58A2F" wp14:editId="5EB31AB1">
            <wp:extent cx="5724525" cy="245745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410001" w14:textId="77777777" w:rsidR="005B4627" w:rsidRDefault="007F28F2">
      <w:pPr>
        <w:pBdr>
          <w:top w:val="nil"/>
          <w:left w:val="nil"/>
          <w:bottom w:val="nil"/>
          <w:right w:val="nil"/>
          <w:between w:val="nil"/>
        </w:pBdr>
        <w:shd w:val="clear" w:color="auto" w:fill="FFFFFF"/>
        <w:spacing w:before="280" w:after="280" w:line="276" w:lineRule="auto"/>
        <w:ind w:right="283"/>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provincias</w:t>
      </w:r>
    </w:p>
    <w:p w14:paraId="53A9E9F3" w14:textId="77777777" w:rsidR="005B4627" w:rsidRDefault="007F28F2">
      <w:pPr>
        <w:spacing w:line="276" w:lineRule="auto"/>
        <w:ind w:right="283"/>
        <w:jc w:val="both"/>
        <w:rPr>
          <w:rFonts w:ascii="Open Sans" w:eastAsia="Open Sans" w:hAnsi="Open Sans" w:cs="Open Sans"/>
        </w:rPr>
      </w:pPr>
      <w:bookmarkStart w:id="1" w:name="_heading=h.30j0zll" w:colFirst="0" w:colLast="0"/>
      <w:bookmarkEnd w:id="1"/>
      <w:r>
        <w:rPr>
          <w:rFonts w:ascii="Open Sans" w:eastAsia="Open Sans" w:hAnsi="Open Sans" w:cs="Open Sans"/>
        </w:rPr>
        <w:t>A cierre de 2021 son 34 las provincias que suben el precio, es decir, el 68% de las provincias españolas suben los precios respecto al año anterior. Málaga es la que más incrementa, en concreto un 9%, seguida de Huesca (8,5%), Girona (6,6%), Lugo (6,1%), Pontevedra (5,9%), La Rioja (5,4%), Santa Cruz de Tenerife (5,2%), Tarragona (4,6%), Valladolid (3,5%) y Illes Balears (3,4%). Por otro lado, el descenso anual más acusado de 2021 es el de la provincia de Jaén con un -5,7%.</w:t>
      </w:r>
    </w:p>
    <w:p w14:paraId="3880E2F9" w14:textId="77777777" w:rsidR="005B4627" w:rsidRDefault="005B4627">
      <w:pPr>
        <w:spacing w:line="276" w:lineRule="auto"/>
        <w:ind w:right="283"/>
        <w:jc w:val="both"/>
        <w:rPr>
          <w:rFonts w:ascii="Open Sans" w:eastAsia="Open Sans" w:hAnsi="Open Sans" w:cs="Open Sans"/>
        </w:rPr>
      </w:pPr>
    </w:p>
    <w:p w14:paraId="4390402D" w14:textId="77777777" w:rsidR="005B4627" w:rsidRDefault="007F28F2">
      <w:pPr>
        <w:spacing w:line="276" w:lineRule="auto"/>
        <w:ind w:right="283"/>
        <w:jc w:val="both"/>
        <w:rPr>
          <w:rFonts w:ascii="Open Sans" w:eastAsia="Open Sans" w:hAnsi="Open Sans" w:cs="Open Sans"/>
        </w:rPr>
      </w:pPr>
      <w:r>
        <w:rPr>
          <w:rFonts w:ascii="Open Sans" w:eastAsia="Open Sans" w:hAnsi="Open Sans" w:cs="Open Sans"/>
        </w:rPr>
        <w:t xml:space="preserve">Las cinco provincias españolas con el precio medio de la vivienda más elevado en 2021 serían las mismas desde hace cinco años, aunque el orden haya cambiado. De esta manera, Madrid vuelve a ocupar el primer lugar en el ranking de precios provinciales y se sitúa en 3.123 euros/m². Gipuzkoa con 3.103 se coloca en el segundo puesto de las provincias más caras para comprar una vivienda en 2021. Le </w:t>
      </w:r>
      <w:r>
        <w:rPr>
          <w:rFonts w:ascii="Open Sans" w:eastAsia="Open Sans" w:hAnsi="Open Sans" w:cs="Open Sans"/>
        </w:rPr>
        <w:lastRenderedPageBreak/>
        <w:t>sigue Barcelona, en el tercer puesto por segundo año consecutivo con 2.955 euros/m².</w:t>
      </w:r>
    </w:p>
    <w:p w14:paraId="1A4D75C7" w14:textId="77777777" w:rsidR="005B4627" w:rsidRDefault="007F28F2">
      <w:pPr>
        <w:pBdr>
          <w:top w:val="nil"/>
          <w:left w:val="nil"/>
          <w:bottom w:val="nil"/>
          <w:right w:val="nil"/>
          <w:between w:val="nil"/>
        </w:pBdr>
        <w:shd w:val="clear" w:color="auto" w:fill="FFFFFF"/>
        <w:spacing w:before="280" w:after="280" w:line="276" w:lineRule="auto"/>
        <w:ind w:right="283"/>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Variación anual por provincias </w:t>
      </w:r>
    </w:p>
    <w:p w14:paraId="28AC0DE3" w14:textId="77777777" w:rsidR="005B4627" w:rsidRDefault="007F28F2">
      <w:pPr>
        <w:spacing w:line="276" w:lineRule="auto"/>
        <w:ind w:right="283"/>
        <w:jc w:val="both"/>
      </w:pPr>
      <w:r>
        <w:rPr>
          <w:noProof/>
        </w:rPr>
        <w:drawing>
          <wp:inline distT="0" distB="0" distL="0" distR="0" wp14:anchorId="1813EE9E" wp14:editId="4FB5CF9B">
            <wp:extent cx="5845701" cy="4324994"/>
            <wp:effectExtent l="0" t="0" r="0" b="0"/>
            <wp:docPr id="10" name="image3.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10;&#10;Descripción generada automáticamente"/>
                    <pic:cNvPicPr preferRelativeResize="0"/>
                  </pic:nvPicPr>
                  <pic:blipFill>
                    <a:blip r:embed="rId13"/>
                    <a:srcRect/>
                    <a:stretch>
                      <a:fillRect/>
                    </a:stretch>
                  </pic:blipFill>
                  <pic:spPr>
                    <a:xfrm>
                      <a:off x="0" y="0"/>
                      <a:ext cx="5845701" cy="4324994"/>
                    </a:xfrm>
                    <a:prstGeom prst="rect">
                      <a:avLst/>
                    </a:prstGeom>
                    <a:ln/>
                  </pic:spPr>
                </pic:pic>
              </a:graphicData>
            </a:graphic>
          </wp:inline>
        </w:drawing>
      </w:r>
    </w:p>
    <w:p w14:paraId="6B9D98F3" w14:textId="77777777" w:rsidR="005B4627" w:rsidRDefault="005B4627">
      <w:pPr>
        <w:spacing w:line="276" w:lineRule="auto"/>
        <w:ind w:right="283"/>
        <w:jc w:val="both"/>
      </w:pPr>
    </w:p>
    <w:p w14:paraId="18019A2A" w14:textId="77777777" w:rsidR="005B4627" w:rsidRDefault="007F28F2">
      <w:pPr>
        <w:spacing w:line="276" w:lineRule="auto"/>
        <w:ind w:right="283"/>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municipios</w:t>
      </w:r>
    </w:p>
    <w:p w14:paraId="108408B7" w14:textId="77777777" w:rsidR="005B4627" w:rsidRDefault="007F28F2">
      <w:pPr>
        <w:pBdr>
          <w:top w:val="nil"/>
          <w:left w:val="nil"/>
          <w:bottom w:val="nil"/>
          <w:right w:val="nil"/>
          <w:between w:val="nil"/>
        </w:pBdr>
        <w:shd w:val="clear" w:color="auto" w:fill="FFFFFF"/>
        <w:spacing w:before="280" w:after="280" w:line="276" w:lineRule="auto"/>
        <w:ind w:right="283"/>
        <w:jc w:val="both"/>
        <w:rPr>
          <w:rFonts w:ascii="Open Sans" w:eastAsia="Open Sans" w:hAnsi="Open Sans" w:cs="Open Sans"/>
          <w:color w:val="000000"/>
        </w:rPr>
      </w:pPr>
      <w:r>
        <w:rPr>
          <w:rFonts w:ascii="Open Sans" w:eastAsia="Open Sans" w:hAnsi="Open Sans" w:cs="Open Sans"/>
          <w:color w:val="000000"/>
        </w:rPr>
        <w:t xml:space="preserve">El precio de la vivienda de segunda mano sube en el 62% de los municipios de España con variación anual en 2021. La subida más destacada se produce en Rafelbuñol / Rafelbunyol, en Valencia, que aumenta un 36,4%; seguido de La Seu d'Urgell (Lleida) sube un 36,1%; Albox (Almería) sube un 33,6% y Náquera (Valencia) incrementa el precio un 29,3%. </w:t>
      </w:r>
    </w:p>
    <w:p w14:paraId="344F0496" w14:textId="77777777" w:rsidR="005B4627" w:rsidRDefault="007F28F2">
      <w:pPr>
        <w:pBdr>
          <w:top w:val="nil"/>
          <w:left w:val="nil"/>
          <w:bottom w:val="nil"/>
          <w:right w:val="nil"/>
          <w:between w:val="nil"/>
        </w:pBdr>
        <w:shd w:val="clear" w:color="auto" w:fill="FFFFFF"/>
        <w:spacing w:before="280" w:after="280" w:line="276" w:lineRule="auto"/>
        <w:ind w:right="283"/>
        <w:jc w:val="both"/>
        <w:rPr>
          <w:rFonts w:ascii="Open Sans" w:eastAsia="Open Sans" w:hAnsi="Open Sans" w:cs="Open Sans"/>
          <w:color w:val="000000"/>
        </w:rPr>
      </w:pPr>
      <w:r>
        <w:rPr>
          <w:rFonts w:ascii="Open Sans" w:eastAsia="Open Sans" w:hAnsi="Open Sans" w:cs="Open Sans"/>
          <w:color w:val="000000"/>
        </w:rPr>
        <w:t xml:space="preserve">En cuanto a las caídas más destacadas a cierre de 2021, destacan los descensos de San Roque (Cádiz) que cae un -51%, Esplugues de Llobregat en Barcelona (-33,2%), Cartaya en Huelva (-30,8%), L'Olleria, en Valencia (-30,5%) y Lepe, en Huelva (-29,8%), entre otros municipios. </w:t>
      </w:r>
    </w:p>
    <w:p w14:paraId="566FB97F" w14:textId="77777777" w:rsidR="005B4627" w:rsidRDefault="007F28F2">
      <w:pPr>
        <w:spacing w:line="276" w:lineRule="auto"/>
        <w:ind w:right="283"/>
        <w:jc w:val="both"/>
        <w:rPr>
          <w:rFonts w:ascii="Open Sans" w:eastAsia="Open Sans" w:hAnsi="Open Sans" w:cs="Open Sans"/>
          <w:color w:val="000000"/>
        </w:rPr>
      </w:pPr>
      <w:r>
        <w:rPr>
          <w:rFonts w:ascii="Open Sans" w:eastAsia="Open Sans" w:hAnsi="Open Sans" w:cs="Open Sans"/>
          <w:color w:val="000000"/>
        </w:rPr>
        <w:lastRenderedPageBreak/>
        <w:t xml:space="preserve">En cuanto al precio, Donostia - San Sebastián es el municipio más caro con 5.511 euros/m². Le siguen Eivissa (5.128 euros/m²), La Moraleja (5.002 euros/m²) y Santa Eulària des Riu (4.675 euros/m²). </w:t>
      </w:r>
    </w:p>
    <w:p w14:paraId="172C1029" w14:textId="77777777" w:rsidR="005B4627" w:rsidRDefault="007F28F2">
      <w:pPr>
        <w:spacing w:line="276" w:lineRule="auto"/>
        <w:ind w:right="283"/>
        <w:jc w:val="both"/>
        <w:rPr>
          <w:rFonts w:ascii="Open Sans" w:eastAsia="Open Sans" w:hAnsi="Open Sans" w:cs="Open Sans"/>
          <w:color w:val="000000"/>
        </w:rPr>
      </w:pPr>
      <w:r>
        <w:rPr>
          <w:rFonts w:ascii="Open Sans" w:eastAsia="Open Sans" w:hAnsi="Open Sans" w:cs="Open Sans"/>
          <w:color w:val="000000"/>
        </w:rPr>
        <w:t>En el otro extremo, Corbera es el municipio más barato para comprar una vivienda de segunda mano. En concreto cuesta 590 euros/m², seguido de Calasparra en Murcia (595 euros/m²), Malagón en Ciudad Real (604 euros/m²), L'Olleria en Valencia (611 euros/m²) y Sant Joan de Moró en Castellón (643 euros/m²).</w:t>
      </w:r>
    </w:p>
    <w:p w14:paraId="1074B244" w14:textId="77777777" w:rsidR="005B4627" w:rsidRDefault="007F28F2">
      <w:pPr>
        <w:pBdr>
          <w:top w:val="nil"/>
          <w:left w:val="nil"/>
          <w:bottom w:val="nil"/>
          <w:right w:val="nil"/>
          <w:between w:val="nil"/>
        </w:pBdr>
        <w:spacing w:before="280" w:after="280" w:line="276" w:lineRule="auto"/>
        <w:ind w:right="283"/>
        <w:jc w:val="both"/>
        <w:rPr>
          <w:rFonts w:ascii="Open Sans Light" w:eastAsia="Open Sans Light" w:hAnsi="Open Sans Light" w:cs="Open Sans Light"/>
          <w:b/>
          <w:color w:val="303AB2"/>
          <w:sz w:val="28"/>
          <w:szCs w:val="28"/>
        </w:rPr>
      </w:pPr>
      <w:r>
        <w:rPr>
          <w:rFonts w:ascii="Times New Roman" w:eastAsia="Times New Roman" w:hAnsi="Times New Roman" w:cs="Times New Roman"/>
          <w:noProof/>
          <w:color w:val="000000"/>
        </w:rPr>
        <w:drawing>
          <wp:inline distT="0" distB="0" distL="0" distR="0" wp14:anchorId="0CEA4D98" wp14:editId="13AF835C">
            <wp:extent cx="5801559" cy="3553711"/>
            <wp:effectExtent l="0" t="0" r="0" b="0"/>
            <wp:docPr id="9" name="image1.png" descr="Interfaz de usuario gráfica, 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Gráfico, Gráfico de barras&#10;&#10;Descripción generada automáticamente"/>
                    <pic:cNvPicPr preferRelativeResize="0"/>
                  </pic:nvPicPr>
                  <pic:blipFill>
                    <a:blip r:embed="rId14"/>
                    <a:srcRect/>
                    <a:stretch>
                      <a:fillRect/>
                    </a:stretch>
                  </pic:blipFill>
                  <pic:spPr>
                    <a:xfrm>
                      <a:off x="0" y="0"/>
                      <a:ext cx="5801559" cy="3553711"/>
                    </a:xfrm>
                    <a:prstGeom prst="rect">
                      <a:avLst/>
                    </a:prstGeom>
                    <a:ln/>
                  </pic:spPr>
                </pic:pic>
              </a:graphicData>
            </a:graphic>
          </wp:inline>
        </w:drawing>
      </w:r>
    </w:p>
    <w:p w14:paraId="67E7851C" w14:textId="77777777" w:rsidR="005B4627" w:rsidRDefault="007F28F2">
      <w:pPr>
        <w:pBdr>
          <w:top w:val="nil"/>
          <w:left w:val="nil"/>
          <w:bottom w:val="nil"/>
          <w:right w:val="nil"/>
          <w:between w:val="nil"/>
        </w:pBdr>
        <w:spacing w:before="280" w:after="280" w:line="276" w:lineRule="auto"/>
        <w:ind w:right="283"/>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distritos</w:t>
      </w:r>
    </w:p>
    <w:p w14:paraId="37EA7C08" w14:textId="77777777" w:rsidR="005B4627" w:rsidRDefault="007F28F2">
      <w:pPr>
        <w:spacing w:line="276" w:lineRule="auto"/>
        <w:ind w:right="283"/>
        <w:jc w:val="both"/>
        <w:rPr>
          <w:rFonts w:ascii="Open Sans" w:eastAsia="Open Sans" w:hAnsi="Open Sans" w:cs="Open Sans"/>
        </w:rPr>
      </w:pPr>
      <w:r>
        <w:rPr>
          <w:rFonts w:ascii="Open Sans" w:eastAsia="Open Sans" w:hAnsi="Open Sans" w:cs="Open Sans"/>
          <w:b/>
          <w:color w:val="000000"/>
        </w:rPr>
        <w:t>En cuanto a Madrid capital</w:t>
      </w:r>
      <w:r>
        <w:rPr>
          <w:rFonts w:ascii="Open Sans" w:eastAsia="Open Sans" w:hAnsi="Open Sans" w:cs="Open Sans"/>
          <w:color w:val="000000"/>
        </w:rPr>
        <w:t xml:space="preserve">, </w:t>
      </w:r>
      <w:r>
        <w:rPr>
          <w:rFonts w:ascii="Open Sans" w:eastAsia="Open Sans" w:hAnsi="Open Sans" w:cs="Open Sans"/>
        </w:rPr>
        <w:t>casi todos los distritos superan el precio medio de la vivienda a nivel nacional, establecido a finales de año en 1.907 euros/m². La mayor diferencia de este precio medio con el más caro en la capital se produce en el distrito de Salamanca, que es superior a la media nacional en un 242%, al situar el precio medio en 6.520 euros/m².</w:t>
      </w:r>
    </w:p>
    <w:p w14:paraId="39A51839" w14:textId="77777777" w:rsidR="005B4627" w:rsidRDefault="005B4627">
      <w:pPr>
        <w:spacing w:line="276" w:lineRule="auto"/>
        <w:ind w:right="283"/>
        <w:jc w:val="both"/>
        <w:rPr>
          <w:rFonts w:ascii="Open Sans" w:eastAsia="Open Sans" w:hAnsi="Open Sans" w:cs="Open Sans"/>
        </w:rPr>
      </w:pPr>
    </w:p>
    <w:p w14:paraId="0D9F09F8" w14:textId="77777777" w:rsidR="005B4627" w:rsidRDefault="007F28F2">
      <w:pPr>
        <w:spacing w:line="276" w:lineRule="auto"/>
        <w:jc w:val="both"/>
        <w:rPr>
          <w:rFonts w:ascii="Open Sans" w:eastAsia="Open Sans" w:hAnsi="Open Sans" w:cs="Open Sans"/>
          <w:color w:val="000000"/>
        </w:rPr>
      </w:pPr>
      <w:r>
        <w:rPr>
          <w:rFonts w:ascii="Open Sans" w:eastAsia="Open Sans" w:hAnsi="Open Sans" w:cs="Open Sans"/>
          <w:color w:val="000000"/>
        </w:rPr>
        <w:t>Así, el incremento anual más significativo se produce en el distrito de Vicálvaro (8,1%), seguido de Fuencarral (7,6%), Chamartín (6,8%), Usera (6,4%), Barrio de Salamanca (6,2%), Ciudad Lineal (5,0 %), Puente de Vallecas (4,5%), Villa de Vallecas (3,6%), San Blas (3,4%), Hortaleza (3,1%), Latina (2,9%), Retiro (2,5%), Chamberí (2,5%), Tetuán (2,3%), Barajas (2,2%), Moratalaz (2,0%), Arganzuela (1,7%), Moncloa – Aravaca (1,5%) y Centro (0,6%).</w:t>
      </w:r>
    </w:p>
    <w:p w14:paraId="294E189B" w14:textId="77777777" w:rsidR="005B4627" w:rsidRDefault="005B4627">
      <w:pPr>
        <w:spacing w:line="276" w:lineRule="auto"/>
        <w:ind w:right="283"/>
        <w:jc w:val="both"/>
        <w:rPr>
          <w:rFonts w:ascii="Open Sans" w:eastAsia="Open Sans" w:hAnsi="Open Sans" w:cs="Open Sans"/>
          <w:color w:val="000000"/>
        </w:rPr>
      </w:pPr>
    </w:p>
    <w:p w14:paraId="3412BDEA" w14:textId="77777777" w:rsidR="005B4627" w:rsidRDefault="007F28F2">
      <w:pPr>
        <w:spacing w:line="276" w:lineRule="auto"/>
        <w:jc w:val="both"/>
        <w:rPr>
          <w:rFonts w:ascii="Open Sans" w:eastAsia="Open Sans" w:hAnsi="Open Sans" w:cs="Open Sans"/>
          <w:color w:val="000000"/>
        </w:rPr>
      </w:pPr>
      <w:r>
        <w:rPr>
          <w:rFonts w:ascii="Open Sans" w:eastAsia="Open Sans" w:hAnsi="Open Sans" w:cs="Open Sans"/>
          <w:color w:val="000000"/>
        </w:rPr>
        <w:t>Los cinco distritos madrileños con el precio medio de la vivienda más elevado en 2021 son los mismos desde hace siete años. En cuanto a los precios, el distrito de Salamanca sigue encabezando la lista de la capital como distrito más caro para comprar una vivienda, cuyo precio medio se sitúa en diciembre en 6.520 €/m² después de subir anualmente un 6,2%. Le sigue como segundo más caro el distrito de Chamberí, cuyo precio medio se sitúa a diciembre de 2021 en 5.567 €/m². En tercera y cuarta posición se encuentra el distrito de Chamartín (5.546 €/m²) y Centro (5.246 €/m²).</w:t>
      </w:r>
    </w:p>
    <w:p w14:paraId="4E0C780C" w14:textId="77777777" w:rsidR="005B4627" w:rsidRDefault="005B4627">
      <w:pPr>
        <w:spacing w:line="276" w:lineRule="auto"/>
        <w:jc w:val="both"/>
        <w:rPr>
          <w:rFonts w:ascii="Open Sans" w:eastAsia="Open Sans" w:hAnsi="Open Sans" w:cs="Open Sans"/>
          <w:color w:val="000000"/>
        </w:rPr>
      </w:pPr>
    </w:p>
    <w:p w14:paraId="4F664D7C" w14:textId="52A6F49B" w:rsidR="005B4627" w:rsidRDefault="007F28F2">
      <w:pPr>
        <w:spacing w:line="276" w:lineRule="auto"/>
        <w:jc w:val="both"/>
        <w:rPr>
          <w:rFonts w:ascii="Open Sans" w:eastAsia="Open Sans" w:hAnsi="Open Sans" w:cs="Open Sans"/>
          <w:color w:val="000000"/>
        </w:rPr>
      </w:pPr>
      <w:r>
        <w:rPr>
          <w:rFonts w:ascii="Open Sans" w:eastAsia="Open Sans" w:hAnsi="Open Sans" w:cs="Open Sans"/>
          <w:color w:val="000000"/>
        </w:rPr>
        <w:t xml:space="preserve">En el otro extremo, Villaverde es el barrio más económico con un valor medio de la vivienda de 1.748 €/m² y registra un descenso en el precio de la vivienda de un -6,2% respecto a 2020. Le sigue el distrito de Puente de Vallecas (2.075 €/m²), Usera (2.152 €/m²) y Carabanchel (2.277 €/m²). En 2021, en cuanto a la variación acumulada desde el precio máximo registrado, nueve de los 21 distritos de Madrid superaron sus precios ese año. </w:t>
      </w:r>
    </w:p>
    <w:p w14:paraId="22B761D2" w14:textId="77777777" w:rsidR="005B4627" w:rsidRDefault="005B4627">
      <w:pPr>
        <w:spacing w:line="276" w:lineRule="auto"/>
        <w:ind w:right="283"/>
        <w:jc w:val="both"/>
        <w:rPr>
          <w:rFonts w:ascii="Open Sans" w:eastAsia="Open Sans" w:hAnsi="Open Sans" w:cs="Open Sans"/>
          <w:b/>
          <w:color w:val="000000"/>
        </w:rPr>
      </w:pPr>
    </w:p>
    <w:p w14:paraId="70306B9C" w14:textId="77777777" w:rsidR="005B4627" w:rsidRDefault="007F28F2">
      <w:pPr>
        <w:spacing w:line="276" w:lineRule="auto"/>
        <w:ind w:right="283"/>
        <w:jc w:val="both"/>
        <w:rPr>
          <w:rFonts w:ascii="Open Sans" w:eastAsia="Open Sans" w:hAnsi="Open Sans" w:cs="Open Sans"/>
          <w:color w:val="000000"/>
        </w:rPr>
      </w:pPr>
      <w:r>
        <w:rPr>
          <w:rFonts w:ascii="Open Sans" w:eastAsia="Open Sans" w:hAnsi="Open Sans" w:cs="Open Sans"/>
          <w:b/>
          <w:color w:val="000000"/>
        </w:rPr>
        <w:t xml:space="preserve">En cuanto a Barcelona capital, </w:t>
      </w:r>
      <w:r>
        <w:rPr>
          <w:rFonts w:ascii="Open Sans" w:eastAsia="Open Sans" w:hAnsi="Open Sans" w:cs="Open Sans"/>
          <w:color w:val="000000"/>
        </w:rPr>
        <w:t>son 10 los distritos estudiados en el presente informe. Todos los distritos de la ciudad condal superan el precio medio de la vivienda a nivel nacional, establecido a finales de año en 1.907 euros/m². La diferencia entre este precio medio y el más caro en Barcelona se produce en el distrito de Sarrià – Sant Gervasi que es superior a la media nacional en un 203%, y se sitúa en los 5.773 euros/m².</w:t>
      </w:r>
    </w:p>
    <w:p w14:paraId="0C9D33F7" w14:textId="77777777" w:rsidR="005B4627" w:rsidRDefault="005B4627">
      <w:pPr>
        <w:spacing w:line="276" w:lineRule="auto"/>
        <w:ind w:right="283"/>
        <w:jc w:val="both"/>
        <w:rPr>
          <w:rFonts w:ascii="Open Sans" w:eastAsia="Open Sans" w:hAnsi="Open Sans" w:cs="Open Sans"/>
          <w:color w:val="000000"/>
        </w:rPr>
      </w:pPr>
    </w:p>
    <w:p w14:paraId="05DF3A9D" w14:textId="77777777" w:rsidR="005B4627" w:rsidRDefault="007F28F2">
      <w:pPr>
        <w:spacing w:line="276" w:lineRule="auto"/>
        <w:ind w:right="283"/>
        <w:jc w:val="both"/>
        <w:rPr>
          <w:rFonts w:ascii="Open Sans" w:eastAsia="Open Sans" w:hAnsi="Open Sans" w:cs="Open Sans"/>
          <w:color w:val="000000"/>
        </w:rPr>
      </w:pPr>
      <w:r>
        <w:rPr>
          <w:rFonts w:ascii="Open Sans" w:eastAsia="Open Sans" w:hAnsi="Open Sans" w:cs="Open Sans"/>
          <w:color w:val="000000"/>
        </w:rPr>
        <w:t xml:space="preserve">En lo referente a la variación anual del precio se puede observar, al concluir el año 2021, que el precio cae en ocho distritos de la ciudad condal. Vuelven los descensos del año 2013 con fuerza, llegando a contabilizarse seis distritos con datos negativos en 2020 también. Cabe destacar que en menos de seis años el panorama ha cambiado por completo en Barcelona: a finales de 2013 descendía el precio en nueve distritos, en 2014 lo hizo en cuatro y en 2015 tan solo uno. En 2016 y 2017, en ningún distrito se localizó variaciones anuales negativas, aunque en 2018 y 2019 apenas dos distritos descendieron.   </w:t>
      </w:r>
    </w:p>
    <w:p w14:paraId="5FD84F22" w14:textId="77777777" w:rsidR="005B4627" w:rsidRDefault="005B4627">
      <w:pPr>
        <w:spacing w:line="276" w:lineRule="auto"/>
        <w:ind w:right="283"/>
        <w:jc w:val="both"/>
        <w:rPr>
          <w:rFonts w:ascii="Open Sans" w:eastAsia="Open Sans" w:hAnsi="Open Sans" w:cs="Open Sans"/>
          <w:color w:val="000000"/>
        </w:rPr>
      </w:pPr>
    </w:p>
    <w:p w14:paraId="0860AABD" w14:textId="77777777" w:rsidR="005B4627" w:rsidRDefault="007F28F2">
      <w:pPr>
        <w:spacing w:line="276" w:lineRule="auto"/>
        <w:ind w:right="283"/>
        <w:jc w:val="both"/>
        <w:rPr>
          <w:rFonts w:ascii="Open Sans" w:eastAsia="Open Sans" w:hAnsi="Open Sans" w:cs="Open Sans"/>
          <w:color w:val="000000"/>
        </w:rPr>
      </w:pPr>
      <w:r>
        <w:rPr>
          <w:rFonts w:ascii="Open Sans" w:eastAsia="Open Sans" w:hAnsi="Open Sans" w:cs="Open Sans"/>
          <w:color w:val="000000"/>
        </w:rPr>
        <w:t>Las variaciones negativas anuales van desde el -1,5% de Sarrià - Sant Gervasi al -4% de Sants - Montjuïc. En cuanto a los distritos con incrementos anuales, Eixample ha subido un 3,8% y Gràcia un 2,1%.</w:t>
      </w:r>
    </w:p>
    <w:p w14:paraId="7F82D0E6" w14:textId="77777777" w:rsidR="005B4627" w:rsidRDefault="005B4627">
      <w:pPr>
        <w:spacing w:line="276" w:lineRule="auto"/>
        <w:ind w:right="283"/>
        <w:jc w:val="both"/>
        <w:rPr>
          <w:rFonts w:ascii="Open Sans" w:eastAsia="Open Sans" w:hAnsi="Open Sans" w:cs="Open Sans"/>
          <w:color w:val="000000"/>
        </w:rPr>
      </w:pPr>
    </w:p>
    <w:p w14:paraId="58950941" w14:textId="77777777" w:rsidR="005B4627" w:rsidRDefault="007F28F2">
      <w:pPr>
        <w:spacing w:line="276" w:lineRule="auto"/>
        <w:ind w:right="283"/>
        <w:jc w:val="both"/>
        <w:rPr>
          <w:rFonts w:ascii="Open Sans" w:eastAsia="Open Sans" w:hAnsi="Open Sans" w:cs="Open Sans"/>
          <w:color w:val="000000"/>
        </w:rPr>
      </w:pPr>
      <w:r>
        <w:rPr>
          <w:rFonts w:ascii="Open Sans" w:eastAsia="Open Sans" w:hAnsi="Open Sans" w:cs="Open Sans"/>
          <w:color w:val="000000"/>
        </w:rPr>
        <w:t>A cierre de 2021, los tres distritos más caros de la capital catalana han superado los 5.000 €/m</w:t>
      </w:r>
      <w:r>
        <w:rPr>
          <w:rFonts w:ascii="Open Sans" w:eastAsia="Open Sans" w:hAnsi="Open Sans" w:cs="Open Sans"/>
          <w:color w:val="000000"/>
          <w:vertAlign w:val="superscript"/>
        </w:rPr>
        <w:t>2</w:t>
      </w:r>
      <w:r>
        <w:rPr>
          <w:rFonts w:ascii="Open Sans" w:eastAsia="Open Sans" w:hAnsi="Open Sans" w:cs="Open Sans"/>
          <w:color w:val="000000"/>
        </w:rPr>
        <w:t xml:space="preserve"> y tan solo el distrito de Nou Barris se encuentra por debajo de los 3.000 </w:t>
      </w:r>
      <w:r>
        <w:rPr>
          <w:rFonts w:ascii="Open Sans" w:eastAsia="Open Sans" w:hAnsi="Open Sans" w:cs="Open Sans"/>
          <w:color w:val="000000"/>
        </w:rPr>
        <w:lastRenderedPageBreak/>
        <w:t>€/m</w:t>
      </w:r>
      <w:r>
        <w:rPr>
          <w:rFonts w:ascii="Open Sans" w:eastAsia="Open Sans" w:hAnsi="Open Sans" w:cs="Open Sans"/>
          <w:color w:val="000000"/>
          <w:vertAlign w:val="superscript"/>
        </w:rPr>
        <w:t>2</w:t>
      </w:r>
      <w:r>
        <w:rPr>
          <w:rFonts w:ascii="Open Sans" w:eastAsia="Open Sans" w:hAnsi="Open Sans" w:cs="Open Sans"/>
          <w:color w:val="000000"/>
        </w:rPr>
        <w:t>. Los cinco distritos barceloneses con el precio medio de la vivienda más elevado en 2021 son los mismos desde hace nueve años. En el ranking por precio de la vivienda, Sarrià - Sant Gervasi ocupa el primer lugar en el ranking de los distritos más caros de la ciudad con 5.773 €/m</w:t>
      </w:r>
      <w:r>
        <w:rPr>
          <w:rFonts w:ascii="Open Sans" w:eastAsia="Open Sans" w:hAnsi="Open Sans" w:cs="Open Sans"/>
          <w:color w:val="000000"/>
          <w:vertAlign w:val="superscript"/>
        </w:rPr>
        <w:t>2</w:t>
      </w:r>
      <w:r>
        <w:rPr>
          <w:rFonts w:ascii="Open Sans" w:eastAsia="Open Sans" w:hAnsi="Open Sans" w:cs="Open Sans"/>
          <w:color w:val="000000"/>
        </w:rPr>
        <w:t>. Eixample es el segundo distrito más caro con un precio de 5.276 euros/m², seguido de Les Corts le siguen (5.209 €/m</w:t>
      </w:r>
      <w:r>
        <w:rPr>
          <w:rFonts w:ascii="Open Sans" w:eastAsia="Open Sans" w:hAnsi="Open Sans" w:cs="Open Sans"/>
          <w:color w:val="000000"/>
          <w:vertAlign w:val="superscript"/>
        </w:rPr>
        <w:t>2</w:t>
      </w:r>
      <w:r>
        <w:rPr>
          <w:rFonts w:ascii="Open Sans" w:eastAsia="Open Sans" w:hAnsi="Open Sans" w:cs="Open Sans"/>
          <w:color w:val="000000"/>
        </w:rPr>
        <w:t>), de Ciutat Vella (4.618 €/m</w:t>
      </w:r>
      <w:r>
        <w:rPr>
          <w:rFonts w:ascii="Open Sans" w:eastAsia="Open Sans" w:hAnsi="Open Sans" w:cs="Open Sans"/>
          <w:color w:val="000000"/>
          <w:vertAlign w:val="superscript"/>
        </w:rPr>
        <w:t>2</w:t>
      </w:r>
      <w:r>
        <w:rPr>
          <w:rFonts w:ascii="Open Sans" w:eastAsia="Open Sans" w:hAnsi="Open Sans" w:cs="Open Sans"/>
          <w:color w:val="000000"/>
        </w:rPr>
        <w:t>) y de Gràcia (4.505 €/m</w:t>
      </w:r>
      <w:r>
        <w:rPr>
          <w:rFonts w:ascii="Open Sans" w:eastAsia="Open Sans" w:hAnsi="Open Sans" w:cs="Open Sans"/>
          <w:color w:val="000000"/>
          <w:vertAlign w:val="superscript"/>
        </w:rPr>
        <w:t>2</w:t>
      </w:r>
      <w:r>
        <w:rPr>
          <w:rFonts w:ascii="Open Sans" w:eastAsia="Open Sans" w:hAnsi="Open Sans" w:cs="Open Sans"/>
          <w:color w:val="000000"/>
        </w:rPr>
        <w:t>).</w:t>
      </w:r>
    </w:p>
    <w:p w14:paraId="6890ECA2" w14:textId="77777777" w:rsidR="005B4627" w:rsidRDefault="005B4627">
      <w:pPr>
        <w:spacing w:line="276" w:lineRule="auto"/>
        <w:ind w:right="283"/>
        <w:jc w:val="both"/>
        <w:rPr>
          <w:rFonts w:ascii="Open Sans" w:eastAsia="Open Sans" w:hAnsi="Open Sans" w:cs="Open Sans"/>
          <w:color w:val="000000"/>
        </w:rPr>
      </w:pPr>
    </w:p>
    <w:p w14:paraId="1AD303E1" w14:textId="77777777" w:rsidR="005B4627" w:rsidRDefault="007F28F2">
      <w:pPr>
        <w:spacing w:line="276" w:lineRule="auto"/>
        <w:ind w:right="283"/>
        <w:jc w:val="both"/>
        <w:rPr>
          <w:rFonts w:ascii="Open Sans" w:eastAsia="Open Sans" w:hAnsi="Open Sans" w:cs="Open Sans"/>
          <w:color w:val="000000"/>
        </w:rPr>
      </w:pPr>
      <w:r>
        <w:rPr>
          <w:rFonts w:ascii="Open Sans" w:eastAsia="Open Sans" w:hAnsi="Open Sans" w:cs="Open Sans"/>
          <w:color w:val="000000"/>
        </w:rPr>
        <w:t>En el otro extremo, Nou Barris es el distrito catalán más barato con un precio medio de 2.454 €/m</w:t>
      </w:r>
      <w:r>
        <w:rPr>
          <w:rFonts w:ascii="Open Sans" w:eastAsia="Open Sans" w:hAnsi="Open Sans" w:cs="Open Sans"/>
          <w:color w:val="000000"/>
          <w:vertAlign w:val="superscript"/>
        </w:rPr>
        <w:t>2</w:t>
      </w:r>
      <w:r>
        <w:rPr>
          <w:rFonts w:ascii="Open Sans" w:eastAsia="Open Sans" w:hAnsi="Open Sans" w:cs="Open Sans"/>
          <w:color w:val="000000"/>
        </w:rPr>
        <w:t>. Le sigue Sant Andreu (3.048 €/m</w:t>
      </w:r>
      <w:r>
        <w:rPr>
          <w:rFonts w:ascii="Open Sans" w:eastAsia="Open Sans" w:hAnsi="Open Sans" w:cs="Open Sans"/>
          <w:color w:val="000000"/>
          <w:vertAlign w:val="superscript"/>
        </w:rPr>
        <w:t>2</w:t>
      </w:r>
      <w:r>
        <w:rPr>
          <w:rFonts w:ascii="Open Sans" w:eastAsia="Open Sans" w:hAnsi="Open Sans" w:cs="Open Sans"/>
          <w:color w:val="000000"/>
        </w:rPr>
        <w:t>) y Horta – Guinardó (3.224 €/m</w:t>
      </w:r>
      <w:r>
        <w:rPr>
          <w:rFonts w:ascii="Open Sans" w:eastAsia="Open Sans" w:hAnsi="Open Sans" w:cs="Open Sans"/>
          <w:color w:val="000000"/>
          <w:vertAlign w:val="superscript"/>
        </w:rPr>
        <w:t>2</w:t>
      </w:r>
      <w:r>
        <w:rPr>
          <w:rFonts w:ascii="Open Sans" w:eastAsia="Open Sans" w:hAnsi="Open Sans" w:cs="Open Sans"/>
          <w:color w:val="000000"/>
        </w:rPr>
        <w:t>). En cuanto a la variación acumulada desde el precio máximo registrado, solo uno, el distrito de San Martí superó su precio máximo en abril de 2021.</w:t>
      </w:r>
    </w:p>
    <w:p w14:paraId="2C48A056" w14:textId="77777777" w:rsidR="005B4627" w:rsidRDefault="005B4627">
      <w:pPr>
        <w:spacing w:line="276" w:lineRule="auto"/>
        <w:ind w:right="283"/>
        <w:jc w:val="both"/>
        <w:rPr>
          <w:rFonts w:ascii="Open Sans" w:eastAsia="Open Sans" w:hAnsi="Open Sans" w:cs="Open Sans"/>
          <w:color w:val="000000"/>
        </w:rPr>
      </w:pPr>
    </w:p>
    <w:p w14:paraId="793BD5A9" w14:textId="77777777" w:rsidR="005B4627" w:rsidRDefault="005B4627">
      <w:pPr>
        <w:spacing w:line="276" w:lineRule="auto"/>
        <w:ind w:right="283"/>
        <w:jc w:val="both"/>
        <w:rPr>
          <w:rFonts w:ascii="Open Sans" w:eastAsia="Open Sans" w:hAnsi="Open Sans" w:cs="Open Sans"/>
        </w:rPr>
      </w:pPr>
    </w:p>
    <w:p w14:paraId="0780AD1C" w14:textId="77777777" w:rsidR="005B4627" w:rsidRDefault="007F28F2">
      <w:pPr>
        <w:spacing w:line="276" w:lineRule="auto"/>
        <w:ind w:right="283"/>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Por barrios </w:t>
      </w:r>
    </w:p>
    <w:p w14:paraId="6E7DB042" w14:textId="77777777" w:rsidR="005B4627" w:rsidRDefault="005B4627">
      <w:pPr>
        <w:spacing w:line="276" w:lineRule="auto"/>
        <w:ind w:right="283"/>
        <w:jc w:val="both"/>
      </w:pPr>
    </w:p>
    <w:p w14:paraId="66DFD0CE" w14:textId="77777777" w:rsidR="005B4627" w:rsidRDefault="007F28F2">
      <w:pPr>
        <w:spacing w:line="276" w:lineRule="auto"/>
        <w:jc w:val="both"/>
        <w:rPr>
          <w:rFonts w:ascii="Open Sans" w:eastAsia="Open Sans" w:hAnsi="Open Sans" w:cs="Open Sans"/>
        </w:rPr>
      </w:pPr>
      <w:r>
        <w:rPr>
          <w:rFonts w:ascii="Open Sans" w:eastAsia="Open Sans" w:hAnsi="Open Sans" w:cs="Open Sans"/>
          <w:b/>
        </w:rPr>
        <w:t>En cuanto a Madrid capital,</w:t>
      </w:r>
      <w:r>
        <w:rPr>
          <w:rFonts w:ascii="Open Sans" w:eastAsia="Open Sans" w:hAnsi="Open Sans" w:cs="Open Sans"/>
        </w:rPr>
        <w:t xml:space="preserve"> de los 84 barrios, 79 superan el precio medio de la vivienda a nivel nacional, establecido a finales de año en 1.907 euros/m². La diferencia entre este precio medio y el más caro en la capital se produce en el barrio de Recoletos (distrito Salamanca) que es superior a la media nacional en un 359%, al situar el precio medio en 8.749 euros/m².</w:t>
      </w:r>
    </w:p>
    <w:p w14:paraId="335A605A" w14:textId="77777777" w:rsidR="005B4627" w:rsidRDefault="005B4627">
      <w:pPr>
        <w:spacing w:line="276" w:lineRule="auto"/>
        <w:jc w:val="both"/>
        <w:rPr>
          <w:rFonts w:ascii="Open Sans" w:eastAsia="Open Sans" w:hAnsi="Open Sans" w:cs="Open Sans"/>
        </w:rPr>
      </w:pPr>
    </w:p>
    <w:p w14:paraId="2D2F3DA7" w14:textId="77777777" w:rsidR="005B4627" w:rsidRDefault="007F28F2">
      <w:pPr>
        <w:spacing w:line="276" w:lineRule="auto"/>
        <w:jc w:val="both"/>
        <w:rPr>
          <w:rFonts w:ascii="Open Sans" w:eastAsia="Open Sans" w:hAnsi="Open Sans" w:cs="Open Sans"/>
        </w:rPr>
      </w:pPr>
      <w:bookmarkStart w:id="2" w:name="_heading=h.1fob9te" w:colFirst="0" w:colLast="0"/>
      <w:bookmarkEnd w:id="2"/>
      <w:r>
        <w:rPr>
          <w:rFonts w:ascii="Open Sans" w:eastAsia="Open Sans" w:hAnsi="Open Sans" w:cs="Open Sans"/>
        </w:rPr>
        <w:t xml:space="preserve">A cierre de 2021, el precio sube en 60 de los 84 barrios de la capital con precio en el mes de diciembre. Vuelven los años en el que los incrementos anuales eran mayoría, en 2016 el precio anual bajó solo en 14 barrios y en 2017 y 2018 en un barrio de todos los estudiados esos años. </w:t>
      </w:r>
    </w:p>
    <w:p w14:paraId="085D0B29" w14:textId="77777777" w:rsidR="005B4627" w:rsidRDefault="005B4627">
      <w:pPr>
        <w:spacing w:line="276" w:lineRule="auto"/>
        <w:jc w:val="both"/>
        <w:rPr>
          <w:rFonts w:ascii="Open Sans" w:eastAsia="Open Sans" w:hAnsi="Open Sans" w:cs="Open Sans"/>
        </w:rPr>
      </w:pPr>
    </w:p>
    <w:p w14:paraId="7481CF0D" w14:textId="77777777" w:rsidR="005B4627" w:rsidRDefault="007F28F2">
      <w:pPr>
        <w:spacing w:line="276" w:lineRule="auto"/>
        <w:jc w:val="both"/>
        <w:rPr>
          <w:rFonts w:ascii="Open Sans" w:eastAsia="Open Sans" w:hAnsi="Open Sans" w:cs="Open Sans"/>
        </w:rPr>
      </w:pPr>
      <w:r>
        <w:rPr>
          <w:rFonts w:ascii="Open Sans" w:eastAsia="Open Sans" w:hAnsi="Open Sans" w:cs="Open Sans"/>
        </w:rPr>
        <w:t>Así, los incrementos anuales más significativos se producen en los barrios del distrito de Fuencarral Tres Olivos – Valverde (23,4%) y el barro de Peñagrande (15,3%).  Por otro lado, el barrio con mayor descenso anual es Valdezarza, en el distrito de Moncloa con un descenso del -12,1%.</w:t>
      </w:r>
    </w:p>
    <w:p w14:paraId="32F1178A" w14:textId="77777777" w:rsidR="005B4627" w:rsidRDefault="005B4627">
      <w:pPr>
        <w:spacing w:line="276" w:lineRule="auto"/>
        <w:jc w:val="both"/>
        <w:rPr>
          <w:rFonts w:ascii="Open Sans" w:eastAsia="Open Sans" w:hAnsi="Open Sans" w:cs="Open Sans"/>
        </w:rPr>
      </w:pPr>
    </w:p>
    <w:p w14:paraId="6620DFAC" w14:textId="77777777" w:rsidR="005B4627" w:rsidRDefault="007F28F2">
      <w:pPr>
        <w:spacing w:line="276" w:lineRule="auto"/>
        <w:jc w:val="both"/>
        <w:rPr>
          <w:rFonts w:ascii="Open Sans" w:eastAsia="Open Sans" w:hAnsi="Open Sans" w:cs="Open Sans"/>
        </w:rPr>
      </w:pPr>
      <w:r>
        <w:rPr>
          <w:rFonts w:ascii="Open Sans" w:eastAsia="Open Sans" w:hAnsi="Open Sans" w:cs="Open Sans"/>
        </w:rPr>
        <w:t xml:space="preserve">En cuanto a los precios, el barrio de Recoletos (distrito de Salamanca) encabeza la lista de la capital como barrio más caro para comprar una vivienda, cuyo precio medio se sitúa en diciembre en 8.749 €/m². Le sigue como segundo más caro el barrio de Castellana (distrito de Salamanca), cuyo precio medio se sitúa a diciembre de 2021 en 7.629 €/m². </w:t>
      </w:r>
    </w:p>
    <w:p w14:paraId="1631C1D2" w14:textId="77777777" w:rsidR="005B4627" w:rsidRDefault="005B4627">
      <w:pPr>
        <w:spacing w:line="276" w:lineRule="auto"/>
        <w:jc w:val="both"/>
        <w:rPr>
          <w:rFonts w:ascii="Open Sans" w:eastAsia="Open Sans" w:hAnsi="Open Sans" w:cs="Open Sans"/>
        </w:rPr>
      </w:pPr>
    </w:p>
    <w:p w14:paraId="0DE56431" w14:textId="77777777" w:rsidR="005B4627" w:rsidRDefault="007F28F2">
      <w:pPr>
        <w:spacing w:line="276" w:lineRule="auto"/>
        <w:jc w:val="both"/>
        <w:rPr>
          <w:rFonts w:ascii="Open Sans" w:eastAsia="Open Sans" w:hAnsi="Open Sans" w:cs="Open Sans"/>
        </w:rPr>
      </w:pPr>
      <w:r>
        <w:rPr>
          <w:rFonts w:ascii="Open Sans" w:eastAsia="Open Sans" w:hAnsi="Open Sans" w:cs="Open Sans"/>
        </w:rPr>
        <w:lastRenderedPageBreak/>
        <w:t xml:space="preserve">En el otro extremo, San Cristóbal, de Villaverde es el barrio más económico con un valor medio de la vivienda de 1.462 €/m². Le sigue el barrio de Entrevías en Puente de Vallecas (1.698 €/m²), San Andrés de Villaverde en Villaverde (1.747 €/m²) y Los Rosales en Villaverde (1.791€/m²). </w:t>
      </w:r>
    </w:p>
    <w:p w14:paraId="3441698B" w14:textId="77777777" w:rsidR="005B4627" w:rsidRDefault="005B4627">
      <w:pPr>
        <w:spacing w:line="276" w:lineRule="auto"/>
        <w:jc w:val="both"/>
        <w:rPr>
          <w:rFonts w:ascii="Open Sans" w:eastAsia="Open Sans" w:hAnsi="Open Sans" w:cs="Open Sans"/>
        </w:rPr>
      </w:pPr>
    </w:p>
    <w:p w14:paraId="4C7AC6BF" w14:textId="77777777" w:rsidR="005B4627" w:rsidRDefault="007F28F2">
      <w:pPr>
        <w:spacing w:line="276" w:lineRule="auto"/>
        <w:jc w:val="both"/>
        <w:rPr>
          <w:rFonts w:ascii="Open Sans" w:eastAsia="Open Sans" w:hAnsi="Open Sans" w:cs="Open Sans"/>
        </w:rPr>
      </w:pPr>
      <w:r>
        <w:rPr>
          <w:rFonts w:ascii="Open Sans" w:eastAsia="Open Sans" w:hAnsi="Open Sans" w:cs="Open Sans"/>
        </w:rPr>
        <w:t xml:space="preserve">En 2021, en cuanto a la variación acumulada desde el precio máximo registrado, 17 de los 85 barrios de Madrid superaron sus precios, 29 en 2020, 79 en 2019 y 21 barrios lo hicieron en 2018. </w:t>
      </w:r>
    </w:p>
    <w:p w14:paraId="1D2771A5" w14:textId="77777777" w:rsidR="005B4627" w:rsidRDefault="005B4627">
      <w:pPr>
        <w:spacing w:line="276" w:lineRule="auto"/>
        <w:ind w:right="283"/>
        <w:jc w:val="both"/>
      </w:pPr>
    </w:p>
    <w:p w14:paraId="0D3F7BC5" w14:textId="77777777" w:rsidR="005B4627" w:rsidRDefault="007F28F2">
      <w:pPr>
        <w:spacing w:line="276" w:lineRule="auto"/>
        <w:jc w:val="both"/>
        <w:rPr>
          <w:rFonts w:ascii="Open Sans" w:eastAsia="Open Sans" w:hAnsi="Open Sans" w:cs="Open Sans"/>
        </w:rPr>
      </w:pPr>
      <w:r>
        <w:rPr>
          <w:rFonts w:ascii="Open Sans" w:eastAsia="Open Sans" w:hAnsi="Open Sans" w:cs="Open Sans"/>
          <w:b/>
        </w:rPr>
        <w:t xml:space="preserve">En cuanto a Barcelona capital, </w:t>
      </w:r>
      <w:r>
        <w:rPr>
          <w:rFonts w:ascii="Open Sans" w:eastAsia="Open Sans" w:hAnsi="Open Sans" w:cs="Open Sans"/>
        </w:rPr>
        <w:t>casi todos los barrios superan el precio medio de la vivienda a nivel nacional, establecido a finales de año en 1.907 euros/m², exceptuando el barrio de Ciutat Meridiana con 1.737 euros/m² (distrito de Nou Barris). La diferencia entre este precio medio y el más caro en la capital se produce en el barrio de Diagonal Mar i el Front Marítim del Poblenou (Sant Martí) que es superior a la media nacional en un 300%, al situar el precio medio en 7.634 euros/m².</w:t>
      </w:r>
    </w:p>
    <w:p w14:paraId="577BEA37" w14:textId="77777777" w:rsidR="005B4627" w:rsidRDefault="005B4627">
      <w:pPr>
        <w:spacing w:line="276" w:lineRule="auto"/>
        <w:jc w:val="both"/>
        <w:rPr>
          <w:rFonts w:ascii="Open Sans" w:eastAsia="Open Sans" w:hAnsi="Open Sans" w:cs="Open Sans"/>
        </w:rPr>
      </w:pPr>
    </w:p>
    <w:p w14:paraId="47D51BEB" w14:textId="77777777" w:rsidR="005B4627" w:rsidRDefault="007F28F2">
      <w:pPr>
        <w:spacing w:line="276" w:lineRule="auto"/>
        <w:jc w:val="both"/>
        <w:rPr>
          <w:rFonts w:ascii="Open Sans" w:eastAsia="Open Sans" w:hAnsi="Open Sans" w:cs="Open Sans"/>
        </w:rPr>
      </w:pPr>
      <w:r>
        <w:rPr>
          <w:rFonts w:ascii="Open Sans" w:eastAsia="Open Sans" w:hAnsi="Open Sans" w:cs="Open Sans"/>
        </w:rPr>
        <w:t xml:space="preserve">A cierre de 2021, el precio sube en 29 barrios de los 57 de la capital catalana con variación anual. En 2016 y 2017 el precio anual bajó tan solo en tres barrios. Es a partir de 2018 cuando los descensos anuales de los barrios aumentan a 22 valores negativos, a 31 en 2019 y a 29 en 2020.   </w:t>
      </w:r>
    </w:p>
    <w:p w14:paraId="559CDB57" w14:textId="77777777" w:rsidR="005B4627" w:rsidRDefault="005B4627">
      <w:pPr>
        <w:spacing w:line="276" w:lineRule="auto"/>
        <w:jc w:val="both"/>
        <w:rPr>
          <w:rFonts w:ascii="Open Sans" w:eastAsia="Open Sans" w:hAnsi="Open Sans" w:cs="Open Sans"/>
        </w:rPr>
      </w:pPr>
    </w:p>
    <w:p w14:paraId="7D9771B1" w14:textId="77777777" w:rsidR="005B4627" w:rsidRDefault="007F28F2">
      <w:pPr>
        <w:spacing w:line="276" w:lineRule="auto"/>
        <w:jc w:val="both"/>
        <w:rPr>
          <w:rFonts w:ascii="Open Sans" w:eastAsia="Open Sans" w:hAnsi="Open Sans" w:cs="Open Sans"/>
        </w:rPr>
      </w:pPr>
      <w:r>
        <w:rPr>
          <w:rFonts w:ascii="Open Sans" w:eastAsia="Open Sans" w:hAnsi="Open Sans" w:cs="Open Sans"/>
        </w:rPr>
        <w:t xml:space="preserve">Así, el incremento anual más significativo se produce en el barrio de Diagonal Mar i el Front Marítim del Poblenou en el distrito Sant Martí con una subida del 9,4%. Por otro lado, el barrio con mayor descenso anual es La Teixonera en el distrito de Horta - Guinardó (-14,5%), seguido de Sarrià en el distrito de Sarrià - Sant Gervasi (-13,6%). </w:t>
      </w:r>
    </w:p>
    <w:p w14:paraId="35F19261" w14:textId="77777777" w:rsidR="005B4627" w:rsidRDefault="005B4627">
      <w:pPr>
        <w:spacing w:line="276" w:lineRule="auto"/>
        <w:jc w:val="both"/>
        <w:rPr>
          <w:rFonts w:ascii="Open Sans" w:eastAsia="Open Sans" w:hAnsi="Open Sans" w:cs="Open Sans"/>
        </w:rPr>
      </w:pPr>
    </w:p>
    <w:p w14:paraId="0F896F7A" w14:textId="6A02AE41" w:rsidR="005B4627" w:rsidRDefault="007F28F2">
      <w:pPr>
        <w:spacing w:line="276" w:lineRule="auto"/>
        <w:jc w:val="both"/>
        <w:rPr>
          <w:rFonts w:ascii="Open Sans" w:eastAsia="Open Sans" w:hAnsi="Open Sans" w:cs="Open Sans"/>
        </w:rPr>
      </w:pPr>
      <w:r>
        <w:rPr>
          <w:rFonts w:ascii="Open Sans" w:eastAsia="Open Sans" w:hAnsi="Open Sans" w:cs="Open Sans"/>
        </w:rPr>
        <w:t xml:space="preserve">En cuanto a los precios, el barrio de Diagonal Mar i el Front Marítim del Poblenou (distrito de Sant Martí) encabeza la lista de la capital como barrio más caro para comprar una vivienda, cuyo precio medio se sitúa en diciembre en 7.634 €/m². Le sigue como segundo más caro Ciutat Vella (distrito de Ciutat Vella), cuyo precio medio se sitúa a diciembre de 2021 en 6.631 €/m². </w:t>
      </w:r>
    </w:p>
    <w:p w14:paraId="268665CD" w14:textId="77777777" w:rsidR="005B4627" w:rsidRDefault="005B4627">
      <w:pPr>
        <w:spacing w:line="276" w:lineRule="auto"/>
        <w:jc w:val="both"/>
        <w:rPr>
          <w:rFonts w:ascii="Open Sans" w:eastAsia="Open Sans" w:hAnsi="Open Sans" w:cs="Open Sans"/>
        </w:rPr>
      </w:pPr>
    </w:p>
    <w:p w14:paraId="0CFC3215" w14:textId="77777777" w:rsidR="005B4627" w:rsidRDefault="007F28F2">
      <w:pPr>
        <w:spacing w:line="276" w:lineRule="auto"/>
        <w:jc w:val="both"/>
        <w:rPr>
          <w:rFonts w:ascii="Open Sans" w:eastAsia="Open Sans" w:hAnsi="Open Sans" w:cs="Open Sans"/>
        </w:rPr>
      </w:pPr>
      <w:r>
        <w:rPr>
          <w:rFonts w:ascii="Open Sans" w:eastAsia="Open Sans" w:hAnsi="Open Sans" w:cs="Open Sans"/>
        </w:rPr>
        <w:t>En el otro extremo, Ciutat Meridiana de Nou Barris es el barrio más económico con un valor medio de la vivienda de 1.737 €/m². Le sigue los barrios de Trinitat Vella de Sant Andreu (1.925 €/m²), Les Roquetes de Nou Barris (2.033 €/m²) y La Trinitat Nova de Nou Barris (2.187 €/m²).</w:t>
      </w:r>
    </w:p>
    <w:p w14:paraId="421A037B" w14:textId="77777777" w:rsidR="005B4627" w:rsidRDefault="005B4627">
      <w:pPr>
        <w:spacing w:line="276" w:lineRule="auto"/>
        <w:jc w:val="both"/>
        <w:rPr>
          <w:rFonts w:ascii="Open Sans" w:eastAsia="Open Sans" w:hAnsi="Open Sans" w:cs="Open Sans"/>
        </w:rPr>
      </w:pPr>
    </w:p>
    <w:p w14:paraId="7B0453D5" w14:textId="77777777" w:rsidR="005B4627" w:rsidRDefault="007F28F2">
      <w:pPr>
        <w:spacing w:line="276" w:lineRule="auto"/>
        <w:jc w:val="both"/>
        <w:rPr>
          <w:rFonts w:ascii="Open Sans" w:eastAsia="Open Sans" w:hAnsi="Open Sans" w:cs="Open Sans"/>
        </w:rPr>
      </w:pPr>
      <w:r>
        <w:rPr>
          <w:rFonts w:ascii="Open Sans" w:eastAsia="Open Sans" w:hAnsi="Open Sans" w:cs="Open Sans"/>
        </w:rPr>
        <w:lastRenderedPageBreak/>
        <w:t xml:space="preserve">En cuanto a la variación acumulada desde el precio máximo registrado, tres de los 62 barrios de Barcelona superaron sus precios en 2021, 10 en 2020, 12 lo hicieron en 2019, 19 barrios lo hicieron en 2018 y siete lo hicieron en 2017. </w:t>
      </w:r>
    </w:p>
    <w:p w14:paraId="7010FD86" w14:textId="77777777" w:rsidR="005B4627" w:rsidRDefault="005B4627">
      <w:pPr>
        <w:spacing w:line="276" w:lineRule="auto"/>
        <w:jc w:val="both"/>
      </w:pPr>
    </w:p>
    <w:p w14:paraId="56DAF44A" w14:textId="77777777" w:rsidR="005B4627" w:rsidRDefault="005B4627">
      <w:pPr>
        <w:spacing w:line="276" w:lineRule="auto"/>
        <w:ind w:right="283"/>
        <w:jc w:val="both"/>
        <w:rPr>
          <w:rFonts w:ascii="Open Sans Light" w:eastAsia="Open Sans Light" w:hAnsi="Open Sans Light" w:cs="Open Sans Light"/>
          <w:b/>
          <w:color w:val="303AB2"/>
        </w:rPr>
      </w:pPr>
    </w:p>
    <w:p w14:paraId="28DAA967" w14:textId="77777777" w:rsidR="005B4627" w:rsidRDefault="007F28F2">
      <w:pPr>
        <w:spacing w:line="276" w:lineRule="auto"/>
        <w:ind w:right="283"/>
        <w:jc w:val="both"/>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TABLAS DE PRECIOS DE LA VIVIENDA EN VENTA Y DE EVOLUCIONES ANUALES (7)</w:t>
      </w:r>
    </w:p>
    <w:p w14:paraId="67A1AB2F" w14:textId="77777777" w:rsidR="005B4627" w:rsidRDefault="007F28F2">
      <w:pPr>
        <w:pBdr>
          <w:top w:val="nil"/>
          <w:left w:val="nil"/>
          <w:bottom w:val="nil"/>
          <w:right w:val="nil"/>
          <w:between w:val="nil"/>
        </w:pBdr>
        <w:shd w:val="clear" w:color="auto" w:fill="FFFFFF"/>
        <w:spacing w:before="280" w:after="280" w:line="276" w:lineRule="auto"/>
        <w:ind w:right="283"/>
        <w:rPr>
          <w:rFonts w:ascii="Open Sans Light" w:eastAsia="Open Sans Light" w:hAnsi="Open Sans Light" w:cs="Open Sans Light"/>
          <w:b/>
          <w:color w:val="303AB2"/>
        </w:rPr>
      </w:pPr>
      <w:r>
        <w:rPr>
          <w:rFonts w:ascii="Open Sans Light" w:eastAsia="Open Sans Light" w:hAnsi="Open Sans Light" w:cs="Open Sans Light"/>
          <w:b/>
          <w:color w:val="303AB2"/>
        </w:rPr>
        <w:t>Tabla 1: CCAA de mayor a menor variación anual  (dic.20– dic.21)</w:t>
      </w:r>
    </w:p>
    <w:tbl>
      <w:tblPr>
        <w:tblStyle w:val="a"/>
        <w:tblW w:w="8864"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227"/>
        <w:gridCol w:w="2756"/>
        <w:gridCol w:w="2881"/>
      </w:tblGrid>
      <w:tr w:rsidR="005B4627" w14:paraId="1229E65C" w14:textId="77777777" w:rsidTr="005B4627">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403110F3"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756" w:type="dxa"/>
            <w:vAlign w:val="center"/>
          </w:tcPr>
          <w:p w14:paraId="3564232E"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Variación </w:t>
            </w:r>
          </w:p>
          <w:p w14:paraId="5DA65A93"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anual (%)</w:t>
            </w:r>
          </w:p>
        </w:tc>
        <w:tc>
          <w:tcPr>
            <w:tcW w:w="2881" w:type="dxa"/>
            <w:vAlign w:val="center"/>
          </w:tcPr>
          <w:p w14:paraId="51EDA273"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Diciembre 2021</w:t>
            </w:r>
          </w:p>
          <w:p w14:paraId="247E08F2"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r>
      <w:tr w:rsidR="005B4627" w14:paraId="3458E866" w14:textId="77777777" w:rsidTr="005B46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6C7724F8"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2756" w:type="dxa"/>
            <w:vAlign w:val="bottom"/>
          </w:tcPr>
          <w:p w14:paraId="31D23E39"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2881" w:type="dxa"/>
            <w:vAlign w:val="bottom"/>
          </w:tcPr>
          <w:p w14:paraId="69A9DB8F"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1.483 € </w:t>
            </w:r>
          </w:p>
        </w:tc>
      </w:tr>
      <w:tr w:rsidR="005B4627" w14:paraId="5F2CA366" w14:textId="77777777" w:rsidTr="005B4627">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51D856AA"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2756" w:type="dxa"/>
            <w:vAlign w:val="bottom"/>
          </w:tcPr>
          <w:p w14:paraId="738187C7"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2881" w:type="dxa"/>
            <w:vAlign w:val="bottom"/>
          </w:tcPr>
          <w:p w14:paraId="4B42DD32"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1.714 € </w:t>
            </w:r>
          </w:p>
        </w:tc>
      </w:tr>
      <w:tr w:rsidR="005B4627" w14:paraId="55461352" w14:textId="77777777" w:rsidTr="005B46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4E8570E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2756" w:type="dxa"/>
            <w:vAlign w:val="bottom"/>
          </w:tcPr>
          <w:p w14:paraId="7048F028"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2881" w:type="dxa"/>
            <w:vAlign w:val="bottom"/>
          </w:tcPr>
          <w:p w14:paraId="39322F1C"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2.890 € </w:t>
            </w:r>
          </w:p>
        </w:tc>
      </w:tr>
      <w:tr w:rsidR="005B4627" w14:paraId="14ED7775" w14:textId="77777777" w:rsidTr="005B4627">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7C601BEF"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2756" w:type="dxa"/>
            <w:vAlign w:val="bottom"/>
          </w:tcPr>
          <w:p w14:paraId="0E1C964A"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2881" w:type="dxa"/>
            <w:vAlign w:val="bottom"/>
          </w:tcPr>
          <w:p w14:paraId="79BE4F19"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1.593 € </w:t>
            </w:r>
          </w:p>
        </w:tc>
      </w:tr>
      <w:tr w:rsidR="005B4627" w14:paraId="4E29C792" w14:textId="77777777" w:rsidTr="005B46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750C8344"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2756" w:type="dxa"/>
            <w:vAlign w:val="bottom"/>
          </w:tcPr>
          <w:p w14:paraId="7C14B7A5"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881" w:type="dxa"/>
            <w:vAlign w:val="bottom"/>
          </w:tcPr>
          <w:p w14:paraId="41D61D2B"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2.544 € </w:t>
            </w:r>
          </w:p>
        </w:tc>
      </w:tr>
      <w:tr w:rsidR="005B4627" w14:paraId="2AA58991" w14:textId="77777777" w:rsidTr="005B4627">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33DA1AC9"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2756" w:type="dxa"/>
            <w:vAlign w:val="bottom"/>
          </w:tcPr>
          <w:p w14:paraId="51425654"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2881" w:type="dxa"/>
            <w:vAlign w:val="bottom"/>
          </w:tcPr>
          <w:p w14:paraId="78F6AF07"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1.629 € </w:t>
            </w:r>
          </w:p>
        </w:tc>
      </w:tr>
      <w:tr w:rsidR="005B4627" w14:paraId="2D84DD9E" w14:textId="77777777" w:rsidTr="005B46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2B9B5A6A"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2756" w:type="dxa"/>
            <w:vAlign w:val="bottom"/>
          </w:tcPr>
          <w:p w14:paraId="01E86D1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2881" w:type="dxa"/>
            <w:vAlign w:val="bottom"/>
          </w:tcPr>
          <w:p w14:paraId="4CAD403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3.123 € </w:t>
            </w:r>
          </w:p>
        </w:tc>
      </w:tr>
      <w:tr w:rsidR="005B4627" w14:paraId="3D8E8A90" w14:textId="77777777" w:rsidTr="005B4627">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5D36AEE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2756" w:type="dxa"/>
            <w:vAlign w:val="bottom"/>
          </w:tcPr>
          <w:p w14:paraId="15E05F63"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2881" w:type="dxa"/>
            <w:vAlign w:val="bottom"/>
          </w:tcPr>
          <w:p w14:paraId="5BB8046C"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1.778 € </w:t>
            </w:r>
          </w:p>
        </w:tc>
      </w:tr>
      <w:tr w:rsidR="005B4627" w14:paraId="52F27EA1" w14:textId="77777777" w:rsidTr="005B46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20667C4C"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2756" w:type="dxa"/>
            <w:vAlign w:val="bottom"/>
          </w:tcPr>
          <w:p w14:paraId="16BB3C1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881" w:type="dxa"/>
            <w:vAlign w:val="bottom"/>
          </w:tcPr>
          <w:p w14:paraId="27FDE979"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1.444 € </w:t>
            </w:r>
          </w:p>
        </w:tc>
      </w:tr>
      <w:tr w:rsidR="005B4627" w14:paraId="481C08FC" w14:textId="77777777" w:rsidTr="005B4627">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3BF0BEC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2756" w:type="dxa"/>
            <w:vAlign w:val="bottom"/>
          </w:tcPr>
          <w:p w14:paraId="1DD2CAE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881" w:type="dxa"/>
            <w:vAlign w:val="bottom"/>
          </w:tcPr>
          <w:p w14:paraId="3ABEE320"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1.782 € </w:t>
            </w:r>
          </w:p>
        </w:tc>
      </w:tr>
      <w:tr w:rsidR="005B4627" w14:paraId="05C390C9" w14:textId="77777777" w:rsidTr="005B46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76917486"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Comunitat Valenciana </w:t>
            </w:r>
          </w:p>
        </w:tc>
        <w:tc>
          <w:tcPr>
            <w:tcW w:w="2756" w:type="dxa"/>
            <w:vAlign w:val="bottom"/>
          </w:tcPr>
          <w:p w14:paraId="453035BC"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881" w:type="dxa"/>
            <w:vAlign w:val="bottom"/>
          </w:tcPr>
          <w:p w14:paraId="658A4D47"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1.448 € </w:t>
            </w:r>
          </w:p>
        </w:tc>
      </w:tr>
      <w:tr w:rsidR="005B4627" w14:paraId="5828F2BC" w14:textId="77777777" w:rsidTr="005B4627">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3A962964"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2756" w:type="dxa"/>
            <w:vAlign w:val="bottom"/>
          </w:tcPr>
          <w:p w14:paraId="2DBEA7E9"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881" w:type="dxa"/>
            <w:vAlign w:val="bottom"/>
          </w:tcPr>
          <w:p w14:paraId="063C7389"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2.882 € </w:t>
            </w:r>
          </w:p>
        </w:tc>
      </w:tr>
      <w:tr w:rsidR="005B4627" w14:paraId="0D0857C1" w14:textId="77777777" w:rsidTr="005B46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35F4F754"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2756" w:type="dxa"/>
            <w:vAlign w:val="bottom"/>
          </w:tcPr>
          <w:p w14:paraId="11C133F9"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881" w:type="dxa"/>
            <w:vAlign w:val="bottom"/>
          </w:tcPr>
          <w:p w14:paraId="3BF3A4DC"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1.565 € </w:t>
            </w:r>
          </w:p>
        </w:tc>
      </w:tr>
      <w:tr w:rsidR="005B4627" w14:paraId="2F8385F9" w14:textId="77777777" w:rsidTr="005B4627">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141B33B3"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2756" w:type="dxa"/>
            <w:vAlign w:val="bottom"/>
          </w:tcPr>
          <w:p w14:paraId="729B106C"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881" w:type="dxa"/>
            <w:vAlign w:val="bottom"/>
          </w:tcPr>
          <w:p w14:paraId="41D1FA7E"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1.145 € </w:t>
            </w:r>
          </w:p>
        </w:tc>
      </w:tr>
      <w:tr w:rsidR="005B4627" w14:paraId="6EBF473C" w14:textId="77777777" w:rsidTr="005B46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63B75EE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2756" w:type="dxa"/>
            <w:vAlign w:val="bottom"/>
          </w:tcPr>
          <w:p w14:paraId="0CC0754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2881" w:type="dxa"/>
            <w:vAlign w:val="bottom"/>
          </w:tcPr>
          <w:p w14:paraId="4E60B2FC"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1.112 € </w:t>
            </w:r>
          </w:p>
        </w:tc>
      </w:tr>
      <w:tr w:rsidR="005B4627" w14:paraId="58D4BCC8" w14:textId="77777777" w:rsidTr="005B4627">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3B1CB2E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2756" w:type="dxa"/>
            <w:vAlign w:val="bottom"/>
          </w:tcPr>
          <w:p w14:paraId="5707DCD2"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w:t>
            </w:r>
          </w:p>
        </w:tc>
        <w:tc>
          <w:tcPr>
            <w:tcW w:w="2881" w:type="dxa"/>
            <w:vAlign w:val="bottom"/>
          </w:tcPr>
          <w:p w14:paraId="63AF5820"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1.142 € </w:t>
            </w:r>
          </w:p>
        </w:tc>
      </w:tr>
      <w:tr w:rsidR="005B4627" w14:paraId="1646460A" w14:textId="77777777" w:rsidTr="005B46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745B39D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2756" w:type="dxa"/>
            <w:vAlign w:val="bottom"/>
          </w:tcPr>
          <w:p w14:paraId="6AC6F09A"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FF0000"/>
                <w:sz w:val="22"/>
                <w:szCs w:val="22"/>
              </w:rPr>
              <w:t>-4,9%</w:t>
            </w:r>
          </w:p>
        </w:tc>
        <w:tc>
          <w:tcPr>
            <w:tcW w:w="2881" w:type="dxa"/>
            <w:vAlign w:val="bottom"/>
          </w:tcPr>
          <w:p w14:paraId="6D093BC1"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1.608 € </w:t>
            </w:r>
          </w:p>
        </w:tc>
      </w:tr>
      <w:tr w:rsidR="005B4627" w14:paraId="71FFD63B" w14:textId="77777777" w:rsidTr="005B4627">
        <w:trPr>
          <w:trHeight w:val="273"/>
        </w:trPr>
        <w:tc>
          <w:tcPr>
            <w:cnfStyle w:val="001000000000" w:firstRow="0" w:lastRow="0" w:firstColumn="1" w:lastColumn="0" w:oddVBand="0" w:evenVBand="0" w:oddHBand="0" w:evenHBand="0" w:firstRowFirstColumn="0" w:firstRowLastColumn="0" w:lastRowFirstColumn="0" w:lastRowLastColumn="0"/>
            <w:tcW w:w="3227" w:type="dxa"/>
            <w:vAlign w:val="bottom"/>
          </w:tcPr>
          <w:p w14:paraId="20F9A8E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 xml:space="preserve"> España </w:t>
            </w:r>
          </w:p>
        </w:tc>
        <w:tc>
          <w:tcPr>
            <w:tcW w:w="2756" w:type="dxa"/>
            <w:vAlign w:val="bottom"/>
          </w:tcPr>
          <w:p w14:paraId="24D1736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881" w:type="dxa"/>
            <w:vAlign w:val="bottom"/>
          </w:tcPr>
          <w:p w14:paraId="1244BC7E"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1.907 € </w:t>
            </w:r>
          </w:p>
        </w:tc>
      </w:tr>
    </w:tbl>
    <w:p w14:paraId="3B1773FD" w14:textId="77777777" w:rsidR="005B4627" w:rsidRDefault="007F28F2">
      <w:pPr>
        <w:pBdr>
          <w:top w:val="nil"/>
          <w:left w:val="nil"/>
          <w:bottom w:val="nil"/>
          <w:right w:val="nil"/>
          <w:between w:val="nil"/>
        </w:pBdr>
        <w:shd w:val="clear" w:color="auto" w:fill="FFFFFF"/>
        <w:spacing w:before="280" w:after="280" w:line="276" w:lineRule="auto"/>
        <w:ind w:right="283"/>
        <w:rPr>
          <w:rFonts w:ascii="Open Sans Light" w:eastAsia="Open Sans Light" w:hAnsi="Open Sans Light" w:cs="Open Sans Light"/>
          <w:b/>
          <w:color w:val="303AB2"/>
        </w:rPr>
      </w:pPr>
      <w:r>
        <w:rPr>
          <w:rFonts w:ascii="Open Sans Light" w:eastAsia="Open Sans Light" w:hAnsi="Open Sans Light" w:cs="Open Sans Light"/>
          <w:b/>
          <w:color w:val="303AB2"/>
        </w:rPr>
        <w:t>Tabla 2: Provincias de mayor a menor variación anual (dic.20– dic.21)</w:t>
      </w:r>
    </w:p>
    <w:tbl>
      <w:tblPr>
        <w:tblStyle w:val="a0"/>
        <w:tblW w:w="893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2835"/>
        <w:gridCol w:w="1560"/>
        <w:gridCol w:w="1710"/>
      </w:tblGrid>
      <w:tr w:rsidR="005B4627" w14:paraId="6056E4E7" w14:textId="77777777" w:rsidTr="005B4627">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DC99278"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CCAA</w:t>
            </w:r>
          </w:p>
        </w:tc>
        <w:tc>
          <w:tcPr>
            <w:tcW w:w="2835" w:type="dxa"/>
            <w:vAlign w:val="center"/>
          </w:tcPr>
          <w:p w14:paraId="0904CC1B" w14:textId="77777777" w:rsidR="005B4627" w:rsidRDefault="007F28F2">
            <w:pPr>
              <w:spacing w:line="276" w:lineRule="auto"/>
              <w:ind w:right="283"/>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Provincia</w:t>
            </w:r>
          </w:p>
        </w:tc>
        <w:tc>
          <w:tcPr>
            <w:tcW w:w="1560" w:type="dxa"/>
            <w:vAlign w:val="center"/>
          </w:tcPr>
          <w:p w14:paraId="1816D85D"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F77363C"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anual (%)</w:t>
            </w:r>
          </w:p>
        </w:tc>
        <w:tc>
          <w:tcPr>
            <w:tcW w:w="1710" w:type="dxa"/>
            <w:vAlign w:val="center"/>
          </w:tcPr>
          <w:p w14:paraId="5B687C74"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Dic. 2021</w:t>
            </w:r>
          </w:p>
          <w:p w14:paraId="527B541E"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r>
      <w:tr w:rsidR="005B4627" w14:paraId="329F24BC"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098623D"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Andalucía</w:t>
            </w:r>
          </w:p>
        </w:tc>
        <w:tc>
          <w:tcPr>
            <w:tcW w:w="2835" w:type="dxa"/>
            <w:vAlign w:val="bottom"/>
          </w:tcPr>
          <w:p w14:paraId="70FD7C59"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1560" w:type="dxa"/>
            <w:vAlign w:val="bottom"/>
          </w:tcPr>
          <w:p w14:paraId="47985965"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9,0%</w:t>
            </w:r>
          </w:p>
        </w:tc>
        <w:tc>
          <w:tcPr>
            <w:tcW w:w="1710" w:type="dxa"/>
            <w:vAlign w:val="bottom"/>
          </w:tcPr>
          <w:p w14:paraId="3AAA4ED5"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2.468 €</w:t>
            </w:r>
          </w:p>
        </w:tc>
      </w:tr>
      <w:tr w:rsidR="005B4627" w14:paraId="357078F8"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E511498"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Aragón</w:t>
            </w:r>
          </w:p>
        </w:tc>
        <w:tc>
          <w:tcPr>
            <w:tcW w:w="2835" w:type="dxa"/>
            <w:vAlign w:val="bottom"/>
          </w:tcPr>
          <w:p w14:paraId="278FCBF5"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Huesca</w:t>
            </w:r>
          </w:p>
        </w:tc>
        <w:tc>
          <w:tcPr>
            <w:tcW w:w="1560" w:type="dxa"/>
            <w:vAlign w:val="bottom"/>
          </w:tcPr>
          <w:p w14:paraId="52904D72"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8,5%</w:t>
            </w:r>
          </w:p>
        </w:tc>
        <w:tc>
          <w:tcPr>
            <w:tcW w:w="1710" w:type="dxa"/>
            <w:vAlign w:val="bottom"/>
          </w:tcPr>
          <w:p w14:paraId="04F7E74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1.433 €</w:t>
            </w:r>
          </w:p>
        </w:tc>
      </w:tr>
      <w:tr w:rsidR="005B4627" w14:paraId="4A7A8454"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6DD845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Cataluña</w:t>
            </w:r>
          </w:p>
        </w:tc>
        <w:tc>
          <w:tcPr>
            <w:tcW w:w="2835" w:type="dxa"/>
            <w:vAlign w:val="bottom"/>
          </w:tcPr>
          <w:p w14:paraId="6B2A7A3B"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Girona</w:t>
            </w:r>
          </w:p>
        </w:tc>
        <w:tc>
          <w:tcPr>
            <w:tcW w:w="1560" w:type="dxa"/>
            <w:vAlign w:val="bottom"/>
          </w:tcPr>
          <w:p w14:paraId="57A022F7"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6,6%</w:t>
            </w:r>
          </w:p>
        </w:tc>
        <w:tc>
          <w:tcPr>
            <w:tcW w:w="1710" w:type="dxa"/>
            <w:vAlign w:val="bottom"/>
          </w:tcPr>
          <w:p w14:paraId="356A4F8C"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2.122 €</w:t>
            </w:r>
          </w:p>
        </w:tc>
      </w:tr>
      <w:tr w:rsidR="005B4627" w14:paraId="412346EE"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933558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Galicia</w:t>
            </w:r>
          </w:p>
        </w:tc>
        <w:tc>
          <w:tcPr>
            <w:tcW w:w="2835" w:type="dxa"/>
            <w:vAlign w:val="bottom"/>
          </w:tcPr>
          <w:p w14:paraId="2164A257"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Lugo</w:t>
            </w:r>
          </w:p>
        </w:tc>
        <w:tc>
          <w:tcPr>
            <w:tcW w:w="1560" w:type="dxa"/>
            <w:vAlign w:val="bottom"/>
          </w:tcPr>
          <w:p w14:paraId="2CB4A0F9"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6,1%</w:t>
            </w:r>
          </w:p>
        </w:tc>
        <w:tc>
          <w:tcPr>
            <w:tcW w:w="1710" w:type="dxa"/>
            <w:vAlign w:val="bottom"/>
          </w:tcPr>
          <w:p w14:paraId="2890413B"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1.166 €</w:t>
            </w:r>
          </w:p>
        </w:tc>
      </w:tr>
      <w:tr w:rsidR="005B4627" w14:paraId="5CAE732A"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164F1C8"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Galicia</w:t>
            </w:r>
          </w:p>
        </w:tc>
        <w:tc>
          <w:tcPr>
            <w:tcW w:w="2835" w:type="dxa"/>
            <w:vAlign w:val="bottom"/>
          </w:tcPr>
          <w:p w14:paraId="189C268D"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Pontevedra</w:t>
            </w:r>
          </w:p>
        </w:tc>
        <w:tc>
          <w:tcPr>
            <w:tcW w:w="1560" w:type="dxa"/>
            <w:vAlign w:val="bottom"/>
          </w:tcPr>
          <w:p w14:paraId="397FBF19"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5,9%</w:t>
            </w:r>
          </w:p>
        </w:tc>
        <w:tc>
          <w:tcPr>
            <w:tcW w:w="1710" w:type="dxa"/>
            <w:vAlign w:val="bottom"/>
          </w:tcPr>
          <w:p w14:paraId="74D2F92F"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1.868 €</w:t>
            </w:r>
          </w:p>
        </w:tc>
      </w:tr>
      <w:tr w:rsidR="005B4627" w14:paraId="0A771E1D"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B84EC19"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La Rioja</w:t>
            </w:r>
          </w:p>
        </w:tc>
        <w:tc>
          <w:tcPr>
            <w:tcW w:w="2835" w:type="dxa"/>
            <w:vAlign w:val="bottom"/>
          </w:tcPr>
          <w:p w14:paraId="25624CC1"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1560" w:type="dxa"/>
            <w:vAlign w:val="bottom"/>
          </w:tcPr>
          <w:p w14:paraId="47276181"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5,4%</w:t>
            </w:r>
          </w:p>
        </w:tc>
        <w:tc>
          <w:tcPr>
            <w:tcW w:w="1710" w:type="dxa"/>
            <w:vAlign w:val="bottom"/>
          </w:tcPr>
          <w:p w14:paraId="4CD46017"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1.483 €</w:t>
            </w:r>
          </w:p>
        </w:tc>
      </w:tr>
      <w:tr w:rsidR="005B4627" w14:paraId="23078080"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6CAE42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lastRenderedPageBreak/>
              <w:t>Canarias</w:t>
            </w:r>
          </w:p>
        </w:tc>
        <w:tc>
          <w:tcPr>
            <w:tcW w:w="2835" w:type="dxa"/>
            <w:vAlign w:val="bottom"/>
          </w:tcPr>
          <w:p w14:paraId="009F66B1"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w:t>
            </w:r>
          </w:p>
        </w:tc>
        <w:tc>
          <w:tcPr>
            <w:tcW w:w="1560" w:type="dxa"/>
            <w:vAlign w:val="bottom"/>
          </w:tcPr>
          <w:p w14:paraId="7E33427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5,2%</w:t>
            </w:r>
          </w:p>
        </w:tc>
        <w:tc>
          <w:tcPr>
            <w:tcW w:w="1710" w:type="dxa"/>
            <w:vAlign w:val="bottom"/>
          </w:tcPr>
          <w:p w14:paraId="0F895827"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1.848 €</w:t>
            </w:r>
          </w:p>
        </w:tc>
      </w:tr>
      <w:tr w:rsidR="005B4627" w14:paraId="3CA37094"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1D9680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Cataluña</w:t>
            </w:r>
          </w:p>
        </w:tc>
        <w:tc>
          <w:tcPr>
            <w:tcW w:w="2835" w:type="dxa"/>
            <w:vAlign w:val="bottom"/>
          </w:tcPr>
          <w:p w14:paraId="3C795B04"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Tarragona</w:t>
            </w:r>
          </w:p>
        </w:tc>
        <w:tc>
          <w:tcPr>
            <w:tcW w:w="1560" w:type="dxa"/>
            <w:vAlign w:val="bottom"/>
          </w:tcPr>
          <w:p w14:paraId="16A58D62"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4,6%</w:t>
            </w:r>
          </w:p>
        </w:tc>
        <w:tc>
          <w:tcPr>
            <w:tcW w:w="1710" w:type="dxa"/>
            <w:vAlign w:val="bottom"/>
          </w:tcPr>
          <w:p w14:paraId="682DB5C7"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1.542 €</w:t>
            </w:r>
          </w:p>
        </w:tc>
      </w:tr>
      <w:tr w:rsidR="005B4627" w14:paraId="564906A4"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522BD13"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Castilla y León</w:t>
            </w:r>
          </w:p>
        </w:tc>
        <w:tc>
          <w:tcPr>
            <w:tcW w:w="2835" w:type="dxa"/>
            <w:vAlign w:val="bottom"/>
          </w:tcPr>
          <w:p w14:paraId="00BC5D8B"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Valladolid</w:t>
            </w:r>
          </w:p>
        </w:tc>
        <w:tc>
          <w:tcPr>
            <w:tcW w:w="1560" w:type="dxa"/>
            <w:vAlign w:val="bottom"/>
          </w:tcPr>
          <w:p w14:paraId="555D5697"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3,5%</w:t>
            </w:r>
          </w:p>
        </w:tc>
        <w:tc>
          <w:tcPr>
            <w:tcW w:w="1710" w:type="dxa"/>
            <w:vAlign w:val="bottom"/>
          </w:tcPr>
          <w:p w14:paraId="78CFC86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1.603 €</w:t>
            </w:r>
          </w:p>
        </w:tc>
      </w:tr>
      <w:tr w:rsidR="005B4627" w14:paraId="4D6B261E"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A90A3F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Baleares</w:t>
            </w:r>
          </w:p>
        </w:tc>
        <w:tc>
          <w:tcPr>
            <w:tcW w:w="2835" w:type="dxa"/>
            <w:vAlign w:val="bottom"/>
          </w:tcPr>
          <w:p w14:paraId="29EEDACD"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Illes Balears</w:t>
            </w:r>
          </w:p>
        </w:tc>
        <w:tc>
          <w:tcPr>
            <w:tcW w:w="1560" w:type="dxa"/>
            <w:vAlign w:val="bottom"/>
          </w:tcPr>
          <w:p w14:paraId="4B4CBA6C"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3,4%</w:t>
            </w:r>
          </w:p>
        </w:tc>
        <w:tc>
          <w:tcPr>
            <w:tcW w:w="1710" w:type="dxa"/>
            <w:vAlign w:val="bottom"/>
          </w:tcPr>
          <w:p w14:paraId="599893CE"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2.890 €</w:t>
            </w:r>
          </w:p>
        </w:tc>
      </w:tr>
      <w:tr w:rsidR="005B4627" w14:paraId="7BBBCE1E"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2A23666"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Aragón</w:t>
            </w:r>
          </w:p>
        </w:tc>
        <w:tc>
          <w:tcPr>
            <w:tcW w:w="2835" w:type="dxa"/>
            <w:vAlign w:val="bottom"/>
          </w:tcPr>
          <w:p w14:paraId="440DB74E"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Teruel</w:t>
            </w:r>
          </w:p>
        </w:tc>
        <w:tc>
          <w:tcPr>
            <w:tcW w:w="1560" w:type="dxa"/>
            <w:vAlign w:val="bottom"/>
          </w:tcPr>
          <w:p w14:paraId="5D3DF36A"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3,4%</w:t>
            </w:r>
          </w:p>
        </w:tc>
        <w:tc>
          <w:tcPr>
            <w:tcW w:w="1710" w:type="dxa"/>
            <w:vAlign w:val="bottom"/>
          </w:tcPr>
          <w:p w14:paraId="2CB01FAC"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1.091 €</w:t>
            </w:r>
          </w:p>
        </w:tc>
      </w:tr>
      <w:tr w:rsidR="005B4627" w14:paraId="632F206A"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EDF3D6C"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País Vasco</w:t>
            </w:r>
          </w:p>
        </w:tc>
        <w:tc>
          <w:tcPr>
            <w:tcW w:w="2835" w:type="dxa"/>
            <w:vAlign w:val="bottom"/>
          </w:tcPr>
          <w:p w14:paraId="05444110"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Araba - Álava</w:t>
            </w:r>
          </w:p>
        </w:tc>
        <w:tc>
          <w:tcPr>
            <w:tcW w:w="1560" w:type="dxa"/>
            <w:vAlign w:val="bottom"/>
          </w:tcPr>
          <w:p w14:paraId="2680BAC9"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w:t>
            </w:r>
          </w:p>
        </w:tc>
        <w:tc>
          <w:tcPr>
            <w:tcW w:w="1710" w:type="dxa"/>
            <w:vAlign w:val="bottom"/>
          </w:tcPr>
          <w:p w14:paraId="338A7ECC"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2.463 €</w:t>
            </w:r>
          </w:p>
        </w:tc>
      </w:tr>
      <w:tr w:rsidR="005B4627" w14:paraId="516C7EDD"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1FB673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Cataluña</w:t>
            </w:r>
          </w:p>
        </w:tc>
        <w:tc>
          <w:tcPr>
            <w:tcW w:w="2835" w:type="dxa"/>
            <w:vAlign w:val="bottom"/>
          </w:tcPr>
          <w:p w14:paraId="44B36140"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Lleida</w:t>
            </w:r>
          </w:p>
        </w:tc>
        <w:tc>
          <w:tcPr>
            <w:tcW w:w="1560" w:type="dxa"/>
            <w:vAlign w:val="bottom"/>
          </w:tcPr>
          <w:p w14:paraId="30A6BDE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2,9%</w:t>
            </w:r>
          </w:p>
        </w:tc>
        <w:tc>
          <w:tcPr>
            <w:tcW w:w="1710" w:type="dxa"/>
            <w:vAlign w:val="bottom"/>
          </w:tcPr>
          <w:p w14:paraId="07CFFEBE"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1.158 €</w:t>
            </w:r>
          </w:p>
        </w:tc>
      </w:tr>
      <w:tr w:rsidR="005B4627" w14:paraId="5FC11511"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A4BB4D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Castilla y León</w:t>
            </w:r>
          </w:p>
        </w:tc>
        <w:tc>
          <w:tcPr>
            <w:tcW w:w="2835" w:type="dxa"/>
            <w:vAlign w:val="bottom"/>
          </w:tcPr>
          <w:p w14:paraId="55653355"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Burgos</w:t>
            </w:r>
          </w:p>
        </w:tc>
        <w:tc>
          <w:tcPr>
            <w:tcW w:w="1560" w:type="dxa"/>
            <w:vAlign w:val="bottom"/>
          </w:tcPr>
          <w:p w14:paraId="266F298F"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2,6%</w:t>
            </w:r>
          </w:p>
        </w:tc>
        <w:tc>
          <w:tcPr>
            <w:tcW w:w="1710" w:type="dxa"/>
            <w:vAlign w:val="bottom"/>
          </w:tcPr>
          <w:p w14:paraId="119A1916"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1.472 €</w:t>
            </w:r>
          </w:p>
        </w:tc>
      </w:tr>
      <w:tr w:rsidR="005B4627" w14:paraId="72E61F59"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D52103C"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Aragón</w:t>
            </w:r>
          </w:p>
        </w:tc>
        <w:tc>
          <w:tcPr>
            <w:tcW w:w="2835" w:type="dxa"/>
            <w:vAlign w:val="bottom"/>
          </w:tcPr>
          <w:p w14:paraId="20458638"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Zaragoza</w:t>
            </w:r>
          </w:p>
        </w:tc>
        <w:tc>
          <w:tcPr>
            <w:tcW w:w="1560" w:type="dxa"/>
            <w:vAlign w:val="bottom"/>
          </w:tcPr>
          <w:p w14:paraId="263AE391"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2,5%</w:t>
            </w:r>
          </w:p>
        </w:tc>
        <w:tc>
          <w:tcPr>
            <w:tcW w:w="1710" w:type="dxa"/>
            <w:vAlign w:val="bottom"/>
          </w:tcPr>
          <w:p w14:paraId="3C39079E"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1.670 €</w:t>
            </w:r>
          </w:p>
        </w:tc>
      </w:tr>
      <w:tr w:rsidR="005B4627" w14:paraId="1722EC92"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14D8934"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835" w:type="dxa"/>
            <w:vAlign w:val="bottom"/>
          </w:tcPr>
          <w:p w14:paraId="16954AB6"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Castellón</w:t>
            </w:r>
          </w:p>
        </w:tc>
        <w:tc>
          <w:tcPr>
            <w:tcW w:w="1560" w:type="dxa"/>
            <w:vAlign w:val="bottom"/>
          </w:tcPr>
          <w:p w14:paraId="785FF22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2,3%</w:t>
            </w:r>
          </w:p>
        </w:tc>
        <w:tc>
          <w:tcPr>
            <w:tcW w:w="1710" w:type="dxa"/>
            <w:vAlign w:val="bottom"/>
          </w:tcPr>
          <w:p w14:paraId="13D96C7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1.121 €</w:t>
            </w:r>
          </w:p>
        </w:tc>
      </w:tr>
      <w:tr w:rsidR="005B4627" w14:paraId="6D8A06DF"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1DA60A0"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835" w:type="dxa"/>
            <w:vAlign w:val="bottom"/>
          </w:tcPr>
          <w:p w14:paraId="21B9ADD2"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1560" w:type="dxa"/>
            <w:vAlign w:val="bottom"/>
          </w:tcPr>
          <w:p w14:paraId="6B4E2701"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2,1%</w:t>
            </w:r>
          </w:p>
        </w:tc>
        <w:tc>
          <w:tcPr>
            <w:tcW w:w="1710" w:type="dxa"/>
            <w:vAlign w:val="bottom"/>
          </w:tcPr>
          <w:p w14:paraId="303B49C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1.559 €</w:t>
            </w:r>
          </w:p>
        </w:tc>
      </w:tr>
      <w:tr w:rsidR="005B4627" w14:paraId="4EC9A2A7"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3367FF6"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Madrid</w:t>
            </w:r>
          </w:p>
        </w:tc>
        <w:tc>
          <w:tcPr>
            <w:tcW w:w="2835" w:type="dxa"/>
            <w:vAlign w:val="bottom"/>
          </w:tcPr>
          <w:p w14:paraId="3CD7F063"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1560" w:type="dxa"/>
            <w:vAlign w:val="bottom"/>
          </w:tcPr>
          <w:p w14:paraId="432DCEA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2,1%</w:t>
            </w:r>
          </w:p>
        </w:tc>
        <w:tc>
          <w:tcPr>
            <w:tcW w:w="1710" w:type="dxa"/>
            <w:vAlign w:val="bottom"/>
          </w:tcPr>
          <w:p w14:paraId="4F5D711F"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3.123 €</w:t>
            </w:r>
          </w:p>
        </w:tc>
      </w:tr>
      <w:tr w:rsidR="005B4627" w14:paraId="44BE6BEA"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871CC3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Andalucía</w:t>
            </w:r>
          </w:p>
        </w:tc>
        <w:tc>
          <w:tcPr>
            <w:tcW w:w="2835" w:type="dxa"/>
            <w:vAlign w:val="bottom"/>
          </w:tcPr>
          <w:p w14:paraId="30B34061"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Granada</w:t>
            </w:r>
          </w:p>
        </w:tc>
        <w:tc>
          <w:tcPr>
            <w:tcW w:w="1560" w:type="dxa"/>
            <w:vAlign w:val="bottom"/>
          </w:tcPr>
          <w:p w14:paraId="67B99523"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2,0%</w:t>
            </w:r>
          </w:p>
        </w:tc>
        <w:tc>
          <w:tcPr>
            <w:tcW w:w="1710" w:type="dxa"/>
            <w:vAlign w:val="bottom"/>
          </w:tcPr>
          <w:p w14:paraId="559B5FFE"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1.582 €</w:t>
            </w:r>
          </w:p>
        </w:tc>
      </w:tr>
      <w:tr w:rsidR="005B4627" w14:paraId="5A1A1659"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83EC546"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Castilla y León</w:t>
            </w:r>
          </w:p>
        </w:tc>
        <w:tc>
          <w:tcPr>
            <w:tcW w:w="2835" w:type="dxa"/>
            <w:vAlign w:val="bottom"/>
          </w:tcPr>
          <w:p w14:paraId="7B230364"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León</w:t>
            </w:r>
          </w:p>
        </w:tc>
        <w:tc>
          <w:tcPr>
            <w:tcW w:w="1560" w:type="dxa"/>
            <w:vAlign w:val="bottom"/>
          </w:tcPr>
          <w:p w14:paraId="094601ED"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2,0%</w:t>
            </w:r>
          </w:p>
        </w:tc>
        <w:tc>
          <w:tcPr>
            <w:tcW w:w="1710" w:type="dxa"/>
            <w:vAlign w:val="bottom"/>
          </w:tcPr>
          <w:p w14:paraId="5DC4987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1.260 €</w:t>
            </w:r>
          </w:p>
        </w:tc>
      </w:tr>
      <w:tr w:rsidR="005B4627" w14:paraId="615302A2"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5D83D9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Cantabria</w:t>
            </w:r>
          </w:p>
        </w:tc>
        <w:tc>
          <w:tcPr>
            <w:tcW w:w="2835" w:type="dxa"/>
            <w:vAlign w:val="bottom"/>
          </w:tcPr>
          <w:p w14:paraId="43C04504"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1560" w:type="dxa"/>
            <w:vAlign w:val="bottom"/>
          </w:tcPr>
          <w:p w14:paraId="42247EE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w:t>
            </w:r>
          </w:p>
        </w:tc>
        <w:tc>
          <w:tcPr>
            <w:tcW w:w="1710" w:type="dxa"/>
            <w:vAlign w:val="bottom"/>
          </w:tcPr>
          <w:p w14:paraId="0D250C3C"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1.778 €</w:t>
            </w:r>
          </w:p>
        </w:tc>
      </w:tr>
      <w:tr w:rsidR="005B4627" w14:paraId="17D98A19"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898DA7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País Vasco</w:t>
            </w:r>
          </w:p>
        </w:tc>
        <w:tc>
          <w:tcPr>
            <w:tcW w:w="2835" w:type="dxa"/>
            <w:vAlign w:val="bottom"/>
          </w:tcPr>
          <w:p w14:paraId="2B01EA5D"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Bizkaia</w:t>
            </w:r>
          </w:p>
        </w:tc>
        <w:tc>
          <w:tcPr>
            <w:tcW w:w="1560" w:type="dxa"/>
            <w:vAlign w:val="bottom"/>
          </w:tcPr>
          <w:p w14:paraId="0388B12E"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w:t>
            </w:r>
          </w:p>
        </w:tc>
        <w:tc>
          <w:tcPr>
            <w:tcW w:w="1710" w:type="dxa"/>
            <w:vAlign w:val="bottom"/>
          </w:tcPr>
          <w:p w14:paraId="2E01D873"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2.889 €</w:t>
            </w:r>
          </w:p>
        </w:tc>
      </w:tr>
      <w:tr w:rsidR="005B4627" w14:paraId="4A61CFAD"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F939E2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Andalucía</w:t>
            </w:r>
          </w:p>
        </w:tc>
        <w:tc>
          <w:tcPr>
            <w:tcW w:w="2835" w:type="dxa"/>
            <w:vAlign w:val="bottom"/>
          </w:tcPr>
          <w:p w14:paraId="2D26F312"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Córdoba</w:t>
            </w:r>
          </w:p>
        </w:tc>
        <w:tc>
          <w:tcPr>
            <w:tcW w:w="1560" w:type="dxa"/>
            <w:vAlign w:val="bottom"/>
          </w:tcPr>
          <w:p w14:paraId="4A47B628"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w:t>
            </w:r>
          </w:p>
        </w:tc>
        <w:tc>
          <w:tcPr>
            <w:tcW w:w="1710" w:type="dxa"/>
            <w:vAlign w:val="bottom"/>
          </w:tcPr>
          <w:p w14:paraId="3C23F459"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1.399 €</w:t>
            </w:r>
          </w:p>
        </w:tc>
      </w:tr>
      <w:tr w:rsidR="005B4627" w14:paraId="7BAE0359"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568F56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835" w:type="dxa"/>
            <w:vAlign w:val="bottom"/>
          </w:tcPr>
          <w:p w14:paraId="469BCDFB"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Toledo</w:t>
            </w:r>
          </w:p>
        </w:tc>
        <w:tc>
          <w:tcPr>
            <w:tcW w:w="1560" w:type="dxa"/>
            <w:vAlign w:val="bottom"/>
          </w:tcPr>
          <w:p w14:paraId="6239F44B"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w:t>
            </w:r>
          </w:p>
        </w:tc>
        <w:tc>
          <w:tcPr>
            <w:tcW w:w="1710" w:type="dxa"/>
            <w:vAlign w:val="bottom"/>
          </w:tcPr>
          <w:p w14:paraId="645DC07A"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977 €</w:t>
            </w:r>
          </w:p>
        </w:tc>
      </w:tr>
      <w:tr w:rsidR="005B4627" w14:paraId="7C8C88B7"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DC37746"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Andalucía</w:t>
            </w:r>
          </w:p>
        </w:tc>
        <w:tc>
          <w:tcPr>
            <w:tcW w:w="2835" w:type="dxa"/>
            <w:vAlign w:val="bottom"/>
          </w:tcPr>
          <w:p w14:paraId="2EC3A1B5"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Huelva</w:t>
            </w:r>
          </w:p>
        </w:tc>
        <w:tc>
          <w:tcPr>
            <w:tcW w:w="1560" w:type="dxa"/>
            <w:vAlign w:val="bottom"/>
          </w:tcPr>
          <w:p w14:paraId="221F5819"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w:t>
            </w:r>
          </w:p>
        </w:tc>
        <w:tc>
          <w:tcPr>
            <w:tcW w:w="1710" w:type="dxa"/>
            <w:vAlign w:val="bottom"/>
          </w:tcPr>
          <w:p w14:paraId="27838B87"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1.302 €</w:t>
            </w:r>
          </w:p>
        </w:tc>
      </w:tr>
      <w:tr w:rsidR="005B4627" w14:paraId="2D7E3460"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665CA0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Extremadura</w:t>
            </w:r>
          </w:p>
        </w:tc>
        <w:tc>
          <w:tcPr>
            <w:tcW w:w="2835" w:type="dxa"/>
            <w:vAlign w:val="bottom"/>
          </w:tcPr>
          <w:p w14:paraId="7A04E1AF"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Cáceres</w:t>
            </w:r>
          </w:p>
        </w:tc>
        <w:tc>
          <w:tcPr>
            <w:tcW w:w="1560" w:type="dxa"/>
            <w:vAlign w:val="bottom"/>
          </w:tcPr>
          <w:p w14:paraId="2852E0AD"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w:t>
            </w:r>
          </w:p>
        </w:tc>
        <w:tc>
          <w:tcPr>
            <w:tcW w:w="1710" w:type="dxa"/>
            <w:vAlign w:val="bottom"/>
          </w:tcPr>
          <w:p w14:paraId="0E82081F"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1.146 €</w:t>
            </w:r>
          </w:p>
        </w:tc>
      </w:tr>
      <w:tr w:rsidR="005B4627" w14:paraId="06559091"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DAC19A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Andalucía</w:t>
            </w:r>
          </w:p>
        </w:tc>
        <w:tc>
          <w:tcPr>
            <w:tcW w:w="2835" w:type="dxa"/>
            <w:vAlign w:val="bottom"/>
          </w:tcPr>
          <w:p w14:paraId="2E61AA4F"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Almería</w:t>
            </w:r>
          </w:p>
        </w:tc>
        <w:tc>
          <w:tcPr>
            <w:tcW w:w="1560" w:type="dxa"/>
            <w:vAlign w:val="bottom"/>
          </w:tcPr>
          <w:p w14:paraId="73CF75D5"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w:t>
            </w:r>
          </w:p>
        </w:tc>
        <w:tc>
          <w:tcPr>
            <w:tcW w:w="1710" w:type="dxa"/>
            <w:vAlign w:val="bottom"/>
          </w:tcPr>
          <w:p w14:paraId="78E8641C"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1.199 €</w:t>
            </w:r>
          </w:p>
        </w:tc>
      </w:tr>
      <w:tr w:rsidR="005B4627" w14:paraId="3B6C3E86"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B97D109"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Galicia</w:t>
            </w:r>
          </w:p>
        </w:tc>
        <w:tc>
          <w:tcPr>
            <w:tcW w:w="2835" w:type="dxa"/>
            <w:vAlign w:val="bottom"/>
          </w:tcPr>
          <w:p w14:paraId="2A3B0F40"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Ourense</w:t>
            </w:r>
          </w:p>
        </w:tc>
        <w:tc>
          <w:tcPr>
            <w:tcW w:w="1560" w:type="dxa"/>
            <w:vAlign w:val="bottom"/>
          </w:tcPr>
          <w:p w14:paraId="36C4E0F1"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w:t>
            </w:r>
          </w:p>
        </w:tc>
        <w:tc>
          <w:tcPr>
            <w:tcW w:w="1710" w:type="dxa"/>
            <w:vAlign w:val="bottom"/>
          </w:tcPr>
          <w:p w14:paraId="39F65D76"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1.448 €</w:t>
            </w:r>
          </w:p>
        </w:tc>
      </w:tr>
      <w:tr w:rsidR="005B4627" w14:paraId="04679D87"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2A77F89"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Galicia</w:t>
            </w:r>
          </w:p>
        </w:tc>
        <w:tc>
          <w:tcPr>
            <w:tcW w:w="2835" w:type="dxa"/>
            <w:vAlign w:val="bottom"/>
          </w:tcPr>
          <w:p w14:paraId="2ED470FB"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 Coruña</w:t>
            </w:r>
          </w:p>
        </w:tc>
        <w:tc>
          <w:tcPr>
            <w:tcW w:w="1560" w:type="dxa"/>
            <w:vAlign w:val="bottom"/>
          </w:tcPr>
          <w:p w14:paraId="26FF083B"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w:t>
            </w:r>
          </w:p>
        </w:tc>
        <w:tc>
          <w:tcPr>
            <w:tcW w:w="1710" w:type="dxa"/>
            <w:vAlign w:val="bottom"/>
          </w:tcPr>
          <w:p w14:paraId="20EB7802"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1.630 €</w:t>
            </w:r>
          </w:p>
        </w:tc>
      </w:tr>
      <w:tr w:rsidR="005B4627" w14:paraId="40C17B60"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612EB62"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Castilla y León</w:t>
            </w:r>
          </w:p>
        </w:tc>
        <w:tc>
          <w:tcPr>
            <w:tcW w:w="2835" w:type="dxa"/>
            <w:vAlign w:val="bottom"/>
          </w:tcPr>
          <w:p w14:paraId="6EDCCFF0"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Soria</w:t>
            </w:r>
          </w:p>
        </w:tc>
        <w:tc>
          <w:tcPr>
            <w:tcW w:w="1560" w:type="dxa"/>
            <w:vAlign w:val="bottom"/>
          </w:tcPr>
          <w:p w14:paraId="28221304"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w:t>
            </w:r>
          </w:p>
        </w:tc>
        <w:tc>
          <w:tcPr>
            <w:tcW w:w="1710" w:type="dxa"/>
            <w:vAlign w:val="bottom"/>
          </w:tcPr>
          <w:p w14:paraId="3E40386D"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1.231 €</w:t>
            </w:r>
          </w:p>
        </w:tc>
      </w:tr>
      <w:tr w:rsidR="005B4627" w14:paraId="65CF63A0"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9A6DA2E"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Castilla y León</w:t>
            </w:r>
          </w:p>
        </w:tc>
        <w:tc>
          <w:tcPr>
            <w:tcW w:w="2835" w:type="dxa"/>
            <w:vAlign w:val="bottom"/>
          </w:tcPr>
          <w:p w14:paraId="710CFB69"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Ávila</w:t>
            </w:r>
          </w:p>
        </w:tc>
        <w:tc>
          <w:tcPr>
            <w:tcW w:w="1560" w:type="dxa"/>
            <w:vAlign w:val="bottom"/>
          </w:tcPr>
          <w:p w14:paraId="1A15F025"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0,7%</w:t>
            </w:r>
          </w:p>
        </w:tc>
        <w:tc>
          <w:tcPr>
            <w:tcW w:w="1710" w:type="dxa"/>
            <w:vAlign w:val="bottom"/>
          </w:tcPr>
          <w:p w14:paraId="56AA7EC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1.030 €</w:t>
            </w:r>
          </w:p>
        </w:tc>
      </w:tr>
      <w:tr w:rsidR="005B4627" w14:paraId="6DDCEDF0"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02DD334"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Castilla y León</w:t>
            </w:r>
          </w:p>
        </w:tc>
        <w:tc>
          <w:tcPr>
            <w:tcW w:w="2835" w:type="dxa"/>
            <w:vAlign w:val="bottom"/>
          </w:tcPr>
          <w:p w14:paraId="590C692D"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Segovia</w:t>
            </w:r>
          </w:p>
        </w:tc>
        <w:tc>
          <w:tcPr>
            <w:tcW w:w="1560" w:type="dxa"/>
            <w:vAlign w:val="bottom"/>
          </w:tcPr>
          <w:p w14:paraId="4C2BC3C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0,5%</w:t>
            </w:r>
          </w:p>
        </w:tc>
        <w:tc>
          <w:tcPr>
            <w:tcW w:w="1710" w:type="dxa"/>
            <w:vAlign w:val="bottom"/>
          </w:tcPr>
          <w:p w14:paraId="4602A0BB"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1.324 €</w:t>
            </w:r>
          </w:p>
        </w:tc>
      </w:tr>
      <w:tr w:rsidR="005B4627" w14:paraId="2E51B352"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FA0FF6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Andalucía</w:t>
            </w:r>
          </w:p>
        </w:tc>
        <w:tc>
          <w:tcPr>
            <w:tcW w:w="2835" w:type="dxa"/>
            <w:vAlign w:val="bottom"/>
          </w:tcPr>
          <w:p w14:paraId="6E721B5B"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Sevilla</w:t>
            </w:r>
          </w:p>
        </w:tc>
        <w:tc>
          <w:tcPr>
            <w:tcW w:w="1560" w:type="dxa"/>
            <w:vAlign w:val="bottom"/>
          </w:tcPr>
          <w:p w14:paraId="2A905A3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0,3%</w:t>
            </w:r>
          </w:p>
        </w:tc>
        <w:tc>
          <w:tcPr>
            <w:tcW w:w="1710" w:type="dxa"/>
            <w:vAlign w:val="bottom"/>
          </w:tcPr>
          <w:p w14:paraId="7EE18FAC"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1.596 €</w:t>
            </w:r>
          </w:p>
        </w:tc>
      </w:tr>
      <w:tr w:rsidR="005B4627" w14:paraId="2C4F94A2"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F5911C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Castilla y León</w:t>
            </w:r>
          </w:p>
        </w:tc>
        <w:tc>
          <w:tcPr>
            <w:tcW w:w="2835" w:type="dxa"/>
            <w:vAlign w:val="bottom"/>
          </w:tcPr>
          <w:p w14:paraId="670ADF18"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Salamanca</w:t>
            </w:r>
          </w:p>
        </w:tc>
        <w:tc>
          <w:tcPr>
            <w:tcW w:w="1560" w:type="dxa"/>
            <w:vAlign w:val="bottom"/>
          </w:tcPr>
          <w:p w14:paraId="271D8E96"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0,2%</w:t>
            </w:r>
          </w:p>
        </w:tc>
        <w:tc>
          <w:tcPr>
            <w:tcW w:w="1710" w:type="dxa"/>
            <w:vAlign w:val="bottom"/>
          </w:tcPr>
          <w:p w14:paraId="33F3D56D"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1.682 €</w:t>
            </w:r>
          </w:p>
        </w:tc>
      </w:tr>
      <w:tr w:rsidR="005B4627" w14:paraId="43958F74"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405E31F"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835" w:type="dxa"/>
            <w:vAlign w:val="bottom"/>
          </w:tcPr>
          <w:p w14:paraId="70E6CEB0"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Albacete</w:t>
            </w:r>
          </w:p>
        </w:tc>
        <w:tc>
          <w:tcPr>
            <w:tcW w:w="1560" w:type="dxa"/>
            <w:vAlign w:val="bottom"/>
          </w:tcPr>
          <w:p w14:paraId="6194192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w:t>
            </w:r>
          </w:p>
        </w:tc>
        <w:tc>
          <w:tcPr>
            <w:tcW w:w="1710" w:type="dxa"/>
            <w:vAlign w:val="bottom"/>
          </w:tcPr>
          <w:p w14:paraId="099566C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1.321 €</w:t>
            </w:r>
          </w:p>
        </w:tc>
      </w:tr>
      <w:tr w:rsidR="005B4627" w14:paraId="751B511D"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BAD2BD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Cataluña</w:t>
            </w:r>
          </w:p>
        </w:tc>
        <w:tc>
          <w:tcPr>
            <w:tcW w:w="2835" w:type="dxa"/>
            <w:vAlign w:val="bottom"/>
          </w:tcPr>
          <w:p w14:paraId="1D776A4A"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1560" w:type="dxa"/>
            <w:vAlign w:val="bottom"/>
          </w:tcPr>
          <w:p w14:paraId="09355F8B"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-0,4%</w:t>
            </w:r>
          </w:p>
        </w:tc>
        <w:tc>
          <w:tcPr>
            <w:tcW w:w="1710" w:type="dxa"/>
            <w:vAlign w:val="bottom"/>
          </w:tcPr>
          <w:p w14:paraId="5F9F15FC"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2.955 €</w:t>
            </w:r>
          </w:p>
        </w:tc>
      </w:tr>
      <w:tr w:rsidR="005B4627" w14:paraId="078CC145"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403CD4E"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Asturias</w:t>
            </w:r>
          </w:p>
        </w:tc>
        <w:tc>
          <w:tcPr>
            <w:tcW w:w="2835" w:type="dxa"/>
            <w:vAlign w:val="bottom"/>
          </w:tcPr>
          <w:p w14:paraId="10E80846"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1560" w:type="dxa"/>
            <w:vAlign w:val="bottom"/>
          </w:tcPr>
          <w:p w14:paraId="30921E3A"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-0,7%</w:t>
            </w:r>
          </w:p>
        </w:tc>
        <w:tc>
          <w:tcPr>
            <w:tcW w:w="1710" w:type="dxa"/>
            <w:vAlign w:val="bottom"/>
          </w:tcPr>
          <w:p w14:paraId="709E64C5"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1.565 €</w:t>
            </w:r>
          </w:p>
        </w:tc>
      </w:tr>
      <w:tr w:rsidR="005B4627" w14:paraId="58F4C5FA"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DDF368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835" w:type="dxa"/>
            <w:vAlign w:val="bottom"/>
          </w:tcPr>
          <w:p w14:paraId="373BB74E"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Murcia</w:t>
            </w:r>
          </w:p>
        </w:tc>
        <w:tc>
          <w:tcPr>
            <w:tcW w:w="1560" w:type="dxa"/>
            <w:vAlign w:val="bottom"/>
          </w:tcPr>
          <w:p w14:paraId="08F3F226"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-1,1%</w:t>
            </w:r>
          </w:p>
        </w:tc>
        <w:tc>
          <w:tcPr>
            <w:tcW w:w="1710" w:type="dxa"/>
            <w:vAlign w:val="bottom"/>
          </w:tcPr>
          <w:p w14:paraId="119D41DF"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1.145 €</w:t>
            </w:r>
          </w:p>
        </w:tc>
      </w:tr>
      <w:tr w:rsidR="005B4627" w14:paraId="357FEAB4"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15BE9FA"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835" w:type="dxa"/>
            <w:vAlign w:val="bottom"/>
          </w:tcPr>
          <w:p w14:paraId="7E2BF3B5"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Valencia</w:t>
            </w:r>
          </w:p>
        </w:tc>
        <w:tc>
          <w:tcPr>
            <w:tcW w:w="1560" w:type="dxa"/>
            <w:vAlign w:val="bottom"/>
          </w:tcPr>
          <w:p w14:paraId="7731696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-1,2%</w:t>
            </w:r>
          </w:p>
        </w:tc>
        <w:tc>
          <w:tcPr>
            <w:tcW w:w="1710" w:type="dxa"/>
            <w:vAlign w:val="bottom"/>
          </w:tcPr>
          <w:p w14:paraId="3DA67269"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1.445 €</w:t>
            </w:r>
          </w:p>
        </w:tc>
      </w:tr>
      <w:tr w:rsidR="005B4627" w14:paraId="0CAEC7E0"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75BDCF3"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835" w:type="dxa"/>
            <w:vAlign w:val="bottom"/>
          </w:tcPr>
          <w:p w14:paraId="6A381CC8"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Guadalajara</w:t>
            </w:r>
          </w:p>
        </w:tc>
        <w:tc>
          <w:tcPr>
            <w:tcW w:w="1560" w:type="dxa"/>
            <w:vAlign w:val="bottom"/>
          </w:tcPr>
          <w:p w14:paraId="05B521F1"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-1,4%</w:t>
            </w:r>
          </w:p>
        </w:tc>
        <w:tc>
          <w:tcPr>
            <w:tcW w:w="1710" w:type="dxa"/>
            <w:vAlign w:val="bottom"/>
          </w:tcPr>
          <w:p w14:paraId="10E3C2A4"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1.281 €</w:t>
            </w:r>
          </w:p>
        </w:tc>
      </w:tr>
      <w:tr w:rsidR="005B4627" w14:paraId="72C8BF73"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8369BFE"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Andalucía</w:t>
            </w:r>
          </w:p>
        </w:tc>
        <w:tc>
          <w:tcPr>
            <w:tcW w:w="2835" w:type="dxa"/>
            <w:vAlign w:val="bottom"/>
          </w:tcPr>
          <w:p w14:paraId="520B1AEA"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Cádiz</w:t>
            </w:r>
          </w:p>
        </w:tc>
        <w:tc>
          <w:tcPr>
            <w:tcW w:w="1560" w:type="dxa"/>
            <w:vAlign w:val="bottom"/>
          </w:tcPr>
          <w:p w14:paraId="0F14735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-1,8%</w:t>
            </w:r>
          </w:p>
        </w:tc>
        <w:tc>
          <w:tcPr>
            <w:tcW w:w="1710" w:type="dxa"/>
            <w:vAlign w:val="bottom"/>
          </w:tcPr>
          <w:p w14:paraId="1E991BB5"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1.534 €</w:t>
            </w:r>
          </w:p>
        </w:tc>
      </w:tr>
      <w:tr w:rsidR="005B4627" w14:paraId="03216724"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A6590AC"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835" w:type="dxa"/>
            <w:vAlign w:val="bottom"/>
          </w:tcPr>
          <w:p w14:paraId="456BCD8F"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Ciudad Real</w:t>
            </w:r>
          </w:p>
        </w:tc>
        <w:tc>
          <w:tcPr>
            <w:tcW w:w="1560" w:type="dxa"/>
            <w:vAlign w:val="bottom"/>
          </w:tcPr>
          <w:p w14:paraId="53B9ADD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-2,0%</w:t>
            </w:r>
          </w:p>
        </w:tc>
        <w:tc>
          <w:tcPr>
            <w:tcW w:w="1710" w:type="dxa"/>
            <w:vAlign w:val="bottom"/>
          </w:tcPr>
          <w:p w14:paraId="154E97C7"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953 €</w:t>
            </w:r>
          </w:p>
        </w:tc>
      </w:tr>
      <w:tr w:rsidR="005B4627" w14:paraId="599E6ADD"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37E8C3F"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Castilla y León</w:t>
            </w:r>
          </w:p>
        </w:tc>
        <w:tc>
          <w:tcPr>
            <w:tcW w:w="2835" w:type="dxa"/>
            <w:vAlign w:val="bottom"/>
          </w:tcPr>
          <w:p w14:paraId="18D72143"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Palencia</w:t>
            </w:r>
          </w:p>
        </w:tc>
        <w:tc>
          <w:tcPr>
            <w:tcW w:w="1560" w:type="dxa"/>
            <w:vAlign w:val="bottom"/>
          </w:tcPr>
          <w:p w14:paraId="1023BFB0"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-2,3%</w:t>
            </w:r>
          </w:p>
        </w:tc>
        <w:tc>
          <w:tcPr>
            <w:tcW w:w="1710" w:type="dxa"/>
            <w:vAlign w:val="bottom"/>
          </w:tcPr>
          <w:p w14:paraId="467D8D31"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1.417 €</w:t>
            </w:r>
          </w:p>
        </w:tc>
      </w:tr>
      <w:tr w:rsidR="005B4627" w14:paraId="23FFE7B4"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D7686DD"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835" w:type="dxa"/>
            <w:vAlign w:val="bottom"/>
          </w:tcPr>
          <w:p w14:paraId="37209950"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Cuenca</w:t>
            </w:r>
          </w:p>
        </w:tc>
        <w:tc>
          <w:tcPr>
            <w:tcW w:w="1560" w:type="dxa"/>
            <w:vAlign w:val="bottom"/>
          </w:tcPr>
          <w:p w14:paraId="78A66169"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-3,1%</w:t>
            </w:r>
          </w:p>
        </w:tc>
        <w:tc>
          <w:tcPr>
            <w:tcW w:w="1710" w:type="dxa"/>
            <w:vAlign w:val="bottom"/>
          </w:tcPr>
          <w:p w14:paraId="21F3E0B3"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1.098 €</w:t>
            </w:r>
          </w:p>
        </w:tc>
      </w:tr>
      <w:tr w:rsidR="005B4627" w14:paraId="119D44F0"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B68B278"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Canarias</w:t>
            </w:r>
          </w:p>
        </w:tc>
        <w:tc>
          <w:tcPr>
            <w:tcW w:w="2835" w:type="dxa"/>
            <w:vAlign w:val="bottom"/>
          </w:tcPr>
          <w:p w14:paraId="6A936368"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Las Palmas</w:t>
            </w:r>
          </w:p>
        </w:tc>
        <w:tc>
          <w:tcPr>
            <w:tcW w:w="1560" w:type="dxa"/>
            <w:vAlign w:val="bottom"/>
          </w:tcPr>
          <w:p w14:paraId="3359875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-4,1%</w:t>
            </w:r>
          </w:p>
        </w:tc>
        <w:tc>
          <w:tcPr>
            <w:tcW w:w="1710" w:type="dxa"/>
            <w:vAlign w:val="bottom"/>
          </w:tcPr>
          <w:p w14:paraId="0CAADAEC"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1.704 €</w:t>
            </w:r>
          </w:p>
        </w:tc>
      </w:tr>
      <w:tr w:rsidR="005B4627" w14:paraId="0F32D8D9"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96A5D50"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Extremadura</w:t>
            </w:r>
          </w:p>
        </w:tc>
        <w:tc>
          <w:tcPr>
            <w:tcW w:w="2835" w:type="dxa"/>
            <w:vAlign w:val="bottom"/>
          </w:tcPr>
          <w:p w14:paraId="608AB3C1"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Badajoz</w:t>
            </w:r>
          </w:p>
        </w:tc>
        <w:tc>
          <w:tcPr>
            <w:tcW w:w="1560" w:type="dxa"/>
            <w:vAlign w:val="bottom"/>
          </w:tcPr>
          <w:p w14:paraId="441EF052"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-4,1%</w:t>
            </w:r>
          </w:p>
        </w:tc>
        <w:tc>
          <w:tcPr>
            <w:tcW w:w="1710" w:type="dxa"/>
            <w:vAlign w:val="bottom"/>
          </w:tcPr>
          <w:p w14:paraId="71F6414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1.139 €</w:t>
            </w:r>
          </w:p>
        </w:tc>
      </w:tr>
      <w:tr w:rsidR="005B4627" w14:paraId="6B3DF47E"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CB5BC26"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lastRenderedPageBreak/>
              <w:t>País Vasco</w:t>
            </w:r>
          </w:p>
        </w:tc>
        <w:tc>
          <w:tcPr>
            <w:tcW w:w="2835" w:type="dxa"/>
            <w:vAlign w:val="bottom"/>
          </w:tcPr>
          <w:p w14:paraId="52FFC3F0"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Gipuzkoa</w:t>
            </w:r>
          </w:p>
        </w:tc>
        <w:tc>
          <w:tcPr>
            <w:tcW w:w="1560" w:type="dxa"/>
            <w:vAlign w:val="bottom"/>
          </w:tcPr>
          <w:p w14:paraId="390CA8A0"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-4,8%</w:t>
            </w:r>
          </w:p>
        </w:tc>
        <w:tc>
          <w:tcPr>
            <w:tcW w:w="1710" w:type="dxa"/>
            <w:vAlign w:val="bottom"/>
          </w:tcPr>
          <w:p w14:paraId="35ADE52E"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3.103 €</w:t>
            </w:r>
          </w:p>
        </w:tc>
      </w:tr>
      <w:tr w:rsidR="005B4627" w14:paraId="6AD1865D"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2D97D5C"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Navarra</w:t>
            </w:r>
          </w:p>
        </w:tc>
        <w:tc>
          <w:tcPr>
            <w:tcW w:w="2835" w:type="dxa"/>
            <w:vAlign w:val="bottom"/>
          </w:tcPr>
          <w:p w14:paraId="2CAB085E"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1560" w:type="dxa"/>
            <w:vAlign w:val="bottom"/>
          </w:tcPr>
          <w:p w14:paraId="386CBEBD"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-4,9%</w:t>
            </w:r>
          </w:p>
        </w:tc>
        <w:tc>
          <w:tcPr>
            <w:tcW w:w="1710" w:type="dxa"/>
            <w:vAlign w:val="bottom"/>
          </w:tcPr>
          <w:p w14:paraId="3EDE222A"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1.608 €</w:t>
            </w:r>
          </w:p>
        </w:tc>
      </w:tr>
      <w:tr w:rsidR="005B4627" w14:paraId="4C23FD72" w14:textId="77777777" w:rsidTr="005B462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31C873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Castilla y León</w:t>
            </w:r>
          </w:p>
        </w:tc>
        <w:tc>
          <w:tcPr>
            <w:tcW w:w="2835" w:type="dxa"/>
            <w:vAlign w:val="bottom"/>
          </w:tcPr>
          <w:p w14:paraId="787BEBF8"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Zamora</w:t>
            </w:r>
          </w:p>
        </w:tc>
        <w:tc>
          <w:tcPr>
            <w:tcW w:w="1560" w:type="dxa"/>
            <w:vAlign w:val="bottom"/>
          </w:tcPr>
          <w:p w14:paraId="451882A1"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-5,3%</w:t>
            </w:r>
          </w:p>
        </w:tc>
        <w:tc>
          <w:tcPr>
            <w:tcW w:w="1710" w:type="dxa"/>
            <w:vAlign w:val="bottom"/>
          </w:tcPr>
          <w:p w14:paraId="58583CDE"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1.187 €</w:t>
            </w:r>
          </w:p>
        </w:tc>
      </w:tr>
      <w:tr w:rsidR="005B4627" w14:paraId="65D60D0F" w14:textId="77777777" w:rsidTr="005B4627">
        <w:trPr>
          <w:trHeight w:val="282"/>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BBECE5D"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Andalucía</w:t>
            </w:r>
          </w:p>
        </w:tc>
        <w:tc>
          <w:tcPr>
            <w:tcW w:w="2835" w:type="dxa"/>
            <w:vAlign w:val="bottom"/>
          </w:tcPr>
          <w:p w14:paraId="01FF985C"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Jaén</w:t>
            </w:r>
          </w:p>
        </w:tc>
        <w:tc>
          <w:tcPr>
            <w:tcW w:w="1560" w:type="dxa"/>
            <w:vAlign w:val="bottom"/>
          </w:tcPr>
          <w:p w14:paraId="4584BB57"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-5,7%</w:t>
            </w:r>
          </w:p>
        </w:tc>
        <w:tc>
          <w:tcPr>
            <w:tcW w:w="1710" w:type="dxa"/>
            <w:vAlign w:val="bottom"/>
          </w:tcPr>
          <w:p w14:paraId="1013E21C"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1.020 €</w:t>
            </w:r>
          </w:p>
        </w:tc>
      </w:tr>
    </w:tbl>
    <w:p w14:paraId="5FBFDDD3" w14:textId="77777777" w:rsidR="005B4627" w:rsidRDefault="007F28F2">
      <w:pPr>
        <w:pBdr>
          <w:top w:val="nil"/>
          <w:left w:val="nil"/>
          <w:bottom w:val="nil"/>
          <w:right w:val="nil"/>
          <w:between w:val="nil"/>
        </w:pBdr>
        <w:shd w:val="clear" w:color="auto" w:fill="FFFFFF"/>
        <w:spacing w:before="280" w:after="280" w:line="276" w:lineRule="auto"/>
        <w:ind w:right="283"/>
        <w:rPr>
          <w:rFonts w:ascii="Open Sans Light" w:eastAsia="Open Sans Light" w:hAnsi="Open Sans Light" w:cs="Open Sans Light"/>
          <w:b/>
          <w:color w:val="303AB2"/>
        </w:rPr>
      </w:pPr>
      <w:r>
        <w:rPr>
          <w:rFonts w:ascii="Open Sans Light" w:eastAsia="Open Sans Light" w:hAnsi="Open Sans Light" w:cs="Open Sans Light"/>
          <w:b/>
          <w:color w:val="303AB2"/>
        </w:rPr>
        <w:t>Tabla 3: Capitales de provincia de mayor a menor variación anual (dic.20– dic.21)</w:t>
      </w:r>
    </w:p>
    <w:tbl>
      <w:tblPr>
        <w:tblStyle w:val="a1"/>
        <w:tblW w:w="893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80"/>
        <w:gridCol w:w="3118"/>
        <w:gridCol w:w="1985"/>
        <w:gridCol w:w="1847"/>
      </w:tblGrid>
      <w:tr w:rsidR="005B4627" w14:paraId="23584943" w14:textId="77777777" w:rsidTr="005B462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EADDEA3" w14:textId="77777777" w:rsidR="005B4627" w:rsidRDefault="007F28F2">
            <w:pPr>
              <w:spacing w:line="276" w:lineRule="auto"/>
              <w:ind w:right="283"/>
              <w:jc w:val="center"/>
              <w:rPr>
                <w:rFonts w:ascii="Open Sans" w:eastAsia="Open Sans" w:hAnsi="Open Sans" w:cs="Open Sans"/>
                <w:sz w:val="22"/>
                <w:szCs w:val="22"/>
              </w:rPr>
            </w:pPr>
            <w:r>
              <w:rPr>
                <w:rFonts w:ascii="Open Sans" w:eastAsia="Open Sans" w:hAnsi="Open Sans" w:cs="Open Sans"/>
                <w:b w:val="0"/>
                <w:sz w:val="22"/>
                <w:szCs w:val="22"/>
              </w:rPr>
              <w:t>Provincia</w:t>
            </w:r>
          </w:p>
        </w:tc>
        <w:tc>
          <w:tcPr>
            <w:tcW w:w="3118" w:type="dxa"/>
            <w:vAlign w:val="center"/>
          </w:tcPr>
          <w:p w14:paraId="4F42FE23"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5" w:type="dxa"/>
            <w:vAlign w:val="center"/>
          </w:tcPr>
          <w:p w14:paraId="581C6645"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anual (%)</w:t>
            </w:r>
          </w:p>
        </w:tc>
        <w:tc>
          <w:tcPr>
            <w:tcW w:w="1847" w:type="dxa"/>
            <w:vAlign w:val="center"/>
          </w:tcPr>
          <w:p w14:paraId="548C51F0"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Dic. 2021</w:t>
            </w:r>
          </w:p>
          <w:p w14:paraId="26303B1B"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r>
      <w:tr w:rsidR="005B4627" w14:paraId="266880E8"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0CFF49A3"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Huesca</w:t>
            </w:r>
          </w:p>
        </w:tc>
        <w:tc>
          <w:tcPr>
            <w:tcW w:w="3118" w:type="dxa"/>
            <w:vAlign w:val="bottom"/>
          </w:tcPr>
          <w:p w14:paraId="38B8B1D4"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Huesca capital</w:t>
            </w:r>
          </w:p>
        </w:tc>
        <w:tc>
          <w:tcPr>
            <w:tcW w:w="1985" w:type="dxa"/>
            <w:vAlign w:val="bottom"/>
          </w:tcPr>
          <w:p w14:paraId="208AF40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17,4%</w:t>
            </w:r>
          </w:p>
        </w:tc>
        <w:tc>
          <w:tcPr>
            <w:tcW w:w="1847" w:type="dxa"/>
            <w:vAlign w:val="bottom"/>
          </w:tcPr>
          <w:p w14:paraId="0DC05423"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1.587 €</w:t>
            </w:r>
          </w:p>
        </w:tc>
      </w:tr>
      <w:tr w:rsidR="005B4627" w14:paraId="5A4ABBFD"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22614F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Toledo</w:t>
            </w:r>
          </w:p>
        </w:tc>
        <w:tc>
          <w:tcPr>
            <w:tcW w:w="3118" w:type="dxa"/>
            <w:vAlign w:val="bottom"/>
          </w:tcPr>
          <w:p w14:paraId="59FFACB6"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985" w:type="dxa"/>
            <w:vAlign w:val="bottom"/>
          </w:tcPr>
          <w:p w14:paraId="40919F8E"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13,9%</w:t>
            </w:r>
          </w:p>
        </w:tc>
        <w:tc>
          <w:tcPr>
            <w:tcW w:w="1847" w:type="dxa"/>
            <w:vAlign w:val="bottom"/>
          </w:tcPr>
          <w:p w14:paraId="2DA2D17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1.556 €</w:t>
            </w:r>
          </w:p>
        </w:tc>
      </w:tr>
      <w:tr w:rsidR="005B4627" w14:paraId="619AE6FB"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001AB91F"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Cuenca</w:t>
            </w:r>
          </w:p>
        </w:tc>
        <w:tc>
          <w:tcPr>
            <w:tcW w:w="3118" w:type="dxa"/>
            <w:vAlign w:val="bottom"/>
          </w:tcPr>
          <w:p w14:paraId="1C3C966F"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Cuenca capital</w:t>
            </w:r>
          </w:p>
        </w:tc>
        <w:tc>
          <w:tcPr>
            <w:tcW w:w="1985" w:type="dxa"/>
            <w:vAlign w:val="bottom"/>
          </w:tcPr>
          <w:p w14:paraId="5B63CE55"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w:t>
            </w:r>
          </w:p>
        </w:tc>
        <w:tc>
          <w:tcPr>
            <w:tcW w:w="1847" w:type="dxa"/>
            <w:vAlign w:val="bottom"/>
          </w:tcPr>
          <w:p w14:paraId="1EEF68F9"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1.407 €</w:t>
            </w:r>
          </w:p>
        </w:tc>
      </w:tr>
      <w:tr w:rsidR="005B4627" w14:paraId="4B149E7E"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0E9C12D0"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Navarra</w:t>
            </w:r>
          </w:p>
        </w:tc>
        <w:tc>
          <w:tcPr>
            <w:tcW w:w="3118" w:type="dxa"/>
            <w:vAlign w:val="bottom"/>
          </w:tcPr>
          <w:p w14:paraId="148A710F"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985" w:type="dxa"/>
            <w:vAlign w:val="bottom"/>
          </w:tcPr>
          <w:p w14:paraId="1E20087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w:t>
            </w:r>
          </w:p>
        </w:tc>
        <w:tc>
          <w:tcPr>
            <w:tcW w:w="1847" w:type="dxa"/>
            <w:vAlign w:val="bottom"/>
          </w:tcPr>
          <w:p w14:paraId="4DF1AA07"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2.538 €</w:t>
            </w:r>
          </w:p>
        </w:tc>
      </w:tr>
      <w:tr w:rsidR="005B4627" w14:paraId="794BB9F8"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1111A5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Castellón</w:t>
            </w:r>
          </w:p>
        </w:tc>
        <w:tc>
          <w:tcPr>
            <w:tcW w:w="3118" w:type="dxa"/>
            <w:vAlign w:val="bottom"/>
          </w:tcPr>
          <w:p w14:paraId="382C8241"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Castellón de la Plana </w:t>
            </w:r>
          </w:p>
        </w:tc>
        <w:tc>
          <w:tcPr>
            <w:tcW w:w="1985" w:type="dxa"/>
            <w:vAlign w:val="bottom"/>
          </w:tcPr>
          <w:p w14:paraId="1E8DBAD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w:t>
            </w:r>
          </w:p>
        </w:tc>
        <w:tc>
          <w:tcPr>
            <w:tcW w:w="1847" w:type="dxa"/>
            <w:vAlign w:val="bottom"/>
          </w:tcPr>
          <w:p w14:paraId="3E4507DF"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1.294 €</w:t>
            </w:r>
          </w:p>
        </w:tc>
      </w:tr>
      <w:tr w:rsidR="005B4627" w14:paraId="674FC98C"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92A55A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Cádiz</w:t>
            </w:r>
          </w:p>
        </w:tc>
        <w:tc>
          <w:tcPr>
            <w:tcW w:w="3118" w:type="dxa"/>
            <w:vAlign w:val="bottom"/>
          </w:tcPr>
          <w:p w14:paraId="1823E91E"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985" w:type="dxa"/>
            <w:vAlign w:val="bottom"/>
          </w:tcPr>
          <w:p w14:paraId="34B2DF64"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5,3%</w:t>
            </w:r>
          </w:p>
        </w:tc>
        <w:tc>
          <w:tcPr>
            <w:tcW w:w="1847" w:type="dxa"/>
            <w:vAlign w:val="bottom"/>
          </w:tcPr>
          <w:p w14:paraId="4D30E1B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2.567 €</w:t>
            </w:r>
          </w:p>
        </w:tc>
      </w:tr>
      <w:tr w:rsidR="005B4627" w14:paraId="292F72B5"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AF3F62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Girona</w:t>
            </w:r>
          </w:p>
        </w:tc>
        <w:tc>
          <w:tcPr>
            <w:tcW w:w="3118" w:type="dxa"/>
            <w:vAlign w:val="bottom"/>
          </w:tcPr>
          <w:p w14:paraId="7C37C88D"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985" w:type="dxa"/>
            <w:vAlign w:val="bottom"/>
          </w:tcPr>
          <w:p w14:paraId="0315D00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5,2%</w:t>
            </w:r>
          </w:p>
        </w:tc>
        <w:tc>
          <w:tcPr>
            <w:tcW w:w="1847" w:type="dxa"/>
            <w:vAlign w:val="bottom"/>
          </w:tcPr>
          <w:p w14:paraId="76DA20F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2.372 €</w:t>
            </w:r>
          </w:p>
        </w:tc>
      </w:tr>
      <w:tr w:rsidR="005B4627" w14:paraId="415DA563"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C50658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Málaga</w:t>
            </w:r>
          </w:p>
        </w:tc>
        <w:tc>
          <w:tcPr>
            <w:tcW w:w="3118" w:type="dxa"/>
            <w:vAlign w:val="bottom"/>
          </w:tcPr>
          <w:p w14:paraId="53544C87"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985" w:type="dxa"/>
            <w:vAlign w:val="bottom"/>
          </w:tcPr>
          <w:p w14:paraId="6408B85F"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5,0%</w:t>
            </w:r>
          </w:p>
        </w:tc>
        <w:tc>
          <w:tcPr>
            <w:tcW w:w="1847" w:type="dxa"/>
            <w:vAlign w:val="bottom"/>
          </w:tcPr>
          <w:p w14:paraId="3D9612D7"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2.450 €</w:t>
            </w:r>
          </w:p>
        </w:tc>
      </w:tr>
      <w:tr w:rsidR="005B4627" w14:paraId="325BFA42"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09E944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Segovia</w:t>
            </w:r>
          </w:p>
        </w:tc>
        <w:tc>
          <w:tcPr>
            <w:tcW w:w="3118" w:type="dxa"/>
            <w:vAlign w:val="bottom"/>
          </w:tcPr>
          <w:p w14:paraId="1EABC61C"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985" w:type="dxa"/>
            <w:vAlign w:val="bottom"/>
          </w:tcPr>
          <w:p w14:paraId="3EDBD0E0"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4,4%</w:t>
            </w:r>
          </w:p>
        </w:tc>
        <w:tc>
          <w:tcPr>
            <w:tcW w:w="1847" w:type="dxa"/>
            <w:vAlign w:val="bottom"/>
          </w:tcPr>
          <w:p w14:paraId="11E8FDC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1.707 €</w:t>
            </w:r>
          </w:p>
        </w:tc>
      </w:tr>
      <w:tr w:rsidR="005B4627" w14:paraId="6804C5DE"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0D9C7658"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Illes Balears</w:t>
            </w:r>
          </w:p>
        </w:tc>
        <w:tc>
          <w:tcPr>
            <w:tcW w:w="3118" w:type="dxa"/>
            <w:vAlign w:val="bottom"/>
          </w:tcPr>
          <w:p w14:paraId="4674C291"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985" w:type="dxa"/>
            <w:vAlign w:val="bottom"/>
          </w:tcPr>
          <w:p w14:paraId="08592226"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c>
          <w:tcPr>
            <w:tcW w:w="1847" w:type="dxa"/>
            <w:vAlign w:val="bottom"/>
          </w:tcPr>
          <w:p w14:paraId="5E7FCDBD"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3.114 €</w:t>
            </w:r>
          </w:p>
        </w:tc>
      </w:tr>
      <w:tr w:rsidR="005B4627" w14:paraId="3CC41FB4"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A27B94E"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Cantabria</w:t>
            </w:r>
          </w:p>
        </w:tc>
        <w:tc>
          <w:tcPr>
            <w:tcW w:w="3118" w:type="dxa"/>
            <w:vAlign w:val="bottom"/>
          </w:tcPr>
          <w:p w14:paraId="00FCAF25"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985" w:type="dxa"/>
            <w:vAlign w:val="bottom"/>
          </w:tcPr>
          <w:p w14:paraId="78D7CEB1"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c>
          <w:tcPr>
            <w:tcW w:w="1847" w:type="dxa"/>
            <w:vAlign w:val="bottom"/>
          </w:tcPr>
          <w:p w14:paraId="0A215B9C"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2.223 €</w:t>
            </w:r>
          </w:p>
        </w:tc>
      </w:tr>
      <w:tr w:rsidR="005B4627" w14:paraId="30346CF4"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B01006D"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Araba - Álava</w:t>
            </w:r>
          </w:p>
        </w:tc>
        <w:tc>
          <w:tcPr>
            <w:tcW w:w="3118" w:type="dxa"/>
            <w:vAlign w:val="bottom"/>
          </w:tcPr>
          <w:p w14:paraId="007A2CBE"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985" w:type="dxa"/>
            <w:vAlign w:val="bottom"/>
          </w:tcPr>
          <w:p w14:paraId="6A133203"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3,8%</w:t>
            </w:r>
          </w:p>
        </w:tc>
        <w:tc>
          <w:tcPr>
            <w:tcW w:w="1847" w:type="dxa"/>
            <w:vAlign w:val="bottom"/>
          </w:tcPr>
          <w:p w14:paraId="7D7297BF"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2.646 €</w:t>
            </w:r>
          </w:p>
        </w:tc>
      </w:tr>
      <w:tr w:rsidR="005B4627" w14:paraId="3F8A7D24"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6449C23"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Badajoz</w:t>
            </w:r>
          </w:p>
        </w:tc>
        <w:tc>
          <w:tcPr>
            <w:tcW w:w="3118" w:type="dxa"/>
            <w:vAlign w:val="bottom"/>
          </w:tcPr>
          <w:p w14:paraId="7126E033"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985" w:type="dxa"/>
            <w:vAlign w:val="bottom"/>
          </w:tcPr>
          <w:p w14:paraId="7B73FD89"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3,7%</w:t>
            </w:r>
          </w:p>
        </w:tc>
        <w:tc>
          <w:tcPr>
            <w:tcW w:w="1847" w:type="dxa"/>
            <w:vAlign w:val="bottom"/>
          </w:tcPr>
          <w:p w14:paraId="2BD25819"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1.416 €</w:t>
            </w:r>
          </w:p>
        </w:tc>
      </w:tr>
      <w:tr w:rsidR="005B4627" w14:paraId="36047044"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EEFA18C"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Soria</w:t>
            </w:r>
          </w:p>
        </w:tc>
        <w:tc>
          <w:tcPr>
            <w:tcW w:w="3118" w:type="dxa"/>
            <w:vAlign w:val="bottom"/>
          </w:tcPr>
          <w:p w14:paraId="0A155F0A"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Soria capital</w:t>
            </w:r>
          </w:p>
        </w:tc>
        <w:tc>
          <w:tcPr>
            <w:tcW w:w="1985" w:type="dxa"/>
            <w:vAlign w:val="bottom"/>
          </w:tcPr>
          <w:p w14:paraId="70EBBAAD"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3,5%</w:t>
            </w:r>
          </w:p>
        </w:tc>
        <w:tc>
          <w:tcPr>
            <w:tcW w:w="1847" w:type="dxa"/>
            <w:vAlign w:val="bottom"/>
          </w:tcPr>
          <w:p w14:paraId="1E6579F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1.400 €</w:t>
            </w:r>
          </w:p>
        </w:tc>
      </w:tr>
      <w:tr w:rsidR="005B4627" w14:paraId="0F9B38EC"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353A662"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Valladolid</w:t>
            </w:r>
          </w:p>
        </w:tc>
        <w:tc>
          <w:tcPr>
            <w:tcW w:w="3118" w:type="dxa"/>
            <w:vAlign w:val="bottom"/>
          </w:tcPr>
          <w:p w14:paraId="1B22FAF6"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985" w:type="dxa"/>
            <w:vAlign w:val="bottom"/>
          </w:tcPr>
          <w:p w14:paraId="28025E6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3,3%</w:t>
            </w:r>
          </w:p>
        </w:tc>
        <w:tc>
          <w:tcPr>
            <w:tcW w:w="1847" w:type="dxa"/>
            <w:vAlign w:val="bottom"/>
          </w:tcPr>
          <w:p w14:paraId="7DED31C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1.762 €</w:t>
            </w:r>
          </w:p>
        </w:tc>
      </w:tr>
      <w:tr w:rsidR="005B4627" w14:paraId="2347C567"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50E36E0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Valencia</w:t>
            </w:r>
          </w:p>
        </w:tc>
        <w:tc>
          <w:tcPr>
            <w:tcW w:w="3118" w:type="dxa"/>
            <w:vAlign w:val="bottom"/>
          </w:tcPr>
          <w:p w14:paraId="40000603"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985" w:type="dxa"/>
            <w:vAlign w:val="bottom"/>
          </w:tcPr>
          <w:p w14:paraId="5BF37F46"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3,3%</w:t>
            </w:r>
          </w:p>
        </w:tc>
        <w:tc>
          <w:tcPr>
            <w:tcW w:w="1847" w:type="dxa"/>
            <w:vAlign w:val="bottom"/>
          </w:tcPr>
          <w:p w14:paraId="276686A2"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2.130 €</w:t>
            </w:r>
          </w:p>
        </w:tc>
      </w:tr>
      <w:tr w:rsidR="005B4627" w14:paraId="1E65E279"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36CBE03"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Asturias</w:t>
            </w:r>
          </w:p>
        </w:tc>
        <w:tc>
          <w:tcPr>
            <w:tcW w:w="3118" w:type="dxa"/>
            <w:vAlign w:val="bottom"/>
          </w:tcPr>
          <w:p w14:paraId="4DC23867"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985" w:type="dxa"/>
            <w:vAlign w:val="bottom"/>
          </w:tcPr>
          <w:p w14:paraId="2EFAB3EA"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3,3%</w:t>
            </w:r>
          </w:p>
        </w:tc>
        <w:tc>
          <w:tcPr>
            <w:tcW w:w="1847" w:type="dxa"/>
            <w:vAlign w:val="bottom"/>
          </w:tcPr>
          <w:p w14:paraId="62D4F272"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1.714 €</w:t>
            </w:r>
          </w:p>
        </w:tc>
      </w:tr>
      <w:tr w:rsidR="005B4627" w14:paraId="4181F7AC"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5ADF46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Burgos</w:t>
            </w:r>
          </w:p>
        </w:tc>
        <w:tc>
          <w:tcPr>
            <w:tcW w:w="3118" w:type="dxa"/>
            <w:vAlign w:val="bottom"/>
          </w:tcPr>
          <w:p w14:paraId="3D84FE76"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985" w:type="dxa"/>
            <w:vAlign w:val="bottom"/>
          </w:tcPr>
          <w:p w14:paraId="3222CAD0"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3,2%</w:t>
            </w:r>
          </w:p>
        </w:tc>
        <w:tc>
          <w:tcPr>
            <w:tcW w:w="1847" w:type="dxa"/>
            <w:vAlign w:val="bottom"/>
          </w:tcPr>
          <w:p w14:paraId="7BCB4E26"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1.722 €</w:t>
            </w:r>
          </w:p>
        </w:tc>
      </w:tr>
      <w:tr w:rsidR="005B4627" w14:paraId="5386B49F"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20762A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Zaragoza</w:t>
            </w:r>
          </w:p>
        </w:tc>
        <w:tc>
          <w:tcPr>
            <w:tcW w:w="3118" w:type="dxa"/>
            <w:vAlign w:val="bottom"/>
          </w:tcPr>
          <w:p w14:paraId="60610426"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985" w:type="dxa"/>
            <w:vAlign w:val="bottom"/>
          </w:tcPr>
          <w:p w14:paraId="04E91155"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3,1%</w:t>
            </w:r>
          </w:p>
        </w:tc>
        <w:tc>
          <w:tcPr>
            <w:tcW w:w="1847" w:type="dxa"/>
            <w:vAlign w:val="bottom"/>
          </w:tcPr>
          <w:p w14:paraId="7C4A9017"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1.872 €</w:t>
            </w:r>
          </w:p>
        </w:tc>
      </w:tr>
      <w:tr w:rsidR="005B4627" w14:paraId="2085522A"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1CC11BF"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Guadalajara</w:t>
            </w:r>
          </w:p>
        </w:tc>
        <w:tc>
          <w:tcPr>
            <w:tcW w:w="3118" w:type="dxa"/>
            <w:vAlign w:val="bottom"/>
          </w:tcPr>
          <w:p w14:paraId="3CD1D25C"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Guadalajara capital</w:t>
            </w:r>
          </w:p>
        </w:tc>
        <w:tc>
          <w:tcPr>
            <w:tcW w:w="1985" w:type="dxa"/>
            <w:vAlign w:val="bottom"/>
          </w:tcPr>
          <w:p w14:paraId="587FE491"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w:t>
            </w:r>
          </w:p>
        </w:tc>
        <w:tc>
          <w:tcPr>
            <w:tcW w:w="1847" w:type="dxa"/>
            <w:vAlign w:val="bottom"/>
          </w:tcPr>
          <w:p w14:paraId="3D708404"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1.477 €</w:t>
            </w:r>
          </w:p>
        </w:tc>
      </w:tr>
      <w:tr w:rsidR="005B4627" w14:paraId="700BF5D2"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5ADDE64"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La Rioja</w:t>
            </w:r>
          </w:p>
        </w:tc>
        <w:tc>
          <w:tcPr>
            <w:tcW w:w="3118" w:type="dxa"/>
            <w:vAlign w:val="bottom"/>
          </w:tcPr>
          <w:p w14:paraId="6A396097"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985" w:type="dxa"/>
            <w:vAlign w:val="bottom"/>
          </w:tcPr>
          <w:p w14:paraId="363B7EE3"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w:t>
            </w:r>
          </w:p>
        </w:tc>
        <w:tc>
          <w:tcPr>
            <w:tcW w:w="1847" w:type="dxa"/>
            <w:vAlign w:val="bottom"/>
          </w:tcPr>
          <w:p w14:paraId="237F91E0"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1.733 €</w:t>
            </w:r>
          </w:p>
        </w:tc>
      </w:tr>
      <w:tr w:rsidR="005B4627" w14:paraId="1AAB1E12"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5E26304"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Lleida</w:t>
            </w:r>
          </w:p>
        </w:tc>
        <w:tc>
          <w:tcPr>
            <w:tcW w:w="3118" w:type="dxa"/>
            <w:vAlign w:val="bottom"/>
          </w:tcPr>
          <w:p w14:paraId="28FD4F52"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985" w:type="dxa"/>
            <w:vAlign w:val="bottom"/>
          </w:tcPr>
          <w:p w14:paraId="18D8BF7A"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w:t>
            </w:r>
          </w:p>
        </w:tc>
        <w:tc>
          <w:tcPr>
            <w:tcW w:w="1847" w:type="dxa"/>
            <w:vAlign w:val="bottom"/>
          </w:tcPr>
          <w:p w14:paraId="4E36781F"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1.190 €</w:t>
            </w:r>
          </w:p>
        </w:tc>
      </w:tr>
      <w:tr w:rsidR="005B4627" w14:paraId="4D89BE60"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1AD661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 Coruña</w:t>
            </w:r>
          </w:p>
        </w:tc>
        <w:tc>
          <w:tcPr>
            <w:tcW w:w="3118" w:type="dxa"/>
            <w:vAlign w:val="bottom"/>
          </w:tcPr>
          <w:p w14:paraId="64325A1E"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985" w:type="dxa"/>
            <w:vAlign w:val="bottom"/>
          </w:tcPr>
          <w:p w14:paraId="7AB821F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w:t>
            </w:r>
          </w:p>
        </w:tc>
        <w:tc>
          <w:tcPr>
            <w:tcW w:w="1847" w:type="dxa"/>
            <w:vAlign w:val="bottom"/>
          </w:tcPr>
          <w:p w14:paraId="04FBDE3F"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2.392 €</w:t>
            </w:r>
          </w:p>
        </w:tc>
      </w:tr>
      <w:tr w:rsidR="005B4627" w14:paraId="3ED4C812"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8593826"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Lugo</w:t>
            </w:r>
          </w:p>
        </w:tc>
        <w:tc>
          <w:tcPr>
            <w:tcW w:w="3118" w:type="dxa"/>
            <w:vAlign w:val="bottom"/>
          </w:tcPr>
          <w:p w14:paraId="51CBEA63"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985" w:type="dxa"/>
            <w:vAlign w:val="bottom"/>
          </w:tcPr>
          <w:p w14:paraId="16EBB6FA"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w:t>
            </w:r>
          </w:p>
        </w:tc>
        <w:tc>
          <w:tcPr>
            <w:tcW w:w="1847" w:type="dxa"/>
            <w:vAlign w:val="bottom"/>
          </w:tcPr>
          <w:p w14:paraId="6BD7549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1.410 €</w:t>
            </w:r>
          </w:p>
        </w:tc>
      </w:tr>
      <w:tr w:rsidR="005B4627" w14:paraId="249F9FBD"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040C42C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Alicante</w:t>
            </w:r>
          </w:p>
        </w:tc>
        <w:tc>
          <w:tcPr>
            <w:tcW w:w="3118" w:type="dxa"/>
            <w:vAlign w:val="bottom"/>
          </w:tcPr>
          <w:p w14:paraId="656A2614"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985" w:type="dxa"/>
            <w:vAlign w:val="bottom"/>
          </w:tcPr>
          <w:p w14:paraId="3443B50B"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w:t>
            </w:r>
          </w:p>
        </w:tc>
        <w:tc>
          <w:tcPr>
            <w:tcW w:w="1847" w:type="dxa"/>
            <w:vAlign w:val="bottom"/>
          </w:tcPr>
          <w:p w14:paraId="2485306E"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1.673 €</w:t>
            </w:r>
          </w:p>
        </w:tc>
      </w:tr>
      <w:tr w:rsidR="005B4627" w14:paraId="6DF1DB64"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ABFDCD8"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Cáceres</w:t>
            </w:r>
          </w:p>
        </w:tc>
        <w:tc>
          <w:tcPr>
            <w:tcW w:w="3118" w:type="dxa"/>
            <w:vAlign w:val="bottom"/>
          </w:tcPr>
          <w:p w14:paraId="4D881360"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Cáceres capital</w:t>
            </w:r>
          </w:p>
        </w:tc>
        <w:tc>
          <w:tcPr>
            <w:tcW w:w="1985" w:type="dxa"/>
            <w:vAlign w:val="bottom"/>
          </w:tcPr>
          <w:p w14:paraId="785C199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847" w:type="dxa"/>
            <w:vAlign w:val="bottom"/>
          </w:tcPr>
          <w:p w14:paraId="004EE69E"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1.298 €</w:t>
            </w:r>
          </w:p>
        </w:tc>
      </w:tr>
      <w:tr w:rsidR="005B4627" w14:paraId="6DA93786"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27A7AAC"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Córdoba</w:t>
            </w:r>
          </w:p>
        </w:tc>
        <w:tc>
          <w:tcPr>
            <w:tcW w:w="3118" w:type="dxa"/>
            <w:vAlign w:val="bottom"/>
          </w:tcPr>
          <w:p w14:paraId="5FC0FD90"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Córdoba capital</w:t>
            </w:r>
          </w:p>
        </w:tc>
        <w:tc>
          <w:tcPr>
            <w:tcW w:w="1985" w:type="dxa"/>
            <w:vAlign w:val="bottom"/>
          </w:tcPr>
          <w:p w14:paraId="09CC5881"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c>
          <w:tcPr>
            <w:tcW w:w="1847" w:type="dxa"/>
            <w:vAlign w:val="bottom"/>
          </w:tcPr>
          <w:p w14:paraId="7F6C0282"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1.501 €</w:t>
            </w:r>
          </w:p>
        </w:tc>
      </w:tr>
      <w:tr w:rsidR="005B4627" w14:paraId="5A256C88"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0FC40B1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Bizkaia</w:t>
            </w:r>
          </w:p>
        </w:tc>
        <w:tc>
          <w:tcPr>
            <w:tcW w:w="3118" w:type="dxa"/>
            <w:vAlign w:val="bottom"/>
          </w:tcPr>
          <w:p w14:paraId="6EEA2B1F"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Bilbao</w:t>
            </w:r>
          </w:p>
        </w:tc>
        <w:tc>
          <w:tcPr>
            <w:tcW w:w="1985" w:type="dxa"/>
            <w:vAlign w:val="bottom"/>
          </w:tcPr>
          <w:p w14:paraId="28854630"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w:t>
            </w:r>
          </w:p>
        </w:tc>
        <w:tc>
          <w:tcPr>
            <w:tcW w:w="1847" w:type="dxa"/>
            <w:vAlign w:val="bottom"/>
          </w:tcPr>
          <w:p w14:paraId="1BE2781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3.434 €</w:t>
            </w:r>
          </w:p>
        </w:tc>
      </w:tr>
      <w:tr w:rsidR="005B4627" w14:paraId="4C118DB5"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8C1925E"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Pontevedra</w:t>
            </w:r>
          </w:p>
        </w:tc>
        <w:tc>
          <w:tcPr>
            <w:tcW w:w="3118" w:type="dxa"/>
            <w:vAlign w:val="bottom"/>
          </w:tcPr>
          <w:p w14:paraId="65190EBE"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Pontevedra capital</w:t>
            </w:r>
          </w:p>
        </w:tc>
        <w:tc>
          <w:tcPr>
            <w:tcW w:w="1985" w:type="dxa"/>
            <w:vAlign w:val="bottom"/>
          </w:tcPr>
          <w:p w14:paraId="0D576CC3"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c>
          <w:tcPr>
            <w:tcW w:w="1847" w:type="dxa"/>
            <w:vAlign w:val="bottom"/>
          </w:tcPr>
          <w:p w14:paraId="6DF4313B"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1.821 €</w:t>
            </w:r>
          </w:p>
        </w:tc>
      </w:tr>
      <w:tr w:rsidR="005B4627" w14:paraId="04C7F20F"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58763A89"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Madrid</w:t>
            </w:r>
          </w:p>
        </w:tc>
        <w:tc>
          <w:tcPr>
            <w:tcW w:w="3118" w:type="dxa"/>
            <w:vAlign w:val="bottom"/>
          </w:tcPr>
          <w:p w14:paraId="4AB0752F"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Madrid capital</w:t>
            </w:r>
          </w:p>
        </w:tc>
        <w:tc>
          <w:tcPr>
            <w:tcW w:w="1985" w:type="dxa"/>
            <w:vAlign w:val="bottom"/>
          </w:tcPr>
          <w:p w14:paraId="6E8C56A0"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1847" w:type="dxa"/>
            <w:vAlign w:val="bottom"/>
          </w:tcPr>
          <w:p w14:paraId="18E42E11"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3.903 €</w:t>
            </w:r>
          </w:p>
        </w:tc>
      </w:tr>
      <w:tr w:rsidR="005B4627" w14:paraId="6E367919"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059DDF8D"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lastRenderedPageBreak/>
              <w:t>Albacete</w:t>
            </w:r>
          </w:p>
        </w:tc>
        <w:tc>
          <w:tcPr>
            <w:tcW w:w="3118" w:type="dxa"/>
            <w:vAlign w:val="bottom"/>
          </w:tcPr>
          <w:p w14:paraId="1495DD3F"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Albacete capital</w:t>
            </w:r>
          </w:p>
        </w:tc>
        <w:tc>
          <w:tcPr>
            <w:tcW w:w="1985" w:type="dxa"/>
            <w:vAlign w:val="bottom"/>
          </w:tcPr>
          <w:p w14:paraId="54557621"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1847" w:type="dxa"/>
            <w:vAlign w:val="bottom"/>
          </w:tcPr>
          <w:p w14:paraId="6DA1AB53"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1.469 €</w:t>
            </w:r>
          </w:p>
        </w:tc>
      </w:tr>
      <w:tr w:rsidR="005B4627" w14:paraId="13EF9FB9"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AD0AE4A"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Teruel</w:t>
            </w:r>
          </w:p>
        </w:tc>
        <w:tc>
          <w:tcPr>
            <w:tcW w:w="3118" w:type="dxa"/>
            <w:vAlign w:val="bottom"/>
          </w:tcPr>
          <w:p w14:paraId="72BB309C"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Teruel capital</w:t>
            </w:r>
          </w:p>
        </w:tc>
        <w:tc>
          <w:tcPr>
            <w:tcW w:w="1985" w:type="dxa"/>
            <w:vAlign w:val="bottom"/>
          </w:tcPr>
          <w:p w14:paraId="1244C7D0"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c>
          <w:tcPr>
            <w:tcW w:w="1847" w:type="dxa"/>
            <w:vAlign w:val="bottom"/>
          </w:tcPr>
          <w:p w14:paraId="73B222D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1.268 €</w:t>
            </w:r>
          </w:p>
        </w:tc>
      </w:tr>
      <w:tr w:rsidR="005B4627" w14:paraId="4B99B6EA"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ACF3B5F"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Ávila</w:t>
            </w:r>
          </w:p>
        </w:tc>
        <w:tc>
          <w:tcPr>
            <w:tcW w:w="3118" w:type="dxa"/>
            <w:vAlign w:val="bottom"/>
          </w:tcPr>
          <w:p w14:paraId="2B258A13"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Ávila capital</w:t>
            </w:r>
          </w:p>
        </w:tc>
        <w:tc>
          <w:tcPr>
            <w:tcW w:w="1985" w:type="dxa"/>
            <w:vAlign w:val="bottom"/>
          </w:tcPr>
          <w:p w14:paraId="5A2EB75E"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847" w:type="dxa"/>
            <w:vAlign w:val="bottom"/>
          </w:tcPr>
          <w:p w14:paraId="4D3D816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1.197 €</w:t>
            </w:r>
          </w:p>
        </w:tc>
      </w:tr>
      <w:tr w:rsidR="005B4627" w14:paraId="106D7923"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30B03D3"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Salamanca</w:t>
            </w:r>
          </w:p>
        </w:tc>
        <w:tc>
          <w:tcPr>
            <w:tcW w:w="3118" w:type="dxa"/>
            <w:vAlign w:val="bottom"/>
          </w:tcPr>
          <w:p w14:paraId="389EA72B"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 capital</w:t>
            </w:r>
          </w:p>
        </w:tc>
        <w:tc>
          <w:tcPr>
            <w:tcW w:w="1985" w:type="dxa"/>
            <w:vAlign w:val="bottom"/>
          </w:tcPr>
          <w:p w14:paraId="397FFD94"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847" w:type="dxa"/>
            <w:vAlign w:val="bottom"/>
          </w:tcPr>
          <w:p w14:paraId="7E2FF240"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1.920 €</w:t>
            </w:r>
          </w:p>
        </w:tc>
      </w:tr>
      <w:tr w:rsidR="005B4627" w14:paraId="0A4EFAC9"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52CCFF2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Granada</w:t>
            </w:r>
          </w:p>
        </w:tc>
        <w:tc>
          <w:tcPr>
            <w:tcW w:w="3118" w:type="dxa"/>
            <w:vAlign w:val="bottom"/>
          </w:tcPr>
          <w:p w14:paraId="1D65EB17"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Granada capital</w:t>
            </w:r>
          </w:p>
        </w:tc>
        <w:tc>
          <w:tcPr>
            <w:tcW w:w="1985" w:type="dxa"/>
            <w:vAlign w:val="bottom"/>
          </w:tcPr>
          <w:p w14:paraId="69F89C5B"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1847" w:type="dxa"/>
            <w:vAlign w:val="bottom"/>
          </w:tcPr>
          <w:p w14:paraId="01934872"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1.932 €</w:t>
            </w:r>
          </w:p>
        </w:tc>
      </w:tr>
      <w:tr w:rsidR="005B4627" w14:paraId="0F4B8EED"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2F79B6F"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Ourense</w:t>
            </w:r>
          </w:p>
        </w:tc>
        <w:tc>
          <w:tcPr>
            <w:tcW w:w="3118" w:type="dxa"/>
            <w:vAlign w:val="bottom"/>
          </w:tcPr>
          <w:p w14:paraId="4012A8F5"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Ourense capital</w:t>
            </w:r>
          </w:p>
        </w:tc>
        <w:tc>
          <w:tcPr>
            <w:tcW w:w="1985" w:type="dxa"/>
            <w:vAlign w:val="bottom"/>
          </w:tcPr>
          <w:p w14:paraId="26E8A6F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847" w:type="dxa"/>
            <w:vAlign w:val="bottom"/>
          </w:tcPr>
          <w:p w14:paraId="465A3FBA"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1.546 €</w:t>
            </w:r>
          </w:p>
        </w:tc>
      </w:tr>
      <w:tr w:rsidR="005B4627" w14:paraId="1DAFD30E"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0B6D118"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Sevilla</w:t>
            </w:r>
          </w:p>
        </w:tc>
        <w:tc>
          <w:tcPr>
            <w:tcW w:w="3118" w:type="dxa"/>
            <w:vAlign w:val="bottom"/>
          </w:tcPr>
          <w:p w14:paraId="60806BFF"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Sevilla capital</w:t>
            </w:r>
          </w:p>
        </w:tc>
        <w:tc>
          <w:tcPr>
            <w:tcW w:w="1985" w:type="dxa"/>
            <w:vAlign w:val="bottom"/>
          </w:tcPr>
          <w:p w14:paraId="39BBED27"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847" w:type="dxa"/>
            <w:vAlign w:val="bottom"/>
          </w:tcPr>
          <w:p w14:paraId="7985D100"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2.119 €</w:t>
            </w:r>
          </w:p>
        </w:tc>
      </w:tr>
      <w:tr w:rsidR="005B4627" w14:paraId="2F2A0A51"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D4082D8"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Murcia</w:t>
            </w:r>
          </w:p>
        </w:tc>
        <w:tc>
          <w:tcPr>
            <w:tcW w:w="3118" w:type="dxa"/>
            <w:vAlign w:val="bottom"/>
          </w:tcPr>
          <w:p w14:paraId="2EE8929A"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Murcia capital</w:t>
            </w:r>
          </w:p>
        </w:tc>
        <w:tc>
          <w:tcPr>
            <w:tcW w:w="1985" w:type="dxa"/>
            <w:vAlign w:val="bottom"/>
          </w:tcPr>
          <w:p w14:paraId="2B4CFAC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847" w:type="dxa"/>
            <w:vAlign w:val="bottom"/>
          </w:tcPr>
          <w:p w14:paraId="433DA68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1.372 €</w:t>
            </w:r>
          </w:p>
        </w:tc>
      </w:tr>
      <w:tr w:rsidR="005B4627" w14:paraId="65F0F6B5"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ADAA2A2"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Almería</w:t>
            </w:r>
          </w:p>
        </w:tc>
        <w:tc>
          <w:tcPr>
            <w:tcW w:w="3118" w:type="dxa"/>
            <w:vAlign w:val="bottom"/>
          </w:tcPr>
          <w:p w14:paraId="309E1F8E"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Almería capital</w:t>
            </w:r>
          </w:p>
        </w:tc>
        <w:tc>
          <w:tcPr>
            <w:tcW w:w="1985" w:type="dxa"/>
            <w:vAlign w:val="bottom"/>
          </w:tcPr>
          <w:p w14:paraId="3D2D6A6B"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847" w:type="dxa"/>
            <w:vAlign w:val="bottom"/>
          </w:tcPr>
          <w:p w14:paraId="125870E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1.338 €</w:t>
            </w:r>
          </w:p>
        </w:tc>
      </w:tr>
      <w:tr w:rsidR="005B4627" w14:paraId="010D1733"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83569F3"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Ciudad Real</w:t>
            </w:r>
          </w:p>
        </w:tc>
        <w:tc>
          <w:tcPr>
            <w:tcW w:w="3118" w:type="dxa"/>
            <w:vAlign w:val="bottom"/>
          </w:tcPr>
          <w:p w14:paraId="642E7434"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Ciudad Real capital</w:t>
            </w:r>
          </w:p>
        </w:tc>
        <w:tc>
          <w:tcPr>
            <w:tcW w:w="1985" w:type="dxa"/>
            <w:vAlign w:val="bottom"/>
          </w:tcPr>
          <w:p w14:paraId="652CE26E"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847" w:type="dxa"/>
            <w:vAlign w:val="bottom"/>
          </w:tcPr>
          <w:p w14:paraId="05F77340"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1.235 €</w:t>
            </w:r>
          </w:p>
        </w:tc>
      </w:tr>
      <w:tr w:rsidR="005B4627" w14:paraId="316ABD89"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E3FB4CD"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Gipuzkoa</w:t>
            </w:r>
          </w:p>
        </w:tc>
        <w:tc>
          <w:tcPr>
            <w:tcW w:w="3118" w:type="dxa"/>
            <w:vAlign w:val="bottom"/>
          </w:tcPr>
          <w:p w14:paraId="1D07FBEF"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985" w:type="dxa"/>
            <w:vAlign w:val="bottom"/>
          </w:tcPr>
          <w:p w14:paraId="5658CE93"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847" w:type="dxa"/>
            <w:vAlign w:val="bottom"/>
          </w:tcPr>
          <w:p w14:paraId="27F9B392"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5.511 €</w:t>
            </w:r>
          </w:p>
        </w:tc>
      </w:tr>
      <w:tr w:rsidR="005B4627" w14:paraId="045585BC"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6F5EDE9"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Tarragona</w:t>
            </w:r>
          </w:p>
        </w:tc>
        <w:tc>
          <w:tcPr>
            <w:tcW w:w="3118" w:type="dxa"/>
            <w:vAlign w:val="bottom"/>
          </w:tcPr>
          <w:p w14:paraId="03B4E5E1"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Tarragona capital</w:t>
            </w:r>
          </w:p>
        </w:tc>
        <w:tc>
          <w:tcPr>
            <w:tcW w:w="1985" w:type="dxa"/>
            <w:vAlign w:val="bottom"/>
          </w:tcPr>
          <w:p w14:paraId="4DE3A13C"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847" w:type="dxa"/>
            <w:vAlign w:val="bottom"/>
          </w:tcPr>
          <w:p w14:paraId="30AD52FD"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1.642 €</w:t>
            </w:r>
          </w:p>
        </w:tc>
      </w:tr>
      <w:tr w:rsidR="005B4627" w14:paraId="0A6B38C5"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5FF83E42"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León</w:t>
            </w:r>
          </w:p>
        </w:tc>
        <w:tc>
          <w:tcPr>
            <w:tcW w:w="3118" w:type="dxa"/>
            <w:vAlign w:val="bottom"/>
          </w:tcPr>
          <w:p w14:paraId="51795652"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León capital</w:t>
            </w:r>
          </w:p>
        </w:tc>
        <w:tc>
          <w:tcPr>
            <w:tcW w:w="1985" w:type="dxa"/>
            <w:vAlign w:val="bottom"/>
          </w:tcPr>
          <w:p w14:paraId="36F17AA8"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1847" w:type="dxa"/>
            <w:vAlign w:val="bottom"/>
          </w:tcPr>
          <w:p w14:paraId="68FB43F7"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1.485 €</w:t>
            </w:r>
          </w:p>
        </w:tc>
      </w:tr>
      <w:tr w:rsidR="005B4627" w14:paraId="60D17AED"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E6D8F78"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Barcelona</w:t>
            </w:r>
          </w:p>
        </w:tc>
        <w:tc>
          <w:tcPr>
            <w:tcW w:w="3118" w:type="dxa"/>
            <w:vAlign w:val="bottom"/>
          </w:tcPr>
          <w:p w14:paraId="5C25C762"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985" w:type="dxa"/>
            <w:vAlign w:val="bottom"/>
          </w:tcPr>
          <w:p w14:paraId="305EDDCF"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847" w:type="dxa"/>
            <w:vAlign w:val="bottom"/>
          </w:tcPr>
          <w:p w14:paraId="4270148F"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4.326 €</w:t>
            </w:r>
          </w:p>
        </w:tc>
      </w:tr>
      <w:tr w:rsidR="005B4627" w14:paraId="0D6DE911"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5F65D32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Las Palmas</w:t>
            </w:r>
          </w:p>
        </w:tc>
        <w:tc>
          <w:tcPr>
            <w:tcW w:w="3118" w:type="dxa"/>
            <w:vAlign w:val="bottom"/>
          </w:tcPr>
          <w:p w14:paraId="60625F13"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985" w:type="dxa"/>
            <w:vAlign w:val="bottom"/>
          </w:tcPr>
          <w:p w14:paraId="38E648EC"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-2,0%</w:t>
            </w:r>
          </w:p>
        </w:tc>
        <w:tc>
          <w:tcPr>
            <w:tcW w:w="1847" w:type="dxa"/>
            <w:vAlign w:val="bottom"/>
          </w:tcPr>
          <w:p w14:paraId="75886A9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2.089 €</w:t>
            </w:r>
          </w:p>
        </w:tc>
      </w:tr>
      <w:tr w:rsidR="005B4627" w14:paraId="72B5FBAC"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C92EC4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3118" w:type="dxa"/>
            <w:vAlign w:val="bottom"/>
          </w:tcPr>
          <w:p w14:paraId="3B7FDF26"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985" w:type="dxa"/>
            <w:vAlign w:val="bottom"/>
          </w:tcPr>
          <w:p w14:paraId="33A08FD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-2,5%</w:t>
            </w:r>
          </w:p>
        </w:tc>
        <w:tc>
          <w:tcPr>
            <w:tcW w:w="1847" w:type="dxa"/>
            <w:vAlign w:val="bottom"/>
          </w:tcPr>
          <w:p w14:paraId="31BB1F8C"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1.590 €</w:t>
            </w:r>
          </w:p>
        </w:tc>
      </w:tr>
      <w:tr w:rsidR="005B4627" w14:paraId="129B9ACA"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A84F01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Zamora</w:t>
            </w:r>
          </w:p>
        </w:tc>
        <w:tc>
          <w:tcPr>
            <w:tcW w:w="3118" w:type="dxa"/>
            <w:vAlign w:val="bottom"/>
          </w:tcPr>
          <w:p w14:paraId="68FA9C4E"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Zamora capital</w:t>
            </w:r>
          </w:p>
        </w:tc>
        <w:tc>
          <w:tcPr>
            <w:tcW w:w="1985" w:type="dxa"/>
            <w:vAlign w:val="bottom"/>
          </w:tcPr>
          <w:p w14:paraId="714B5E42"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-2,6%</w:t>
            </w:r>
          </w:p>
        </w:tc>
        <w:tc>
          <w:tcPr>
            <w:tcW w:w="1847" w:type="dxa"/>
            <w:vAlign w:val="bottom"/>
          </w:tcPr>
          <w:p w14:paraId="736C08D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1.297 €</w:t>
            </w:r>
          </w:p>
        </w:tc>
      </w:tr>
      <w:tr w:rsidR="005B4627" w14:paraId="531CFE62"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68DEEE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Palencia</w:t>
            </w:r>
          </w:p>
        </w:tc>
        <w:tc>
          <w:tcPr>
            <w:tcW w:w="3118" w:type="dxa"/>
            <w:vAlign w:val="bottom"/>
          </w:tcPr>
          <w:p w14:paraId="3E13049C"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Palencia capital</w:t>
            </w:r>
          </w:p>
        </w:tc>
        <w:tc>
          <w:tcPr>
            <w:tcW w:w="1985" w:type="dxa"/>
            <w:vAlign w:val="bottom"/>
          </w:tcPr>
          <w:p w14:paraId="7AA4B5B3"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1847" w:type="dxa"/>
            <w:vAlign w:val="bottom"/>
          </w:tcPr>
          <w:p w14:paraId="1BDB9CD9"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1.501 €</w:t>
            </w:r>
          </w:p>
        </w:tc>
      </w:tr>
      <w:tr w:rsidR="005B4627" w14:paraId="2E7A4996" w14:textId="77777777" w:rsidTr="005B46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A57CF5E"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Huelva</w:t>
            </w:r>
          </w:p>
        </w:tc>
        <w:tc>
          <w:tcPr>
            <w:tcW w:w="3118" w:type="dxa"/>
            <w:vAlign w:val="bottom"/>
          </w:tcPr>
          <w:p w14:paraId="35BB13DA"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Huelva capital</w:t>
            </w:r>
          </w:p>
        </w:tc>
        <w:tc>
          <w:tcPr>
            <w:tcW w:w="1985" w:type="dxa"/>
            <w:vAlign w:val="bottom"/>
          </w:tcPr>
          <w:p w14:paraId="64F56FB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847" w:type="dxa"/>
            <w:vAlign w:val="bottom"/>
          </w:tcPr>
          <w:p w14:paraId="36CB409B"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1.227 €</w:t>
            </w:r>
          </w:p>
        </w:tc>
      </w:tr>
      <w:tr w:rsidR="005B4627" w14:paraId="31EBCA3F" w14:textId="77777777" w:rsidTr="005B4627">
        <w:trPr>
          <w:trHeight w:val="28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2465B9B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Jaén</w:t>
            </w:r>
          </w:p>
        </w:tc>
        <w:tc>
          <w:tcPr>
            <w:tcW w:w="3118" w:type="dxa"/>
            <w:vAlign w:val="bottom"/>
          </w:tcPr>
          <w:p w14:paraId="6D925A20"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Jaén capital</w:t>
            </w:r>
          </w:p>
        </w:tc>
        <w:tc>
          <w:tcPr>
            <w:tcW w:w="1985" w:type="dxa"/>
            <w:vAlign w:val="bottom"/>
          </w:tcPr>
          <w:p w14:paraId="229863C1"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-5,7%</w:t>
            </w:r>
          </w:p>
        </w:tc>
        <w:tc>
          <w:tcPr>
            <w:tcW w:w="1847" w:type="dxa"/>
            <w:vAlign w:val="bottom"/>
          </w:tcPr>
          <w:p w14:paraId="4B37ACC4"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1.257 €</w:t>
            </w:r>
          </w:p>
        </w:tc>
      </w:tr>
    </w:tbl>
    <w:p w14:paraId="3DBAB412" w14:textId="77777777" w:rsidR="005B4627" w:rsidRDefault="005B4627">
      <w:pPr>
        <w:spacing w:line="276" w:lineRule="auto"/>
        <w:ind w:right="283"/>
        <w:jc w:val="right"/>
        <w:rPr>
          <w:rFonts w:ascii="Open Sans Light" w:eastAsia="Open Sans Light" w:hAnsi="Open Sans Light" w:cs="Open Sans Light"/>
          <w:b/>
          <w:color w:val="303AB2"/>
        </w:rPr>
      </w:pPr>
    </w:p>
    <w:p w14:paraId="3E9AE092" w14:textId="77777777" w:rsidR="005B4627" w:rsidRDefault="005B4627">
      <w:pPr>
        <w:pBdr>
          <w:top w:val="nil"/>
          <w:left w:val="nil"/>
          <w:bottom w:val="nil"/>
          <w:right w:val="nil"/>
          <w:between w:val="nil"/>
        </w:pBdr>
        <w:shd w:val="clear" w:color="auto" w:fill="FFFFFF"/>
        <w:spacing w:before="280" w:after="280" w:line="276" w:lineRule="auto"/>
        <w:ind w:right="283"/>
        <w:rPr>
          <w:rFonts w:ascii="Open Sans Light" w:eastAsia="Open Sans Light" w:hAnsi="Open Sans Light" w:cs="Open Sans Light"/>
          <w:b/>
          <w:color w:val="303AB2"/>
        </w:rPr>
      </w:pPr>
    </w:p>
    <w:p w14:paraId="56A60632" w14:textId="77777777" w:rsidR="005B4627" w:rsidRDefault="005B4627">
      <w:pPr>
        <w:pBdr>
          <w:top w:val="nil"/>
          <w:left w:val="nil"/>
          <w:bottom w:val="nil"/>
          <w:right w:val="nil"/>
          <w:between w:val="nil"/>
        </w:pBdr>
        <w:shd w:val="clear" w:color="auto" w:fill="FFFFFF"/>
        <w:spacing w:before="280" w:after="280" w:line="276" w:lineRule="auto"/>
        <w:ind w:right="283"/>
        <w:rPr>
          <w:rFonts w:ascii="Open Sans Light" w:eastAsia="Open Sans Light" w:hAnsi="Open Sans Light" w:cs="Open Sans Light"/>
          <w:b/>
          <w:color w:val="303AB2"/>
        </w:rPr>
      </w:pPr>
    </w:p>
    <w:p w14:paraId="0F0C9AB7" w14:textId="77777777" w:rsidR="005B4627" w:rsidRDefault="007F28F2">
      <w:pPr>
        <w:pBdr>
          <w:top w:val="nil"/>
          <w:left w:val="nil"/>
          <w:bottom w:val="nil"/>
          <w:right w:val="nil"/>
          <w:between w:val="nil"/>
        </w:pBdr>
        <w:shd w:val="clear" w:color="auto" w:fill="FFFFFF"/>
        <w:spacing w:before="280" w:after="280" w:line="276" w:lineRule="auto"/>
        <w:ind w:right="283"/>
        <w:rPr>
          <w:rFonts w:ascii="Open Sans" w:eastAsia="Open Sans" w:hAnsi="Open Sans" w:cs="Open Sans"/>
          <w:color w:val="000000"/>
          <w:sz w:val="20"/>
          <w:szCs w:val="20"/>
        </w:rPr>
      </w:pPr>
      <w:r>
        <w:rPr>
          <w:rFonts w:ascii="Open Sans Light" w:eastAsia="Open Sans Light" w:hAnsi="Open Sans Light" w:cs="Open Sans Light"/>
          <w:b/>
          <w:color w:val="303AB2"/>
        </w:rPr>
        <w:t>Tabla 4: Distritos de Madrid de mayor a menor variación anual (dic.20– dic.21)</w:t>
      </w:r>
    </w:p>
    <w:tbl>
      <w:tblPr>
        <w:tblStyle w:val="a2"/>
        <w:tblW w:w="892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114"/>
        <w:gridCol w:w="2835"/>
        <w:gridCol w:w="2977"/>
      </w:tblGrid>
      <w:tr w:rsidR="005B4627" w14:paraId="57D37DD2" w14:textId="77777777" w:rsidTr="005B462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1981207" w14:textId="77777777" w:rsidR="005B4627" w:rsidRDefault="007F28F2">
            <w:pPr>
              <w:spacing w:line="276" w:lineRule="auto"/>
              <w:ind w:right="283"/>
              <w:jc w:val="center"/>
              <w:rPr>
                <w:rFonts w:ascii="Open Sans" w:eastAsia="Open Sans" w:hAnsi="Open Sans" w:cs="Open Sans"/>
                <w:sz w:val="22"/>
                <w:szCs w:val="22"/>
              </w:rPr>
            </w:pPr>
            <w:r>
              <w:rPr>
                <w:rFonts w:ascii="Open Sans" w:eastAsia="Open Sans" w:hAnsi="Open Sans" w:cs="Open Sans"/>
                <w:b w:val="0"/>
                <w:sz w:val="22"/>
                <w:szCs w:val="22"/>
              </w:rPr>
              <w:t>Distrito</w:t>
            </w:r>
          </w:p>
        </w:tc>
        <w:tc>
          <w:tcPr>
            <w:tcW w:w="2835" w:type="dxa"/>
            <w:vAlign w:val="center"/>
          </w:tcPr>
          <w:p w14:paraId="71F8958B"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anual</w:t>
            </w:r>
          </w:p>
          <w:p w14:paraId="688DF133"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w:t>
            </w:r>
          </w:p>
        </w:tc>
        <w:tc>
          <w:tcPr>
            <w:tcW w:w="2977" w:type="dxa"/>
            <w:vAlign w:val="center"/>
          </w:tcPr>
          <w:p w14:paraId="286B2D89"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Diciembre 2021</w:t>
            </w:r>
          </w:p>
          <w:p w14:paraId="32BEABD9"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r>
      <w:tr w:rsidR="005B4627" w14:paraId="244FCADC" w14:textId="77777777" w:rsidTr="005B462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678EC0E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Vicálvaro</w:t>
            </w:r>
          </w:p>
        </w:tc>
        <w:tc>
          <w:tcPr>
            <w:tcW w:w="2835" w:type="dxa"/>
            <w:vAlign w:val="bottom"/>
          </w:tcPr>
          <w:p w14:paraId="6A8B08B3"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8,1 %</w:t>
            </w:r>
          </w:p>
        </w:tc>
        <w:tc>
          <w:tcPr>
            <w:tcW w:w="2977" w:type="dxa"/>
            <w:vAlign w:val="bottom"/>
          </w:tcPr>
          <w:p w14:paraId="72D9B05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2.635 € </w:t>
            </w:r>
          </w:p>
        </w:tc>
      </w:tr>
      <w:tr w:rsidR="005B4627" w14:paraId="54E80965" w14:textId="77777777" w:rsidTr="005B4627">
        <w:trPr>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2426232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Fuencarral</w:t>
            </w:r>
          </w:p>
        </w:tc>
        <w:tc>
          <w:tcPr>
            <w:tcW w:w="2835" w:type="dxa"/>
            <w:vAlign w:val="bottom"/>
          </w:tcPr>
          <w:p w14:paraId="661E6E3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7,6 %</w:t>
            </w:r>
          </w:p>
        </w:tc>
        <w:tc>
          <w:tcPr>
            <w:tcW w:w="2977" w:type="dxa"/>
            <w:vAlign w:val="bottom"/>
          </w:tcPr>
          <w:p w14:paraId="38775441"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3.947 € </w:t>
            </w:r>
          </w:p>
        </w:tc>
      </w:tr>
      <w:tr w:rsidR="005B4627" w14:paraId="1FF3A47A" w14:textId="77777777" w:rsidTr="005B462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64BD41FA"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Chamartín</w:t>
            </w:r>
          </w:p>
        </w:tc>
        <w:tc>
          <w:tcPr>
            <w:tcW w:w="2835" w:type="dxa"/>
            <w:vAlign w:val="bottom"/>
          </w:tcPr>
          <w:p w14:paraId="4B990F4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6,8 %</w:t>
            </w:r>
          </w:p>
        </w:tc>
        <w:tc>
          <w:tcPr>
            <w:tcW w:w="2977" w:type="dxa"/>
            <w:vAlign w:val="bottom"/>
          </w:tcPr>
          <w:p w14:paraId="49ECE400"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5.546 € </w:t>
            </w:r>
          </w:p>
        </w:tc>
      </w:tr>
      <w:tr w:rsidR="005B4627" w14:paraId="530D931A" w14:textId="77777777" w:rsidTr="005B4627">
        <w:trPr>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60F992F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Usera</w:t>
            </w:r>
          </w:p>
        </w:tc>
        <w:tc>
          <w:tcPr>
            <w:tcW w:w="2835" w:type="dxa"/>
            <w:vAlign w:val="bottom"/>
          </w:tcPr>
          <w:p w14:paraId="61871159"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6,4 %</w:t>
            </w:r>
          </w:p>
        </w:tc>
        <w:tc>
          <w:tcPr>
            <w:tcW w:w="2977" w:type="dxa"/>
            <w:vAlign w:val="bottom"/>
          </w:tcPr>
          <w:p w14:paraId="15B16F7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2.152 € </w:t>
            </w:r>
          </w:p>
        </w:tc>
      </w:tr>
      <w:tr w:rsidR="005B4627" w14:paraId="345B4BE9" w14:textId="77777777" w:rsidTr="005B462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4AD11DBE"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835" w:type="dxa"/>
            <w:vAlign w:val="bottom"/>
          </w:tcPr>
          <w:p w14:paraId="536EDEEF"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6,2 %</w:t>
            </w:r>
          </w:p>
        </w:tc>
        <w:tc>
          <w:tcPr>
            <w:tcW w:w="2977" w:type="dxa"/>
            <w:vAlign w:val="bottom"/>
          </w:tcPr>
          <w:p w14:paraId="5F6B59A7"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6.520 € </w:t>
            </w:r>
          </w:p>
        </w:tc>
      </w:tr>
      <w:tr w:rsidR="005B4627" w14:paraId="706DD728" w14:textId="77777777" w:rsidTr="005B4627">
        <w:trPr>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2D7C073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Ciudad Lineal</w:t>
            </w:r>
          </w:p>
        </w:tc>
        <w:tc>
          <w:tcPr>
            <w:tcW w:w="2835" w:type="dxa"/>
            <w:vAlign w:val="bottom"/>
          </w:tcPr>
          <w:p w14:paraId="0A2E3742"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5,0 %</w:t>
            </w:r>
          </w:p>
        </w:tc>
        <w:tc>
          <w:tcPr>
            <w:tcW w:w="2977" w:type="dxa"/>
            <w:vAlign w:val="bottom"/>
          </w:tcPr>
          <w:p w14:paraId="2A0A83C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3.380 € </w:t>
            </w:r>
          </w:p>
        </w:tc>
      </w:tr>
      <w:tr w:rsidR="005B4627" w14:paraId="0B85EAA1" w14:textId="77777777" w:rsidTr="005B462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40E41B62"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835" w:type="dxa"/>
            <w:vAlign w:val="bottom"/>
          </w:tcPr>
          <w:p w14:paraId="09FB503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4,5 %</w:t>
            </w:r>
          </w:p>
        </w:tc>
        <w:tc>
          <w:tcPr>
            <w:tcW w:w="2977" w:type="dxa"/>
            <w:vAlign w:val="bottom"/>
          </w:tcPr>
          <w:p w14:paraId="094086F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2.075 € </w:t>
            </w:r>
          </w:p>
        </w:tc>
      </w:tr>
      <w:tr w:rsidR="005B4627" w14:paraId="7904EA4A" w14:textId="77777777" w:rsidTr="005B4627">
        <w:trPr>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2B86C78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lastRenderedPageBreak/>
              <w:t>Villa de Vallecas</w:t>
            </w:r>
          </w:p>
        </w:tc>
        <w:tc>
          <w:tcPr>
            <w:tcW w:w="2835" w:type="dxa"/>
            <w:vAlign w:val="bottom"/>
          </w:tcPr>
          <w:p w14:paraId="6CA06F5C"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3,6 %</w:t>
            </w:r>
          </w:p>
        </w:tc>
        <w:tc>
          <w:tcPr>
            <w:tcW w:w="2977" w:type="dxa"/>
            <w:vAlign w:val="bottom"/>
          </w:tcPr>
          <w:p w14:paraId="61DD11E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2.487 € </w:t>
            </w:r>
          </w:p>
        </w:tc>
      </w:tr>
      <w:tr w:rsidR="005B4627" w14:paraId="5842694A" w14:textId="77777777" w:rsidTr="005B462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4C9D0022"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 Blas</w:t>
            </w:r>
          </w:p>
        </w:tc>
        <w:tc>
          <w:tcPr>
            <w:tcW w:w="2835" w:type="dxa"/>
            <w:vAlign w:val="bottom"/>
          </w:tcPr>
          <w:p w14:paraId="3E1AFDE1"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3,4 %</w:t>
            </w:r>
          </w:p>
        </w:tc>
        <w:tc>
          <w:tcPr>
            <w:tcW w:w="2977" w:type="dxa"/>
            <w:vAlign w:val="bottom"/>
          </w:tcPr>
          <w:p w14:paraId="2C8A7F4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2.850 € </w:t>
            </w:r>
          </w:p>
        </w:tc>
      </w:tr>
      <w:tr w:rsidR="005B4627" w14:paraId="01569721" w14:textId="77777777" w:rsidTr="005B4627">
        <w:trPr>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06CE1E3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Hortaleza</w:t>
            </w:r>
          </w:p>
        </w:tc>
        <w:tc>
          <w:tcPr>
            <w:tcW w:w="2835" w:type="dxa"/>
            <w:vAlign w:val="bottom"/>
          </w:tcPr>
          <w:p w14:paraId="2C68FD44"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3,1 %</w:t>
            </w:r>
          </w:p>
        </w:tc>
        <w:tc>
          <w:tcPr>
            <w:tcW w:w="2977" w:type="dxa"/>
            <w:vAlign w:val="bottom"/>
          </w:tcPr>
          <w:p w14:paraId="52C8EDC6"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3.875 € </w:t>
            </w:r>
          </w:p>
        </w:tc>
      </w:tr>
      <w:tr w:rsidR="005B4627" w14:paraId="22B4ECD9" w14:textId="77777777" w:rsidTr="005B462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71F08A6D"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Latina</w:t>
            </w:r>
          </w:p>
        </w:tc>
        <w:tc>
          <w:tcPr>
            <w:tcW w:w="2835" w:type="dxa"/>
            <w:vAlign w:val="bottom"/>
          </w:tcPr>
          <w:p w14:paraId="33FB75B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2,9 %</w:t>
            </w:r>
          </w:p>
        </w:tc>
        <w:tc>
          <w:tcPr>
            <w:tcW w:w="2977" w:type="dxa"/>
            <w:vAlign w:val="bottom"/>
          </w:tcPr>
          <w:p w14:paraId="50DF5461"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2.461 € </w:t>
            </w:r>
          </w:p>
        </w:tc>
      </w:tr>
      <w:tr w:rsidR="005B4627" w14:paraId="09DEC971" w14:textId="77777777" w:rsidTr="005B4627">
        <w:trPr>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11EF11FC"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Retiro</w:t>
            </w:r>
          </w:p>
        </w:tc>
        <w:tc>
          <w:tcPr>
            <w:tcW w:w="2835" w:type="dxa"/>
            <w:vAlign w:val="bottom"/>
          </w:tcPr>
          <w:p w14:paraId="1B919929"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2,5 %</w:t>
            </w:r>
          </w:p>
        </w:tc>
        <w:tc>
          <w:tcPr>
            <w:tcW w:w="2977" w:type="dxa"/>
            <w:vAlign w:val="bottom"/>
          </w:tcPr>
          <w:p w14:paraId="3BAD7E9B"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5.031 € </w:t>
            </w:r>
          </w:p>
        </w:tc>
      </w:tr>
      <w:tr w:rsidR="005B4627" w14:paraId="7AAE166F" w14:textId="77777777" w:rsidTr="005B462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42E2B25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Chamberí</w:t>
            </w:r>
          </w:p>
        </w:tc>
        <w:tc>
          <w:tcPr>
            <w:tcW w:w="2835" w:type="dxa"/>
            <w:vAlign w:val="bottom"/>
          </w:tcPr>
          <w:p w14:paraId="0DDFA518"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2,5 %</w:t>
            </w:r>
          </w:p>
        </w:tc>
        <w:tc>
          <w:tcPr>
            <w:tcW w:w="2977" w:type="dxa"/>
            <w:vAlign w:val="bottom"/>
          </w:tcPr>
          <w:p w14:paraId="57CD5120"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5.567 € </w:t>
            </w:r>
          </w:p>
        </w:tc>
      </w:tr>
      <w:tr w:rsidR="005B4627" w14:paraId="51D2434C" w14:textId="77777777" w:rsidTr="005B4627">
        <w:trPr>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039F8A0D"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Tetuán</w:t>
            </w:r>
          </w:p>
        </w:tc>
        <w:tc>
          <w:tcPr>
            <w:tcW w:w="2835" w:type="dxa"/>
            <w:vAlign w:val="bottom"/>
          </w:tcPr>
          <w:p w14:paraId="1A7FD397"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2,3 %</w:t>
            </w:r>
          </w:p>
        </w:tc>
        <w:tc>
          <w:tcPr>
            <w:tcW w:w="2977" w:type="dxa"/>
            <w:vAlign w:val="bottom"/>
          </w:tcPr>
          <w:p w14:paraId="34E50A8B"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3.911 € </w:t>
            </w:r>
          </w:p>
        </w:tc>
      </w:tr>
      <w:tr w:rsidR="005B4627" w14:paraId="4FC81CB4" w14:textId="77777777" w:rsidTr="005B462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0A6C9B6C"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Barajas</w:t>
            </w:r>
          </w:p>
        </w:tc>
        <w:tc>
          <w:tcPr>
            <w:tcW w:w="2835" w:type="dxa"/>
            <w:vAlign w:val="bottom"/>
          </w:tcPr>
          <w:p w14:paraId="0393256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2,2 %</w:t>
            </w:r>
          </w:p>
        </w:tc>
        <w:tc>
          <w:tcPr>
            <w:tcW w:w="2977" w:type="dxa"/>
            <w:vAlign w:val="bottom"/>
          </w:tcPr>
          <w:p w14:paraId="3F0F7A00"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3.434 € </w:t>
            </w:r>
          </w:p>
        </w:tc>
      </w:tr>
      <w:tr w:rsidR="005B4627" w14:paraId="1FD9A9B1" w14:textId="77777777" w:rsidTr="005B4627">
        <w:trPr>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4B0202E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Moratalaz</w:t>
            </w:r>
          </w:p>
        </w:tc>
        <w:tc>
          <w:tcPr>
            <w:tcW w:w="2835" w:type="dxa"/>
            <w:vAlign w:val="bottom"/>
          </w:tcPr>
          <w:p w14:paraId="273625C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2,0 %</w:t>
            </w:r>
          </w:p>
        </w:tc>
        <w:tc>
          <w:tcPr>
            <w:tcW w:w="2977" w:type="dxa"/>
            <w:vAlign w:val="bottom"/>
          </w:tcPr>
          <w:p w14:paraId="6353C5D7"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2.631 € </w:t>
            </w:r>
          </w:p>
        </w:tc>
      </w:tr>
      <w:tr w:rsidR="005B4627" w14:paraId="0D604B5A" w14:textId="77777777" w:rsidTr="005B462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7C4FA3F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Arganzuela</w:t>
            </w:r>
          </w:p>
        </w:tc>
        <w:tc>
          <w:tcPr>
            <w:tcW w:w="2835" w:type="dxa"/>
            <w:vAlign w:val="bottom"/>
          </w:tcPr>
          <w:p w14:paraId="1651610B"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1,7 %</w:t>
            </w:r>
          </w:p>
        </w:tc>
        <w:tc>
          <w:tcPr>
            <w:tcW w:w="2977" w:type="dxa"/>
            <w:vAlign w:val="bottom"/>
          </w:tcPr>
          <w:p w14:paraId="4B04ACA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4.189 € </w:t>
            </w:r>
          </w:p>
        </w:tc>
      </w:tr>
      <w:tr w:rsidR="005B4627" w14:paraId="64977B54" w14:textId="77777777" w:rsidTr="005B4627">
        <w:trPr>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42377684"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Moncloa - Aravaca</w:t>
            </w:r>
          </w:p>
        </w:tc>
        <w:tc>
          <w:tcPr>
            <w:tcW w:w="2835" w:type="dxa"/>
            <w:vAlign w:val="bottom"/>
          </w:tcPr>
          <w:p w14:paraId="64CA6FFB"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1,5 %</w:t>
            </w:r>
          </w:p>
        </w:tc>
        <w:tc>
          <w:tcPr>
            <w:tcW w:w="2977" w:type="dxa"/>
            <w:vAlign w:val="bottom"/>
          </w:tcPr>
          <w:p w14:paraId="4536DBB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4.618 € </w:t>
            </w:r>
          </w:p>
        </w:tc>
      </w:tr>
      <w:tr w:rsidR="005B4627" w14:paraId="41CB127B" w14:textId="77777777" w:rsidTr="005B462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226337C9"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Centro</w:t>
            </w:r>
          </w:p>
        </w:tc>
        <w:tc>
          <w:tcPr>
            <w:tcW w:w="2835" w:type="dxa"/>
            <w:vAlign w:val="bottom"/>
          </w:tcPr>
          <w:p w14:paraId="535FCD92"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0,6 %</w:t>
            </w:r>
          </w:p>
        </w:tc>
        <w:tc>
          <w:tcPr>
            <w:tcW w:w="2977" w:type="dxa"/>
            <w:vAlign w:val="bottom"/>
          </w:tcPr>
          <w:p w14:paraId="1D5E32AF"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5.246 € </w:t>
            </w:r>
          </w:p>
        </w:tc>
      </w:tr>
      <w:tr w:rsidR="005B4627" w14:paraId="193509CE" w14:textId="77777777" w:rsidTr="005B4627">
        <w:trPr>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2690C749"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Carabanchel</w:t>
            </w:r>
          </w:p>
        </w:tc>
        <w:tc>
          <w:tcPr>
            <w:tcW w:w="2835" w:type="dxa"/>
            <w:vAlign w:val="bottom"/>
          </w:tcPr>
          <w:p w14:paraId="1B3A03C1"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-1,6 %</w:t>
            </w:r>
          </w:p>
        </w:tc>
        <w:tc>
          <w:tcPr>
            <w:tcW w:w="2977" w:type="dxa"/>
            <w:vAlign w:val="bottom"/>
          </w:tcPr>
          <w:p w14:paraId="1BAEBA7D"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2.277 € </w:t>
            </w:r>
          </w:p>
        </w:tc>
      </w:tr>
      <w:tr w:rsidR="005B4627" w14:paraId="729979EE" w14:textId="77777777" w:rsidTr="005B462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22C5E6C0"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Villaverde</w:t>
            </w:r>
          </w:p>
        </w:tc>
        <w:tc>
          <w:tcPr>
            <w:tcW w:w="2835" w:type="dxa"/>
            <w:vAlign w:val="bottom"/>
          </w:tcPr>
          <w:p w14:paraId="1D320F18"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-6,2 %</w:t>
            </w:r>
          </w:p>
        </w:tc>
        <w:tc>
          <w:tcPr>
            <w:tcW w:w="2977" w:type="dxa"/>
            <w:vAlign w:val="bottom"/>
          </w:tcPr>
          <w:p w14:paraId="2479E02A"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1.748 € </w:t>
            </w:r>
          </w:p>
        </w:tc>
      </w:tr>
    </w:tbl>
    <w:p w14:paraId="04E79507" w14:textId="77777777" w:rsidR="005B4627" w:rsidRDefault="007F28F2">
      <w:pPr>
        <w:pBdr>
          <w:top w:val="nil"/>
          <w:left w:val="nil"/>
          <w:bottom w:val="nil"/>
          <w:right w:val="nil"/>
          <w:between w:val="nil"/>
        </w:pBdr>
        <w:shd w:val="clear" w:color="auto" w:fill="FFFFFF"/>
        <w:spacing w:before="280" w:after="280" w:line="276" w:lineRule="auto"/>
        <w:ind w:right="283"/>
        <w:rPr>
          <w:rFonts w:ascii="Open Sans" w:eastAsia="Open Sans" w:hAnsi="Open Sans" w:cs="Open Sans"/>
          <w:color w:val="000000"/>
          <w:sz w:val="20"/>
          <w:szCs w:val="20"/>
        </w:rPr>
      </w:pPr>
      <w:r>
        <w:rPr>
          <w:rFonts w:ascii="Open Sans Light" w:eastAsia="Open Sans Light" w:hAnsi="Open Sans Light" w:cs="Open Sans Light"/>
          <w:b/>
          <w:color w:val="303AB2"/>
        </w:rPr>
        <w:t>Tabla 5: Distritos de Barcelona de menor a mayor variación anual (dic.20– dic.21)</w:t>
      </w:r>
    </w:p>
    <w:tbl>
      <w:tblPr>
        <w:tblStyle w:val="a3"/>
        <w:tblW w:w="889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114"/>
        <w:gridCol w:w="2835"/>
        <w:gridCol w:w="2943"/>
      </w:tblGrid>
      <w:tr w:rsidR="005B4627" w14:paraId="0E8237EA" w14:textId="77777777" w:rsidTr="005B462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34CE0DE" w14:textId="77777777" w:rsidR="005B4627" w:rsidRDefault="007F28F2">
            <w:pPr>
              <w:spacing w:line="276" w:lineRule="auto"/>
              <w:ind w:right="283"/>
              <w:jc w:val="center"/>
              <w:rPr>
                <w:rFonts w:ascii="Open Sans" w:eastAsia="Open Sans" w:hAnsi="Open Sans" w:cs="Open Sans"/>
                <w:sz w:val="22"/>
                <w:szCs w:val="22"/>
              </w:rPr>
            </w:pPr>
            <w:bookmarkStart w:id="3" w:name="_heading=h.3znysh7" w:colFirst="0" w:colLast="0"/>
            <w:bookmarkEnd w:id="3"/>
            <w:r>
              <w:rPr>
                <w:rFonts w:ascii="Open Sans" w:eastAsia="Open Sans" w:hAnsi="Open Sans" w:cs="Open Sans"/>
                <w:b w:val="0"/>
                <w:sz w:val="22"/>
                <w:szCs w:val="22"/>
              </w:rPr>
              <w:t>Distrito</w:t>
            </w:r>
          </w:p>
        </w:tc>
        <w:tc>
          <w:tcPr>
            <w:tcW w:w="2835" w:type="dxa"/>
            <w:vAlign w:val="center"/>
          </w:tcPr>
          <w:p w14:paraId="775B8EBE"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anual (%)</w:t>
            </w:r>
          </w:p>
        </w:tc>
        <w:tc>
          <w:tcPr>
            <w:tcW w:w="2943" w:type="dxa"/>
            <w:vAlign w:val="center"/>
          </w:tcPr>
          <w:p w14:paraId="0E801706"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Diciembre 2021</w:t>
            </w:r>
          </w:p>
          <w:p w14:paraId="62FFE85E"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r>
      <w:tr w:rsidR="005B4627" w14:paraId="0CA9F7E2" w14:textId="77777777" w:rsidTr="005B462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34A7D6B6"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Sants - Montjuïc</w:t>
            </w:r>
          </w:p>
        </w:tc>
        <w:tc>
          <w:tcPr>
            <w:tcW w:w="2835" w:type="dxa"/>
            <w:vAlign w:val="bottom"/>
          </w:tcPr>
          <w:p w14:paraId="25E4E1A1"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-4,0 %</w:t>
            </w:r>
          </w:p>
        </w:tc>
        <w:tc>
          <w:tcPr>
            <w:tcW w:w="2943" w:type="dxa"/>
            <w:vAlign w:val="bottom"/>
          </w:tcPr>
          <w:p w14:paraId="58B0AB5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3.590 € </w:t>
            </w:r>
          </w:p>
        </w:tc>
      </w:tr>
      <w:tr w:rsidR="005B4627" w14:paraId="6EC58CBD" w14:textId="77777777" w:rsidTr="005B4627">
        <w:trPr>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6F97535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Horta - Guinardó</w:t>
            </w:r>
          </w:p>
        </w:tc>
        <w:tc>
          <w:tcPr>
            <w:tcW w:w="2835" w:type="dxa"/>
            <w:vAlign w:val="bottom"/>
          </w:tcPr>
          <w:p w14:paraId="1B644FCD"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-3,3 %</w:t>
            </w:r>
          </w:p>
        </w:tc>
        <w:tc>
          <w:tcPr>
            <w:tcW w:w="2943" w:type="dxa"/>
            <w:vAlign w:val="bottom"/>
          </w:tcPr>
          <w:p w14:paraId="72562B3C"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3.224 € </w:t>
            </w:r>
          </w:p>
        </w:tc>
      </w:tr>
      <w:tr w:rsidR="005B4627" w14:paraId="085CF6ED" w14:textId="77777777" w:rsidTr="005B462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2BB516E3"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Nou Barris</w:t>
            </w:r>
          </w:p>
        </w:tc>
        <w:tc>
          <w:tcPr>
            <w:tcW w:w="2835" w:type="dxa"/>
            <w:vAlign w:val="bottom"/>
          </w:tcPr>
          <w:p w14:paraId="5D3BCF6A"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-2,7 %</w:t>
            </w:r>
          </w:p>
        </w:tc>
        <w:tc>
          <w:tcPr>
            <w:tcW w:w="2943" w:type="dxa"/>
            <w:vAlign w:val="bottom"/>
          </w:tcPr>
          <w:p w14:paraId="5A910440"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2.454 € </w:t>
            </w:r>
          </w:p>
        </w:tc>
      </w:tr>
      <w:tr w:rsidR="005B4627" w14:paraId="5442B12A" w14:textId="77777777" w:rsidTr="005B4627">
        <w:trPr>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7179963F"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Andreu</w:t>
            </w:r>
          </w:p>
        </w:tc>
        <w:tc>
          <w:tcPr>
            <w:tcW w:w="2835" w:type="dxa"/>
            <w:vAlign w:val="bottom"/>
          </w:tcPr>
          <w:p w14:paraId="6085D8E9"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-2,4 %</w:t>
            </w:r>
          </w:p>
        </w:tc>
        <w:tc>
          <w:tcPr>
            <w:tcW w:w="2943" w:type="dxa"/>
            <w:vAlign w:val="bottom"/>
          </w:tcPr>
          <w:p w14:paraId="09DF3D63"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3.048 € </w:t>
            </w:r>
          </w:p>
        </w:tc>
      </w:tr>
      <w:tr w:rsidR="005B4627" w14:paraId="6E8526AD" w14:textId="77777777" w:rsidTr="005B462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1D938CEC"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Les Corts</w:t>
            </w:r>
          </w:p>
        </w:tc>
        <w:tc>
          <w:tcPr>
            <w:tcW w:w="2835" w:type="dxa"/>
            <w:vAlign w:val="bottom"/>
          </w:tcPr>
          <w:p w14:paraId="40920C75"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-2,2 %</w:t>
            </w:r>
          </w:p>
        </w:tc>
        <w:tc>
          <w:tcPr>
            <w:tcW w:w="2943" w:type="dxa"/>
            <w:vAlign w:val="bottom"/>
          </w:tcPr>
          <w:p w14:paraId="3DF4AC5C"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5.209 € </w:t>
            </w:r>
          </w:p>
        </w:tc>
      </w:tr>
      <w:tr w:rsidR="005B4627" w14:paraId="3AF07CD2" w14:textId="77777777" w:rsidTr="005B4627">
        <w:trPr>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0529B236"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Ciutat Vella</w:t>
            </w:r>
          </w:p>
        </w:tc>
        <w:tc>
          <w:tcPr>
            <w:tcW w:w="2835" w:type="dxa"/>
            <w:vAlign w:val="bottom"/>
          </w:tcPr>
          <w:p w14:paraId="2BA682BB"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-2,2 %</w:t>
            </w:r>
          </w:p>
        </w:tc>
        <w:tc>
          <w:tcPr>
            <w:tcW w:w="2943" w:type="dxa"/>
            <w:vAlign w:val="bottom"/>
          </w:tcPr>
          <w:p w14:paraId="2DF213DB"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4.618 € </w:t>
            </w:r>
          </w:p>
        </w:tc>
      </w:tr>
      <w:tr w:rsidR="005B4627" w14:paraId="247093B4" w14:textId="77777777" w:rsidTr="005B462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36F149F9"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Martí</w:t>
            </w:r>
          </w:p>
        </w:tc>
        <w:tc>
          <w:tcPr>
            <w:tcW w:w="2835" w:type="dxa"/>
            <w:vAlign w:val="bottom"/>
          </w:tcPr>
          <w:p w14:paraId="61AFAC72"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-2,1 %</w:t>
            </w:r>
          </w:p>
        </w:tc>
        <w:tc>
          <w:tcPr>
            <w:tcW w:w="2943" w:type="dxa"/>
            <w:vAlign w:val="bottom"/>
          </w:tcPr>
          <w:p w14:paraId="2B778D32"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4.084 € </w:t>
            </w:r>
          </w:p>
        </w:tc>
      </w:tr>
      <w:tr w:rsidR="005B4627" w14:paraId="51D060CC" w14:textId="77777777" w:rsidTr="005B4627">
        <w:trPr>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0DDF2062"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835" w:type="dxa"/>
            <w:vAlign w:val="bottom"/>
          </w:tcPr>
          <w:p w14:paraId="43EA07B9"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-1,5 %</w:t>
            </w:r>
          </w:p>
        </w:tc>
        <w:tc>
          <w:tcPr>
            <w:tcW w:w="2943" w:type="dxa"/>
            <w:vAlign w:val="bottom"/>
          </w:tcPr>
          <w:p w14:paraId="04371FEC"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5.773 € </w:t>
            </w:r>
          </w:p>
        </w:tc>
      </w:tr>
      <w:tr w:rsidR="005B4627" w14:paraId="48981EC6" w14:textId="77777777" w:rsidTr="005B462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421E5790"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Gràcia</w:t>
            </w:r>
          </w:p>
        </w:tc>
        <w:tc>
          <w:tcPr>
            <w:tcW w:w="2835" w:type="dxa"/>
            <w:vAlign w:val="bottom"/>
          </w:tcPr>
          <w:p w14:paraId="211206E8"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2,1 %</w:t>
            </w:r>
          </w:p>
        </w:tc>
        <w:tc>
          <w:tcPr>
            <w:tcW w:w="2943" w:type="dxa"/>
            <w:vAlign w:val="bottom"/>
          </w:tcPr>
          <w:p w14:paraId="4B9FB2B8"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4.505 € </w:t>
            </w:r>
          </w:p>
        </w:tc>
      </w:tr>
      <w:tr w:rsidR="005B4627" w14:paraId="76DA186B" w14:textId="77777777" w:rsidTr="005B4627">
        <w:trPr>
          <w:trHeight w:val="227"/>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0EE17B48"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Eixample</w:t>
            </w:r>
          </w:p>
        </w:tc>
        <w:tc>
          <w:tcPr>
            <w:tcW w:w="2835" w:type="dxa"/>
            <w:vAlign w:val="bottom"/>
          </w:tcPr>
          <w:p w14:paraId="7B433B77"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3,8 %</w:t>
            </w:r>
          </w:p>
        </w:tc>
        <w:tc>
          <w:tcPr>
            <w:tcW w:w="2943" w:type="dxa"/>
            <w:vAlign w:val="bottom"/>
          </w:tcPr>
          <w:p w14:paraId="5D4D3AEA"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5.276 € </w:t>
            </w:r>
          </w:p>
        </w:tc>
      </w:tr>
    </w:tbl>
    <w:p w14:paraId="27E7B2EA" w14:textId="77777777" w:rsidR="005B4627" w:rsidRDefault="007F28F2">
      <w:pPr>
        <w:pBdr>
          <w:top w:val="nil"/>
          <w:left w:val="nil"/>
          <w:bottom w:val="nil"/>
          <w:right w:val="nil"/>
          <w:between w:val="nil"/>
        </w:pBdr>
        <w:shd w:val="clear" w:color="auto" w:fill="FFFFFF"/>
        <w:spacing w:before="280" w:after="280" w:line="276" w:lineRule="auto"/>
        <w:ind w:right="283"/>
        <w:rPr>
          <w:rFonts w:ascii="Open Sans" w:eastAsia="Open Sans" w:hAnsi="Open Sans" w:cs="Open Sans"/>
          <w:color w:val="000000"/>
          <w:sz w:val="20"/>
          <w:szCs w:val="20"/>
        </w:rPr>
      </w:pPr>
      <w:r>
        <w:rPr>
          <w:rFonts w:ascii="Open Sans Light" w:eastAsia="Open Sans Light" w:hAnsi="Open Sans Light" w:cs="Open Sans Light"/>
          <w:b/>
          <w:color w:val="303AB2"/>
        </w:rPr>
        <w:t>Tabla 6: Barrios de Madrid de mayor a menor variación anual (dic.20– dic.21)</w:t>
      </w:r>
    </w:p>
    <w:tbl>
      <w:tblPr>
        <w:tblStyle w:val="a4"/>
        <w:tblW w:w="889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05"/>
        <w:gridCol w:w="3260"/>
        <w:gridCol w:w="1701"/>
        <w:gridCol w:w="1533"/>
      </w:tblGrid>
      <w:tr w:rsidR="005B4627" w14:paraId="0A469C21" w14:textId="77777777" w:rsidTr="005B4627">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EC7802A"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Distrito</w:t>
            </w:r>
          </w:p>
        </w:tc>
        <w:tc>
          <w:tcPr>
            <w:tcW w:w="3260" w:type="dxa"/>
            <w:vAlign w:val="center"/>
          </w:tcPr>
          <w:p w14:paraId="468CBE33" w14:textId="77777777" w:rsidR="005B4627" w:rsidRDefault="007F28F2">
            <w:pPr>
              <w:ind w:right="283"/>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Barrio</w:t>
            </w:r>
          </w:p>
        </w:tc>
        <w:tc>
          <w:tcPr>
            <w:tcW w:w="1701" w:type="dxa"/>
            <w:vAlign w:val="center"/>
          </w:tcPr>
          <w:p w14:paraId="20697695" w14:textId="77777777" w:rsidR="005B4627" w:rsidRDefault="007F28F2">
            <w:pPr>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anual (%)</w:t>
            </w:r>
          </w:p>
        </w:tc>
        <w:tc>
          <w:tcPr>
            <w:tcW w:w="1533" w:type="dxa"/>
            <w:vAlign w:val="center"/>
          </w:tcPr>
          <w:p w14:paraId="08F6F39F" w14:textId="77777777" w:rsidR="005B4627" w:rsidRDefault="007F28F2">
            <w:pPr>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Dic.2021</w:t>
            </w:r>
          </w:p>
          <w:p w14:paraId="04ECC4CD" w14:textId="77777777" w:rsidR="005B4627" w:rsidRDefault="007F28F2">
            <w:pPr>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r>
      <w:tr w:rsidR="005B4627" w14:paraId="3BFF28BE" w14:textId="77777777" w:rsidTr="005B462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1E0658B"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Fuencarral</w:t>
            </w:r>
          </w:p>
        </w:tc>
        <w:tc>
          <w:tcPr>
            <w:tcW w:w="3260" w:type="dxa"/>
            <w:vAlign w:val="bottom"/>
          </w:tcPr>
          <w:p w14:paraId="28A4713F"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Tres Olivos - Valverde</w:t>
            </w:r>
          </w:p>
        </w:tc>
        <w:tc>
          <w:tcPr>
            <w:tcW w:w="1701" w:type="dxa"/>
            <w:vAlign w:val="bottom"/>
          </w:tcPr>
          <w:p w14:paraId="47993901"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23,4%</w:t>
            </w:r>
          </w:p>
        </w:tc>
        <w:tc>
          <w:tcPr>
            <w:tcW w:w="1533" w:type="dxa"/>
            <w:vAlign w:val="bottom"/>
          </w:tcPr>
          <w:p w14:paraId="5C2CC144"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3.102 €</w:t>
            </w:r>
          </w:p>
        </w:tc>
      </w:tr>
      <w:tr w:rsidR="005B4627" w14:paraId="7B7BD330"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6CACF19"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Fuencarral</w:t>
            </w:r>
          </w:p>
        </w:tc>
        <w:tc>
          <w:tcPr>
            <w:tcW w:w="3260" w:type="dxa"/>
            <w:vAlign w:val="bottom"/>
          </w:tcPr>
          <w:p w14:paraId="6D77D642"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Peñagrande</w:t>
            </w:r>
          </w:p>
        </w:tc>
        <w:tc>
          <w:tcPr>
            <w:tcW w:w="1701" w:type="dxa"/>
            <w:vAlign w:val="bottom"/>
          </w:tcPr>
          <w:p w14:paraId="29639C90"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15,3%</w:t>
            </w:r>
          </w:p>
        </w:tc>
        <w:tc>
          <w:tcPr>
            <w:tcW w:w="1533" w:type="dxa"/>
            <w:vAlign w:val="bottom"/>
          </w:tcPr>
          <w:p w14:paraId="6D79FA14"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4.031 €</w:t>
            </w:r>
          </w:p>
        </w:tc>
      </w:tr>
      <w:tr w:rsidR="005B4627" w14:paraId="061F02E4"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861D771"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Moncloa</w:t>
            </w:r>
          </w:p>
        </w:tc>
        <w:tc>
          <w:tcPr>
            <w:tcW w:w="3260" w:type="dxa"/>
            <w:vAlign w:val="bottom"/>
          </w:tcPr>
          <w:p w14:paraId="3C92DF65"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Argüelles</w:t>
            </w:r>
          </w:p>
        </w:tc>
        <w:tc>
          <w:tcPr>
            <w:tcW w:w="1701" w:type="dxa"/>
            <w:vAlign w:val="bottom"/>
          </w:tcPr>
          <w:p w14:paraId="6990FB42"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13,8%</w:t>
            </w:r>
          </w:p>
        </w:tc>
        <w:tc>
          <w:tcPr>
            <w:tcW w:w="1533" w:type="dxa"/>
            <w:vAlign w:val="bottom"/>
          </w:tcPr>
          <w:p w14:paraId="7A03FD72"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5.350 €</w:t>
            </w:r>
          </w:p>
        </w:tc>
      </w:tr>
      <w:tr w:rsidR="005B4627" w14:paraId="73BF6EB9"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EBE9DB2"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Ciudad Lineal</w:t>
            </w:r>
          </w:p>
        </w:tc>
        <w:tc>
          <w:tcPr>
            <w:tcW w:w="3260" w:type="dxa"/>
            <w:vAlign w:val="bottom"/>
          </w:tcPr>
          <w:p w14:paraId="21B4B0B3"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Costillares</w:t>
            </w:r>
          </w:p>
        </w:tc>
        <w:tc>
          <w:tcPr>
            <w:tcW w:w="1701" w:type="dxa"/>
            <w:vAlign w:val="bottom"/>
          </w:tcPr>
          <w:p w14:paraId="2BEB8065"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9,5%</w:t>
            </w:r>
          </w:p>
        </w:tc>
        <w:tc>
          <w:tcPr>
            <w:tcW w:w="1533" w:type="dxa"/>
            <w:vAlign w:val="bottom"/>
          </w:tcPr>
          <w:p w14:paraId="04A97378"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4.498 €</w:t>
            </w:r>
          </w:p>
        </w:tc>
      </w:tr>
      <w:tr w:rsidR="005B4627" w14:paraId="3B67DED7"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207AEE3"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Carabanchel</w:t>
            </w:r>
          </w:p>
        </w:tc>
        <w:tc>
          <w:tcPr>
            <w:tcW w:w="3260" w:type="dxa"/>
            <w:vAlign w:val="bottom"/>
          </w:tcPr>
          <w:p w14:paraId="4BCD01B9"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Comillas</w:t>
            </w:r>
          </w:p>
        </w:tc>
        <w:tc>
          <w:tcPr>
            <w:tcW w:w="1701" w:type="dxa"/>
            <w:vAlign w:val="bottom"/>
          </w:tcPr>
          <w:p w14:paraId="12C7E615"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9,3%</w:t>
            </w:r>
          </w:p>
        </w:tc>
        <w:tc>
          <w:tcPr>
            <w:tcW w:w="1533" w:type="dxa"/>
            <w:vAlign w:val="bottom"/>
          </w:tcPr>
          <w:p w14:paraId="19D27F3C"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2.890 €</w:t>
            </w:r>
          </w:p>
        </w:tc>
      </w:tr>
      <w:tr w:rsidR="005B4627" w14:paraId="0A45BB9F"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ADCA0DF"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3260" w:type="dxa"/>
            <w:vAlign w:val="bottom"/>
          </w:tcPr>
          <w:p w14:paraId="1D14386C"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Castellana</w:t>
            </w:r>
          </w:p>
        </w:tc>
        <w:tc>
          <w:tcPr>
            <w:tcW w:w="1701" w:type="dxa"/>
            <w:vAlign w:val="bottom"/>
          </w:tcPr>
          <w:p w14:paraId="2BC53D8F"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9,1%</w:t>
            </w:r>
          </w:p>
        </w:tc>
        <w:tc>
          <w:tcPr>
            <w:tcW w:w="1533" w:type="dxa"/>
            <w:vAlign w:val="bottom"/>
          </w:tcPr>
          <w:p w14:paraId="48D764E0"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7.629 €</w:t>
            </w:r>
          </w:p>
        </w:tc>
      </w:tr>
      <w:tr w:rsidR="005B4627" w14:paraId="738FD369"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03B78DC"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lastRenderedPageBreak/>
              <w:t>Chamartín</w:t>
            </w:r>
          </w:p>
        </w:tc>
        <w:tc>
          <w:tcPr>
            <w:tcW w:w="3260" w:type="dxa"/>
            <w:vAlign w:val="bottom"/>
          </w:tcPr>
          <w:p w14:paraId="74986F4D"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Castilla</w:t>
            </w:r>
          </w:p>
        </w:tc>
        <w:tc>
          <w:tcPr>
            <w:tcW w:w="1701" w:type="dxa"/>
            <w:vAlign w:val="bottom"/>
          </w:tcPr>
          <w:p w14:paraId="16F2E5F2"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8,8%</w:t>
            </w:r>
          </w:p>
        </w:tc>
        <w:tc>
          <w:tcPr>
            <w:tcW w:w="1533" w:type="dxa"/>
            <w:vAlign w:val="bottom"/>
          </w:tcPr>
          <w:p w14:paraId="7F6C29E3"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4.951 €</w:t>
            </w:r>
          </w:p>
        </w:tc>
      </w:tr>
      <w:tr w:rsidR="005B4627" w14:paraId="469BA5EF"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FAE5D5A"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Usera</w:t>
            </w:r>
          </w:p>
        </w:tc>
        <w:tc>
          <w:tcPr>
            <w:tcW w:w="3260" w:type="dxa"/>
            <w:vAlign w:val="bottom"/>
          </w:tcPr>
          <w:p w14:paraId="0F40296E"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Moscardó</w:t>
            </w:r>
          </w:p>
        </w:tc>
        <w:tc>
          <w:tcPr>
            <w:tcW w:w="1701" w:type="dxa"/>
            <w:vAlign w:val="bottom"/>
          </w:tcPr>
          <w:p w14:paraId="2B820B72"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8,7%</w:t>
            </w:r>
          </w:p>
        </w:tc>
        <w:tc>
          <w:tcPr>
            <w:tcW w:w="1533" w:type="dxa"/>
            <w:vAlign w:val="bottom"/>
          </w:tcPr>
          <w:p w14:paraId="36FDEDE1"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2.363 €</w:t>
            </w:r>
          </w:p>
        </w:tc>
      </w:tr>
      <w:tr w:rsidR="005B4627" w14:paraId="08915BD3"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C398974"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3260" w:type="dxa"/>
            <w:vAlign w:val="bottom"/>
          </w:tcPr>
          <w:p w14:paraId="265B19DC"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 Diego</w:t>
            </w:r>
          </w:p>
        </w:tc>
        <w:tc>
          <w:tcPr>
            <w:tcW w:w="1701" w:type="dxa"/>
            <w:vAlign w:val="bottom"/>
          </w:tcPr>
          <w:p w14:paraId="0FFBC3EC"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8,6%</w:t>
            </w:r>
          </w:p>
        </w:tc>
        <w:tc>
          <w:tcPr>
            <w:tcW w:w="1533" w:type="dxa"/>
            <w:vAlign w:val="bottom"/>
          </w:tcPr>
          <w:p w14:paraId="4897F4A6"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2.100 €</w:t>
            </w:r>
          </w:p>
        </w:tc>
      </w:tr>
      <w:tr w:rsidR="005B4627" w14:paraId="2ADA0F08"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B7C671F"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Arganzuela</w:t>
            </w:r>
          </w:p>
        </w:tc>
        <w:tc>
          <w:tcPr>
            <w:tcW w:w="3260" w:type="dxa"/>
            <w:vAlign w:val="bottom"/>
          </w:tcPr>
          <w:p w14:paraId="7E8CF650"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Imperial</w:t>
            </w:r>
          </w:p>
        </w:tc>
        <w:tc>
          <w:tcPr>
            <w:tcW w:w="1701" w:type="dxa"/>
            <w:vAlign w:val="bottom"/>
          </w:tcPr>
          <w:p w14:paraId="00D2440B"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8,1%</w:t>
            </w:r>
          </w:p>
        </w:tc>
        <w:tc>
          <w:tcPr>
            <w:tcW w:w="1533" w:type="dxa"/>
            <w:vAlign w:val="bottom"/>
          </w:tcPr>
          <w:p w14:paraId="1D88F98B"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4.446 €</w:t>
            </w:r>
          </w:p>
        </w:tc>
      </w:tr>
      <w:tr w:rsidR="005B4627" w14:paraId="6AE7930D"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A7F7A77"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Tetuán</w:t>
            </w:r>
          </w:p>
        </w:tc>
        <w:tc>
          <w:tcPr>
            <w:tcW w:w="3260" w:type="dxa"/>
            <w:vAlign w:val="bottom"/>
          </w:tcPr>
          <w:p w14:paraId="5789ED2D"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Cuatro Caminos - Azca</w:t>
            </w:r>
          </w:p>
        </w:tc>
        <w:tc>
          <w:tcPr>
            <w:tcW w:w="1701" w:type="dxa"/>
            <w:vAlign w:val="bottom"/>
          </w:tcPr>
          <w:p w14:paraId="615CB38C"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8,1%</w:t>
            </w:r>
          </w:p>
        </w:tc>
        <w:tc>
          <w:tcPr>
            <w:tcW w:w="1533" w:type="dxa"/>
            <w:vAlign w:val="bottom"/>
          </w:tcPr>
          <w:p w14:paraId="3C60DC13"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4.676 €</w:t>
            </w:r>
          </w:p>
        </w:tc>
      </w:tr>
      <w:tr w:rsidR="005B4627" w14:paraId="79C94DE7"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10144DF"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Latina</w:t>
            </w:r>
          </w:p>
        </w:tc>
        <w:tc>
          <w:tcPr>
            <w:tcW w:w="3260" w:type="dxa"/>
            <w:vAlign w:val="bottom"/>
          </w:tcPr>
          <w:p w14:paraId="38BBEF43"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Águilas</w:t>
            </w:r>
          </w:p>
        </w:tc>
        <w:tc>
          <w:tcPr>
            <w:tcW w:w="1701" w:type="dxa"/>
            <w:vAlign w:val="bottom"/>
          </w:tcPr>
          <w:p w14:paraId="1CD6A56C"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7,8%</w:t>
            </w:r>
          </w:p>
        </w:tc>
        <w:tc>
          <w:tcPr>
            <w:tcW w:w="1533" w:type="dxa"/>
            <w:vAlign w:val="bottom"/>
          </w:tcPr>
          <w:p w14:paraId="7194F008"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2.360 €</w:t>
            </w:r>
          </w:p>
        </w:tc>
      </w:tr>
      <w:tr w:rsidR="005B4627" w14:paraId="74DD9F9B"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ABE7F72"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Chamartín</w:t>
            </w:r>
          </w:p>
        </w:tc>
        <w:tc>
          <w:tcPr>
            <w:tcW w:w="3260" w:type="dxa"/>
            <w:vAlign w:val="bottom"/>
          </w:tcPr>
          <w:p w14:paraId="392BFAE0"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Viso</w:t>
            </w:r>
          </w:p>
        </w:tc>
        <w:tc>
          <w:tcPr>
            <w:tcW w:w="1701" w:type="dxa"/>
            <w:vAlign w:val="bottom"/>
          </w:tcPr>
          <w:p w14:paraId="674441A2"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7,2%</w:t>
            </w:r>
          </w:p>
        </w:tc>
        <w:tc>
          <w:tcPr>
            <w:tcW w:w="1533" w:type="dxa"/>
            <w:vAlign w:val="bottom"/>
          </w:tcPr>
          <w:p w14:paraId="4096D106"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6.606 €</w:t>
            </w:r>
          </w:p>
        </w:tc>
      </w:tr>
      <w:tr w:rsidR="005B4627" w14:paraId="0A1CC07A"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540E1A2"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Retiro</w:t>
            </w:r>
          </w:p>
        </w:tc>
        <w:tc>
          <w:tcPr>
            <w:tcW w:w="3260" w:type="dxa"/>
            <w:vAlign w:val="bottom"/>
          </w:tcPr>
          <w:p w14:paraId="551D0C72"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Estrella</w:t>
            </w:r>
          </w:p>
        </w:tc>
        <w:tc>
          <w:tcPr>
            <w:tcW w:w="1701" w:type="dxa"/>
            <w:vAlign w:val="bottom"/>
          </w:tcPr>
          <w:p w14:paraId="56735059"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7,2%</w:t>
            </w:r>
          </w:p>
        </w:tc>
        <w:tc>
          <w:tcPr>
            <w:tcW w:w="1533" w:type="dxa"/>
            <w:vAlign w:val="bottom"/>
          </w:tcPr>
          <w:p w14:paraId="20DE457E"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4.594 €</w:t>
            </w:r>
          </w:p>
        </w:tc>
      </w:tr>
      <w:tr w:rsidR="005B4627" w14:paraId="7F4E1752"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C10C9A9"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Latina</w:t>
            </w:r>
          </w:p>
        </w:tc>
        <w:tc>
          <w:tcPr>
            <w:tcW w:w="3260" w:type="dxa"/>
            <w:vAlign w:val="bottom"/>
          </w:tcPr>
          <w:p w14:paraId="7B151ADA"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Lucero</w:t>
            </w:r>
          </w:p>
        </w:tc>
        <w:tc>
          <w:tcPr>
            <w:tcW w:w="1701" w:type="dxa"/>
            <w:vAlign w:val="bottom"/>
          </w:tcPr>
          <w:p w14:paraId="73B421D1"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6,9%</w:t>
            </w:r>
          </w:p>
        </w:tc>
        <w:tc>
          <w:tcPr>
            <w:tcW w:w="1533" w:type="dxa"/>
            <w:vAlign w:val="bottom"/>
          </w:tcPr>
          <w:p w14:paraId="60823C3F"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2.463 €</w:t>
            </w:r>
          </w:p>
        </w:tc>
      </w:tr>
      <w:tr w:rsidR="005B4627" w14:paraId="75D7989E"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1E1AE34"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3260" w:type="dxa"/>
            <w:vAlign w:val="bottom"/>
          </w:tcPr>
          <w:p w14:paraId="79E5062F"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Entrevías</w:t>
            </w:r>
          </w:p>
        </w:tc>
        <w:tc>
          <w:tcPr>
            <w:tcW w:w="1701" w:type="dxa"/>
            <w:vAlign w:val="bottom"/>
          </w:tcPr>
          <w:p w14:paraId="622B3EAB"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6,8%</w:t>
            </w:r>
          </w:p>
        </w:tc>
        <w:tc>
          <w:tcPr>
            <w:tcW w:w="1533" w:type="dxa"/>
            <w:vAlign w:val="bottom"/>
          </w:tcPr>
          <w:p w14:paraId="3010213B"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1.698 €</w:t>
            </w:r>
          </w:p>
        </w:tc>
      </w:tr>
      <w:tr w:rsidR="005B4627" w14:paraId="49BBC5D0"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B06CA79"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Chamartín</w:t>
            </w:r>
          </w:p>
        </w:tc>
        <w:tc>
          <w:tcPr>
            <w:tcW w:w="3260" w:type="dxa"/>
            <w:vAlign w:val="bottom"/>
          </w:tcPr>
          <w:p w14:paraId="7E928581"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Hispanoamérica - Bernabéu</w:t>
            </w:r>
          </w:p>
        </w:tc>
        <w:tc>
          <w:tcPr>
            <w:tcW w:w="1701" w:type="dxa"/>
            <w:vAlign w:val="bottom"/>
          </w:tcPr>
          <w:p w14:paraId="5618A850"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6,7%</w:t>
            </w:r>
          </w:p>
        </w:tc>
        <w:tc>
          <w:tcPr>
            <w:tcW w:w="1533" w:type="dxa"/>
            <w:vAlign w:val="bottom"/>
          </w:tcPr>
          <w:p w14:paraId="0AFDE80C"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5.792 €</w:t>
            </w:r>
          </w:p>
        </w:tc>
      </w:tr>
      <w:tr w:rsidR="005B4627" w14:paraId="0DA026A8"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3A091E8"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Fuencarral</w:t>
            </w:r>
          </w:p>
        </w:tc>
        <w:tc>
          <w:tcPr>
            <w:tcW w:w="3260" w:type="dxa"/>
            <w:vAlign w:val="bottom"/>
          </w:tcPr>
          <w:p w14:paraId="020A46DA"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Pilar</w:t>
            </w:r>
          </w:p>
        </w:tc>
        <w:tc>
          <w:tcPr>
            <w:tcW w:w="1701" w:type="dxa"/>
            <w:vAlign w:val="bottom"/>
          </w:tcPr>
          <w:p w14:paraId="5F4CDD4E"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6,5%</w:t>
            </w:r>
          </w:p>
        </w:tc>
        <w:tc>
          <w:tcPr>
            <w:tcW w:w="1533" w:type="dxa"/>
            <w:vAlign w:val="bottom"/>
          </w:tcPr>
          <w:p w14:paraId="22D2D773"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3.356 €</w:t>
            </w:r>
          </w:p>
        </w:tc>
      </w:tr>
      <w:tr w:rsidR="005B4627" w14:paraId="2AA03CB9"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3F7A045"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Ciudad Lineal</w:t>
            </w:r>
          </w:p>
        </w:tc>
        <w:tc>
          <w:tcPr>
            <w:tcW w:w="3260" w:type="dxa"/>
            <w:vAlign w:val="bottom"/>
          </w:tcPr>
          <w:p w14:paraId="5DCC5B78"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Quintana</w:t>
            </w:r>
          </w:p>
        </w:tc>
        <w:tc>
          <w:tcPr>
            <w:tcW w:w="1701" w:type="dxa"/>
            <w:vAlign w:val="bottom"/>
          </w:tcPr>
          <w:p w14:paraId="03DDF3B9"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6,2%</w:t>
            </w:r>
          </w:p>
        </w:tc>
        <w:tc>
          <w:tcPr>
            <w:tcW w:w="1533" w:type="dxa"/>
            <w:vAlign w:val="bottom"/>
          </w:tcPr>
          <w:p w14:paraId="74DBAD9C"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3.482 €</w:t>
            </w:r>
          </w:p>
        </w:tc>
      </w:tr>
      <w:tr w:rsidR="005B4627" w14:paraId="7A40CF57"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0465335"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Chamberí</w:t>
            </w:r>
          </w:p>
        </w:tc>
        <w:tc>
          <w:tcPr>
            <w:tcW w:w="3260" w:type="dxa"/>
            <w:vAlign w:val="bottom"/>
          </w:tcPr>
          <w:p w14:paraId="04F2F578"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Arapiles</w:t>
            </w:r>
          </w:p>
        </w:tc>
        <w:tc>
          <w:tcPr>
            <w:tcW w:w="1701" w:type="dxa"/>
            <w:vAlign w:val="bottom"/>
          </w:tcPr>
          <w:p w14:paraId="77BFAE91"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6,1%</w:t>
            </w:r>
          </w:p>
        </w:tc>
        <w:tc>
          <w:tcPr>
            <w:tcW w:w="1533" w:type="dxa"/>
            <w:vAlign w:val="bottom"/>
          </w:tcPr>
          <w:p w14:paraId="0F98F6CD"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5.236 €</w:t>
            </w:r>
          </w:p>
        </w:tc>
      </w:tr>
      <w:tr w:rsidR="005B4627" w14:paraId="792AD0A3"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35F37A4"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3260" w:type="dxa"/>
            <w:vAlign w:val="bottom"/>
          </w:tcPr>
          <w:p w14:paraId="16E64BF2"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Palomeras bajas</w:t>
            </w:r>
          </w:p>
        </w:tc>
        <w:tc>
          <w:tcPr>
            <w:tcW w:w="1701" w:type="dxa"/>
            <w:vAlign w:val="bottom"/>
          </w:tcPr>
          <w:p w14:paraId="1BFC53B0"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w:t>
            </w:r>
          </w:p>
        </w:tc>
        <w:tc>
          <w:tcPr>
            <w:tcW w:w="1533" w:type="dxa"/>
            <w:vAlign w:val="bottom"/>
          </w:tcPr>
          <w:p w14:paraId="3A23596F"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2.120 €</w:t>
            </w:r>
          </w:p>
        </w:tc>
      </w:tr>
      <w:tr w:rsidR="005B4627" w14:paraId="46F03695"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A92EAD5"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Tetuán</w:t>
            </w:r>
          </w:p>
        </w:tc>
        <w:tc>
          <w:tcPr>
            <w:tcW w:w="3260" w:type="dxa"/>
            <w:vAlign w:val="bottom"/>
          </w:tcPr>
          <w:p w14:paraId="7147E3B0"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Berruguete</w:t>
            </w:r>
          </w:p>
        </w:tc>
        <w:tc>
          <w:tcPr>
            <w:tcW w:w="1701" w:type="dxa"/>
            <w:vAlign w:val="bottom"/>
          </w:tcPr>
          <w:p w14:paraId="6DF6CFF2"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5,7%</w:t>
            </w:r>
          </w:p>
        </w:tc>
        <w:tc>
          <w:tcPr>
            <w:tcW w:w="1533" w:type="dxa"/>
            <w:vAlign w:val="bottom"/>
          </w:tcPr>
          <w:p w14:paraId="30945E3E"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3.423 €</w:t>
            </w:r>
          </w:p>
        </w:tc>
      </w:tr>
      <w:tr w:rsidR="005B4627" w14:paraId="7F2E30CD"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86AC59A"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Chamberí</w:t>
            </w:r>
          </w:p>
        </w:tc>
        <w:tc>
          <w:tcPr>
            <w:tcW w:w="3260" w:type="dxa"/>
            <w:vAlign w:val="bottom"/>
          </w:tcPr>
          <w:p w14:paraId="032B65C3"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Almagro</w:t>
            </w:r>
          </w:p>
        </w:tc>
        <w:tc>
          <w:tcPr>
            <w:tcW w:w="1701" w:type="dxa"/>
            <w:vAlign w:val="bottom"/>
          </w:tcPr>
          <w:p w14:paraId="32EBA1E3"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5,6%</w:t>
            </w:r>
          </w:p>
        </w:tc>
        <w:tc>
          <w:tcPr>
            <w:tcW w:w="1533" w:type="dxa"/>
            <w:vAlign w:val="bottom"/>
          </w:tcPr>
          <w:p w14:paraId="14AE5637"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6.657 €</w:t>
            </w:r>
          </w:p>
        </w:tc>
      </w:tr>
      <w:tr w:rsidR="005B4627" w14:paraId="13AE84A4"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A132AD9"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Villa de Vallecas</w:t>
            </w:r>
          </w:p>
        </w:tc>
        <w:tc>
          <w:tcPr>
            <w:tcW w:w="3260" w:type="dxa"/>
            <w:vAlign w:val="bottom"/>
          </w:tcPr>
          <w:p w14:paraId="3C5FA2C5"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Ensanche de Vallecas - La Gavia</w:t>
            </w:r>
          </w:p>
        </w:tc>
        <w:tc>
          <w:tcPr>
            <w:tcW w:w="1701" w:type="dxa"/>
            <w:vAlign w:val="bottom"/>
          </w:tcPr>
          <w:p w14:paraId="3BF43489"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w:t>
            </w:r>
          </w:p>
        </w:tc>
        <w:tc>
          <w:tcPr>
            <w:tcW w:w="1533" w:type="dxa"/>
            <w:vAlign w:val="bottom"/>
          </w:tcPr>
          <w:p w14:paraId="229044DD"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2.989 €</w:t>
            </w:r>
          </w:p>
        </w:tc>
      </w:tr>
      <w:tr w:rsidR="005B4627" w14:paraId="6FB512EF"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9233D74"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Tetuán</w:t>
            </w:r>
          </w:p>
        </w:tc>
        <w:tc>
          <w:tcPr>
            <w:tcW w:w="3260" w:type="dxa"/>
            <w:vAlign w:val="bottom"/>
          </w:tcPr>
          <w:p w14:paraId="47F9559F"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Valdeacederas</w:t>
            </w:r>
          </w:p>
        </w:tc>
        <w:tc>
          <w:tcPr>
            <w:tcW w:w="1701" w:type="dxa"/>
            <w:vAlign w:val="bottom"/>
          </w:tcPr>
          <w:p w14:paraId="43567D5E"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w:t>
            </w:r>
          </w:p>
        </w:tc>
        <w:tc>
          <w:tcPr>
            <w:tcW w:w="1533" w:type="dxa"/>
            <w:vAlign w:val="bottom"/>
          </w:tcPr>
          <w:p w14:paraId="6814595C"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3.457 €</w:t>
            </w:r>
          </w:p>
        </w:tc>
      </w:tr>
      <w:tr w:rsidR="005B4627" w14:paraId="238EAA22"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0A445FA"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Tetuán</w:t>
            </w:r>
          </w:p>
        </w:tc>
        <w:tc>
          <w:tcPr>
            <w:tcW w:w="3260" w:type="dxa"/>
            <w:vAlign w:val="bottom"/>
          </w:tcPr>
          <w:p w14:paraId="091D31B5"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Almenara -Ventilla</w:t>
            </w:r>
          </w:p>
        </w:tc>
        <w:tc>
          <w:tcPr>
            <w:tcW w:w="1701" w:type="dxa"/>
            <w:vAlign w:val="bottom"/>
          </w:tcPr>
          <w:p w14:paraId="4008B4D6"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c>
          <w:tcPr>
            <w:tcW w:w="1533" w:type="dxa"/>
            <w:vAlign w:val="bottom"/>
          </w:tcPr>
          <w:p w14:paraId="290E458B"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3.582 €</w:t>
            </w:r>
          </w:p>
        </w:tc>
      </w:tr>
      <w:tr w:rsidR="005B4627" w14:paraId="766E4919"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3219C84"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Arganzuela</w:t>
            </w:r>
          </w:p>
        </w:tc>
        <w:tc>
          <w:tcPr>
            <w:tcW w:w="3260" w:type="dxa"/>
            <w:vAlign w:val="bottom"/>
          </w:tcPr>
          <w:p w14:paraId="2B7E3657"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Palos de Moguer</w:t>
            </w:r>
          </w:p>
        </w:tc>
        <w:tc>
          <w:tcPr>
            <w:tcW w:w="1701" w:type="dxa"/>
            <w:vAlign w:val="bottom"/>
          </w:tcPr>
          <w:p w14:paraId="23F77EE6"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c>
          <w:tcPr>
            <w:tcW w:w="1533" w:type="dxa"/>
            <w:vAlign w:val="bottom"/>
          </w:tcPr>
          <w:p w14:paraId="68CC087B"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4.175 €</w:t>
            </w:r>
          </w:p>
        </w:tc>
      </w:tr>
      <w:tr w:rsidR="005B4627" w14:paraId="25FA0CAC"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FF72BEE"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Carabanchel</w:t>
            </w:r>
          </w:p>
        </w:tc>
        <w:tc>
          <w:tcPr>
            <w:tcW w:w="3260" w:type="dxa"/>
            <w:vAlign w:val="bottom"/>
          </w:tcPr>
          <w:p w14:paraId="485D405F"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Abrantes</w:t>
            </w:r>
          </w:p>
        </w:tc>
        <w:tc>
          <w:tcPr>
            <w:tcW w:w="1701" w:type="dxa"/>
            <w:vAlign w:val="bottom"/>
          </w:tcPr>
          <w:p w14:paraId="3C7B608B"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w:t>
            </w:r>
          </w:p>
        </w:tc>
        <w:tc>
          <w:tcPr>
            <w:tcW w:w="1533" w:type="dxa"/>
            <w:vAlign w:val="bottom"/>
          </w:tcPr>
          <w:p w14:paraId="64337AC7"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2.099 €</w:t>
            </w:r>
          </w:p>
        </w:tc>
      </w:tr>
      <w:tr w:rsidR="005B4627" w14:paraId="5707E668"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4C4D6F0"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Chamberí</w:t>
            </w:r>
          </w:p>
        </w:tc>
        <w:tc>
          <w:tcPr>
            <w:tcW w:w="3260" w:type="dxa"/>
            <w:vAlign w:val="bottom"/>
          </w:tcPr>
          <w:p w14:paraId="0E766E5C"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Ríos Rosas - Nuevos Ministerios</w:t>
            </w:r>
          </w:p>
        </w:tc>
        <w:tc>
          <w:tcPr>
            <w:tcW w:w="1701" w:type="dxa"/>
            <w:vAlign w:val="bottom"/>
          </w:tcPr>
          <w:p w14:paraId="70748999"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w:t>
            </w:r>
          </w:p>
        </w:tc>
        <w:tc>
          <w:tcPr>
            <w:tcW w:w="1533" w:type="dxa"/>
            <w:vAlign w:val="bottom"/>
          </w:tcPr>
          <w:p w14:paraId="41CFAC0A"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5.521 €</w:t>
            </w:r>
          </w:p>
        </w:tc>
      </w:tr>
      <w:tr w:rsidR="005B4627" w14:paraId="6BEC429E"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51EF766"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3260" w:type="dxa"/>
            <w:vAlign w:val="bottom"/>
          </w:tcPr>
          <w:p w14:paraId="7005F92A"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Lista</w:t>
            </w:r>
          </w:p>
        </w:tc>
        <w:tc>
          <w:tcPr>
            <w:tcW w:w="1701" w:type="dxa"/>
            <w:vAlign w:val="bottom"/>
          </w:tcPr>
          <w:p w14:paraId="3034BCCA"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w:t>
            </w:r>
          </w:p>
        </w:tc>
        <w:tc>
          <w:tcPr>
            <w:tcW w:w="1533" w:type="dxa"/>
            <w:vAlign w:val="bottom"/>
          </w:tcPr>
          <w:p w14:paraId="723B6706"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6.365 €</w:t>
            </w:r>
          </w:p>
        </w:tc>
      </w:tr>
      <w:tr w:rsidR="005B4627" w14:paraId="5F5FC71A"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1C4A7E6"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Villa de Vallecas</w:t>
            </w:r>
          </w:p>
        </w:tc>
        <w:tc>
          <w:tcPr>
            <w:tcW w:w="3260" w:type="dxa"/>
            <w:vAlign w:val="bottom"/>
          </w:tcPr>
          <w:p w14:paraId="506A102D"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Casco Histórico de Vallecas</w:t>
            </w:r>
          </w:p>
        </w:tc>
        <w:tc>
          <w:tcPr>
            <w:tcW w:w="1701" w:type="dxa"/>
            <w:vAlign w:val="bottom"/>
          </w:tcPr>
          <w:p w14:paraId="0FFB5E39"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w:t>
            </w:r>
          </w:p>
        </w:tc>
        <w:tc>
          <w:tcPr>
            <w:tcW w:w="1533" w:type="dxa"/>
            <w:vAlign w:val="bottom"/>
          </w:tcPr>
          <w:p w14:paraId="395A7C4F"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2.123 €</w:t>
            </w:r>
          </w:p>
        </w:tc>
      </w:tr>
      <w:tr w:rsidR="005B4627" w14:paraId="64216639"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8661991"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3260" w:type="dxa"/>
            <w:vAlign w:val="bottom"/>
          </w:tcPr>
          <w:p w14:paraId="7FEFC9CE"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Palomeras sureste</w:t>
            </w:r>
          </w:p>
        </w:tc>
        <w:tc>
          <w:tcPr>
            <w:tcW w:w="1701" w:type="dxa"/>
            <w:vAlign w:val="bottom"/>
          </w:tcPr>
          <w:p w14:paraId="2D1DE709"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w:t>
            </w:r>
          </w:p>
        </w:tc>
        <w:tc>
          <w:tcPr>
            <w:tcW w:w="1533" w:type="dxa"/>
            <w:vAlign w:val="bottom"/>
          </w:tcPr>
          <w:p w14:paraId="6F352034"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2.165 €</w:t>
            </w:r>
          </w:p>
        </w:tc>
      </w:tr>
      <w:tr w:rsidR="005B4627" w14:paraId="051C1FB3"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05B71F2"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3260" w:type="dxa"/>
            <w:vAlign w:val="bottom"/>
          </w:tcPr>
          <w:p w14:paraId="7F2F3790"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Goya</w:t>
            </w:r>
          </w:p>
        </w:tc>
        <w:tc>
          <w:tcPr>
            <w:tcW w:w="1701" w:type="dxa"/>
            <w:vAlign w:val="bottom"/>
          </w:tcPr>
          <w:p w14:paraId="517389D2"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w:t>
            </w:r>
          </w:p>
        </w:tc>
        <w:tc>
          <w:tcPr>
            <w:tcW w:w="1533" w:type="dxa"/>
            <w:vAlign w:val="bottom"/>
          </w:tcPr>
          <w:p w14:paraId="587B1687"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6.133 €</w:t>
            </w:r>
          </w:p>
        </w:tc>
      </w:tr>
      <w:tr w:rsidR="005B4627" w14:paraId="4A22193B"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2F8C3A9"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Ciudad Lineal</w:t>
            </w:r>
          </w:p>
        </w:tc>
        <w:tc>
          <w:tcPr>
            <w:tcW w:w="3260" w:type="dxa"/>
            <w:vAlign w:val="bottom"/>
          </w:tcPr>
          <w:p w14:paraId="3C76F5A0"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Pueblo Nuevo</w:t>
            </w:r>
          </w:p>
        </w:tc>
        <w:tc>
          <w:tcPr>
            <w:tcW w:w="1701" w:type="dxa"/>
            <w:vAlign w:val="bottom"/>
          </w:tcPr>
          <w:p w14:paraId="3AB9BCB0"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w:t>
            </w:r>
          </w:p>
        </w:tc>
        <w:tc>
          <w:tcPr>
            <w:tcW w:w="1533" w:type="dxa"/>
            <w:vAlign w:val="bottom"/>
          </w:tcPr>
          <w:p w14:paraId="0288834F"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2.706 €</w:t>
            </w:r>
          </w:p>
        </w:tc>
      </w:tr>
      <w:tr w:rsidR="005B4627" w14:paraId="031431D6"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92EDABC"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Usera</w:t>
            </w:r>
          </w:p>
        </w:tc>
        <w:tc>
          <w:tcPr>
            <w:tcW w:w="3260" w:type="dxa"/>
            <w:vAlign w:val="bottom"/>
          </w:tcPr>
          <w:p w14:paraId="358A10CD"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Pradolongo</w:t>
            </w:r>
          </w:p>
        </w:tc>
        <w:tc>
          <w:tcPr>
            <w:tcW w:w="1701" w:type="dxa"/>
            <w:vAlign w:val="bottom"/>
          </w:tcPr>
          <w:p w14:paraId="0CB34C49"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w:t>
            </w:r>
          </w:p>
        </w:tc>
        <w:tc>
          <w:tcPr>
            <w:tcW w:w="1533" w:type="dxa"/>
            <w:vAlign w:val="bottom"/>
          </w:tcPr>
          <w:p w14:paraId="55824EC1"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2.102 €</w:t>
            </w:r>
          </w:p>
        </w:tc>
      </w:tr>
      <w:tr w:rsidR="005B4627" w14:paraId="426E5E79"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8C88B8D"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Arganzuela</w:t>
            </w:r>
          </w:p>
        </w:tc>
        <w:tc>
          <w:tcPr>
            <w:tcW w:w="3260" w:type="dxa"/>
            <w:vAlign w:val="bottom"/>
          </w:tcPr>
          <w:p w14:paraId="009E6B88"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Chopera</w:t>
            </w:r>
          </w:p>
        </w:tc>
        <w:tc>
          <w:tcPr>
            <w:tcW w:w="1701" w:type="dxa"/>
            <w:vAlign w:val="bottom"/>
          </w:tcPr>
          <w:p w14:paraId="588FF993"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w:t>
            </w:r>
          </w:p>
        </w:tc>
        <w:tc>
          <w:tcPr>
            <w:tcW w:w="1533" w:type="dxa"/>
            <w:vAlign w:val="bottom"/>
          </w:tcPr>
          <w:p w14:paraId="26666CF3"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4.016 €</w:t>
            </w:r>
          </w:p>
        </w:tc>
      </w:tr>
      <w:tr w:rsidR="005B4627" w14:paraId="3AC73FC9"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F2B2AA4"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Retiro</w:t>
            </w:r>
          </w:p>
        </w:tc>
        <w:tc>
          <w:tcPr>
            <w:tcW w:w="3260" w:type="dxa"/>
            <w:vAlign w:val="bottom"/>
          </w:tcPr>
          <w:p w14:paraId="560F9185"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Pacífico</w:t>
            </w:r>
          </w:p>
        </w:tc>
        <w:tc>
          <w:tcPr>
            <w:tcW w:w="1701" w:type="dxa"/>
            <w:vAlign w:val="bottom"/>
          </w:tcPr>
          <w:p w14:paraId="2E4E8125"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w:t>
            </w:r>
          </w:p>
        </w:tc>
        <w:tc>
          <w:tcPr>
            <w:tcW w:w="1533" w:type="dxa"/>
            <w:vAlign w:val="bottom"/>
          </w:tcPr>
          <w:p w14:paraId="14BD3C84"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4.250 €</w:t>
            </w:r>
          </w:p>
        </w:tc>
      </w:tr>
      <w:tr w:rsidR="005B4627" w14:paraId="42533562"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8E6E5D4"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Barajas</w:t>
            </w:r>
          </w:p>
        </w:tc>
        <w:tc>
          <w:tcPr>
            <w:tcW w:w="3260" w:type="dxa"/>
            <w:vAlign w:val="bottom"/>
          </w:tcPr>
          <w:p w14:paraId="1D0BA765"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Alameda de Osuna</w:t>
            </w:r>
          </w:p>
        </w:tc>
        <w:tc>
          <w:tcPr>
            <w:tcW w:w="1701" w:type="dxa"/>
            <w:vAlign w:val="bottom"/>
          </w:tcPr>
          <w:p w14:paraId="63219C11"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c>
          <w:tcPr>
            <w:tcW w:w="1533" w:type="dxa"/>
            <w:vAlign w:val="bottom"/>
          </w:tcPr>
          <w:p w14:paraId="1B6D11DE"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3.574 €</w:t>
            </w:r>
          </w:p>
        </w:tc>
      </w:tr>
      <w:tr w:rsidR="005B4627" w14:paraId="0E078A55"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D33D23D"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Latina</w:t>
            </w:r>
          </w:p>
        </w:tc>
        <w:tc>
          <w:tcPr>
            <w:tcW w:w="3260" w:type="dxa"/>
            <w:vAlign w:val="bottom"/>
          </w:tcPr>
          <w:p w14:paraId="18151547"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Aluche</w:t>
            </w:r>
          </w:p>
        </w:tc>
        <w:tc>
          <w:tcPr>
            <w:tcW w:w="1701" w:type="dxa"/>
            <w:vAlign w:val="bottom"/>
          </w:tcPr>
          <w:p w14:paraId="7BDDF139"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2,7%</w:t>
            </w:r>
          </w:p>
        </w:tc>
        <w:tc>
          <w:tcPr>
            <w:tcW w:w="1533" w:type="dxa"/>
            <w:vAlign w:val="bottom"/>
          </w:tcPr>
          <w:p w14:paraId="0C7C0CE6"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2.291 €</w:t>
            </w:r>
          </w:p>
        </w:tc>
      </w:tr>
      <w:tr w:rsidR="005B4627" w14:paraId="2281574C"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25289E3"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Hortaleza</w:t>
            </w:r>
          </w:p>
        </w:tc>
        <w:tc>
          <w:tcPr>
            <w:tcW w:w="3260" w:type="dxa"/>
            <w:vAlign w:val="bottom"/>
          </w:tcPr>
          <w:p w14:paraId="4380AD58"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Pinar del Rey</w:t>
            </w:r>
          </w:p>
        </w:tc>
        <w:tc>
          <w:tcPr>
            <w:tcW w:w="1701" w:type="dxa"/>
            <w:vAlign w:val="bottom"/>
          </w:tcPr>
          <w:p w14:paraId="3A86E7AE"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2,5%</w:t>
            </w:r>
          </w:p>
        </w:tc>
        <w:tc>
          <w:tcPr>
            <w:tcW w:w="1533" w:type="dxa"/>
            <w:vAlign w:val="bottom"/>
          </w:tcPr>
          <w:p w14:paraId="6472C877"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3.088 €</w:t>
            </w:r>
          </w:p>
        </w:tc>
      </w:tr>
      <w:tr w:rsidR="005B4627" w14:paraId="64799163"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6FEBED2"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3260" w:type="dxa"/>
            <w:vAlign w:val="bottom"/>
          </w:tcPr>
          <w:p w14:paraId="05EB71AF"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Portazgo</w:t>
            </w:r>
          </w:p>
        </w:tc>
        <w:tc>
          <w:tcPr>
            <w:tcW w:w="1701" w:type="dxa"/>
            <w:vAlign w:val="bottom"/>
          </w:tcPr>
          <w:p w14:paraId="3474EF90"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2,4%</w:t>
            </w:r>
          </w:p>
        </w:tc>
        <w:tc>
          <w:tcPr>
            <w:tcW w:w="1533" w:type="dxa"/>
            <w:vAlign w:val="bottom"/>
          </w:tcPr>
          <w:p w14:paraId="05172881"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2.022 €</w:t>
            </w:r>
          </w:p>
        </w:tc>
      </w:tr>
      <w:tr w:rsidR="005B4627" w14:paraId="4FA02250"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6CB6978"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Moncloa</w:t>
            </w:r>
          </w:p>
        </w:tc>
        <w:tc>
          <w:tcPr>
            <w:tcW w:w="3260" w:type="dxa"/>
            <w:vAlign w:val="bottom"/>
          </w:tcPr>
          <w:p w14:paraId="6499E6A6"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Aravaca</w:t>
            </w:r>
          </w:p>
        </w:tc>
        <w:tc>
          <w:tcPr>
            <w:tcW w:w="1701" w:type="dxa"/>
            <w:vAlign w:val="bottom"/>
          </w:tcPr>
          <w:p w14:paraId="7F326822"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2,4%</w:t>
            </w:r>
          </w:p>
        </w:tc>
        <w:tc>
          <w:tcPr>
            <w:tcW w:w="1533" w:type="dxa"/>
            <w:vAlign w:val="bottom"/>
          </w:tcPr>
          <w:p w14:paraId="4BD1EDE4"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4.313 €</w:t>
            </w:r>
          </w:p>
        </w:tc>
      </w:tr>
      <w:tr w:rsidR="005B4627" w14:paraId="485F3483"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D5132C6"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Chamartín</w:t>
            </w:r>
          </w:p>
        </w:tc>
        <w:tc>
          <w:tcPr>
            <w:tcW w:w="3260" w:type="dxa"/>
            <w:vAlign w:val="bottom"/>
          </w:tcPr>
          <w:p w14:paraId="3F15BC5B"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Nueva España</w:t>
            </w:r>
          </w:p>
        </w:tc>
        <w:tc>
          <w:tcPr>
            <w:tcW w:w="1701" w:type="dxa"/>
            <w:vAlign w:val="bottom"/>
          </w:tcPr>
          <w:p w14:paraId="3FE7D483"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2,3%</w:t>
            </w:r>
          </w:p>
        </w:tc>
        <w:tc>
          <w:tcPr>
            <w:tcW w:w="1533" w:type="dxa"/>
            <w:vAlign w:val="bottom"/>
          </w:tcPr>
          <w:p w14:paraId="3BD07D2E"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6.022 €</w:t>
            </w:r>
          </w:p>
        </w:tc>
      </w:tr>
      <w:tr w:rsidR="005B4627" w14:paraId="5A70555A"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76E6786"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Centro</w:t>
            </w:r>
          </w:p>
        </w:tc>
        <w:tc>
          <w:tcPr>
            <w:tcW w:w="3260" w:type="dxa"/>
            <w:vAlign w:val="bottom"/>
          </w:tcPr>
          <w:p w14:paraId="318642AB"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Universidad - Malasaña</w:t>
            </w:r>
          </w:p>
        </w:tc>
        <w:tc>
          <w:tcPr>
            <w:tcW w:w="1701" w:type="dxa"/>
            <w:vAlign w:val="bottom"/>
          </w:tcPr>
          <w:p w14:paraId="06B85C70"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2,3%</w:t>
            </w:r>
          </w:p>
        </w:tc>
        <w:tc>
          <w:tcPr>
            <w:tcW w:w="1533" w:type="dxa"/>
            <w:vAlign w:val="bottom"/>
          </w:tcPr>
          <w:p w14:paraId="69BEDEA5"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5.478 €</w:t>
            </w:r>
          </w:p>
        </w:tc>
      </w:tr>
      <w:tr w:rsidR="005B4627" w14:paraId="22A080BC"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2874FBD"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Hortaleza</w:t>
            </w:r>
          </w:p>
        </w:tc>
        <w:tc>
          <w:tcPr>
            <w:tcW w:w="3260" w:type="dxa"/>
            <w:vAlign w:val="bottom"/>
          </w:tcPr>
          <w:p w14:paraId="3C0ACAAB"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Canillas</w:t>
            </w:r>
          </w:p>
        </w:tc>
        <w:tc>
          <w:tcPr>
            <w:tcW w:w="1701" w:type="dxa"/>
            <w:vAlign w:val="bottom"/>
          </w:tcPr>
          <w:p w14:paraId="050DE721"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2,3%</w:t>
            </w:r>
          </w:p>
        </w:tc>
        <w:tc>
          <w:tcPr>
            <w:tcW w:w="1533" w:type="dxa"/>
            <w:vAlign w:val="bottom"/>
          </w:tcPr>
          <w:p w14:paraId="01688AC6"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3.608 €</w:t>
            </w:r>
          </w:p>
        </w:tc>
      </w:tr>
      <w:tr w:rsidR="005B4627" w14:paraId="59C6E79D"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277659F"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Tetuán</w:t>
            </w:r>
          </w:p>
        </w:tc>
        <w:tc>
          <w:tcPr>
            <w:tcW w:w="3260" w:type="dxa"/>
            <w:vAlign w:val="bottom"/>
          </w:tcPr>
          <w:p w14:paraId="39824204"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Bellas Vistas</w:t>
            </w:r>
          </w:p>
        </w:tc>
        <w:tc>
          <w:tcPr>
            <w:tcW w:w="1701" w:type="dxa"/>
            <w:vAlign w:val="bottom"/>
          </w:tcPr>
          <w:p w14:paraId="552B6CF5"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1,9%</w:t>
            </w:r>
          </w:p>
        </w:tc>
        <w:tc>
          <w:tcPr>
            <w:tcW w:w="1533" w:type="dxa"/>
            <w:vAlign w:val="bottom"/>
          </w:tcPr>
          <w:p w14:paraId="7DFFCF76"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3.529 €</w:t>
            </w:r>
          </w:p>
        </w:tc>
      </w:tr>
      <w:tr w:rsidR="005B4627" w14:paraId="36ECA61D"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EB054B7"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Villaverde</w:t>
            </w:r>
          </w:p>
        </w:tc>
        <w:tc>
          <w:tcPr>
            <w:tcW w:w="3260" w:type="dxa"/>
            <w:vAlign w:val="bottom"/>
          </w:tcPr>
          <w:p w14:paraId="0DAED2CA"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 Cristóbal de Villaverde</w:t>
            </w:r>
          </w:p>
        </w:tc>
        <w:tc>
          <w:tcPr>
            <w:tcW w:w="1701" w:type="dxa"/>
            <w:vAlign w:val="bottom"/>
          </w:tcPr>
          <w:p w14:paraId="06D94EDA"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1,8%</w:t>
            </w:r>
          </w:p>
        </w:tc>
        <w:tc>
          <w:tcPr>
            <w:tcW w:w="1533" w:type="dxa"/>
            <w:vAlign w:val="bottom"/>
          </w:tcPr>
          <w:p w14:paraId="59B2AEE6"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1.462 €</w:t>
            </w:r>
          </w:p>
        </w:tc>
      </w:tr>
      <w:tr w:rsidR="005B4627" w14:paraId="0930A127"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FAD8A57"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lastRenderedPageBreak/>
              <w:t>Barrio de Salamanca</w:t>
            </w:r>
          </w:p>
        </w:tc>
        <w:tc>
          <w:tcPr>
            <w:tcW w:w="3260" w:type="dxa"/>
            <w:vAlign w:val="bottom"/>
          </w:tcPr>
          <w:p w14:paraId="2FA10359"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Guindalera</w:t>
            </w:r>
          </w:p>
        </w:tc>
        <w:tc>
          <w:tcPr>
            <w:tcW w:w="1701" w:type="dxa"/>
            <w:vAlign w:val="bottom"/>
          </w:tcPr>
          <w:p w14:paraId="4F0A3BB5"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w:t>
            </w:r>
          </w:p>
        </w:tc>
        <w:tc>
          <w:tcPr>
            <w:tcW w:w="1533" w:type="dxa"/>
            <w:vAlign w:val="bottom"/>
          </w:tcPr>
          <w:p w14:paraId="56A16871"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4.238 €</w:t>
            </w:r>
          </w:p>
        </w:tc>
      </w:tr>
      <w:tr w:rsidR="005B4627" w14:paraId="47631EA7"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9A31070"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San Blas</w:t>
            </w:r>
          </w:p>
        </w:tc>
        <w:tc>
          <w:tcPr>
            <w:tcW w:w="3260" w:type="dxa"/>
            <w:vAlign w:val="bottom"/>
          </w:tcPr>
          <w:p w14:paraId="6FBA6629"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Rejas</w:t>
            </w:r>
          </w:p>
        </w:tc>
        <w:tc>
          <w:tcPr>
            <w:tcW w:w="1701" w:type="dxa"/>
            <w:vAlign w:val="bottom"/>
          </w:tcPr>
          <w:p w14:paraId="5CEE2C0D"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w:t>
            </w:r>
          </w:p>
        </w:tc>
        <w:tc>
          <w:tcPr>
            <w:tcW w:w="1533" w:type="dxa"/>
            <w:vAlign w:val="bottom"/>
          </w:tcPr>
          <w:p w14:paraId="381CE3FC"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3.205 €</w:t>
            </w:r>
          </w:p>
        </w:tc>
      </w:tr>
      <w:tr w:rsidR="005B4627" w14:paraId="741256D6"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09BB9EB"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Chamartín</w:t>
            </w:r>
          </w:p>
        </w:tc>
        <w:tc>
          <w:tcPr>
            <w:tcW w:w="3260" w:type="dxa"/>
            <w:vAlign w:val="bottom"/>
          </w:tcPr>
          <w:p w14:paraId="313850A0"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Prosperidad</w:t>
            </w:r>
          </w:p>
        </w:tc>
        <w:tc>
          <w:tcPr>
            <w:tcW w:w="1701" w:type="dxa"/>
            <w:vAlign w:val="bottom"/>
          </w:tcPr>
          <w:p w14:paraId="5879E550"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w:t>
            </w:r>
          </w:p>
        </w:tc>
        <w:tc>
          <w:tcPr>
            <w:tcW w:w="1533" w:type="dxa"/>
            <w:vAlign w:val="bottom"/>
          </w:tcPr>
          <w:p w14:paraId="575F0A13"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4.682 €</w:t>
            </w:r>
          </w:p>
        </w:tc>
      </w:tr>
      <w:tr w:rsidR="005B4627" w14:paraId="7FC25AF4"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E9A4B12"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Tetuán</w:t>
            </w:r>
          </w:p>
        </w:tc>
        <w:tc>
          <w:tcPr>
            <w:tcW w:w="3260" w:type="dxa"/>
            <w:vAlign w:val="bottom"/>
          </w:tcPr>
          <w:p w14:paraId="003EF125"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Castillejos - Cuzco</w:t>
            </w:r>
          </w:p>
        </w:tc>
        <w:tc>
          <w:tcPr>
            <w:tcW w:w="1701" w:type="dxa"/>
            <w:vAlign w:val="bottom"/>
          </w:tcPr>
          <w:p w14:paraId="09B5D8CF"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w:t>
            </w:r>
          </w:p>
        </w:tc>
        <w:tc>
          <w:tcPr>
            <w:tcW w:w="1533" w:type="dxa"/>
            <w:vAlign w:val="bottom"/>
          </w:tcPr>
          <w:p w14:paraId="204B31CD"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4.627 €</w:t>
            </w:r>
          </w:p>
        </w:tc>
      </w:tr>
      <w:tr w:rsidR="005B4627" w14:paraId="103B946F"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E283D42"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Latina</w:t>
            </w:r>
          </w:p>
        </w:tc>
        <w:tc>
          <w:tcPr>
            <w:tcW w:w="3260" w:type="dxa"/>
            <w:vAlign w:val="bottom"/>
          </w:tcPr>
          <w:p w14:paraId="48C303E3"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Puerta del Ángel</w:t>
            </w:r>
          </w:p>
        </w:tc>
        <w:tc>
          <w:tcPr>
            <w:tcW w:w="1701" w:type="dxa"/>
            <w:vAlign w:val="bottom"/>
          </w:tcPr>
          <w:p w14:paraId="7C78FF6A"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w:t>
            </w:r>
          </w:p>
        </w:tc>
        <w:tc>
          <w:tcPr>
            <w:tcW w:w="1533" w:type="dxa"/>
            <w:vAlign w:val="bottom"/>
          </w:tcPr>
          <w:p w14:paraId="48EB918C"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2.788 €</w:t>
            </w:r>
          </w:p>
        </w:tc>
      </w:tr>
      <w:tr w:rsidR="005B4627" w14:paraId="663F9212"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8BA215E"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Centro</w:t>
            </w:r>
          </w:p>
        </w:tc>
        <w:tc>
          <w:tcPr>
            <w:tcW w:w="3260" w:type="dxa"/>
            <w:vAlign w:val="bottom"/>
          </w:tcPr>
          <w:p w14:paraId="779EF214"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Embajadores - Lavapiés</w:t>
            </w:r>
          </w:p>
        </w:tc>
        <w:tc>
          <w:tcPr>
            <w:tcW w:w="1701" w:type="dxa"/>
            <w:vAlign w:val="bottom"/>
          </w:tcPr>
          <w:p w14:paraId="27B9EECA"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w:t>
            </w:r>
          </w:p>
        </w:tc>
        <w:tc>
          <w:tcPr>
            <w:tcW w:w="1533" w:type="dxa"/>
            <w:vAlign w:val="bottom"/>
          </w:tcPr>
          <w:p w14:paraId="230A893C"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4.398 €</w:t>
            </w:r>
          </w:p>
        </w:tc>
      </w:tr>
      <w:tr w:rsidR="005B4627" w14:paraId="36BED240"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FD39D1F"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Arganzuela</w:t>
            </w:r>
          </w:p>
        </w:tc>
        <w:tc>
          <w:tcPr>
            <w:tcW w:w="3260" w:type="dxa"/>
            <w:vAlign w:val="bottom"/>
          </w:tcPr>
          <w:p w14:paraId="643F8D45"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Acacias</w:t>
            </w:r>
          </w:p>
        </w:tc>
        <w:tc>
          <w:tcPr>
            <w:tcW w:w="1701" w:type="dxa"/>
            <w:vAlign w:val="bottom"/>
          </w:tcPr>
          <w:p w14:paraId="751B7631"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0,9%</w:t>
            </w:r>
          </w:p>
        </w:tc>
        <w:tc>
          <w:tcPr>
            <w:tcW w:w="1533" w:type="dxa"/>
            <w:vAlign w:val="bottom"/>
          </w:tcPr>
          <w:p w14:paraId="399225BF"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4.280 €</w:t>
            </w:r>
          </w:p>
        </w:tc>
      </w:tr>
      <w:tr w:rsidR="005B4627" w14:paraId="2DB5C2A4"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194AE20"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3260" w:type="dxa"/>
            <w:vAlign w:val="bottom"/>
          </w:tcPr>
          <w:p w14:paraId="4FE8E966"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Recoletos</w:t>
            </w:r>
          </w:p>
        </w:tc>
        <w:tc>
          <w:tcPr>
            <w:tcW w:w="1701" w:type="dxa"/>
            <w:vAlign w:val="bottom"/>
          </w:tcPr>
          <w:p w14:paraId="354EDDD9"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0,8%</w:t>
            </w:r>
          </w:p>
        </w:tc>
        <w:tc>
          <w:tcPr>
            <w:tcW w:w="1533" w:type="dxa"/>
            <w:vAlign w:val="bottom"/>
          </w:tcPr>
          <w:p w14:paraId="2DA1A7F9"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8.749 €</w:t>
            </w:r>
          </w:p>
        </w:tc>
      </w:tr>
      <w:tr w:rsidR="005B4627" w14:paraId="118728D0"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0F8D67C"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3260" w:type="dxa"/>
            <w:vAlign w:val="bottom"/>
          </w:tcPr>
          <w:p w14:paraId="554922C5"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Fuente del Berro</w:t>
            </w:r>
          </w:p>
        </w:tc>
        <w:tc>
          <w:tcPr>
            <w:tcW w:w="1701" w:type="dxa"/>
            <w:vAlign w:val="bottom"/>
          </w:tcPr>
          <w:p w14:paraId="71C7C398"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0,6%</w:t>
            </w:r>
          </w:p>
        </w:tc>
        <w:tc>
          <w:tcPr>
            <w:tcW w:w="1533" w:type="dxa"/>
            <w:vAlign w:val="bottom"/>
          </w:tcPr>
          <w:p w14:paraId="17A78ADE"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4.618 €</w:t>
            </w:r>
          </w:p>
        </w:tc>
      </w:tr>
      <w:tr w:rsidR="005B4627" w14:paraId="1EA9DE4B"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93575F4"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Villaverde</w:t>
            </w:r>
          </w:p>
        </w:tc>
        <w:tc>
          <w:tcPr>
            <w:tcW w:w="3260" w:type="dxa"/>
            <w:vAlign w:val="bottom"/>
          </w:tcPr>
          <w:p w14:paraId="62FAC291"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Los Ángeles</w:t>
            </w:r>
          </w:p>
        </w:tc>
        <w:tc>
          <w:tcPr>
            <w:tcW w:w="1701" w:type="dxa"/>
            <w:vAlign w:val="bottom"/>
          </w:tcPr>
          <w:p w14:paraId="490725F8"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0,5%</w:t>
            </w:r>
          </w:p>
        </w:tc>
        <w:tc>
          <w:tcPr>
            <w:tcW w:w="1533" w:type="dxa"/>
            <w:vAlign w:val="bottom"/>
          </w:tcPr>
          <w:p w14:paraId="32486726"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1.876 €</w:t>
            </w:r>
          </w:p>
        </w:tc>
      </w:tr>
      <w:tr w:rsidR="005B4627" w14:paraId="3129872B"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5C1B3A4"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Centro</w:t>
            </w:r>
          </w:p>
        </w:tc>
        <w:tc>
          <w:tcPr>
            <w:tcW w:w="3260" w:type="dxa"/>
            <w:vAlign w:val="bottom"/>
          </w:tcPr>
          <w:p w14:paraId="231596F6"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Cortes - Huertas</w:t>
            </w:r>
          </w:p>
        </w:tc>
        <w:tc>
          <w:tcPr>
            <w:tcW w:w="1701" w:type="dxa"/>
            <w:vAlign w:val="bottom"/>
          </w:tcPr>
          <w:p w14:paraId="0E4D22ED"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0,3%</w:t>
            </w:r>
          </w:p>
        </w:tc>
        <w:tc>
          <w:tcPr>
            <w:tcW w:w="1533" w:type="dxa"/>
            <w:vAlign w:val="bottom"/>
          </w:tcPr>
          <w:p w14:paraId="4041A37B"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5.632 €</w:t>
            </w:r>
          </w:p>
        </w:tc>
      </w:tr>
      <w:tr w:rsidR="005B4627" w14:paraId="66401497"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1333C2A"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Centro</w:t>
            </w:r>
          </w:p>
        </w:tc>
        <w:tc>
          <w:tcPr>
            <w:tcW w:w="3260" w:type="dxa"/>
            <w:vAlign w:val="bottom"/>
          </w:tcPr>
          <w:p w14:paraId="4597CBEF"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Sol</w:t>
            </w:r>
          </w:p>
        </w:tc>
        <w:tc>
          <w:tcPr>
            <w:tcW w:w="1701" w:type="dxa"/>
            <w:vAlign w:val="bottom"/>
          </w:tcPr>
          <w:p w14:paraId="6B775DE6"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0,3%</w:t>
            </w:r>
          </w:p>
        </w:tc>
        <w:tc>
          <w:tcPr>
            <w:tcW w:w="1533" w:type="dxa"/>
            <w:vAlign w:val="bottom"/>
          </w:tcPr>
          <w:p w14:paraId="5D5A24BB"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5.468 €</w:t>
            </w:r>
          </w:p>
        </w:tc>
      </w:tr>
      <w:tr w:rsidR="005B4627" w14:paraId="53208454"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362CBF5"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Fuencarral</w:t>
            </w:r>
          </w:p>
        </w:tc>
        <w:tc>
          <w:tcPr>
            <w:tcW w:w="3260" w:type="dxa"/>
            <w:vAlign w:val="bottom"/>
          </w:tcPr>
          <w:p w14:paraId="40374D72"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Tablas</w:t>
            </w:r>
          </w:p>
        </w:tc>
        <w:tc>
          <w:tcPr>
            <w:tcW w:w="1701" w:type="dxa"/>
            <w:vAlign w:val="bottom"/>
          </w:tcPr>
          <w:p w14:paraId="24A2E748"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0,1%</w:t>
            </w:r>
          </w:p>
        </w:tc>
        <w:tc>
          <w:tcPr>
            <w:tcW w:w="1533" w:type="dxa"/>
            <w:vAlign w:val="bottom"/>
          </w:tcPr>
          <w:p w14:paraId="188F78F8"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4.382 €</w:t>
            </w:r>
          </w:p>
        </w:tc>
      </w:tr>
      <w:tr w:rsidR="005B4627" w14:paraId="5AB0619B"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1817A3C"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Centro</w:t>
            </w:r>
          </w:p>
        </w:tc>
        <w:tc>
          <w:tcPr>
            <w:tcW w:w="3260" w:type="dxa"/>
            <w:vAlign w:val="bottom"/>
          </w:tcPr>
          <w:p w14:paraId="7F3B22F7"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Justicia - Chueca</w:t>
            </w:r>
          </w:p>
        </w:tc>
        <w:tc>
          <w:tcPr>
            <w:tcW w:w="1701" w:type="dxa"/>
            <w:vAlign w:val="bottom"/>
          </w:tcPr>
          <w:p w14:paraId="1AB94F66"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1533" w:type="dxa"/>
            <w:vAlign w:val="bottom"/>
          </w:tcPr>
          <w:p w14:paraId="5227C4A9"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6.040 €</w:t>
            </w:r>
          </w:p>
        </w:tc>
      </w:tr>
      <w:tr w:rsidR="005B4627" w14:paraId="16D55816"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B9D6BD3"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3260" w:type="dxa"/>
            <w:vAlign w:val="bottom"/>
          </w:tcPr>
          <w:p w14:paraId="213E4270"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Numancia</w:t>
            </w:r>
          </w:p>
        </w:tc>
        <w:tc>
          <w:tcPr>
            <w:tcW w:w="1701" w:type="dxa"/>
            <w:vAlign w:val="bottom"/>
          </w:tcPr>
          <w:p w14:paraId="6C8792C9"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533" w:type="dxa"/>
            <w:vAlign w:val="bottom"/>
          </w:tcPr>
          <w:p w14:paraId="28170987"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2.152 €</w:t>
            </w:r>
          </w:p>
        </w:tc>
      </w:tr>
      <w:tr w:rsidR="005B4627" w14:paraId="5EE7DD7A"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1A107E1"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Hortaleza</w:t>
            </w:r>
          </w:p>
        </w:tc>
        <w:tc>
          <w:tcPr>
            <w:tcW w:w="3260" w:type="dxa"/>
            <w:vAlign w:val="bottom"/>
          </w:tcPr>
          <w:p w14:paraId="69B80BF1"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Sanchinarro</w:t>
            </w:r>
          </w:p>
        </w:tc>
        <w:tc>
          <w:tcPr>
            <w:tcW w:w="1701" w:type="dxa"/>
            <w:vAlign w:val="bottom"/>
          </w:tcPr>
          <w:p w14:paraId="54AF0826"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533" w:type="dxa"/>
            <w:vAlign w:val="bottom"/>
          </w:tcPr>
          <w:p w14:paraId="59D86D59"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4.322 €</w:t>
            </w:r>
          </w:p>
        </w:tc>
      </w:tr>
      <w:tr w:rsidR="005B4627" w14:paraId="7FFE3D8D"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0286B9D"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San Blas</w:t>
            </w:r>
          </w:p>
        </w:tc>
        <w:tc>
          <w:tcPr>
            <w:tcW w:w="3260" w:type="dxa"/>
            <w:vAlign w:val="bottom"/>
          </w:tcPr>
          <w:p w14:paraId="29B514CB"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Canillejas</w:t>
            </w:r>
          </w:p>
        </w:tc>
        <w:tc>
          <w:tcPr>
            <w:tcW w:w="1701" w:type="dxa"/>
            <w:vAlign w:val="bottom"/>
          </w:tcPr>
          <w:p w14:paraId="22EB706A"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1533" w:type="dxa"/>
            <w:vAlign w:val="bottom"/>
          </w:tcPr>
          <w:p w14:paraId="3D444B01"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2.744 €</w:t>
            </w:r>
          </w:p>
        </w:tc>
      </w:tr>
      <w:tr w:rsidR="005B4627" w14:paraId="02B4E835"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78C4268"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Chamberí</w:t>
            </w:r>
          </w:p>
        </w:tc>
        <w:tc>
          <w:tcPr>
            <w:tcW w:w="3260" w:type="dxa"/>
            <w:vAlign w:val="bottom"/>
          </w:tcPr>
          <w:p w14:paraId="3ADC771C"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Vallehermoso</w:t>
            </w:r>
          </w:p>
        </w:tc>
        <w:tc>
          <w:tcPr>
            <w:tcW w:w="1701" w:type="dxa"/>
            <w:vAlign w:val="bottom"/>
          </w:tcPr>
          <w:p w14:paraId="36D23328"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1533" w:type="dxa"/>
            <w:vAlign w:val="bottom"/>
          </w:tcPr>
          <w:p w14:paraId="39015209"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5.486 €</w:t>
            </w:r>
          </w:p>
        </w:tc>
      </w:tr>
      <w:tr w:rsidR="005B4627" w14:paraId="3317535B"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13CF0EC"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Chamberí</w:t>
            </w:r>
          </w:p>
        </w:tc>
        <w:tc>
          <w:tcPr>
            <w:tcW w:w="3260" w:type="dxa"/>
            <w:vAlign w:val="bottom"/>
          </w:tcPr>
          <w:p w14:paraId="49F38C5E"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Trafalgar</w:t>
            </w:r>
          </w:p>
        </w:tc>
        <w:tc>
          <w:tcPr>
            <w:tcW w:w="1701" w:type="dxa"/>
            <w:vAlign w:val="bottom"/>
          </w:tcPr>
          <w:p w14:paraId="1F5CBBA8"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1533" w:type="dxa"/>
            <w:vAlign w:val="bottom"/>
          </w:tcPr>
          <w:p w14:paraId="4397D6C6"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5.514 €</w:t>
            </w:r>
          </w:p>
        </w:tc>
      </w:tr>
      <w:tr w:rsidR="005B4627" w14:paraId="27A6BAED"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0E59357"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Centro</w:t>
            </w:r>
          </w:p>
        </w:tc>
        <w:tc>
          <w:tcPr>
            <w:tcW w:w="3260" w:type="dxa"/>
            <w:vAlign w:val="bottom"/>
          </w:tcPr>
          <w:p w14:paraId="22523CCF"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Palacio</w:t>
            </w:r>
          </w:p>
        </w:tc>
        <w:tc>
          <w:tcPr>
            <w:tcW w:w="1701" w:type="dxa"/>
            <w:vAlign w:val="bottom"/>
          </w:tcPr>
          <w:p w14:paraId="47F3A0A0"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1533" w:type="dxa"/>
            <w:vAlign w:val="bottom"/>
          </w:tcPr>
          <w:p w14:paraId="6865E247"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5.039 €</w:t>
            </w:r>
          </w:p>
        </w:tc>
      </w:tr>
      <w:tr w:rsidR="005B4627" w14:paraId="503266EA"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25DD69C"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Arganzuela</w:t>
            </w:r>
          </w:p>
        </w:tc>
        <w:tc>
          <w:tcPr>
            <w:tcW w:w="3260" w:type="dxa"/>
            <w:vAlign w:val="bottom"/>
          </w:tcPr>
          <w:p w14:paraId="24FF0793"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Delicias</w:t>
            </w:r>
          </w:p>
        </w:tc>
        <w:tc>
          <w:tcPr>
            <w:tcW w:w="1701" w:type="dxa"/>
            <w:vAlign w:val="bottom"/>
          </w:tcPr>
          <w:p w14:paraId="66D25144"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c>
          <w:tcPr>
            <w:tcW w:w="1533" w:type="dxa"/>
            <w:vAlign w:val="bottom"/>
          </w:tcPr>
          <w:p w14:paraId="2D8486C1"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3.896 €</w:t>
            </w:r>
          </w:p>
        </w:tc>
      </w:tr>
      <w:tr w:rsidR="005B4627" w14:paraId="378F042D"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8A2FFD1"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San Blas</w:t>
            </w:r>
          </w:p>
        </w:tc>
        <w:tc>
          <w:tcPr>
            <w:tcW w:w="3260" w:type="dxa"/>
            <w:vAlign w:val="bottom"/>
          </w:tcPr>
          <w:p w14:paraId="603CC27A"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Simancas</w:t>
            </w:r>
          </w:p>
        </w:tc>
        <w:tc>
          <w:tcPr>
            <w:tcW w:w="1701" w:type="dxa"/>
            <w:vAlign w:val="bottom"/>
          </w:tcPr>
          <w:p w14:paraId="15FD9C16"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-2,2%</w:t>
            </w:r>
          </w:p>
        </w:tc>
        <w:tc>
          <w:tcPr>
            <w:tcW w:w="1533" w:type="dxa"/>
            <w:vAlign w:val="bottom"/>
          </w:tcPr>
          <w:p w14:paraId="3D59C2B2"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2.946 €</w:t>
            </w:r>
          </w:p>
        </w:tc>
      </w:tr>
      <w:tr w:rsidR="005B4627" w14:paraId="455EF6D9"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4A00034"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Retiro</w:t>
            </w:r>
          </w:p>
        </w:tc>
        <w:tc>
          <w:tcPr>
            <w:tcW w:w="3260" w:type="dxa"/>
            <w:vAlign w:val="bottom"/>
          </w:tcPr>
          <w:p w14:paraId="093473CE"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Ibiza de Madrid</w:t>
            </w:r>
          </w:p>
        </w:tc>
        <w:tc>
          <w:tcPr>
            <w:tcW w:w="1701" w:type="dxa"/>
            <w:vAlign w:val="bottom"/>
          </w:tcPr>
          <w:p w14:paraId="3C4B600E"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-2,5%</w:t>
            </w:r>
          </w:p>
        </w:tc>
        <w:tc>
          <w:tcPr>
            <w:tcW w:w="1533" w:type="dxa"/>
            <w:vAlign w:val="bottom"/>
          </w:tcPr>
          <w:p w14:paraId="32B0D819"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5.620 €</w:t>
            </w:r>
          </w:p>
        </w:tc>
      </w:tr>
      <w:tr w:rsidR="005B4627" w14:paraId="6830FC1F"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730AC69"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Carabanchel</w:t>
            </w:r>
          </w:p>
        </w:tc>
        <w:tc>
          <w:tcPr>
            <w:tcW w:w="3260" w:type="dxa"/>
            <w:vAlign w:val="bottom"/>
          </w:tcPr>
          <w:p w14:paraId="51532038"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Vista Alegre</w:t>
            </w:r>
          </w:p>
        </w:tc>
        <w:tc>
          <w:tcPr>
            <w:tcW w:w="1701" w:type="dxa"/>
            <w:vAlign w:val="bottom"/>
          </w:tcPr>
          <w:p w14:paraId="7D07E9A5"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-2,7%</w:t>
            </w:r>
          </w:p>
        </w:tc>
        <w:tc>
          <w:tcPr>
            <w:tcW w:w="1533" w:type="dxa"/>
            <w:vAlign w:val="bottom"/>
          </w:tcPr>
          <w:p w14:paraId="339B4EF6"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2.215 €</w:t>
            </w:r>
          </w:p>
        </w:tc>
      </w:tr>
      <w:tr w:rsidR="005B4627" w14:paraId="4C6A8467"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A45196A"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Carabanchel</w:t>
            </w:r>
          </w:p>
        </w:tc>
        <w:tc>
          <w:tcPr>
            <w:tcW w:w="3260" w:type="dxa"/>
            <w:vAlign w:val="bottom"/>
          </w:tcPr>
          <w:p w14:paraId="07ECBD6B"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Puerta bonita</w:t>
            </w:r>
          </w:p>
        </w:tc>
        <w:tc>
          <w:tcPr>
            <w:tcW w:w="1701" w:type="dxa"/>
            <w:vAlign w:val="bottom"/>
          </w:tcPr>
          <w:p w14:paraId="202B7768"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-3,1%</w:t>
            </w:r>
          </w:p>
        </w:tc>
        <w:tc>
          <w:tcPr>
            <w:tcW w:w="1533" w:type="dxa"/>
            <w:vAlign w:val="bottom"/>
          </w:tcPr>
          <w:p w14:paraId="3E9099D6"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2.069 €</w:t>
            </w:r>
          </w:p>
        </w:tc>
      </w:tr>
      <w:tr w:rsidR="005B4627" w14:paraId="7907BF2C"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D663F35"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Carabanchel</w:t>
            </w:r>
          </w:p>
        </w:tc>
        <w:tc>
          <w:tcPr>
            <w:tcW w:w="3260" w:type="dxa"/>
            <w:vAlign w:val="bottom"/>
          </w:tcPr>
          <w:p w14:paraId="46939B49"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Buenavista</w:t>
            </w:r>
          </w:p>
        </w:tc>
        <w:tc>
          <w:tcPr>
            <w:tcW w:w="1701" w:type="dxa"/>
            <w:vAlign w:val="bottom"/>
          </w:tcPr>
          <w:p w14:paraId="27B920DA"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-3,2%</w:t>
            </w:r>
          </w:p>
        </w:tc>
        <w:tc>
          <w:tcPr>
            <w:tcW w:w="1533" w:type="dxa"/>
            <w:vAlign w:val="bottom"/>
          </w:tcPr>
          <w:p w14:paraId="042E232A"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2.134 €</w:t>
            </w:r>
          </w:p>
        </w:tc>
      </w:tr>
      <w:tr w:rsidR="005B4627" w14:paraId="77123256"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93DEEAD"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Chamberí</w:t>
            </w:r>
          </w:p>
        </w:tc>
        <w:tc>
          <w:tcPr>
            <w:tcW w:w="3260" w:type="dxa"/>
            <w:vAlign w:val="bottom"/>
          </w:tcPr>
          <w:p w14:paraId="17FA27B6"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Gaztambide</w:t>
            </w:r>
          </w:p>
        </w:tc>
        <w:tc>
          <w:tcPr>
            <w:tcW w:w="1701" w:type="dxa"/>
            <w:vAlign w:val="bottom"/>
          </w:tcPr>
          <w:p w14:paraId="72D221D1"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-4,4%</w:t>
            </w:r>
          </w:p>
        </w:tc>
        <w:tc>
          <w:tcPr>
            <w:tcW w:w="1533" w:type="dxa"/>
            <w:vAlign w:val="bottom"/>
          </w:tcPr>
          <w:p w14:paraId="026851AE"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4.692 €</w:t>
            </w:r>
          </w:p>
        </w:tc>
      </w:tr>
      <w:tr w:rsidR="005B4627" w14:paraId="296AF013"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021FAF1"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Ciudad Lineal</w:t>
            </w:r>
          </w:p>
        </w:tc>
        <w:tc>
          <w:tcPr>
            <w:tcW w:w="3260" w:type="dxa"/>
            <w:vAlign w:val="bottom"/>
          </w:tcPr>
          <w:p w14:paraId="02A4B71D"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Ventas</w:t>
            </w:r>
          </w:p>
        </w:tc>
        <w:tc>
          <w:tcPr>
            <w:tcW w:w="1701" w:type="dxa"/>
            <w:vAlign w:val="bottom"/>
          </w:tcPr>
          <w:p w14:paraId="0411728F"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-4,5%</w:t>
            </w:r>
          </w:p>
        </w:tc>
        <w:tc>
          <w:tcPr>
            <w:tcW w:w="1533" w:type="dxa"/>
            <w:vAlign w:val="bottom"/>
          </w:tcPr>
          <w:p w14:paraId="2C649312"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2.674 €</w:t>
            </w:r>
          </w:p>
        </w:tc>
      </w:tr>
      <w:tr w:rsidR="005B4627" w14:paraId="133DC46B"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688CBA1"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Carabanchel</w:t>
            </w:r>
          </w:p>
        </w:tc>
        <w:tc>
          <w:tcPr>
            <w:tcW w:w="3260" w:type="dxa"/>
            <w:vAlign w:val="bottom"/>
          </w:tcPr>
          <w:p w14:paraId="48F89C98"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 Isidro</w:t>
            </w:r>
          </w:p>
        </w:tc>
        <w:tc>
          <w:tcPr>
            <w:tcW w:w="1701" w:type="dxa"/>
            <w:vAlign w:val="bottom"/>
          </w:tcPr>
          <w:p w14:paraId="049C3ECA"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-5,6%</w:t>
            </w:r>
          </w:p>
        </w:tc>
        <w:tc>
          <w:tcPr>
            <w:tcW w:w="1533" w:type="dxa"/>
            <w:vAlign w:val="bottom"/>
          </w:tcPr>
          <w:p w14:paraId="792172CB"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2.242 €</w:t>
            </w:r>
          </w:p>
        </w:tc>
      </w:tr>
      <w:tr w:rsidR="005B4627" w14:paraId="0E0B2A3C"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3A4FB49"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Retiro</w:t>
            </w:r>
          </w:p>
        </w:tc>
        <w:tc>
          <w:tcPr>
            <w:tcW w:w="3260" w:type="dxa"/>
            <w:vAlign w:val="bottom"/>
          </w:tcPr>
          <w:p w14:paraId="2B490520"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Jerónimos</w:t>
            </w:r>
          </w:p>
        </w:tc>
        <w:tc>
          <w:tcPr>
            <w:tcW w:w="1701" w:type="dxa"/>
            <w:vAlign w:val="bottom"/>
          </w:tcPr>
          <w:p w14:paraId="2B565BCB"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-6,4%</w:t>
            </w:r>
          </w:p>
        </w:tc>
        <w:tc>
          <w:tcPr>
            <w:tcW w:w="1533" w:type="dxa"/>
            <w:vAlign w:val="bottom"/>
          </w:tcPr>
          <w:p w14:paraId="2B0C32F2"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6.159 €</w:t>
            </w:r>
          </w:p>
        </w:tc>
      </w:tr>
      <w:tr w:rsidR="005B4627" w14:paraId="7F4A258A"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D5FFBBD"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Villaverde</w:t>
            </w:r>
          </w:p>
        </w:tc>
        <w:tc>
          <w:tcPr>
            <w:tcW w:w="3260" w:type="dxa"/>
            <w:vAlign w:val="bottom"/>
          </w:tcPr>
          <w:p w14:paraId="4649677D"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 Andrés de Villaverde</w:t>
            </w:r>
          </w:p>
        </w:tc>
        <w:tc>
          <w:tcPr>
            <w:tcW w:w="1701" w:type="dxa"/>
            <w:vAlign w:val="bottom"/>
          </w:tcPr>
          <w:p w14:paraId="0913FA7C"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-7,3%</w:t>
            </w:r>
          </w:p>
        </w:tc>
        <w:tc>
          <w:tcPr>
            <w:tcW w:w="1533" w:type="dxa"/>
            <w:vAlign w:val="bottom"/>
          </w:tcPr>
          <w:p w14:paraId="5E7D12E1"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1.747 €</w:t>
            </w:r>
          </w:p>
        </w:tc>
      </w:tr>
      <w:tr w:rsidR="005B4627" w14:paraId="143D3FC8"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A8F1D3C"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Carabanchel</w:t>
            </w:r>
          </w:p>
        </w:tc>
        <w:tc>
          <w:tcPr>
            <w:tcW w:w="3260" w:type="dxa"/>
            <w:vAlign w:val="bottom"/>
          </w:tcPr>
          <w:p w14:paraId="3F617B9C"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Opañel</w:t>
            </w:r>
          </w:p>
        </w:tc>
        <w:tc>
          <w:tcPr>
            <w:tcW w:w="1701" w:type="dxa"/>
            <w:vAlign w:val="bottom"/>
          </w:tcPr>
          <w:p w14:paraId="19CFF055"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-8,7%</w:t>
            </w:r>
          </w:p>
        </w:tc>
        <w:tc>
          <w:tcPr>
            <w:tcW w:w="1533" w:type="dxa"/>
            <w:vAlign w:val="bottom"/>
          </w:tcPr>
          <w:p w14:paraId="5943AC7E"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2.317 €</w:t>
            </w:r>
          </w:p>
        </w:tc>
      </w:tr>
      <w:tr w:rsidR="005B4627" w14:paraId="0C231A07"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CC4A59D"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Villaverde</w:t>
            </w:r>
          </w:p>
        </w:tc>
        <w:tc>
          <w:tcPr>
            <w:tcW w:w="3260" w:type="dxa"/>
            <w:vAlign w:val="bottom"/>
          </w:tcPr>
          <w:p w14:paraId="6F123639"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Los Rosales</w:t>
            </w:r>
          </w:p>
        </w:tc>
        <w:tc>
          <w:tcPr>
            <w:tcW w:w="1701" w:type="dxa"/>
            <w:vAlign w:val="bottom"/>
          </w:tcPr>
          <w:p w14:paraId="28B71FC5"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-9,6%</w:t>
            </w:r>
          </w:p>
        </w:tc>
        <w:tc>
          <w:tcPr>
            <w:tcW w:w="1533" w:type="dxa"/>
            <w:vAlign w:val="bottom"/>
          </w:tcPr>
          <w:p w14:paraId="144A942C"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1.791 €</w:t>
            </w:r>
          </w:p>
        </w:tc>
      </w:tr>
      <w:tr w:rsidR="005B4627" w14:paraId="31B2C70E"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9AA414E"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Vicálvaro</w:t>
            </w:r>
          </w:p>
        </w:tc>
        <w:tc>
          <w:tcPr>
            <w:tcW w:w="3260" w:type="dxa"/>
            <w:vAlign w:val="bottom"/>
          </w:tcPr>
          <w:p w14:paraId="5398211B"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Casco histórico de Vicálvaro</w:t>
            </w:r>
          </w:p>
        </w:tc>
        <w:tc>
          <w:tcPr>
            <w:tcW w:w="1701" w:type="dxa"/>
            <w:vAlign w:val="bottom"/>
          </w:tcPr>
          <w:p w14:paraId="0E3AE580"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-10,6%</w:t>
            </w:r>
          </w:p>
        </w:tc>
        <w:tc>
          <w:tcPr>
            <w:tcW w:w="1533" w:type="dxa"/>
            <w:vAlign w:val="bottom"/>
          </w:tcPr>
          <w:p w14:paraId="04830711"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2.270 €</w:t>
            </w:r>
          </w:p>
        </w:tc>
      </w:tr>
      <w:tr w:rsidR="005B4627" w14:paraId="3E09AA1A"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28B408C"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Moncloa</w:t>
            </w:r>
          </w:p>
        </w:tc>
        <w:tc>
          <w:tcPr>
            <w:tcW w:w="3260" w:type="dxa"/>
            <w:vAlign w:val="bottom"/>
          </w:tcPr>
          <w:p w14:paraId="23381A3F"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Valdezarza</w:t>
            </w:r>
          </w:p>
        </w:tc>
        <w:tc>
          <w:tcPr>
            <w:tcW w:w="1701" w:type="dxa"/>
            <w:vAlign w:val="bottom"/>
          </w:tcPr>
          <w:p w14:paraId="3A539F21"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-12,1%</w:t>
            </w:r>
          </w:p>
        </w:tc>
        <w:tc>
          <w:tcPr>
            <w:tcW w:w="1533" w:type="dxa"/>
            <w:vAlign w:val="bottom"/>
          </w:tcPr>
          <w:p w14:paraId="350C9054"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3.296 €</w:t>
            </w:r>
          </w:p>
        </w:tc>
      </w:tr>
      <w:tr w:rsidR="005B4627" w14:paraId="4FDC3E0A"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3CF7B25"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Ciudad Lineal</w:t>
            </w:r>
          </w:p>
        </w:tc>
        <w:tc>
          <w:tcPr>
            <w:tcW w:w="3260" w:type="dxa"/>
            <w:vAlign w:val="bottom"/>
          </w:tcPr>
          <w:p w14:paraId="19B3E9CC" w14:textId="77777777" w:rsidR="005B4627" w:rsidRDefault="007F28F2">
            <w:pPr>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Concepción</w:t>
            </w:r>
          </w:p>
        </w:tc>
        <w:tc>
          <w:tcPr>
            <w:tcW w:w="1701" w:type="dxa"/>
            <w:vAlign w:val="bottom"/>
          </w:tcPr>
          <w:p w14:paraId="261D0928"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w:t>
            </w:r>
          </w:p>
        </w:tc>
        <w:tc>
          <w:tcPr>
            <w:tcW w:w="1533" w:type="dxa"/>
            <w:vAlign w:val="bottom"/>
          </w:tcPr>
          <w:p w14:paraId="42F51966" w14:textId="77777777" w:rsidR="005B4627" w:rsidRDefault="007F28F2">
            <w:pPr>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3.536 €</w:t>
            </w:r>
          </w:p>
        </w:tc>
      </w:tr>
      <w:tr w:rsidR="005B4627" w14:paraId="58AF4E56"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F44D342" w14:textId="77777777" w:rsidR="005B4627" w:rsidRDefault="007F28F2">
            <w:pPr>
              <w:ind w:right="283"/>
              <w:rPr>
                <w:rFonts w:ascii="Open Sans" w:eastAsia="Open Sans" w:hAnsi="Open Sans" w:cs="Open Sans"/>
                <w:sz w:val="22"/>
                <w:szCs w:val="22"/>
              </w:rPr>
            </w:pPr>
            <w:r>
              <w:rPr>
                <w:rFonts w:ascii="Open Sans" w:eastAsia="Open Sans" w:hAnsi="Open Sans" w:cs="Open Sans"/>
                <w:b w:val="0"/>
                <w:sz w:val="22"/>
                <w:szCs w:val="22"/>
              </w:rPr>
              <w:t>San Blas</w:t>
            </w:r>
          </w:p>
        </w:tc>
        <w:tc>
          <w:tcPr>
            <w:tcW w:w="3260" w:type="dxa"/>
            <w:vAlign w:val="bottom"/>
          </w:tcPr>
          <w:p w14:paraId="1E696BB6" w14:textId="77777777" w:rsidR="005B4627" w:rsidRDefault="007F28F2">
            <w:pPr>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Arcos</w:t>
            </w:r>
          </w:p>
        </w:tc>
        <w:tc>
          <w:tcPr>
            <w:tcW w:w="1701" w:type="dxa"/>
            <w:vAlign w:val="bottom"/>
          </w:tcPr>
          <w:p w14:paraId="4D55EBB3"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w:t>
            </w:r>
          </w:p>
        </w:tc>
        <w:tc>
          <w:tcPr>
            <w:tcW w:w="1533" w:type="dxa"/>
            <w:vAlign w:val="bottom"/>
          </w:tcPr>
          <w:p w14:paraId="74400FE9" w14:textId="77777777" w:rsidR="005B4627" w:rsidRDefault="007F28F2">
            <w:pPr>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2.195 €</w:t>
            </w:r>
          </w:p>
        </w:tc>
      </w:tr>
    </w:tbl>
    <w:p w14:paraId="585D1A46" w14:textId="77777777" w:rsidR="005B4627" w:rsidRDefault="007F28F2">
      <w:pPr>
        <w:pBdr>
          <w:top w:val="nil"/>
          <w:left w:val="nil"/>
          <w:bottom w:val="nil"/>
          <w:right w:val="nil"/>
          <w:between w:val="nil"/>
        </w:pBdr>
        <w:shd w:val="clear" w:color="auto" w:fill="FFFFFF"/>
        <w:spacing w:before="280" w:after="280" w:line="276" w:lineRule="auto"/>
        <w:ind w:right="283"/>
        <w:rPr>
          <w:rFonts w:ascii="Open Sans" w:eastAsia="Open Sans" w:hAnsi="Open Sans" w:cs="Open Sans"/>
          <w:color w:val="000000"/>
          <w:sz w:val="20"/>
          <w:szCs w:val="20"/>
        </w:rPr>
      </w:pPr>
      <w:r>
        <w:rPr>
          <w:rFonts w:ascii="Open Sans Light" w:eastAsia="Open Sans Light" w:hAnsi="Open Sans Light" w:cs="Open Sans Light"/>
          <w:b/>
          <w:color w:val="303AB2"/>
        </w:rPr>
        <w:t>Tabla 7: Barrios de Barcelona de menor a mayor variación anual (dic.20– dic.21)</w:t>
      </w:r>
    </w:p>
    <w:tbl>
      <w:tblPr>
        <w:tblStyle w:val="a5"/>
        <w:tblW w:w="889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47"/>
        <w:gridCol w:w="3080"/>
        <w:gridCol w:w="1598"/>
        <w:gridCol w:w="1674"/>
      </w:tblGrid>
      <w:tr w:rsidR="005B4627" w14:paraId="3A1C0420" w14:textId="77777777" w:rsidTr="005B4627">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6C5D1E4"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lastRenderedPageBreak/>
              <w:t>Distrito</w:t>
            </w:r>
          </w:p>
        </w:tc>
        <w:tc>
          <w:tcPr>
            <w:tcW w:w="3080" w:type="dxa"/>
            <w:vAlign w:val="center"/>
          </w:tcPr>
          <w:p w14:paraId="6E11BEDD" w14:textId="77777777" w:rsidR="005B4627" w:rsidRDefault="007F28F2">
            <w:pPr>
              <w:spacing w:line="276" w:lineRule="auto"/>
              <w:ind w:right="283"/>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Barrio</w:t>
            </w:r>
          </w:p>
        </w:tc>
        <w:tc>
          <w:tcPr>
            <w:tcW w:w="1598" w:type="dxa"/>
          </w:tcPr>
          <w:p w14:paraId="39D4167A"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anual (%)</w:t>
            </w:r>
          </w:p>
        </w:tc>
        <w:tc>
          <w:tcPr>
            <w:tcW w:w="1674" w:type="dxa"/>
          </w:tcPr>
          <w:p w14:paraId="186F1945"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Dic. 2021</w:t>
            </w:r>
          </w:p>
          <w:p w14:paraId="79292276" w14:textId="77777777" w:rsidR="005B4627" w:rsidRDefault="007F28F2">
            <w:pPr>
              <w:spacing w:line="276" w:lineRule="auto"/>
              <w:ind w:right="283"/>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r>
      <w:tr w:rsidR="005B4627" w14:paraId="58792A36"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FD711D2"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Horta - Guinardó</w:t>
            </w:r>
          </w:p>
        </w:tc>
        <w:tc>
          <w:tcPr>
            <w:tcW w:w="3080" w:type="dxa"/>
            <w:vAlign w:val="bottom"/>
          </w:tcPr>
          <w:p w14:paraId="58D38918"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Teixonera</w:t>
            </w:r>
          </w:p>
        </w:tc>
        <w:tc>
          <w:tcPr>
            <w:tcW w:w="1598" w:type="dxa"/>
            <w:vAlign w:val="bottom"/>
          </w:tcPr>
          <w:p w14:paraId="463F357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-14,5%</w:t>
            </w:r>
          </w:p>
        </w:tc>
        <w:tc>
          <w:tcPr>
            <w:tcW w:w="1674" w:type="dxa"/>
            <w:vAlign w:val="bottom"/>
          </w:tcPr>
          <w:p w14:paraId="01F2BE3F"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2.949 €</w:t>
            </w:r>
          </w:p>
        </w:tc>
      </w:tr>
      <w:tr w:rsidR="005B4627" w14:paraId="0C92218B"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B5543B8"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3080" w:type="dxa"/>
            <w:vAlign w:val="bottom"/>
          </w:tcPr>
          <w:p w14:paraId="5113BC1D"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Sarrià</w:t>
            </w:r>
          </w:p>
        </w:tc>
        <w:tc>
          <w:tcPr>
            <w:tcW w:w="1598" w:type="dxa"/>
            <w:vAlign w:val="bottom"/>
          </w:tcPr>
          <w:p w14:paraId="7D248F4E"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-13,6%</w:t>
            </w:r>
          </w:p>
        </w:tc>
        <w:tc>
          <w:tcPr>
            <w:tcW w:w="1674" w:type="dxa"/>
            <w:vAlign w:val="bottom"/>
          </w:tcPr>
          <w:p w14:paraId="7E9A9D51"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6.380 €</w:t>
            </w:r>
          </w:p>
        </w:tc>
      </w:tr>
      <w:tr w:rsidR="005B4627" w14:paraId="3B65AB46"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D1D8160"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Martí</w:t>
            </w:r>
          </w:p>
        </w:tc>
        <w:tc>
          <w:tcPr>
            <w:tcW w:w="3080" w:type="dxa"/>
            <w:vAlign w:val="bottom"/>
          </w:tcPr>
          <w:p w14:paraId="4FF91C56"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Parc i la Llacuna del Poblenou</w:t>
            </w:r>
          </w:p>
        </w:tc>
        <w:tc>
          <w:tcPr>
            <w:tcW w:w="1598" w:type="dxa"/>
            <w:vAlign w:val="bottom"/>
          </w:tcPr>
          <w:p w14:paraId="22C0EEA1"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-10,1%</w:t>
            </w:r>
          </w:p>
        </w:tc>
        <w:tc>
          <w:tcPr>
            <w:tcW w:w="1674" w:type="dxa"/>
            <w:vAlign w:val="bottom"/>
          </w:tcPr>
          <w:p w14:paraId="5E8F52BB"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4.398 €</w:t>
            </w:r>
          </w:p>
        </w:tc>
      </w:tr>
      <w:tr w:rsidR="005B4627" w14:paraId="55B8C370"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6686004"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Martí</w:t>
            </w:r>
          </w:p>
        </w:tc>
        <w:tc>
          <w:tcPr>
            <w:tcW w:w="3080" w:type="dxa"/>
            <w:vAlign w:val="bottom"/>
          </w:tcPr>
          <w:p w14:paraId="2D384D26"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Besós i el Maresme</w:t>
            </w:r>
          </w:p>
        </w:tc>
        <w:tc>
          <w:tcPr>
            <w:tcW w:w="1598" w:type="dxa"/>
            <w:vAlign w:val="bottom"/>
          </w:tcPr>
          <w:p w14:paraId="63F4808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-9,0%</w:t>
            </w:r>
          </w:p>
        </w:tc>
        <w:tc>
          <w:tcPr>
            <w:tcW w:w="1674" w:type="dxa"/>
            <w:vAlign w:val="bottom"/>
          </w:tcPr>
          <w:p w14:paraId="35F366BA"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2.568 €</w:t>
            </w:r>
          </w:p>
        </w:tc>
      </w:tr>
      <w:tr w:rsidR="005B4627" w14:paraId="210FD353"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C2E7FAC"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Nou Barris</w:t>
            </w:r>
          </w:p>
        </w:tc>
        <w:tc>
          <w:tcPr>
            <w:tcW w:w="3080" w:type="dxa"/>
            <w:vAlign w:val="bottom"/>
          </w:tcPr>
          <w:p w14:paraId="0EE4B71D"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Trinitat Nova</w:t>
            </w:r>
          </w:p>
        </w:tc>
        <w:tc>
          <w:tcPr>
            <w:tcW w:w="1598" w:type="dxa"/>
            <w:vAlign w:val="bottom"/>
          </w:tcPr>
          <w:p w14:paraId="77518DE7"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-7,8%</w:t>
            </w:r>
          </w:p>
        </w:tc>
        <w:tc>
          <w:tcPr>
            <w:tcW w:w="1674" w:type="dxa"/>
            <w:vAlign w:val="bottom"/>
          </w:tcPr>
          <w:p w14:paraId="0EBDC3DE"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2.187 €</w:t>
            </w:r>
          </w:p>
        </w:tc>
      </w:tr>
      <w:tr w:rsidR="005B4627" w14:paraId="417F4248"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772AC90D"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Nou Barris</w:t>
            </w:r>
          </w:p>
        </w:tc>
        <w:tc>
          <w:tcPr>
            <w:tcW w:w="3080" w:type="dxa"/>
            <w:vAlign w:val="bottom"/>
          </w:tcPr>
          <w:p w14:paraId="3F6FF6E0"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Vilapicina i la Torre Llobeta</w:t>
            </w:r>
          </w:p>
        </w:tc>
        <w:tc>
          <w:tcPr>
            <w:tcW w:w="1598" w:type="dxa"/>
            <w:vAlign w:val="bottom"/>
          </w:tcPr>
          <w:p w14:paraId="455ED2A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-7,0%</w:t>
            </w:r>
          </w:p>
        </w:tc>
        <w:tc>
          <w:tcPr>
            <w:tcW w:w="1674" w:type="dxa"/>
            <w:vAlign w:val="bottom"/>
          </w:tcPr>
          <w:p w14:paraId="61C4445B"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2.993 €</w:t>
            </w:r>
          </w:p>
        </w:tc>
      </w:tr>
      <w:tr w:rsidR="005B4627" w14:paraId="2705C43B"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A1E9B39"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Sants - Montjuïc</w:t>
            </w:r>
          </w:p>
        </w:tc>
        <w:tc>
          <w:tcPr>
            <w:tcW w:w="3080" w:type="dxa"/>
            <w:vAlign w:val="bottom"/>
          </w:tcPr>
          <w:p w14:paraId="1335B619"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Marina del Port</w:t>
            </w:r>
          </w:p>
        </w:tc>
        <w:tc>
          <w:tcPr>
            <w:tcW w:w="1598" w:type="dxa"/>
            <w:vAlign w:val="bottom"/>
          </w:tcPr>
          <w:p w14:paraId="0E978F23"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-6,8%</w:t>
            </w:r>
          </w:p>
        </w:tc>
        <w:tc>
          <w:tcPr>
            <w:tcW w:w="1674" w:type="dxa"/>
            <w:vAlign w:val="bottom"/>
          </w:tcPr>
          <w:p w14:paraId="675AF21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2.785 €</w:t>
            </w:r>
          </w:p>
        </w:tc>
      </w:tr>
      <w:tr w:rsidR="005B4627" w14:paraId="6E515498"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345D28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Martí</w:t>
            </w:r>
          </w:p>
        </w:tc>
        <w:tc>
          <w:tcPr>
            <w:tcW w:w="3080" w:type="dxa"/>
            <w:vAlign w:val="bottom"/>
          </w:tcPr>
          <w:p w14:paraId="48AAE06F"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Verneda i la Pau</w:t>
            </w:r>
          </w:p>
        </w:tc>
        <w:tc>
          <w:tcPr>
            <w:tcW w:w="1598" w:type="dxa"/>
            <w:vAlign w:val="bottom"/>
          </w:tcPr>
          <w:p w14:paraId="5E70D62B"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-6,4%</w:t>
            </w:r>
          </w:p>
        </w:tc>
        <w:tc>
          <w:tcPr>
            <w:tcW w:w="1674" w:type="dxa"/>
            <w:vAlign w:val="bottom"/>
          </w:tcPr>
          <w:p w14:paraId="29D51347"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2.614 €</w:t>
            </w:r>
          </w:p>
        </w:tc>
      </w:tr>
      <w:tr w:rsidR="005B4627" w14:paraId="473D2901"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1274833"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Horta - Guinardó</w:t>
            </w:r>
          </w:p>
        </w:tc>
        <w:tc>
          <w:tcPr>
            <w:tcW w:w="3080" w:type="dxa"/>
            <w:vAlign w:val="bottom"/>
          </w:tcPr>
          <w:p w14:paraId="1B09A578"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Guinardó</w:t>
            </w:r>
          </w:p>
        </w:tc>
        <w:tc>
          <w:tcPr>
            <w:tcW w:w="1598" w:type="dxa"/>
            <w:vAlign w:val="bottom"/>
          </w:tcPr>
          <w:p w14:paraId="5C1DB75F"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-5,5%</w:t>
            </w:r>
          </w:p>
        </w:tc>
        <w:tc>
          <w:tcPr>
            <w:tcW w:w="1674" w:type="dxa"/>
            <w:vAlign w:val="bottom"/>
          </w:tcPr>
          <w:p w14:paraId="7B109BF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3.430 €</w:t>
            </w:r>
          </w:p>
        </w:tc>
      </w:tr>
      <w:tr w:rsidR="005B4627" w14:paraId="27CEEFF8"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05ADB04"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Ciutat Vella</w:t>
            </w:r>
          </w:p>
        </w:tc>
        <w:tc>
          <w:tcPr>
            <w:tcW w:w="3080" w:type="dxa"/>
            <w:vAlign w:val="bottom"/>
          </w:tcPr>
          <w:p w14:paraId="0890DF28"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Ciutat Vella</w:t>
            </w:r>
          </w:p>
        </w:tc>
        <w:tc>
          <w:tcPr>
            <w:tcW w:w="1598" w:type="dxa"/>
            <w:vAlign w:val="bottom"/>
          </w:tcPr>
          <w:p w14:paraId="38CDA593"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-5,5%</w:t>
            </w:r>
          </w:p>
        </w:tc>
        <w:tc>
          <w:tcPr>
            <w:tcW w:w="1674" w:type="dxa"/>
            <w:vAlign w:val="bottom"/>
          </w:tcPr>
          <w:p w14:paraId="4455BA0A"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6.631 €</w:t>
            </w:r>
          </w:p>
        </w:tc>
      </w:tr>
      <w:tr w:rsidR="005B4627" w14:paraId="6A0E7E69"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8D8CADE"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Les Corts</w:t>
            </w:r>
          </w:p>
        </w:tc>
        <w:tc>
          <w:tcPr>
            <w:tcW w:w="3080" w:type="dxa"/>
            <w:vAlign w:val="bottom"/>
          </w:tcPr>
          <w:p w14:paraId="3FEB9551"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Pedralbes</w:t>
            </w:r>
          </w:p>
        </w:tc>
        <w:tc>
          <w:tcPr>
            <w:tcW w:w="1598" w:type="dxa"/>
            <w:vAlign w:val="bottom"/>
          </w:tcPr>
          <w:p w14:paraId="4BCC2921"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-5,3%</w:t>
            </w:r>
          </w:p>
        </w:tc>
        <w:tc>
          <w:tcPr>
            <w:tcW w:w="1674" w:type="dxa"/>
            <w:vAlign w:val="bottom"/>
          </w:tcPr>
          <w:p w14:paraId="7252B59F"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6.092 €</w:t>
            </w:r>
          </w:p>
        </w:tc>
      </w:tr>
      <w:tr w:rsidR="005B4627" w14:paraId="26284593"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914607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Nou Barris</w:t>
            </w:r>
          </w:p>
        </w:tc>
        <w:tc>
          <w:tcPr>
            <w:tcW w:w="3080" w:type="dxa"/>
            <w:vAlign w:val="bottom"/>
          </w:tcPr>
          <w:p w14:paraId="2DC61C76"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Verdum</w:t>
            </w:r>
          </w:p>
        </w:tc>
        <w:tc>
          <w:tcPr>
            <w:tcW w:w="1598" w:type="dxa"/>
            <w:vAlign w:val="bottom"/>
          </w:tcPr>
          <w:p w14:paraId="243EA32D"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-4,6%</w:t>
            </w:r>
          </w:p>
        </w:tc>
        <w:tc>
          <w:tcPr>
            <w:tcW w:w="1674" w:type="dxa"/>
            <w:vAlign w:val="bottom"/>
          </w:tcPr>
          <w:p w14:paraId="1206B3B1"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2.417 €</w:t>
            </w:r>
          </w:p>
        </w:tc>
      </w:tr>
      <w:tr w:rsidR="005B4627" w14:paraId="564B3523"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7201DBAF"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Sants - Montjuïc</w:t>
            </w:r>
          </w:p>
        </w:tc>
        <w:tc>
          <w:tcPr>
            <w:tcW w:w="3080" w:type="dxa"/>
            <w:vAlign w:val="bottom"/>
          </w:tcPr>
          <w:p w14:paraId="4C55CD1F"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Poble Sec - Parc de Montjuïc</w:t>
            </w:r>
          </w:p>
        </w:tc>
        <w:tc>
          <w:tcPr>
            <w:tcW w:w="1598" w:type="dxa"/>
            <w:vAlign w:val="bottom"/>
          </w:tcPr>
          <w:p w14:paraId="12AB048B"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-4,3%</w:t>
            </w:r>
          </w:p>
        </w:tc>
        <w:tc>
          <w:tcPr>
            <w:tcW w:w="1674" w:type="dxa"/>
            <w:vAlign w:val="bottom"/>
          </w:tcPr>
          <w:p w14:paraId="45D9F9A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3.804 €</w:t>
            </w:r>
          </w:p>
        </w:tc>
      </w:tr>
      <w:tr w:rsidR="005B4627" w14:paraId="07B0AEC7"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E4265C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Sants - Montjuïc</w:t>
            </w:r>
          </w:p>
        </w:tc>
        <w:tc>
          <w:tcPr>
            <w:tcW w:w="3080" w:type="dxa"/>
            <w:vAlign w:val="bottom"/>
          </w:tcPr>
          <w:p w14:paraId="7446F92D"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Sants-Badal</w:t>
            </w:r>
          </w:p>
        </w:tc>
        <w:tc>
          <w:tcPr>
            <w:tcW w:w="1598" w:type="dxa"/>
            <w:vAlign w:val="bottom"/>
          </w:tcPr>
          <w:p w14:paraId="61D21F8B"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-4,0%</w:t>
            </w:r>
          </w:p>
        </w:tc>
        <w:tc>
          <w:tcPr>
            <w:tcW w:w="1674" w:type="dxa"/>
            <w:vAlign w:val="bottom"/>
          </w:tcPr>
          <w:p w14:paraId="5510FC6C"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3.530 €</w:t>
            </w:r>
          </w:p>
        </w:tc>
      </w:tr>
      <w:tr w:rsidR="005B4627" w14:paraId="503D9081"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02DBF38"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Sants - Montjuïc</w:t>
            </w:r>
          </w:p>
        </w:tc>
        <w:tc>
          <w:tcPr>
            <w:tcW w:w="3080" w:type="dxa"/>
            <w:vAlign w:val="bottom"/>
          </w:tcPr>
          <w:p w14:paraId="160D804B"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Sants</w:t>
            </w:r>
          </w:p>
        </w:tc>
        <w:tc>
          <w:tcPr>
            <w:tcW w:w="1598" w:type="dxa"/>
            <w:vAlign w:val="bottom"/>
          </w:tcPr>
          <w:p w14:paraId="1EFF728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-3,9%</w:t>
            </w:r>
          </w:p>
        </w:tc>
        <w:tc>
          <w:tcPr>
            <w:tcW w:w="1674" w:type="dxa"/>
            <w:vAlign w:val="bottom"/>
          </w:tcPr>
          <w:p w14:paraId="48D937C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3.805 €</w:t>
            </w:r>
          </w:p>
        </w:tc>
      </w:tr>
      <w:tr w:rsidR="005B4627" w14:paraId="3FA5B9BD"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4DD7C14"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Ciutat Vella</w:t>
            </w:r>
          </w:p>
        </w:tc>
        <w:tc>
          <w:tcPr>
            <w:tcW w:w="3080" w:type="dxa"/>
            <w:vAlign w:val="bottom"/>
          </w:tcPr>
          <w:p w14:paraId="1FEDF597"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Raval</w:t>
            </w:r>
          </w:p>
        </w:tc>
        <w:tc>
          <w:tcPr>
            <w:tcW w:w="1598" w:type="dxa"/>
            <w:vAlign w:val="bottom"/>
          </w:tcPr>
          <w:p w14:paraId="06F3720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-3,4%</w:t>
            </w:r>
          </w:p>
        </w:tc>
        <w:tc>
          <w:tcPr>
            <w:tcW w:w="1674" w:type="dxa"/>
            <w:vAlign w:val="bottom"/>
          </w:tcPr>
          <w:p w14:paraId="446A5E0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3.627 €</w:t>
            </w:r>
          </w:p>
        </w:tc>
      </w:tr>
      <w:tr w:rsidR="005B4627" w14:paraId="1731FDCD"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3D34BE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Eixample</w:t>
            </w:r>
          </w:p>
        </w:tc>
        <w:tc>
          <w:tcPr>
            <w:tcW w:w="3080" w:type="dxa"/>
            <w:vAlign w:val="bottom"/>
          </w:tcPr>
          <w:p w14:paraId="6C14626A"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Antoni</w:t>
            </w:r>
          </w:p>
        </w:tc>
        <w:tc>
          <w:tcPr>
            <w:tcW w:w="1598" w:type="dxa"/>
            <w:vAlign w:val="bottom"/>
          </w:tcPr>
          <w:p w14:paraId="651079DC"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w:t>
            </w:r>
          </w:p>
        </w:tc>
        <w:tc>
          <w:tcPr>
            <w:tcW w:w="1674" w:type="dxa"/>
            <w:vAlign w:val="bottom"/>
          </w:tcPr>
          <w:p w14:paraId="441FE8C7"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4.255 €</w:t>
            </w:r>
          </w:p>
        </w:tc>
      </w:tr>
      <w:tr w:rsidR="005B4627" w14:paraId="6F147B31"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73E25D56"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Eixample</w:t>
            </w:r>
          </w:p>
        </w:tc>
        <w:tc>
          <w:tcPr>
            <w:tcW w:w="3080" w:type="dxa"/>
            <w:vAlign w:val="bottom"/>
          </w:tcPr>
          <w:p w14:paraId="4E23B177"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Sagrada Família</w:t>
            </w:r>
          </w:p>
        </w:tc>
        <w:tc>
          <w:tcPr>
            <w:tcW w:w="1598" w:type="dxa"/>
            <w:vAlign w:val="bottom"/>
          </w:tcPr>
          <w:p w14:paraId="4A5BFA92"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-3,1%</w:t>
            </w:r>
          </w:p>
        </w:tc>
        <w:tc>
          <w:tcPr>
            <w:tcW w:w="1674" w:type="dxa"/>
            <w:vAlign w:val="bottom"/>
          </w:tcPr>
          <w:p w14:paraId="45A892CC"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4.253 €</w:t>
            </w:r>
          </w:p>
        </w:tc>
      </w:tr>
      <w:tr w:rsidR="005B4627" w14:paraId="52525076"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7FC6F3E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Nou Barris</w:t>
            </w:r>
          </w:p>
        </w:tc>
        <w:tc>
          <w:tcPr>
            <w:tcW w:w="3080" w:type="dxa"/>
            <w:vAlign w:val="bottom"/>
          </w:tcPr>
          <w:p w14:paraId="0E878404"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Turó de la Peira</w:t>
            </w:r>
          </w:p>
        </w:tc>
        <w:tc>
          <w:tcPr>
            <w:tcW w:w="1598" w:type="dxa"/>
            <w:vAlign w:val="bottom"/>
          </w:tcPr>
          <w:p w14:paraId="7FE04F9C"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-3,1%</w:t>
            </w:r>
          </w:p>
        </w:tc>
        <w:tc>
          <w:tcPr>
            <w:tcW w:w="1674" w:type="dxa"/>
            <w:vAlign w:val="bottom"/>
          </w:tcPr>
          <w:p w14:paraId="5B5B22C9"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2.394 €</w:t>
            </w:r>
          </w:p>
        </w:tc>
      </w:tr>
      <w:tr w:rsidR="005B4627" w14:paraId="292BDDBF"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AE597BC"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Nou Barris</w:t>
            </w:r>
          </w:p>
        </w:tc>
        <w:tc>
          <w:tcPr>
            <w:tcW w:w="3080" w:type="dxa"/>
            <w:vAlign w:val="bottom"/>
          </w:tcPr>
          <w:p w14:paraId="14FACB1C"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Les Roquetes</w:t>
            </w:r>
          </w:p>
        </w:tc>
        <w:tc>
          <w:tcPr>
            <w:tcW w:w="1598" w:type="dxa"/>
            <w:vAlign w:val="bottom"/>
          </w:tcPr>
          <w:p w14:paraId="744EB36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1674" w:type="dxa"/>
            <w:vAlign w:val="bottom"/>
          </w:tcPr>
          <w:p w14:paraId="0A458C81"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2.033 €</w:t>
            </w:r>
          </w:p>
        </w:tc>
      </w:tr>
      <w:tr w:rsidR="005B4627" w14:paraId="1DA93DC9"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2E6BAA9"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Martí</w:t>
            </w:r>
          </w:p>
        </w:tc>
        <w:tc>
          <w:tcPr>
            <w:tcW w:w="3080" w:type="dxa"/>
            <w:vAlign w:val="bottom"/>
          </w:tcPr>
          <w:p w14:paraId="3893A9CE"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Provençals del Poblenou</w:t>
            </w:r>
          </w:p>
        </w:tc>
        <w:tc>
          <w:tcPr>
            <w:tcW w:w="1598" w:type="dxa"/>
            <w:vAlign w:val="bottom"/>
          </w:tcPr>
          <w:p w14:paraId="13E61775"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1674" w:type="dxa"/>
            <w:vAlign w:val="bottom"/>
          </w:tcPr>
          <w:p w14:paraId="7D1EB240"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3.361 €</w:t>
            </w:r>
          </w:p>
        </w:tc>
      </w:tr>
      <w:tr w:rsidR="005B4627" w14:paraId="435ED9D4"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0B3F74E"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Gràcia</w:t>
            </w:r>
          </w:p>
        </w:tc>
        <w:tc>
          <w:tcPr>
            <w:tcW w:w="3080" w:type="dxa"/>
            <w:vAlign w:val="bottom"/>
          </w:tcPr>
          <w:p w14:paraId="1323100E"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Camp d'en Grassot i Gràcia Nova</w:t>
            </w:r>
          </w:p>
        </w:tc>
        <w:tc>
          <w:tcPr>
            <w:tcW w:w="1598" w:type="dxa"/>
            <w:vAlign w:val="bottom"/>
          </w:tcPr>
          <w:p w14:paraId="432B9CB6"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674" w:type="dxa"/>
            <w:vAlign w:val="bottom"/>
          </w:tcPr>
          <w:p w14:paraId="7B27DD39"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4.438 €</w:t>
            </w:r>
          </w:p>
        </w:tc>
      </w:tr>
      <w:tr w:rsidR="005B4627" w14:paraId="75F673ED"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8D77940"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3080" w:type="dxa"/>
            <w:vAlign w:val="bottom"/>
          </w:tcPr>
          <w:p w14:paraId="6D5360EB"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Gervasi- Galvany</w:t>
            </w:r>
          </w:p>
        </w:tc>
        <w:tc>
          <w:tcPr>
            <w:tcW w:w="1598" w:type="dxa"/>
            <w:vAlign w:val="bottom"/>
          </w:tcPr>
          <w:p w14:paraId="32B9FAF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c>
          <w:tcPr>
            <w:tcW w:w="1674" w:type="dxa"/>
            <w:vAlign w:val="bottom"/>
          </w:tcPr>
          <w:p w14:paraId="23DD258E"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5.894 €</w:t>
            </w:r>
          </w:p>
        </w:tc>
      </w:tr>
      <w:tr w:rsidR="005B4627" w14:paraId="41F78132"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ACA45E9"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Martí</w:t>
            </w:r>
          </w:p>
        </w:tc>
        <w:tc>
          <w:tcPr>
            <w:tcW w:w="3080" w:type="dxa"/>
            <w:vAlign w:val="bottom"/>
          </w:tcPr>
          <w:p w14:paraId="0CE8A409"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Clot</w:t>
            </w:r>
          </w:p>
        </w:tc>
        <w:tc>
          <w:tcPr>
            <w:tcW w:w="1598" w:type="dxa"/>
            <w:vAlign w:val="bottom"/>
          </w:tcPr>
          <w:p w14:paraId="53E99D13"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1674" w:type="dxa"/>
            <w:vAlign w:val="bottom"/>
          </w:tcPr>
          <w:p w14:paraId="443BB76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3.783 €</w:t>
            </w:r>
          </w:p>
        </w:tc>
      </w:tr>
      <w:tr w:rsidR="005B4627" w14:paraId="6D3534D7"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F243D6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Ciutat Vella</w:t>
            </w:r>
          </w:p>
        </w:tc>
        <w:tc>
          <w:tcPr>
            <w:tcW w:w="3080" w:type="dxa"/>
            <w:vAlign w:val="bottom"/>
          </w:tcPr>
          <w:p w14:paraId="3C542A8D"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Barri Gòtic</w:t>
            </w:r>
          </w:p>
        </w:tc>
        <w:tc>
          <w:tcPr>
            <w:tcW w:w="1598" w:type="dxa"/>
            <w:vAlign w:val="bottom"/>
          </w:tcPr>
          <w:p w14:paraId="03F13B6B"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1674" w:type="dxa"/>
            <w:vAlign w:val="bottom"/>
          </w:tcPr>
          <w:p w14:paraId="5881235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4.928 €</w:t>
            </w:r>
          </w:p>
        </w:tc>
      </w:tr>
      <w:tr w:rsidR="005B4627" w14:paraId="49D1F179"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D390874"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Sants - Montjuïc</w:t>
            </w:r>
          </w:p>
        </w:tc>
        <w:tc>
          <w:tcPr>
            <w:tcW w:w="3080" w:type="dxa"/>
            <w:vAlign w:val="bottom"/>
          </w:tcPr>
          <w:p w14:paraId="000616CC"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Bordeta</w:t>
            </w:r>
          </w:p>
        </w:tc>
        <w:tc>
          <w:tcPr>
            <w:tcW w:w="1598" w:type="dxa"/>
            <w:vAlign w:val="bottom"/>
          </w:tcPr>
          <w:p w14:paraId="04A53C9F"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674" w:type="dxa"/>
            <w:vAlign w:val="bottom"/>
          </w:tcPr>
          <w:p w14:paraId="52134F31"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3.263 €</w:t>
            </w:r>
          </w:p>
        </w:tc>
      </w:tr>
      <w:tr w:rsidR="005B4627" w14:paraId="50CD1CB8"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6297B16"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Martí</w:t>
            </w:r>
          </w:p>
        </w:tc>
        <w:tc>
          <w:tcPr>
            <w:tcW w:w="3080" w:type="dxa"/>
            <w:vAlign w:val="bottom"/>
          </w:tcPr>
          <w:p w14:paraId="5063C372"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Martí de Provençals</w:t>
            </w:r>
          </w:p>
        </w:tc>
        <w:tc>
          <w:tcPr>
            <w:tcW w:w="1598" w:type="dxa"/>
            <w:vAlign w:val="bottom"/>
          </w:tcPr>
          <w:p w14:paraId="1E4DDF0F"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674" w:type="dxa"/>
            <w:vAlign w:val="bottom"/>
          </w:tcPr>
          <w:p w14:paraId="2C72F27B"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2.888 €</w:t>
            </w:r>
          </w:p>
        </w:tc>
      </w:tr>
      <w:tr w:rsidR="005B4627" w14:paraId="6D441548"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7D395FC"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Les Corts</w:t>
            </w:r>
          </w:p>
        </w:tc>
        <w:tc>
          <w:tcPr>
            <w:tcW w:w="3080" w:type="dxa"/>
            <w:vAlign w:val="bottom"/>
          </w:tcPr>
          <w:p w14:paraId="3B2DC7E7"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Barri de les Corts</w:t>
            </w:r>
          </w:p>
        </w:tc>
        <w:tc>
          <w:tcPr>
            <w:tcW w:w="1598" w:type="dxa"/>
            <w:vAlign w:val="bottom"/>
          </w:tcPr>
          <w:p w14:paraId="665ABD36"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674" w:type="dxa"/>
            <w:vAlign w:val="bottom"/>
          </w:tcPr>
          <w:p w14:paraId="4219A7B8"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5.090 €</w:t>
            </w:r>
          </w:p>
        </w:tc>
      </w:tr>
      <w:tr w:rsidR="005B4627" w14:paraId="088CA97F"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7F16A62"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Sants - Montjuïc</w:t>
            </w:r>
          </w:p>
        </w:tc>
        <w:tc>
          <w:tcPr>
            <w:tcW w:w="3080" w:type="dxa"/>
            <w:vAlign w:val="bottom"/>
          </w:tcPr>
          <w:p w14:paraId="338B1BED"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Font de la Guatlla</w:t>
            </w:r>
          </w:p>
        </w:tc>
        <w:tc>
          <w:tcPr>
            <w:tcW w:w="1598" w:type="dxa"/>
            <w:vAlign w:val="bottom"/>
          </w:tcPr>
          <w:p w14:paraId="7ABB2345"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674" w:type="dxa"/>
            <w:vAlign w:val="bottom"/>
          </w:tcPr>
          <w:p w14:paraId="7844F58A"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3.604 €</w:t>
            </w:r>
          </w:p>
        </w:tc>
      </w:tr>
      <w:tr w:rsidR="005B4627" w14:paraId="1249E44B"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74F1214"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Martí</w:t>
            </w:r>
          </w:p>
        </w:tc>
        <w:tc>
          <w:tcPr>
            <w:tcW w:w="3080" w:type="dxa"/>
            <w:vAlign w:val="bottom"/>
          </w:tcPr>
          <w:p w14:paraId="4F7551CC"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Poblenou</w:t>
            </w:r>
          </w:p>
        </w:tc>
        <w:tc>
          <w:tcPr>
            <w:tcW w:w="1598" w:type="dxa"/>
            <w:vAlign w:val="bottom"/>
          </w:tcPr>
          <w:p w14:paraId="62CFD25A"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674" w:type="dxa"/>
            <w:vAlign w:val="bottom"/>
          </w:tcPr>
          <w:p w14:paraId="59C5BF54"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5.144 €</w:t>
            </w:r>
          </w:p>
        </w:tc>
      </w:tr>
      <w:tr w:rsidR="005B4627" w14:paraId="300C851C"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7C7BE8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Nou Barris</w:t>
            </w:r>
          </w:p>
        </w:tc>
        <w:tc>
          <w:tcPr>
            <w:tcW w:w="3080" w:type="dxa"/>
            <w:vAlign w:val="bottom"/>
          </w:tcPr>
          <w:p w14:paraId="04E4299E"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Porta</w:t>
            </w:r>
          </w:p>
        </w:tc>
        <w:tc>
          <w:tcPr>
            <w:tcW w:w="1598" w:type="dxa"/>
            <w:vAlign w:val="bottom"/>
          </w:tcPr>
          <w:p w14:paraId="401D423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674" w:type="dxa"/>
            <w:vAlign w:val="bottom"/>
          </w:tcPr>
          <w:p w14:paraId="3D819A62"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3.021 €</w:t>
            </w:r>
          </w:p>
        </w:tc>
      </w:tr>
      <w:tr w:rsidR="005B4627" w14:paraId="7373C354"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B5B3F0A"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Eixample</w:t>
            </w:r>
          </w:p>
        </w:tc>
        <w:tc>
          <w:tcPr>
            <w:tcW w:w="3080" w:type="dxa"/>
            <w:vAlign w:val="bottom"/>
          </w:tcPr>
          <w:p w14:paraId="268E417E"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L'Antiga Esquerra de l'Eixample</w:t>
            </w:r>
          </w:p>
        </w:tc>
        <w:tc>
          <w:tcPr>
            <w:tcW w:w="1598" w:type="dxa"/>
            <w:vAlign w:val="bottom"/>
          </w:tcPr>
          <w:p w14:paraId="3A73571D"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674" w:type="dxa"/>
            <w:vAlign w:val="bottom"/>
          </w:tcPr>
          <w:p w14:paraId="75E1D34A"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5.831 €</w:t>
            </w:r>
          </w:p>
        </w:tc>
      </w:tr>
      <w:tr w:rsidR="005B4627" w14:paraId="5DF28A65"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B195AB0"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Andreu</w:t>
            </w:r>
          </w:p>
        </w:tc>
        <w:tc>
          <w:tcPr>
            <w:tcW w:w="3080" w:type="dxa"/>
            <w:vAlign w:val="bottom"/>
          </w:tcPr>
          <w:p w14:paraId="56B8DE70"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Bon Pastor</w:t>
            </w:r>
          </w:p>
        </w:tc>
        <w:tc>
          <w:tcPr>
            <w:tcW w:w="1598" w:type="dxa"/>
            <w:vAlign w:val="bottom"/>
          </w:tcPr>
          <w:p w14:paraId="0D3A59F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c>
          <w:tcPr>
            <w:tcW w:w="1674" w:type="dxa"/>
            <w:vAlign w:val="bottom"/>
          </w:tcPr>
          <w:p w14:paraId="129AF69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2.420 €</w:t>
            </w:r>
          </w:p>
        </w:tc>
      </w:tr>
      <w:tr w:rsidR="005B4627" w14:paraId="1FDE2C91"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CB41D7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lastRenderedPageBreak/>
              <w:t>Horta - Guinardó</w:t>
            </w:r>
          </w:p>
        </w:tc>
        <w:tc>
          <w:tcPr>
            <w:tcW w:w="3080" w:type="dxa"/>
            <w:vAlign w:val="bottom"/>
          </w:tcPr>
          <w:p w14:paraId="64DBDAE3"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Carmel</w:t>
            </w:r>
          </w:p>
        </w:tc>
        <w:tc>
          <w:tcPr>
            <w:tcW w:w="1598" w:type="dxa"/>
            <w:vAlign w:val="bottom"/>
          </w:tcPr>
          <w:p w14:paraId="6169232F"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1674" w:type="dxa"/>
            <w:vAlign w:val="bottom"/>
          </w:tcPr>
          <w:p w14:paraId="1977B16C"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2.589 €</w:t>
            </w:r>
          </w:p>
        </w:tc>
      </w:tr>
      <w:tr w:rsidR="005B4627" w14:paraId="4C0A8E2B"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9607039"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Andreu</w:t>
            </w:r>
          </w:p>
        </w:tc>
        <w:tc>
          <w:tcPr>
            <w:tcW w:w="3080" w:type="dxa"/>
            <w:vAlign w:val="bottom"/>
          </w:tcPr>
          <w:p w14:paraId="73BE015D"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Navas</w:t>
            </w:r>
          </w:p>
        </w:tc>
        <w:tc>
          <w:tcPr>
            <w:tcW w:w="1598" w:type="dxa"/>
            <w:vAlign w:val="bottom"/>
          </w:tcPr>
          <w:p w14:paraId="5B4731A3"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1674" w:type="dxa"/>
            <w:vAlign w:val="bottom"/>
          </w:tcPr>
          <w:p w14:paraId="554826EF"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3.624 €</w:t>
            </w:r>
          </w:p>
        </w:tc>
      </w:tr>
      <w:tr w:rsidR="005B4627" w14:paraId="4BDB8489"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BFCDE50"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Horta - Guinardó</w:t>
            </w:r>
          </w:p>
        </w:tc>
        <w:tc>
          <w:tcPr>
            <w:tcW w:w="3080" w:type="dxa"/>
            <w:vAlign w:val="bottom"/>
          </w:tcPr>
          <w:p w14:paraId="3EE982F9"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Horta</w:t>
            </w:r>
          </w:p>
        </w:tc>
        <w:tc>
          <w:tcPr>
            <w:tcW w:w="1598" w:type="dxa"/>
            <w:vAlign w:val="bottom"/>
          </w:tcPr>
          <w:p w14:paraId="1F52511E"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c>
          <w:tcPr>
            <w:tcW w:w="1674" w:type="dxa"/>
            <w:vAlign w:val="bottom"/>
          </w:tcPr>
          <w:p w14:paraId="33FEAA64"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3.072 €</w:t>
            </w:r>
          </w:p>
        </w:tc>
      </w:tr>
      <w:tr w:rsidR="005B4627" w14:paraId="1AF8EF67"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F785D2D"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Martí</w:t>
            </w:r>
          </w:p>
        </w:tc>
        <w:tc>
          <w:tcPr>
            <w:tcW w:w="3080" w:type="dxa"/>
            <w:vAlign w:val="bottom"/>
          </w:tcPr>
          <w:p w14:paraId="079B6649"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Martí</w:t>
            </w:r>
          </w:p>
        </w:tc>
        <w:tc>
          <w:tcPr>
            <w:tcW w:w="1598" w:type="dxa"/>
            <w:vAlign w:val="bottom"/>
          </w:tcPr>
          <w:p w14:paraId="6FAFB750"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w:t>
            </w:r>
          </w:p>
        </w:tc>
        <w:tc>
          <w:tcPr>
            <w:tcW w:w="1674" w:type="dxa"/>
            <w:vAlign w:val="bottom"/>
          </w:tcPr>
          <w:p w14:paraId="43186C20"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5.630 €</w:t>
            </w:r>
          </w:p>
        </w:tc>
      </w:tr>
      <w:tr w:rsidR="005B4627" w14:paraId="2B8C7083"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B050BD9"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Martí</w:t>
            </w:r>
          </w:p>
        </w:tc>
        <w:tc>
          <w:tcPr>
            <w:tcW w:w="3080" w:type="dxa"/>
            <w:vAlign w:val="bottom"/>
          </w:tcPr>
          <w:p w14:paraId="6BA45DF8"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Camp de l'Arpa del Clot</w:t>
            </w:r>
          </w:p>
        </w:tc>
        <w:tc>
          <w:tcPr>
            <w:tcW w:w="1598" w:type="dxa"/>
            <w:vAlign w:val="bottom"/>
          </w:tcPr>
          <w:p w14:paraId="1BB5E0A4"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c>
          <w:tcPr>
            <w:tcW w:w="1674" w:type="dxa"/>
            <w:vAlign w:val="bottom"/>
          </w:tcPr>
          <w:p w14:paraId="2B77BCA3"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3.875 €</w:t>
            </w:r>
          </w:p>
        </w:tc>
      </w:tr>
      <w:tr w:rsidR="005B4627" w14:paraId="0BDBE540"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5C52D61"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Andreu</w:t>
            </w:r>
          </w:p>
        </w:tc>
        <w:tc>
          <w:tcPr>
            <w:tcW w:w="3080" w:type="dxa"/>
            <w:vAlign w:val="bottom"/>
          </w:tcPr>
          <w:p w14:paraId="386AA945"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Sagrera</w:t>
            </w:r>
          </w:p>
        </w:tc>
        <w:tc>
          <w:tcPr>
            <w:tcW w:w="1598" w:type="dxa"/>
            <w:vAlign w:val="bottom"/>
          </w:tcPr>
          <w:p w14:paraId="6EEC9D65"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2,6%</w:t>
            </w:r>
          </w:p>
        </w:tc>
        <w:tc>
          <w:tcPr>
            <w:tcW w:w="1674" w:type="dxa"/>
            <w:vAlign w:val="bottom"/>
          </w:tcPr>
          <w:p w14:paraId="065F2A0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3.434 €</w:t>
            </w:r>
          </w:p>
        </w:tc>
      </w:tr>
      <w:tr w:rsidR="005B4627" w14:paraId="7487238F"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DF67D2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Les Corts</w:t>
            </w:r>
          </w:p>
        </w:tc>
        <w:tc>
          <w:tcPr>
            <w:tcW w:w="3080" w:type="dxa"/>
            <w:vAlign w:val="bottom"/>
          </w:tcPr>
          <w:p w14:paraId="442BFDC9"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Maternitat i Sant Ramon</w:t>
            </w:r>
          </w:p>
        </w:tc>
        <w:tc>
          <w:tcPr>
            <w:tcW w:w="1598" w:type="dxa"/>
            <w:vAlign w:val="bottom"/>
          </w:tcPr>
          <w:p w14:paraId="66B3DFD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3,1%</w:t>
            </w:r>
          </w:p>
        </w:tc>
        <w:tc>
          <w:tcPr>
            <w:tcW w:w="1674" w:type="dxa"/>
            <w:vAlign w:val="bottom"/>
          </w:tcPr>
          <w:p w14:paraId="1D9EEA17"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4.195 €</w:t>
            </w:r>
          </w:p>
        </w:tc>
      </w:tr>
      <w:tr w:rsidR="005B4627" w14:paraId="7A52F57D"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7F6C0F6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Andreu</w:t>
            </w:r>
          </w:p>
        </w:tc>
        <w:tc>
          <w:tcPr>
            <w:tcW w:w="3080" w:type="dxa"/>
            <w:vAlign w:val="bottom"/>
          </w:tcPr>
          <w:p w14:paraId="6F98806B"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Andreu del Palomar</w:t>
            </w:r>
          </w:p>
        </w:tc>
        <w:tc>
          <w:tcPr>
            <w:tcW w:w="1598" w:type="dxa"/>
            <w:vAlign w:val="bottom"/>
          </w:tcPr>
          <w:p w14:paraId="48836F26"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3,2%</w:t>
            </w:r>
          </w:p>
        </w:tc>
        <w:tc>
          <w:tcPr>
            <w:tcW w:w="1674" w:type="dxa"/>
            <w:vAlign w:val="bottom"/>
          </w:tcPr>
          <w:p w14:paraId="754BDC65"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3.405 €</w:t>
            </w:r>
          </w:p>
        </w:tc>
      </w:tr>
      <w:tr w:rsidR="005B4627" w14:paraId="03B8A1EF"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BA0C4B4"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Nou Barris</w:t>
            </w:r>
          </w:p>
        </w:tc>
        <w:tc>
          <w:tcPr>
            <w:tcW w:w="3080" w:type="dxa"/>
            <w:vAlign w:val="bottom"/>
          </w:tcPr>
          <w:p w14:paraId="41A716D1"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Prosperitat</w:t>
            </w:r>
          </w:p>
        </w:tc>
        <w:tc>
          <w:tcPr>
            <w:tcW w:w="1598" w:type="dxa"/>
            <w:vAlign w:val="bottom"/>
          </w:tcPr>
          <w:p w14:paraId="4223193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3,4%</w:t>
            </w:r>
          </w:p>
        </w:tc>
        <w:tc>
          <w:tcPr>
            <w:tcW w:w="1674" w:type="dxa"/>
            <w:vAlign w:val="bottom"/>
          </w:tcPr>
          <w:p w14:paraId="578AD274"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2.513 €</w:t>
            </w:r>
          </w:p>
        </w:tc>
      </w:tr>
      <w:tr w:rsidR="005B4627" w14:paraId="1A2DCE7B"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D28EF9E"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Ciutat Vella</w:t>
            </w:r>
          </w:p>
        </w:tc>
        <w:tc>
          <w:tcPr>
            <w:tcW w:w="3080" w:type="dxa"/>
            <w:vAlign w:val="bottom"/>
          </w:tcPr>
          <w:p w14:paraId="067D572B"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Pere, Sta. Caterina i la Ribera</w:t>
            </w:r>
          </w:p>
        </w:tc>
        <w:tc>
          <w:tcPr>
            <w:tcW w:w="1598" w:type="dxa"/>
            <w:vAlign w:val="bottom"/>
          </w:tcPr>
          <w:p w14:paraId="1185CD23"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3,6%</w:t>
            </w:r>
          </w:p>
        </w:tc>
        <w:tc>
          <w:tcPr>
            <w:tcW w:w="1674" w:type="dxa"/>
            <w:vAlign w:val="bottom"/>
          </w:tcPr>
          <w:p w14:paraId="551B7A40"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5.709 €</w:t>
            </w:r>
          </w:p>
        </w:tc>
      </w:tr>
      <w:tr w:rsidR="005B4627" w14:paraId="22582F27"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A57075E"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Ciutat Vella</w:t>
            </w:r>
          </w:p>
        </w:tc>
        <w:tc>
          <w:tcPr>
            <w:tcW w:w="3080" w:type="dxa"/>
            <w:vAlign w:val="bottom"/>
          </w:tcPr>
          <w:p w14:paraId="27C29451"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Barceloneta</w:t>
            </w:r>
          </w:p>
        </w:tc>
        <w:tc>
          <w:tcPr>
            <w:tcW w:w="1598" w:type="dxa"/>
            <w:vAlign w:val="bottom"/>
          </w:tcPr>
          <w:p w14:paraId="6EC0A1DE"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4,0%</w:t>
            </w:r>
          </w:p>
        </w:tc>
        <w:tc>
          <w:tcPr>
            <w:tcW w:w="1674" w:type="dxa"/>
            <w:vAlign w:val="bottom"/>
          </w:tcPr>
          <w:p w14:paraId="6F0EB58F"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5.133 €</w:t>
            </w:r>
          </w:p>
        </w:tc>
      </w:tr>
      <w:tr w:rsidR="005B4627" w14:paraId="65C3177A"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C15BCE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Eixample</w:t>
            </w:r>
          </w:p>
        </w:tc>
        <w:tc>
          <w:tcPr>
            <w:tcW w:w="3080" w:type="dxa"/>
            <w:vAlign w:val="bottom"/>
          </w:tcPr>
          <w:p w14:paraId="58FD3D5D"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Nova Esquerra de l'Eixample</w:t>
            </w:r>
          </w:p>
        </w:tc>
        <w:tc>
          <w:tcPr>
            <w:tcW w:w="1598" w:type="dxa"/>
            <w:vAlign w:val="bottom"/>
          </w:tcPr>
          <w:p w14:paraId="06280942"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4,0%</w:t>
            </w:r>
          </w:p>
        </w:tc>
        <w:tc>
          <w:tcPr>
            <w:tcW w:w="1674" w:type="dxa"/>
            <w:vAlign w:val="bottom"/>
          </w:tcPr>
          <w:p w14:paraId="48F7CEB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4.808 €</w:t>
            </w:r>
          </w:p>
        </w:tc>
      </w:tr>
      <w:tr w:rsidR="005B4627" w14:paraId="2B94734F"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86895F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Horta - Guinardó</w:t>
            </w:r>
          </w:p>
        </w:tc>
        <w:tc>
          <w:tcPr>
            <w:tcW w:w="3080" w:type="dxa"/>
            <w:vAlign w:val="bottom"/>
          </w:tcPr>
          <w:p w14:paraId="2F4DD4C3"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Baix Guinardó</w:t>
            </w:r>
          </w:p>
        </w:tc>
        <w:tc>
          <w:tcPr>
            <w:tcW w:w="1598" w:type="dxa"/>
            <w:vAlign w:val="bottom"/>
          </w:tcPr>
          <w:p w14:paraId="57E800E0"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4,0%</w:t>
            </w:r>
          </w:p>
        </w:tc>
        <w:tc>
          <w:tcPr>
            <w:tcW w:w="1674" w:type="dxa"/>
            <w:vAlign w:val="bottom"/>
          </w:tcPr>
          <w:p w14:paraId="7A766883"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4.097 €</w:t>
            </w:r>
          </w:p>
        </w:tc>
      </w:tr>
      <w:tr w:rsidR="005B4627" w14:paraId="7AF6AD92"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79187224"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3080" w:type="dxa"/>
            <w:vAlign w:val="bottom"/>
          </w:tcPr>
          <w:p w14:paraId="39DFC41E"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Putget i el Farró</w:t>
            </w:r>
          </w:p>
        </w:tc>
        <w:tc>
          <w:tcPr>
            <w:tcW w:w="1598" w:type="dxa"/>
            <w:vAlign w:val="bottom"/>
          </w:tcPr>
          <w:p w14:paraId="5873823F"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4,1%</w:t>
            </w:r>
          </w:p>
        </w:tc>
        <w:tc>
          <w:tcPr>
            <w:tcW w:w="1674" w:type="dxa"/>
            <w:vAlign w:val="bottom"/>
          </w:tcPr>
          <w:p w14:paraId="62589270"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4.945 €</w:t>
            </w:r>
          </w:p>
        </w:tc>
      </w:tr>
      <w:tr w:rsidR="005B4627" w14:paraId="5AC67AAD"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46DC6E7"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3080" w:type="dxa"/>
            <w:vAlign w:val="bottom"/>
          </w:tcPr>
          <w:p w14:paraId="62747856"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Les Tres Torres</w:t>
            </w:r>
          </w:p>
        </w:tc>
        <w:tc>
          <w:tcPr>
            <w:tcW w:w="1598" w:type="dxa"/>
            <w:vAlign w:val="bottom"/>
          </w:tcPr>
          <w:p w14:paraId="29397514"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4,4%</w:t>
            </w:r>
          </w:p>
        </w:tc>
        <w:tc>
          <w:tcPr>
            <w:tcW w:w="1674" w:type="dxa"/>
            <w:vAlign w:val="bottom"/>
          </w:tcPr>
          <w:p w14:paraId="1C4D4115"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6.091 €</w:t>
            </w:r>
          </w:p>
        </w:tc>
      </w:tr>
      <w:tr w:rsidR="005B4627" w14:paraId="078B114C"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B5D1398"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3080" w:type="dxa"/>
            <w:vAlign w:val="bottom"/>
          </w:tcPr>
          <w:p w14:paraId="0CC57268"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Gervasi i la Bonanova</w:t>
            </w:r>
          </w:p>
        </w:tc>
        <w:tc>
          <w:tcPr>
            <w:tcW w:w="1598" w:type="dxa"/>
            <w:vAlign w:val="bottom"/>
          </w:tcPr>
          <w:p w14:paraId="0DC2BE80"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4,6%</w:t>
            </w:r>
          </w:p>
        </w:tc>
        <w:tc>
          <w:tcPr>
            <w:tcW w:w="1674" w:type="dxa"/>
            <w:vAlign w:val="bottom"/>
          </w:tcPr>
          <w:p w14:paraId="0312E941"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5.613 €</w:t>
            </w:r>
          </w:p>
        </w:tc>
      </w:tr>
      <w:tr w:rsidR="005B4627" w14:paraId="15B6A296"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7D234A4E"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Eixample</w:t>
            </w:r>
          </w:p>
        </w:tc>
        <w:tc>
          <w:tcPr>
            <w:tcW w:w="3080" w:type="dxa"/>
            <w:vAlign w:val="bottom"/>
          </w:tcPr>
          <w:p w14:paraId="4DE67DEC"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Fort Pienc</w:t>
            </w:r>
          </w:p>
        </w:tc>
        <w:tc>
          <w:tcPr>
            <w:tcW w:w="1598" w:type="dxa"/>
            <w:vAlign w:val="bottom"/>
          </w:tcPr>
          <w:p w14:paraId="1E79B182"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4,6%</w:t>
            </w:r>
          </w:p>
        </w:tc>
        <w:tc>
          <w:tcPr>
            <w:tcW w:w="1674" w:type="dxa"/>
            <w:vAlign w:val="bottom"/>
          </w:tcPr>
          <w:p w14:paraId="3D9B9BD9"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4.643 €</w:t>
            </w:r>
          </w:p>
        </w:tc>
      </w:tr>
      <w:tr w:rsidR="005B4627" w14:paraId="7ACE5F15"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A88044D"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Sants - Montjuïc</w:t>
            </w:r>
          </w:p>
        </w:tc>
        <w:tc>
          <w:tcPr>
            <w:tcW w:w="3080" w:type="dxa"/>
            <w:vAlign w:val="bottom"/>
          </w:tcPr>
          <w:p w14:paraId="6F19AD1A"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Hostafrancs</w:t>
            </w:r>
          </w:p>
        </w:tc>
        <w:tc>
          <w:tcPr>
            <w:tcW w:w="1598" w:type="dxa"/>
            <w:vAlign w:val="bottom"/>
          </w:tcPr>
          <w:p w14:paraId="4712A1F3"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4,7%</w:t>
            </w:r>
          </w:p>
        </w:tc>
        <w:tc>
          <w:tcPr>
            <w:tcW w:w="1674" w:type="dxa"/>
            <w:vAlign w:val="bottom"/>
          </w:tcPr>
          <w:p w14:paraId="30DBC982"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3.966 €</w:t>
            </w:r>
          </w:p>
        </w:tc>
      </w:tr>
      <w:tr w:rsidR="005B4627" w14:paraId="1727A5AE"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A22A72E"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Gràcia</w:t>
            </w:r>
          </w:p>
        </w:tc>
        <w:tc>
          <w:tcPr>
            <w:tcW w:w="3080" w:type="dxa"/>
            <w:vAlign w:val="bottom"/>
          </w:tcPr>
          <w:p w14:paraId="7E7487F8"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Vila de Gràcia</w:t>
            </w:r>
          </w:p>
        </w:tc>
        <w:tc>
          <w:tcPr>
            <w:tcW w:w="1598" w:type="dxa"/>
            <w:vAlign w:val="bottom"/>
          </w:tcPr>
          <w:p w14:paraId="57912363"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5,1%</w:t>
            </w:r>
          </w:p>
        </w:tc>
        <w:tc>
          <w:tcPr>
            <w:tcW w:w="1674" w:type="dxa"/>
            <w:vAlign w:val="bottom"/>
          </w:tcPr>
          <w:p w14:paraId="76077530"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4.771 €</w:t>
            </w:r>
          </w:p>
        </w:tc>
      </w:tr>
      <w:tr w:rsidR="005B4627" w14:paraId="23EB3EC2"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70BC5C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Andreu</w:t>
            </w:r>
          </w:p>
        </w:tc>
        <w:tc>
          <w:tcPr>
            <w:tcW w:w="3080" w:type="dxa"/>
            <w:vAlign w:val="bottom"/>
          </w:tcPr>
          <w:p w14:paraId="49AF144C"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Trinitat Vella</w:t>
            </w:r>
          </w:p>
        </w:tc>
        <w:tc>
          <w:tcPr>
            <w:tcW w:w="1598" w:type="dxa"/>
            <w:vAlign w:val="bottom"/>
          </w:tcPr>
          <w:p w14:paraId="5CAA7981"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5,7%</w:t>
            </w:r>
          </w:p>
        </w:tc>
        <w:tc>
          <w:tcPr>
            <w:tcW w:w="1674" w:type="dxa"/>
            <w:vAlign w:val="bottom"/>
          </w:tcPr>
          <w:p w14:paraId="13043829"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1.925 €</w:t>
            </w:r>
          </w:p>
        </w:tc>
      </w:tr>
      <w:tr w:rsidR="005B4627" w14:paraId="21E1AEFE"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2D3655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Gràcia</w:t>
            </w:r>
          </w:p>
        </w:tc>
        <w:tc>
          <w:tcPr>
            <w:tcW w:w="3080" w:type="dxa"/>
            <w:vAlign w:val="bottom"/>
          </w:tcPr>
          <w:p w14:paraId="52E41578"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Vallcarca i els Penitents</w:t>
            </w:r>
          </w:p>
        </w:tc>
        <w:tc>
          <w:tcPr>
            <w:tcW w:w="1598" w:type="dxa"/>
            <w:vAlign w:val="bottom"/>
          </w:tcPr>
          <w:p w14:paraId="13188C64"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6,0%</w:t>
            </w:r>
          </w:p>
        </w:tc>
        <w:tc>
          <w:tcPr>
            <w:tcW w:w="1674" w:type="dxa"/>
            <w:vAlign w:val="bottom"/>
          </w:tcPr>
          <w:p w14:paraId="2FCE8C1B"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4.503 €</w:t>
            </w:r>
          </w:p>
        </w:tc>
      </w:tr>
      <w:tr w:rsidR="005B4627" w14:paraId="5EEF0FFB"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A030F2D"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Eixample</w:t>
            </w:r>
          </w:p>
        </w:tc>
        <w:tc>
          <w:tcPr>
            <w:tcW w:w="3080" w:type="dxa"/>
            <w:vAlign w:val="bottom"/>
          </w:tcPr>
          <w:p w14:paraId="126A2770"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Dreta de l'Eixample</w:t>
            </w:r>
          </w:p>
        </w:tc>
        <w:tc>
          <w:tcPr>
            <w:tcW w:w="1598" w:type="dxa"/>
            <w:vAlign w:val="bottom"/>
          </w:tcPr>
          <w:p w14:paraId="0D77B15B"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6,8%</w:t>
            </w:r>
          </w:p>
        </w:tc>
        <w:tc>
          <w:tcPr>
            <w:tcW w:w="1674" w:type="dxa"/>
            <w:vAlign w:val="bottom"/>
          </w:tcPr>
          <w:p w14:paraId="43DBB657"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6.208 €</w:t>
            </w:r>
          </w:p>
        </w:tc>
      </w:tr>
      <w:tr w:rsidR="005B4627" w14:paraId="10AAB779"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444EB00"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Andreu</w:t>
            </w:r>
          </w:p>
        </w:tc>
        <w:tc>
          <w:tcPr>
            <w:tcW w:w="3080" w:type="dxa"/>
            <w:vAlign w:val="bottom"/>
          </w:tcPr>
          <w:p w14:paraId="32F8182C"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Congrés i els Indians</w:t>
            </w:r>
          </w:p>
        </w:tc>
        <w:tc>
          <w:tcPr>
            <w:tcW w:w="1598" w:type="dxa"/>
            <w:vAlign w:val="bottom"/>
          </w:tcPr>
          <w:p w14:paraId="72C41A29"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7,8%</w:t>
            </w:r>
          </w:p>
        </w:tc>
        <w:tc>
          <w:tcPr>
            <w:tcW w:w="1674" w:type="dxa"/>
            <w:vAlign w:val="bottom"/>
          </w:tcPr>
          <w:p w14:paraId="682C905A"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3.427 €</w:t>
            </w:r>
          </w:p>
        </w:tc>
      </w:tr>
      <w:tr w:rsidR="005B4627" w14:paraId="0431B5DE"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04D4A38"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Sant Martí</w:t>
            </w:r>
          </w:p>
        </w:tc>
        <w:tc>
          <w:tcPr>
            <w:tcW w:w="3080" w:type="dxa"/>
            <w:vAlign w:val="bottom"/>
          </w:tcPr>
          <w:p w14:paraId="3024EEBB"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Diagonal Mar i el Front Marítim del Poblenou</w:t>
            </w:r>
          </w:p>
        </w:tc>
        <w:tc>
          <w:tcPr>
            <w:tcW w:w="1598" w:type="dxa"/>
            <w:vAlign w:val="bottom"/>
          </w:tcPr>
          <w:p w14:paraId="13E7521B"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9,4%</w:t>
            </w:r>
          </w:p>
        </w:tc>
        <w:tc>
          <w:tcPr>
            <w:tcW w:w="1674" w:type="dxa"/>
            <w:vAlign w:val="bottom"/>
          </w:tcPr>
          <w:p w14:paraId="2C45935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7.634 €</w:t>
            </w:r>
          </w:p>
        </w:tc>
      </w:tr>
      <w:tr w:rsidR="005B4627" w14:paraId="6D64CD5E"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21AA98B"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Nou Barris</w:t>
            </w:r>
          </w:p>
        </w:tc>
        <w:tc>
          <w:tcPr>
            <w:tcW w:w="3080" w:type="dxa"/>
            <w:vAlign w:val="bottom"/>
          </w:tcPr>
          <w:p w14:paraId="53E6ED32"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Ciutat Meridiana</w:t>
            </w:r>
          </w:p>
        </w:tc>
        <w:tc>
          <w:tcPr>
            <w:tcW w:w="1598" w:type="dxa"/>
            <w:vAlign w:val="bottom"/>
          </w:tcPr>
          <w:p w14:paraId="5D267DBE"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w:t>
            </w:r>
          </w:p>
        </w:tc>
        <w:tc>
          <w:tcPr>
            <w:tcW w:w="1674" w:type="dxa"/>
            <w:vAlign w:val="bottom"/>
          </w:tcPr>
          <w:p w14:paraId="28B2C60E"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1.737 €</w:t>
            </w:r>
          </w:p>
        </w:tc>
      </w:tr>
      <w:tr w:rsidR="005B4627" w14:paraId="7A0E561C"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4F277786"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Horta - Guinardó</w:t>
            </w:r>
          </w:p>
        </w:tc>
        <w:tc>
          <w:tcPr>
            <w:tcW w:w="3080" w:type="dxa"/>
            <w:vAlign w:val="bottom"/>
          </w:tcPr>
          <w:p w14:paraId="38212A92"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Genís dels Agudells</w:t>
            </w:r>
          </w:p>
        </w:tc>
        <w:tc>
          <w:tcPr>
            <w:tcW w:w="1598" w:type="dxa"/>
          </w:tcPr>
          <w:p w14:paraId="6B6AE32D"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w:t>
            </w:r>
          </w:p>
        </w:tc>
        <w:tc>
          <w:tcPr>
            <w:tcW w:w="1674" w:type="dxa"/>
            <w:vAlign w:val="bottom"/>
          </w:tcPr>
          <w:p w14:paraId="7E9A21C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2.799 €</w:t>
            </w:r>
          </w:p>
        </w:tc>
      </w:tr>
      <w:tr w:rsidR="005B4627" w14:paraId="679314B7" w14:textId="77777777" w:rsidTr="005B4627">
        <w:trPr>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30A5E6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Nou Barris</w:t>
            </w:r>
          </w:p>
        </w:tc>
        <w:tc>
          <w:tcPr>
            <w:tcW w:w="3080" w:type="dxa"/>
            <w:vAlign w:val="bottom"/>
          </w:tcPr>
          <w:p w14:paraId="0FD403AA" w14:textId="77777777" w:rsidR="005B4627" w:rsidRDefault="007F28F2">
            <w:pPr>
              <w:spacing w:line="276" w:lineRule="auto"/>
              <w:ind w:right="283"/>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Guineueta</w:t>
            </w:r>
          </w:p>
        </w:tc>
        <w:tc>
          <w:tcPr>
            <w:tcW w:w="1598" w:type="dxa"/>
          </w:tcPr>
          <w:p w14:paraId="539D425C"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w:t>
            </w:r>
          </w:p>
        </w:tc>
        <w:tc>
          <w:tcPr>
            <w:tcW w:w="1674" w:type="dxa"/>
            <w:vAlign w:val="bottom"/>
          </w:tcPr>
          <w:p w14:paraId="5307A6B3" w14:textId="77777777" w:rsidR="005B4627" w:rsidRDefault="007F28F2">
            <w:pPr>
              <w:spacing w:line="276" w:lineRule="auto"/>
              <w:ind w:right="283"/>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2.813 €</w:t>
            </w:r>
          </w:p>
        </w:tc>
      </w:tr>
      <w:tr w:rsidR="005B4627" w14:paraId="235D6741" w14:textId="77777777" w:rsidTr="005B4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108E9BB5" w14:textId="77777777" w:rsidR="005B4627" w:rsidRDefault="007F28F2">
            <w:pPr>
              <w:spacing w:line="276" w:lineRule="auto"/>
              <w:ind w:right="283"/>
              <w:rPr>
                <w:rFonts w:ascii="Open Sans" w:eastAsia="Open Sans" w:hAnsi="Open Sans" w:cs="Open Sans"/>
                <w:sz w:val="22"/>
                <w:szCs w:val="22"/>
              </w:rPr>
            </w:pPr>
            <w:r>
              <w:rPr>
                <w:rFonts w:ascii="Open Sans" w:eastAsia="Open Sans" w:hAnsi="Open Sans" w:cs="Open Sans"/>
                <w:b w:val="0"/>
                <w:sz w:val="22"/>
                <w:szCs w:val="22"/>
              </w:rPr>
              <w:t>Gràcia</w:t>
            </w:r>
          </w:p>
        </w:tc>
        <w:tc>
          <w:tcPr>
            <w:tcW w:w="3080" w:type="dxa"/>
            <w:vAlign w:val="bottom"/>
          </w:tcPr>
          <w:p w14:paraId="49F81F75" w14:textId="77777777" w:rsidR="005B4627" w:rsidRDefault="007F28F2">
            <w:pPr>
              <w:spacing w:line="276" w:lineRule="auto"/>
              <w:ind w:right="283"/>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El Coll</w:t>
            </w:r>
          </w:p>
        </w:tc>
        <w:tc>
          <w:tcPr>
            <w:tcW w:w="1598" w:type="dxa"/>
          </w:tcPr>
          <w:p w14:paraId="4EDBA7E4"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w:t>
            </w:r>
          </w:p>
        </w:tc>
        <w:tc>
          <w:tcPr>
            <w:tcW w:w="1674" w:type="dxa"/>
            <w:vAlign w:val="bottom"/>
          </w:tcPr>
          <w:p w14:paraId="5BC4AE3E" w14:textId="77777777" w:rsidR="005B4627" w:rsidRDefault="007F28F2">
            <w:pPr>
              <w:spacing w:line="276" w:lineRule="auto"/>
              <w:ind w:right="283"/>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2.946 €</w:t>
            </w:r>
          </w:p>
        </w:tc>
      </w:tr>
    </w:tbl>
    <w:p w14:paraId="514EDD36" w14:textId="77777777" w:rsidR="005B4627" w:rsidRDefault="005B4627">
      <w:pPr>
        <w:spacing w:line="276" w:lineRule="auto"/>
        <w:ind w:right="283"/>
        <w:jc w:val="right"/>
        <w:rPr>
          <w:rFonts w:ascii="Open Sans Light" w:eastAsia="Open Sans Light" w:hAnsi="Open Sans Light" w:cs="Open Sans Light"/>
          <w:b/>
          <w:color w:val="303AB2"/>
        </w:rPr>
      </w:pPr>
    </w:p>
    <w:p w14:paraId="59894E16" w14:textId="77777777" w:rsidR="005B4627" w:rsidRDefault="007F28F2" w:rsidP="00384D4A">
      <w:pPr>
        <w:spacing w:line="276" w:lineRule="auto"/>
        <w:ind w:right="141"/>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3858A4C" w14:textId="77777777" w:rsidR="005B4627" w:rsidRDefault="007F28F2">
      <w:pPr>
        <w:shd w:val="clear" w:color="auto" w:fill="FFFFFF"/>
        <w:spacing w:before="280" w:after="280"/>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referencia sobre la evolución del precio medio de la vivienda en España, tanto en venta como en alquiler.</w:t>
      </w:r>
    </w:p>
    <w:bookmarkStart w:id="4" w:name="_heading=h.2et92p0" w:colFirst="0" w:colLast="0"/>
    <w:bookmarkEnd w:id="4"/>
    <w:p w14:paraId="35173318" w14:textId="77777777" w:rsidR="005B4627" w:rsidRDefault="007F28F2">
      <w:pPr>
        <w:shd w:val="clear" w:color="auto" w:fill="FFFFFF"/>
        <w:spacing w:before="280" w:after="280"/>
        <w:jc w:val="both"/>
        <w:rPr>
          <w:rFonts w:ascii="Open Sans" w:eastAsia="Open Sans" w:hAnsi="Open Sans" w:cs="Open Sans"/>
          <w:sz w:val="22"/>
          <w:szCs w:val="22"/>
        </w:rPr>
      </w:pPr>
      <w:r>
        <w:lastRenderedPageBreak/>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hyperlink r:id="rId16">
        <w:r>
          <w:rPr>
            <w:rFonts w:ascii="Open Sans" w:eastAsia="Open Sans" w:hAnsi="Open Sans" w:cs="Open Sans"/>
            <w:color w:val="0000FF"/>
            <w:sz w:val="22"/>
            <w:szCs w:val="22"/>
            <w:u w:val="single"/>
          </w:rPr>
          <w:t>Adevinta</w:t>
        </w:r>
      </w:hyperlink>
      <w:r>
        <w:rPr>
          <w:rFonts w:ascii="Open Sans" w:eastAsia="Open Sans" w:hAnsi="Open Sans" w:cs="Open Sans"/>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560FDD02" w14:textId="77777777" w:rsidR="005B4627" w:rsidRDefault="00003ABD">
      <w:pPr>
        <w:shd w:val="clear" w:color="auto" w:fill="FFFFFF"/>
        <w:spacing w:before="280" w:after="280"/>
        <w:jc w:val="both"/>
        <w:rPr>
          <w:rFonts w:ascii="Times New Roman" w:eastAsia="Times New Roman" w:hAnsi="Times New Roman" w:cs="Times New Roman"/>
          <w:color w:val="222222"/>
          <w:sz w:val="22"/>
          <w:szCs w:val="22"/>
        </w:rPr>
      </w:pPr>
      <w:hyperlink r:id="rId17">
        <w:r w:rsidR="007F28F2">
          <w:rPr>
            <w:rFonts w:ascii="Open Sans" w:eastAsia="Open Sans" w:hAnsi="Open Sans" w:cs="Open Sans"/>
            <w:color w:val="0000FF"/>
            <w:sz w:val="22"/>
            <w:szCs w:val="22"/>
            <w:u w:val="single"/>
          </w:rPr>
          <w:t>Más información sobre Fotocasa</w:t>
        </w:r>
      </w:hyperlink>
      <w:r w:rsidR="007F28F2">
        <w:rPr>
          <w:rFonts w:ascii="Open Sans" w:eastAsia="Open Sans" w:hAnsi="Open Sans" w:cs="Open Sans"/>
          <w:sz w:val="22"/>
          <w:szCs w:val="22"/>
        </w:rPr>
        <w:t>.</w:t>
      </w:r>
    </w:p>
    <w:p w14:paraId="399E85E5" w14:textId="77777777" w:rsidR="005B4627" w:rsidRDefault="007F28F2">
      <w:pPr>
        <w:shd w:val="clear" w:color="auto" w:fill="FFFFFF"/>
        <w:spacing w:line="276" w:lineRule="auto"/>
        <w:jc w:val="both"/>
        <w:rPr>
          <w:rFonts w:ascii="Open Sans" w:eastAsia="Open Sans" w:hAnsi="Open Sans" w:cs="Open Sans"/>
          <w:sz w:val="22"/>
          <w:szCs w:val="22"/>
        </w:rPr>
      </w:pPr>
      <w:r>
        <w:rPr>
          <w:rFonts w:ascii="Open Sans" w:eastAsia="Open Sans" w:hAnsi="Open Sans" w:cs="Open Sans"/>
          <w:sz w:val="22"/>
          <w:szCs w:val="22"/>
        </w:rPr>
        <w:t>En España, </w:t>
      </w:r>
      <w:hyperlink r:id="rId18">
        <w:r>
          <w:rPr>
            <w:rFonts w:ascii="Open Sans" w:eastAsia="Open Sans" w:hAnsi="Open Sans" w:cs="Open Sans"/>
            <w:color w:val="0000FF"/>
            <w:sz w:val="22"/>
            <w:szCs w:val="22"/>
            <w:u w:val="single"/>
          </w:rPr>
          <w:t>Adevinta</w:t>
        </w:r>
      </w:hyperlink>
      <w:r>
        <w:rPr>
          <w:rFonts w:ascii="Open Sans" w:eastAsia="Open Sans" w:hAnsi="Open Sans" w:cs="Open Sans"/>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9">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hyperlink r:id="rId20">
        <w:r>
          <w:rPr>
            <w:rFonts w:ascii="Open Sans" w:eastAsia="Open Sans" w:hAnsi="Open Sans" w:cs="Open Sans"/>
            <w:color w:val="0000FF"/>
            <w:sz w:val="22"/>
            <w:szCs w:val="22"/>
            <w:u w:val="single"/>
          </w:rPr>
          <w:t>habitaclia</w:t>
        </w:r>
      </w:hyperlink>
      <w:r>
        <w:rPr>
          <w:rFonts w:ascii="Open Sans" w:eastAsia="Open Sans" w:hAnsi="Open Sans" w:cs="Open Sans"/>
          <w:sz w:val="22"/>
          <w:szCs w:val="22"/>
        </w:rPr>
        <w:t>), empleo (</w:t>
      </w:r>
      <w:hyperlink r:id="rId21">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22">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3">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hyperlink r:id="rId24">
        <w:r>
          <w:rPr>
            <w:rFonts w:ascii="Open Sans" w:eastAsia="Open Sans" w:hAnsi="Open Sans" w:cs="Open Sans"/>
            <w:color w:val="0000FF"/>
            <w:sz w:val="22"/>
            <w:szCs w:val="22"/>
            <w:u w:val="single"/>
          </w:rPr>
          <w:t>Milanuncios</w:t>
        </w:r>
      </w:hyperlink>
      <w:r>
        <w:rPr>
          <w:rFonts w:ascii="Open Sans" w:eastAsia="Open Sans" w:hAnsi="Open Sans" w:cs="Open Sans"/>
          <w:sz w:val="22"/>
          <w:szCs w:val="22"/>
        </w:rPr>
        <w:t> y </w:t>
      </w:r>
      <w:hyperlink r:id="rId25">
        <w:r>
          <w:rPr>
            <w:rFonts w:ascii="Open Sans" w:eastAsia="Open Sans" w:hAnsi="Open Sans" w:cs="Open Sans"/>
            <w:color w:val="0000FF"/>
            <w:sz w:val="22"/>
            <w:szCs w:val="22"/>
            <w:u w:val="single"/>
          </w:rPr>
          <w:t>vibbo</w:t>
        </w:r>
      </w:hyperlink>
      <w:r>
        <w:rPr>
          <w:rFonts w:ascii="Open Sans" w:eastAsia="Open Sans" w:hAnsi="Open Sans" w:cs="Open Sans"/>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118378D0" w14:textId="77777777" w:rsidR="005B4627" w:rsidRDefault="005B4627">
      <w:pPr>
        <w:shd w:val="clear" w:color="auto" w:fill="FFFFFF"/>
        <w:spacing w:line="276" w:lineRule="auto"/>
        <w:jc w:val="both"/>
        <w:rPr>
          <w:rFonts w:ascii="Open Sans" w:eastAsia="Open Sans" w:hAnsi="Open Sans" w:cs="Open Sans"/>
          <w:sz w:val="21"/>
          <w:szCs w:val="21"/>
        </w:rPr>
      </w:pPr>
    </w:p>
    <w:p w14:paraId="7BBE7623" w14:textId="77777777" w:rsidR="005B4627" w:rsidRDefault="007F28F2">
      <w:pPr>
        <w:shd w:val="clear" w:color="auto" w:fill="FFFFFF"/>
        <w:spacing w:line="276" w:lineRule="auto"/>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26">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54C70DDB" w14:textId="77777777" w:rsidR="005B4627" w:rsidRDefault="005B4627">
      <w:pPr>
        <w:shd w:val="clear" w:color="auto" w:fill="FFFFFF"/>
        <w:spacing w:line="276" w:lineRule="auto"/>
        <w:jc w:val="both"/>
        <w:rPr>
          <w:rFonts w:ascii="Open Sans" w:eastAsia="Open Sans" w:hAnsi="Open Sans" w:cs="Open Sans"/>
          <w:sz w:val="21"/>
          <w:szCs w:val="21"/>
        </w:rPr>
      </w:pPr>
    </w:p>
    <w:p w14:paraId="736B6F2F" w14:textId="77777777" w:rsidR="005B4627" w:rsidRDefault="005B4627">
      <w:pPr>
        <w:spacing w:line="276" w:lineRule="auto"/>
        <w:rPr>
          <w:rFonts w:ascii="Open Sans Light" w:eastAsia="Open Sans Light" w:hAnsi="Open Sans Light" w:cs="Open Sans Light"/>
          <w:b/>
          <w:color w:val="303AB2"/>
          <w:sz w:val="22"/>
          <w:szCs w:val="22"/>
        </w:rPr>
      </w:pPr>
    </w:p>
    <w:p w14:paraId="7B955C1A" w14:textId="5481E0B0" w:rsidR="005B4627" w:rsidRDefault="007F28F2">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2BFB3F5E" w14:textId="0AD007B7" w:rsidR="005B4627" w:rsidRDefault="007F28F2">
      <w:pPr>
        <w:shd w:val="clear" w:color="auto" w:fill="FFFFFF"/>
        <w:spacing w:line="276" w:lineRule="auto"/>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t xml:space="preserve">                    </w:t>
      </w:r>
      <w:r w:rsidR="009D5B8E">
        <w:rPr>
          <w:rFonts w:ascii="Open Sans" w:eastAsia="Open Sans" w:hAnsi="Open Sans" w:cs="Open Sans"/>
          <w:b/>
          <w:sz w:val="19"/>
          <w:szCs w:val="19"/>
        </w:rPr>
        <w:t xml:space="preserve">         </w:t>
      </w:r>
      <w:r>
        <w:rPr>
          <w:rFonts w:ascii="Open Sans" w:eastAsia="Open Sans" w:hAnsi="Open Sans" w:cs="Open Sans"/>
          <w:b/>
          <w:sz w:val="19"/>
          <w:szCs w:val="19"/>
        </w:rPr>
        <w:t xml:space="preserve">Anaïs López </w:t>
      </w:r>
    </w:p>
    <w:p w14:paraId="60BABE9B" w14:textId="77777777" w:rsidR="005B4627" w:rsidRDefault="00003ABD">
      <w:pPr>
        <w:shd w:val="clear" w:color="auto" w:fill="FFFFFF"/>
        <w:spacing w:line="276" w:lineRule="auto"/>
        <w:rPr>
          <w:rFonts w:ascii="Open Sans" w:eastAsia="Open Sans" w:hAnsi="Open Sans" w:cs="Open Sans"/>
          <w:color w:val="0000FF"/>
          <w:sz w:val="19"/>
          <w:szCs w:val="19"/>
          <w:u w:val="single"/>
        </w:rPr>
      </w:pPr>
      <w:hyperlink r:id="rId27">
        <w:r w:rsidR="007F28F2">
          <w:rPr>
            <w:rFonts w:ascii="Open Sans" w:eastAsia="Open Sans" w:hAnsi="Open Sans" w:cs="Open Sans"/>
            <w:color w:val="0000FF"/>
            <w:sz w:val="19"/>
            <w:szCs w:val="19"/>
            <w:u w:val="single"/>
          </w:rPr>
          <w:t>rtorne@llorenteycuenca.com</w:t>
        </w:r>
      </w:hyperlink>
      <w:r w:rsidR="007F28F2">
        <w:rPr>
          <w:rFonts w:ascii="Open Sans" w:eastAsia="Open Sans" w:hAnsi="Open Sans" w:cs="Open Sans"/>
          <w:color w:val="0000FF"/>
          <w:sz w:val="19"/>
          <w:szCs w:val="19"/>
        </w:rPr>
        <w:tab/>
      </w:r>
      <w:r w:rsidR="007F28F2">
        <w:rPr>
          <w:rFonts w:ascii="Open Sans" w:eastAsia="Open Sans" w:hAnsi="Open Sans" w:cs="Open Sans"/>
          <w:color w:val="0000FF"/>
          <w:sz w:val="19"/>
          <w:szCs w:val="19"/>
        </w:rPr>
        <w:tab/>
      </w:r>
      <w:r w:rsidR="007F28F2">
        <w:rPr>
          <w:rFonts w:ascii="Open Sans" w:eastAsia="Open Sans" w:hAnsi="Open Sans" w:cs="Open Sans"/>
          <w:color w:val="0000FF"/>
          <w:sz w:val="19"/>
          <w:szCs w:val="19"/>
        </w:rPr>
        <w:tab/>
        <w:t xml:space="preserve">                                               </w:t>
      </w:r>
      <w:hyperlink r:id="rId28">
        <w:r w:rsidR="007F28F2">
          <w:rPr>
            <w:rFonts w:ascii="Open Sans" w:eastAsia="Open Sans" w:hAnsi="Open Sans" w:cs="Open Sans"/>
            <w:color w:val="0000FF"/>
            <w:sz w:val="19"/>
            <w:szCs w:val="19"/>
            <w:u w:val="single"/>
          </w:rPr>
          <w:t>comunicacion@fotocasa.es</w:t>
        </w:r>
      </w:hyperlink>
    </w:p>
    <w:p w14:paraId="772F28C1" w14:textId="362EFE4A" w:rsidR="005B4627" w:rsidRDefault="007F28F2">
      <w:pPr>
        <w:shd w:val="clear" w:color="auto" w:fill="FFFFFF"/>
        <w:spacing w:line="276" w:lineRule="auto"/>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w:t>
      </w:r>
      <w:r w:rsidR="009D5B8E">
        <w:rPr>
          <w:rFonts w:ascii="Open Sans" w:eastAsia="Open Sans" w:hAnsi="Open Sans" w:cs="Open Sans"/>
          <w:sz w:val="19"/>
          <w:szCs w:val="19"/>
        </w:rPr>
        <w:t xml:space="preserve">              </w:t>
      </w:r>
      <w:r>
        <w:rPr>
          <w:rFonts w:ascii="Open Sans" w:eastAsia="Open Sans" w:hAnsi="Open Sans" w:cs="Open Sans"/>
          <w:sz w:val="19"/>
          <w:szCs w:val="19"/>
        </w:rPr>
        <w:t xml:space="preserve">     620 66 29 26</w:t>
      </w:r>
    </w:p>
    <w:p w14:paraId="673B7C42" w14:textId="77777777" w:rsidR="005B4627" w:rsidRDefault="007F28F2">
      <w:pPr>
        <w:shd w:val="clear" w:color="auto" w:fill="FFFFFF"/>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701ACB76" w14:textId="77777777" w:rsidR="005B4627" w:rsidRDefault="007F28F2">
      <w:pPr>
        <w:shd w:val="clear" w:color="auto" w:fill="FFFFFF"/>
        <w:rPr>
          <w:rFonts w:ascii="Open Sans" w:eastAsia="Open Sans" w:hAnsi="Open Sans" w:cs="Open Sans"/>
          <w:b/>
          <w:sz w:val="19"/>
          <w:szCs w:val="19"/>
        </w:rPr>
      </w:pPr>
      <w:r>
        <w:rPr>
          <w:rFonts w:ascii="Open Sans" w:eastAsia="Open Sans" w:hAnsi="Open Sans" w:cs="Open Sans"/>
          <w:b/>
          <w:sz w:val="19"/>
          <w:szCs w:val="19"/>
        </w:rPr>
        <w:t>Fanny Merino</w:t>
      </w:r>
    </w:p>
    <w:p w14:paraId="4EFC65C0" w14:textId="77777777" w:rsidR="005B4627" w:rsidRDefault="00003ABD">
      <w:pPr>
        <w:shd w:val="clear" w:color="auto" w:fill="FFFFFF"/>
        <w:rPr>
          <w:rFonts w:ascii="Open Sans" w:eastAsia="Open Sans" w:hAnsi="Open Sans" w:cs="Open Sans"/>
          <w:color w:val="0000FF"/>
          <w:sz w:val="19"/>
          <w:szCs w:val="19"/>
        </w:rPr>
      </w:pPr>
      <w:hyperlink r:id="rId29">
        <w:r w:rsidR="007F28F2">
          <w:rPr>
            <w:rFonts w:ascii="Open Sans" w:eastAsia="Open Sans" w:hAnsi="Open Sans" w:cs="Open Sans"/>
            <w:color w:val="0000FF"/>
            <w:sz w:val="19"/>
            <w:szCs w:val="19"/>
            <w:u w:val="single"/>
          </w:rPr>
          <w:t>emerino@llorenteycuenca.com</w:t>
        </w:r>
      </w:hyperlink>
    </w:p>
    <w:p w14:paraId="43D86891" w14:textId="77777777" w:rsidR="005B4627" w:rsidRDefault="007F28F2">
      <w:pPr>
        <w:shd w:val="clear" w:color="auto" w:fill="FFFFFF"/>
        <w:rPr>
          <w:rFonts w:ascii="Open Sans" w:eastAsia="Open Sans" w:hAnsi="Open Sans" w:cs="Open Sans"/>
          <w:sz w:val="21"/>
          <w:szCs w:val="21"/>
        </w:rPr>
      </w:pPr>
      <w:r>
        <w:rPr>
          <w:rFonts w:ascii="Open Sans" w:eastAsia="Open Sans" w:hAnsi="Open Sans" w:cs="Open Sans"/>
          <w:sz w:val="19"/>
          <w:szCs w:val="19"/>
        </w:rPr>
        <w:t>663 35 69 75 </w:t>
      </w:r>
    </w:p>
    <w:p w14:paraId="60305924" w14:textId="77777777" w:rsidR="005B4627" w:rsidRDefault="005B4627">
      <w:pPr>
        <w:shd w:val="clear" w:color="auto" w:fill="FFFFFF"/>
        <w:rPr>
          <w:rFonts w:ascii="Open Sans" w:eastAsia="Open Sans" w:hAnsi="Open Sans" w:cs="Open Sans"/>
          <w:sz w:val="21"/>
          <w:szCs w:val="21"/>
        </w:rPr>
      </w:pPr>
    </w:p>
    <w:p w14:paraId="39D8AB72" w14:textId="77777777" w:rsidR="005B4627" w:rsidRDefault="005B4627">
      <w:pPr>
        <w:spacing w:line="276" w:lineRule="auto"/>
        <w:jc w:val="right"/>
      </w:pPr>
    </w:p>
    <w:sectPr w:rsidR="005B4627">
      <w:footerReference w:type="default" r:id="rId30"/>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F04A" w14:textId="77777777" w:rsidR="00003ABD" w:rsidRDefault="00003ABD">
      <w:r>
        <w:separator/>
      </w:r>
    </w:p>
  </w:endnote>
  <w:endnote w:type="continuationSeparator" w:id="0">
    <w:p w14:paraId="52607464" w14:textId="77777777" w:rsidR="00003ABD" w:rsidRDefault="0000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71F4" w14:textId="77777777" w:rsidR="005B4627" w:rsidRDefault="005B462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9787" w14:textId="77777777" w:rsidR="00003ABD" w:rsidRDefault="00003ABD">
      <w:r>
        <w:separator/>
      </w:r>
    </w:p>
  </w:footnote>
  <w:footnote w:type="continuationSeparator" w:id="0">
    <w:p w14:paraId="7901097F" w14:textId="77777777" w:rsidR="00003ABD" w:rsidRDefault="00003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E63A3"/>
    <w:multiLevelType w:val="multilevel"/>
    <w:tmpl w:val="513E1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627"/>
    <w:rsid w:val="00003ABD"/>
    <w:rsid w:val="00384D4A"/>
    <w:rsid w:val="005B4627"/>
    <w:rsid w:val="007F28F2"/>
    <w:rsid w:val="009B271B"/>
    <w:rsid w:val="009D5B8E"/>
    <w:rsid w:val="00D23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B6F9"/>
  <w15:docId w15:val="{CEB118C6-9A38-4E91-A028-140D9B69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C0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Sinespaciado">
    <w:name w:val="No Spacing"/>
    <w:uiPriority w:val="1"/>
    <w:qFormat/>
    <w:rsid w:val="00596244"/>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adevinta.com/"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fotocasa.es/es/quienes-somos/" TargetMode="External"/><Relationship Id="rId25" Type="http://schemas.openxmlformats.org/officeDocument/2006/relationships/hyperlink" Target="https://www.vibbo.com/" TargetMode="External"/><Relationship Id="rId2" Type="http://schemas.openxmlformats.org/officeDocument/2006/relationships/numbering" Target="numbering.xml"/><Relationship Id="rId16" Type="http://schemas.openxmlformats.org/officeDocument/2006/relationships/hyperlink" Target="https://www.adevinta.com/" TargetMode="External"/><Relationship Id="rId20" Type="http://schemas.openxmlformats.org/officeDocument/2006/relationships/hyperlink" Target="https://www.habitaclia.com/"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milanuncios.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hyperlink" Target="mailto:comunicacion@fotocasa.es" TargetMode="External"/><Relationship Id="rId10" Type="http://schemas.openxmlformats.org/officeDocument/2006/relationships/chart" Target="charts/chart1.xml"/><Relationship Id="rId19" Type="http://schemas.openxmlformats.org/officeDocument/2006/relationships/hyperlink" Target="http://www.fotocasa.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image" Target="media/image3.png"/><Relationship Id="rId22" Type="http://schemas.openxmlformats.org/officeDocument/2006/relationships/hyperlink" Target="https://www.coches.net/" TargetMode="External"/><Relationship Id="rId27" Type="http://schemas.openxmlformats.org/officeDocument/2006/relationships/hyperlink" Target="mailto:rtorne@llorenteycuenca.com"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3-NOTAS%20DE%20PRENSA\01-VENTA\01-NOTAS%20DE%20PRENSA\2021\12-DICIEMBRE\PRENSA%20VENTA%20202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rani\Google%20Drive\PATRI%20Y%20ELENA\001%20CLIENTES\01-SCHIBSTED\03-NOTAS%20DE%20PRENSA\01-VENTA\01-NOTAS%20DE%20PRENSA\2021\12-DICIEMBRE\PRENSA%20VENTA%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88654200919776E-2"/>
          <c:y val="3.8958326303451619E-2"/>
          <c:w val="0.9222456346037563"/>
          <c:h val="0.80978533955372878"/>
        </c:manualLayout>
      </c:layout>
      <c:barChart>
        <c:barDir val="col"/>
        <c:grouping val="clustered"/>
        <c:varyColors val="0"/>
        <c:ser>
          <c:idx val="0"/>
          <c:order val="0"/>
          <c:tx>
            <c:strRef>
              <c:f>Hoja5!$B$24</c:f>
              <c:strCache>
                <c:ptCount val="1"/>
                <c:pt idx="0">
                  <c:v>% Anual</c:v>
                </c:pt>
              </c:strCache>
            </c:strRef>
          </c:tx>
          <c:spPr>
            <a:solidFill>
              <a:schemeClr val="accent5">
                <a:lumMod val="50000"/>
              </a:schemeClr>
            </a:solidFill>
            <a:ln>
              <a:noFill/>
            </a:ln>
            <a:effectLst/>
          </c:spPr>
          <c:invertIfNegative val="0"/>
          <c:dPt>
            <c:idx val="1"/>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01-C883-4E41-A3FC-26FFA5F003D3}"/>
              </c:ext>
            </c:extLst>
          </c:dPt>
          <c:dPt>
            <c:idx val="2"/>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03-C883-4E41-A3FC-26FFA5F003D3}"/>
              </c:ext>
            </c:extLst>
          </c:dPt>
          <c:dPt>
            <c:idx val="3"/>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05-C883-4E41-A3FC-26FFA5F003D3}"/>
              </c:ext>
            </c:extLst>
          </c:dPt>
          <c:dPt>
            <c:idx val="4"/>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07-C883-4E41-A3FC-26FFA5F003D3}"/>
              </c:ext>
            </c:extLst>
          </c:dPt>
          <c:dPt>
            <c:idx val="5"/>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09-C883-4E41-A3FC-26FFA5F003D3}"/>
              </c:ext>
            </c:extLst>
          </c:dPt>
          <c:dPt>
            <c:idx val="6"/>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0B-C883-4E41-A3FC-26FFA5F003D3}"/>
              </c:ext>
            </c:extLst>
          </c:dPt>
          <c:dPt>
            <c:idx val="7"/>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0D-C883-4E41-A3FC-26FFA5F003D3}"/>
              </c:ext>
            </c:extLst>
          </c:dPt>
          <c:dPt>
            <c:idx val="8"/>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0F-C883-4E41-A3FC-26FFA5F003D3}"/>
              </c:ext>
            </c:extLst>
          </c:dPt>
          <c:dPt>
            <c:idx val="9"/>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11-C883-4E41-A3FC-26FFA5F003D3}"/>
              </c:ext>
            </c:extLst>
          </c:dPt>
          <c:dPt>
            <c:idx val="13"/>
            <c:invertIfNegative val="0"/>
            <c:bubble3D val="0"/>
            <c:spPr>
              <a:solidFill>
                <a:srgbClr val="ED7D31">
                  <a:lumMod val="20000"/>
                  <a:lumOff val="80000"/>
                </a:srgbClr>
              </a:solidFill>
              <a:ln>
                <a:noFill/>
              </a:ln>
              <a:effectLst/>
            </c:spPr>
            <c:extLst>
              <c:ext xmlns:c16="http://schemas.microsoft.com/office/drawing/2014/chart" uri="{C3380CC4-5D6E-409C-BE32-E72D297353CC}">
                <c16:uniqueId val="{00000013-C883-4E41-A3FC-26FFA5F003D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Hoja5!$A$26:$A$41</c:f>
              <c:numCache>
                <c:formatCode>0</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Hoja5!$B$26:$B$41</c:f>
              <c:numCache>
                <c:formatCode>#,##0.0"%"</c:formatCode>
                <c:ptCount val="16"/>
                <c:pt idx="0">
                  <c:v>7.7390781682789234</c:v>
                </c:pt>
                <c:pt idx="1">
                  <c:v>-1.0632025958751234</c:v>
                </c:pt>
                <c:pt idx="2">
                  <c:v>-8.6839090515904651</c:v>
                </c:pt>
                <c:pt idx="3">
                  <c:v>-10.012215323599216</c:v>
                </c:pt>
                <c:pt idx="4">
                  <c:v>-3.8230590429779832</c:v>
                </c:pt>
                <c:pt idx="5">
                  <c:v>-6.6119048129794411</c:v>
                </c:pt>
                <c:pt idx="6">
                  <c:v>-10.487149620630898</c:v>
                </c:pt>
                <c:pt idx="7">
                  <c:v>-8.4690842844419301</c:v>
                </c:pt>
                <c:pt idx="8">
                  <c:v>-5.7154117655351495</c:v>
                </c:pt>
                <c:pt idx="9">
                  <c:v>-0.75204656470218012</c:v>
                </c:pt>
                <c:pt idx="10">
                  <c:v>1.8558188866605763</c:v>
                </c:pt>
                <c:pt idx="11">
                  <c:v>5.0916983954652828</c:v>
                </c:pt>
                <c:pt idx="12">
                  <c:v>7.8397207719156592</c:v>
                </c:pt>
                <c:pt idx="13">
                  <c:v>-1.2614646874092861</c:v>
                </c:pt>
                <c:pt idx="14">
                  <c:v>1.6389800938417798</c:v>
                </c:pt>
                <c:pt idx="15">
                  <c:v>1.6701227670837149</c:v>
                </c:pt>
              </c:numCache>
            </c:numRef>
          </c:val>
          <c:extLst>
            <c:ext xmlns:c16="http://schemas.microsoft.com/office/drawing/2014/chart" uri="{C3380CC4-5D6E-409C-BE32-E72D297353CC}">
              <c16:uniqueId val="{00000014-C883-4E41-A3FC-26FFA5F003D3}"/>
            </c:ext>
          </c:extLst>
        </c:ser>
        <c:dLbls>
          <c:showLegendKey val="0"/>
          <c:showVal val="0"/>
          <c:showCatName val="0"/>
          <c:showSerName val="0"/>
          <c:showPercent val="0"/>
          <c:showBubbleSize val="0"/>
        </c:dLbls>
        <c:gapWidth val="100"/>
        <c:overlap val="-11"/>
        <c:axId val="221043183"/>
        <c:axId val="223407807"/>
      </c:barChart>
      <c:catAx>
        <c:axId val="221043183"/>
        <c:scaling>
          <c:orientation val="minMax"/>
        </c:scaling>
        <c:delete val="0"/>
        <c:axPos val="b"/>
        <c:numFmt formatCode="0" sourceLinked="1"/>
        <c:majorTickMark val="cross"/>
        <c:minorTickMark val="none"/>
        <c:tickLblPos val="low"/>
        <c:spPr>
          <a:noFill/>
          <a:ln w="1905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23407807"/>
        <c:crosses val="autoZero"/>
        <c:auto val="1"/>
        <c:lblAlgn val="ctr"/>
        <c:lblOffset val="100"/>
        <c:noMultiLvlLbl val="0"/>
      </c:catAx>
      <c:valAx>
        <c:axId val="223407807"/>
        <c:scaling>
          <c:orientation val="minMax"/>
        </c:scaling>
        <c:delete val="1"/>
        <c:axPos val="l"/>
        <c:numFmt formatCode="#,##0.0&quot;%&quot;" sourceLinked="1"/>
        <c:majorTickMark val="none"/>
        <c:minorTickMark val="none"/>
        <c:tickLblPos val="nextTo"/>
        <c:crossAx val="22104318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551368578927642E-2"/>
          <c:y val="6.8551842330762641E-2"/>
          <c:w val="0.92116733758895042"/>
          <c:h val="0.55949908575052798"/>
        </c:manualLayout>
      </c:layout>
      <c:barChart>
        <c:barDir val="col"/>
        <c:grouping val="clustered"/>
        <c:varyColors val="0"/>
        <c:ser>
          <c:idx val="0"/>
          <c:order val="0"/>
          <c:spPr>
            <a:solidFill>
              <a:srgbClr val="4472C4">
                <a:lumMod val="50000"/>
              </a:srgbClr>
            </a:solidFill>
            <a:ln>
              <a:noFill/>
            </a:ln>
            <a:effectLst/>
          </c:spPr>
          <c:invertIfNegative val="0"/>
          <c:dPt>
            <c:idx val="8"/>
            <c:invertIfNegative val="0"/>
            <c:bubble3D val="0"/>
            <c:spPr>
              <a:solidFill>
                <a:srgbClr val="FFC000"/>
              </a:solidFill>
              <a:ln>
                <a:noFill/>
              </a:ln>
              <a:effectLst/>
            </c:spPr>
            <c:extLst>
              <c:ext xmlns:c16="http://schemas.microsoft.com/office/drawing/2014/chart" uri="{C3380CC4-5D6E-409C-BE32-E72D297353CC}">
                <c16:uniqueId val="{00000001-7023-4FFF-96B2-A161880D0E0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CCAA!$B$37:$B$54</c:f>
              <c:strCache>
                <c:ptCount val="18"/>
                <c:pt idx="0">
                  <c:v> La Rioja </c:v>
                </c:pt>
                <c:pt idx="1">
                  <c:v> Andalucía </c:v>
                </c:pt>
                <c:pt idx="2">
                  <c:v> Baleares </c:v>
                </c:pt>
                <c:pt idx="3">
                  <c:v> Aragón </c:v>
                </c:pt>
                <c:pt idx="4">
                  <c:v> Cataluña </c:v>
                </c:pt>
                <c:pt idx="5">
                  <c:v> Galicia </c:v>
                </c:pt>
                <c:pt idx="6">
                  <c:v> Madrid </c:v>
                </c:pt>
                <c:pt idx="7">
                  <c:v> Cantabria </c:v>
                </c:pt>
                <c:pt idx="8">
                  <c:v> España </c:v>
                </c:pt>
                <c:pt idx="9">
                  <c:v> Castilla y León </c:v>
                </c:pt>
                <c:pt idx="10">
                  <c:v> Canarias </c:v>
                </c:pt>
                <c:pt idx="11">
                  <c:v> Comunitat Valenciana </c:v>
                </c:pt>
                <c:pt idx="12">
                  <c:v> País Vasco </c:v>
                </c:pt>
                <c:pt idx="13">
                  <c:v> Asturias </c:v>
                </c:pt>
                <c:pt idx="14">
                  <c:v> Región de Murcia </c:v>
                </c:pt>
                <c:pt idx="15">
                  <c:v> Castilla-La Mancha </c:v>
                </c:pt>
                <c:pt idx="16">
                  <c:v> Extremadura </c:v>
                </c:pt>
                <c:pt idx="17">
                  <c:v> Navarra </c:v>
                </c:pt>
              </c:strCache>
            </c:strRef>
          </c:cat>
          <c:val>
            <c:numRef>
              <c:f>CCAA!$C$37:$C$54</c:f>
              <c:numCache>
                <c:formatCode>#,##0.0"%"</c:formatCode>
                <c:ptCount val="18"/>
                <c:pt idx="0">
                  <c:v>5.4033301576919213</c:v>
                </c:pt>
                <c:pt idx="1">
                  <c:v>3.9158379820519098</c:v>
                </c:pt>
                <c:pt idx="2">
                  <c:v>3.4383523398406446</c:v>
                </c:pt>
                <c:pt idx="3">
                  <c:v>3.2664570706252061</c:v>
                </c:pt>
                <c:pt idx="4">
                  <c:v>2.5722383715070185</c:v>
                </c:pt>
                <c:pt idx="5">
                  <c:v>2.5161586728175589</c:v>
                </c:pt>
                <c:pt idx="6">
                  <c:v>2.0980255607976339</c:v>
                </c:pt>
                <c:pt idx="7">
                  <c:v>1.9184679777535685</c:v>
                </c:pt>
                <c:pt idx="8">
                  <c:v>1.6701227670837149</c:v>
                </c:pt>
                <c:pt idx="9">
                  <c:v>0.92395862454570654</c:v>
                </c:pt>
                <c:pt idx="10">
                  <c:v>0.89967670522423937</c:v>
                </c:pt>
                <c:pt idx="11">
                  <c:v>0.75940556154943106</c:v>
                </c:pt>
                <c:pt idx="12">
                  <c:v>-0.30164764649108777</c:v>
                </c:pt>
                <c:pt idx="13">
                  <c:v>-0.71122221094305216</c:v>
                </c:pt>
                <c:pt idx="14">
                  <c:v>-1.1134337640798964</c:v>
                </c:pt>
                <c:pt idx="15">
                  <c:v>-1.3641766156357038</c:v>
                </c:pt>
                <c:pt idx="16">
                  <c:v>-2.3581637627979934</c:v>
                </c:pt>
                <c:pt idx="17">
                  <c:v>-4.850364250756023</c:v>
                </c:pt>
              </c:numCache>
            </c:numRef>
          </c:val>
          <c:extLst>
            <c:ext xmlns:c16="http://schemas.microsoft.com/office/drawing/2014/chart" uri="{C3380CC4-5D6E-409C-BE32-E72D297353CC}">
              <c16:uniqueId val="{00000002-7023-4FFF-96B2-A161880D0E0D}"/>
            </c:ext>
          </c:extLst>
        </c:ser>
        <c:dLbls>
          <c:showLegendKey val="0"/>
          <c:showVal val="0"/>
          <c:showCatName val="0"/>
          <c:showSerName val="0"/>
          <c:showPercent val="0"/>
          <c:showBubbleSize val="0"/>
        </c:dLbls>
        <c:gapWidth val="100"/>
        <c:overlap val="-11"/>
        <c:axId val="221043183"/>
        <c:axId val="223407807"/>
      </c:barChart>
      <c:catAx>
        <c:axId val="221043183"/>
        <c:scaling>
          <c:orientation val="minMax"/>
        </c:scaling>
        <c:delete val="0"/>
        <c:axPos val="b"/>
        <c:numFmt formatCode="General" sourceLinked="1"/>
        <c:majorTickMark val="cross"/>
        <c:minorTickMark val="none"/>
        <c:tickLblPos val="low"/>
        <c:spPr>
          <a:noFill/>
          <a:ln w="1905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23407807"/>
        <c:crosses val="autoZero"/>
        <c:auto val="1"/>
        <c:lblAlgn val="ctr"/>
        <c:lblOffset val="100"/>
        <c:noMultiLvlLbl val="0"/>
      </c:catAx>
      <c:valAx>
        <c:axId val="223407807"/>
        <c:scaling>
          <c:orientation val="minMax"/>
        </c:scaling>
        <c:delete val="1"/>
        <c:axPos val="l"/>
        <c:numFmt formatCode="#,##0.0&quot;%&quot;" sourceLinked="1"/>
        <c:majorTickMark val="none"/>
        <c:minorTickMark val="none"/>
        <c:tickLblPos val="nextTo"/>
        <c:crossAx val="22104318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5miQXIeWpgBE/oEGvNXAjmGBg==">AMUW2mV3zmR6WRjh8EsnLx227NCPm2yP/fZpNzVcFZTYutz3ymBD/AFX5wNF2NDIXr9DkR6D2EoG7a/bKMTeEb9DVh60iV28osyg6dt3fm6fhih0vFErZeC7Cf8Mcus4GUaa7TWdKE0FAgzv33wwDxOOR2qH7zuPcyQOpihmv3rZJde82B2ds2EQ+P69fRGPvjvy8REw7ZSO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4467</Words>
  <Characters>24572</Characters>
  <Application>Microsoft Office Word</Application>
  <DocSecurity>0</DocSecurity>
  <Lines>204</Lines>
  <Paragraphs>57</Paragraphs>
  <ScaleCrop>false</ScaleCrop>
  <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Anais Garcia</cp:lastModifiedBy>
  <cp:revision>5</cp:revision>
  <cp:lastPrinted>2022-01-10T12:12:00Z</cp:lastPrinted>
  <dcterms:created xsi:type="dcterms:W3CDTF">2020-01-08T11:42:00Z</dcterms:created>
  <dcterms:modified xsi:type="dcterms:W3CDTF">2022-01-10T13:39:00Z</dcterms:modified>
</cp:coreProperties>
</file>