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780A" w14:textId="77777777" w:rsidR="00D867CD" w:rsidRDefault="00C42ED8">
      <w:pPr>
        <w:ind w:right="-574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C7535A2" wp14:editId="3797801D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3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8AD4B3" w14:textId="77777777" w:rsidR="00D867CD" w:rsidRDefault="00D867CD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120EB24B" w14:textId="77777777" w:rsidR="00D867CD" w:rsidRDefault="00D867CD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58DAA3DD" w14:textId="77777777" w:rsidR="00D867CD" w:rsidRDefault="00D867CD">
      <w:pPr>
        <w:ind w:right="-574"/>
        <w:rPr>
          <w:rFonts w:ascii="National" w:eastAsia="National" w:hAnsi="National" w:cs="National"/>
          <w:color w:val="303AB2"/>
          <w:sz w:val="16"/>
          <w:szCs w:val="16"/>
        </w:rPr>
      </w:pPr>
    </w:p>
    <w:p w14:paraId="56CD2D1A" w14:textId="77777777" w:rsidR="00D867CD" w:rsidRDefault="00C42ED8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8"/>
          <w:szCs w:val="38"/>
        </w:rPr>
      </w:pPr>
      <w:bookmarkStart w:id="1" w:name="_heading=h.30j0zll" w:colFirst="0" w:colLast="0"/>
      <w:bookmarkEnd w:id="1"/>
      <w:r>
        <w:rPr>
          <w:rFonts w:ascii="National" w:eastAsia="National" w:hAnsi="National" w:cs="National"/>
          <w:b/>
          <w:color w:val="1DBDC5"/>
          <w:sz w:val="38"/>
          <w:szCs w:val="38"/>
        </w:rPr>
        <w:t xml:space="preserve">ANÁLISIS RENTABILIDAD VIVIENDA </w:t>
      </w:r>
    </w:p>
    <w:p w14:paraId="184813CB" w14:textId="556EBE12" w:rsidR="00D867CD" w:rsidRPr="00AE636C" w:rsidRDefault="00C42ED8">
      <w:pPr>
        <w:ind w:right="-574"/>
        <w:jc w:val="center"/>
        <w:rPr>
          <w:rFonts w:ascii="National" w:eastAsia="National" w:hAnsi="National" w:cs="National"/>
          <w:b/>
          <w:color w:val="303AB2"/>
          <w:sz w:val="44"/>
          <w:szCs w:val="44"/>
        </w:rPr>
      </w:pPr>
      <w:r w:rsidRPr="00AE636C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La rentabilidad de la vivienda se sitúa </w:t>
      </w:r>
      <w:r w:rsidR="00AE636C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en 2021 </w:t>
      </w:r>
      <w:r w:rsidRPr="00AE636C">
        <w:rPr>
          <w:rFonts w:ascii="National" w:eastAsia="National" w:hAnsi="National" w:cs="National"/>
          <w:b/>
          <w:color w:val="303AB2"/>
          <w:sz w:val="44"/>
          <w:szCs w:val="44"/>
        </w:rPr>
        <w:t xml:space="preserve">en un 6,5% y cae </w:t>
      </w:r>
      <w:r w:rsidRPr="00AE636C">
        <w:rPr>
          <w:rFonts w:ascii="National" w:eastAsia="National" w:hAnsi="National" w:cs="National"/>
          <w:b/>
          <w:color w:val="303AB2"/>
          <w:sz w:val="48"/>
          <w:szCs w:val="48"/>
        </w:rPr>
        <w:t xml:space="preserve">después de 10 años de subidas </w:t>
      </w:r>
      <w:r w:rsidRPr="00AE636C">
        <w:rPr>
          <w:rFonts w:ascii="National" w:eastAsia="National" w:hAnsi="National" w:cs="National"/>
          <w:b/>
          <w:color w:val="303AB2"/>
          <w:sz w:val="44"/>
          <w:szCs w:val="44"/>
        </w:rPr>
        <w:t>en España</w:t>
      </w:r>
    </w:p>
    <w:p w14:paraId="202C01F4" w14:textId="77777777" w:rsidR="00D867CD" w:rsidRDefault="00D867CD">
      <w:pPr>
        <w:ind w:right="-574"/>
        <w:rPr>
          <w:rFonts w:ascii="National" w:eastAsia="National" w:hAnsi="National" w:cs="National"/>
          <w:b/>
          <w:color w:val="303AB2"/>
          <w:sz w:val="16"/>
          <w:szCs w:val="16"/>
        </w:rPr>
      </w:pPr>
    </w:p>
    <w:p w14:paraId="5353B1C0" w14:textId="77777777" w:rsidR="00D867CD" w:rsidRDefault="00C42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La rentabilidad de la vivienda en España pasa del 6,8% registrado en 2020 al 6,5% registrado en 2021</w:t>
      </w:r>
    </w:p>
    <w:p w14:paraId="4CD6F0DC" w14:textId="77777777" w:rsidR="00D867CD" w:rsidRDefault="00C42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Región de Murcia pasa de ser la quinta comunidad más rentable en 2016 a ser la primera en 2021</w:t>
      </w:r>
    </w:p>
    <w:p w14:paraId="6CE30727" w14:textId="77777777" w:rsidR="00D867CD" w:rsidRDefault="00C42E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Hace 10 años la rentabilidad de la vivienda por capitales de provincia rozaba el 9%, mientras que en 2021 alcanza el 7,6% </w:t>
      </w:r>
    </w:p>
    <w:p w14:paraId="4A74F7D9" w14:textId="0D8D72AD" w:rsidR="00C3241D" w:rsidRDefault="00C324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hyperlink r:id="rId9" w:history="1">
        <w:r w:rsidRPr="00C3241D">
          <w:rPr>
            <w:rStyle w:val="Hipervnculo"/>
            <w:rFonts w:ascii="Open Sans" w:eastAsia="Open Sans" w:hAnsi="Open Sans" w:cs="Open Sans"/>
          </w:rPr>
          <w:t>Aquí se puede ver una valoración en vídeo de la directora de Estudios</w:t>
        </w:r>
      </w:hyperlink>
    </w:p>
    <w:p w14:paraId="0FA8AE43" w14:textId="77777777" w:rsidR="00D867CD" w:rsidRDefault="00D867CD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16"/>
          <w:szCs w:val="16"/>
        </w:rPr>
      </w:pPr>
    </w:p>
    <w:p w14:paraId="5531EAC0" w14:textId="77777777" w:rsidR="00D867CD" w:rsidRDefault="00C42ED8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</w:rPr>
      </w:pPr>
      <w:r>
        <w:rPr>
          <w:rFonts w:ascii="Open Sans Light" w:eastAsia="Open Sans Light" w:hAnsi="Open Sans Light" w:cs="Open Sans Light"/>
          <w:color w:val="303AB2"/>
        </w:rPr>
        <w:t>Madrid, 31 de enero de 2022</w:t>
      </w:r>
    </w:p>
    <w:p w14:paraId="77079A3E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 rentabilidad de la vivienda en España se sitúa en un 6,5%, un 0,3 punto menos que en 2020 (6,8%), pero un 1 punto más que hace 5 años (5,5%), según el estudio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“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La rentabilidad de la vivienda en España en 2021”,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basado en el análisis de los precios de la vivienda en venta y alquiler de diciembre de 2021 por el portal inmobiliario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 Los datos también indican que adquirir una propiedad para ponerla en alquiler en 2021 es 2,2 puntos más rentable que hace 10 años (4,3%).</w:t>
      </w:r>
    </w:p>
    <w:p w14:paraId="79B53C33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>Rentabilidad de la vivienda en España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A1AA08A" wp14:editId="7A8DBD53">
            <wp:extent cx="5792470" cy="2277373"/>
            <wp:effectExtent l="0" t="0" r="0" b="0"/>
            <wp:docPr id="327" name="Gráfico 3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8D35E26" w14:textId="11314820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“Por primera vez, ha descendido ligeramente la rentabilidad bruta en términos generales a nivel nacional, debido al descenso del precio de los alquileres desde el inicio del 2021. Sin </w:t>
      </w:r>
      <w:r w:rsidR="00780A63">
        <w:rPr>
          <w:rFonts w:ascii="Open Sans" w:eastAsia="Open Sans" w:hAnsi="Open Sans" w:cs="Open Sans"/>
          <w:sz w:val="22"/>
          <w:szCs w:val="22"/>
        </w:rPr>
        <w:t>embargo,</w:t>
      </w:r>
      <w:r>
        <w:rPr>
          <w:rFonts w:ascii="Open Sans" w:eastAsia="Open Sans" w:hAnsi="Open Sans" w:cs="Open Sans"/>
          <w:sz w:val="22"/>
          <w:szCs w:val="22"/>
        </w:rPr>
        <w:t xml:space="preserve"> la rentabilidad de la vivienda sigue siendo el foco de inversión con menor riesgo del mercado. De hecho, la inversión en activos inmobiliarios se ha vuelto un refugio de cara a la incertidumbre causada por la crisis sanitaria. Muchos pequeños particulares que apuestan por la vivienda como un valor refugio y que se han lanzado a invertir al percibir este mercado como seguro tras la evolución y recuperación tan positiva tras la pandemia. Aunque en toda España podemos encontrar zonas muy rentables, uno de los aspectos a destacar es la rapidez con la que la Región de Murcia ha comenzado a presentar altos niveles de rendimiento.”, explica María Matos, directora de Estudios y Portavoz de </w:t>
      </w:r>
      <w:hyperlink r:id="rId1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5195D548" w14:textId="3A178EB9" w:rsidR="00C3241D" w:rsidRP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22BAD1C" wp14:editId="414716C0">
            <wp:extent cx="5804710" cy="3257550"/>
            <wp:effectExtent l="0" t="0" r="5715" b="0"/>
            <wp:docPr id="1" name="Imagen 1" descr="Interfaz de usuario gráfica, Aplicación&#10;&#10;Descripción generada automá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39" cy="325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A7C1" w14:textId="06750036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Comunidad Autónoma</w:t>
      </w:r>
    </w:p>
    <w:p w14:paraId="7C6369AE" w14:textId="7C2417CD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En 2021, cinco de las comunidades tienen una rentabilidad igual o por encima de la media española (6,5%) y son: Región de Murcia (7,5%), Navarra (7,3%),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Valenciana (7,3%), Cataluña (6,6%) y Canarias (6,5%). Por debajo de la rentabilidad media de España se encuentran las comunidades de Aragón (6,4%), Castilla-La Mancha (6,3%), Asturias (6,2%), Cantabria (6,1%), Castilla y León (6,1%), Andalucía (6,0%), La Rioja (6,0%), Extremadura (5,8%), País Vasco (5,5%), Galicia (5,5%), Madrid (5,2%) y Baleares (5,0%).</w:t>
      </w:r>
    </w:p>
    <w:p w14:paraId="0FB1FBDA" w14:textId="34CB0F59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188F63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18BB5F" w14:textId="77777777" w:rsidR="00C3241D" w:rsidRDefault="00C3241D" w:rsidP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lastRenderedPageBreak/>
        <w:t>Gráfica - Rentabilidad 2021 por comunidades autónomas</w:t>
      </w:r>
    </w:p>
    <w:p w14:paraId="33D8F817" w14:textId="77777777" w:rsidR="00C3241D" w:rsidRDefault="00C3241D" w:rsidP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5B25642" wp14:editId="36C14A40">
            <wp:extent cx="5162550" cy="2343150"/>
            <wp:effectExtent l="0" t="0" r="0" b="0"/>
            <wp:docPr id="326" name="Gráfico 3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DA3EDC" w14:textId="0FDAF370" w:rsidR="00D867CD" w:rsidRPr="00C3241D" w:rsidRDefault="00C42ED8" w:rsidP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La comunidad de Región de Murcia, la más rentable en 2021, ha pasado al primer lugar del ranking después de encontrarse en el cuarto lugar en 2011 (4,3%), en el quinto en 2016 (5,6%) y en el segundo lugar en 2020 (7%).  Por otro lado, la comunidad menos rentable en 2020 es Baleares (4,8%). La comunidad balear ha pasado de ser la segunda más rentable de los años 2007, 2008, 2009 y 2016; a descender en 2017 al cuarto lugar, en 2018 al octavo, en 2019 al decimosexto y en 2020/2021, al último lugar.</w:t>
      </w:r>
    </w:p>
    <w:p w14:paraId="13CA8101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Mapa - Rentabilidad 2021 por comunidades autónomas </w:t>
      </w:r>
    </w:p>
    <w:p w14:paraId="5AC3AD2C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305F3520" wp14:editId="4F85CE09">
            <wp:extent cx="5362575" cy="219075"/>
            <wp:effectExtent l="0" t="0" r="0" b="0"/>
            <wp:docPr id="33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noProof/>
          <w:color w:val="000000"/>
          <w:sz w:val="22"/>
          <w:szCs w:val="22"/>
        </w:rPr>
        <w:drawing>
          <wp:inline distT="0" distB="0" distL="0" distR="0" wp14:anchorId="5B3E1F10" wp14:editId="793A82F3">
            <wp:extent cx="5396230" cy="3744595"/>
            <wp:effectExtent l="0" t="0" r="0" b="0"/>
            <wp:docPr id="330" name="image12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Gráfico&#10;&#10;Descripción generada automáticamente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74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D75876" w14:textId="426EE5DE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Mapa comparativo de la rentabilidad en España por CCAA (2011, 2016, 2020 y 2021)</w:t>
      </w:r>
    </w:p>
    <w:p w14:paraId="23697ACA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4BE91D2" wp14:editId="2DED14B5">
            <wp:extent cx="5362575" cy="219075"/>
            <wp:effectExtent l="0" t="0" r="0" b="0"/>
            <wp:docPr id="3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B404169" wp14:editId="6B1A5B4B">
            <wp:extent cx="5396230" cy="2011045"/>
            <wp:effectExtent l="0" t="0" r="0" b="0"/>
            <wp:docPr id="332" name="image6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pa&#10;&#10;Descripción generada automáticament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011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985BA5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6D2D39B7" wp14:editId="7B0C09DA">
            <wp:extent cx="5396230" cy="1861820"/>
            <wp:effectExtent l="0" t="0" r="0" b="0"/>
            <wp:docPr id="335" name="image11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apa&#10;&#10;Descripción generada automáticamente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86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008EA1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Por provincias </w:t>
      </w:r>
    </w:p>
    <w:p w14:paraId="006C671F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30% de las 46 provincias analizadas tienen una rentabilidad superior a la media española (6,5%). Las provincias más rentables en 2021, y que están por encima de la media son: Toledo (8,2%), Huelva (8,0%), Valencia (7,9%), Murcia (7,5%), Castellón (7,4%), Navarra (7,3%), Lleida (7,3%), Almería (7,3%), Ávila (7,0%), Las Palmas (7,0%), Segovia (7,0%), Sevilla (7,0%), Guadalajara (6,7%) y Ciudad Real (6,6%).</w:t>
      </w:r>
    </w:p>
    <w:p w14:paraId="59BCBF51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resto de las provincias que se encuentran por debajo de la rentabilidad de la media de España son: Zaragoza (6,4%), Cádiz (6,4%), Badajoz (6,4%), Tarragona (6,4%), Córdoba (6,3%), Lugo (6,3%), Asturias (6,2%), Jaén (6,2%), Cantabria (6,1%), Barcelona (6,1%), Alicante (6,1%), Burgos (6,0%), Santa Cruz de Tenerife (6,0%), Gipuzkoa (6,0%), La Rioja (6,0%), León (6,0%), Huesca (5,9%), Granada (5,9%), Albacete (5,8%), Salamanca (5,7%), A Coruña (5,6%), Girona (5,6%), Palencia (5,5%), Valladolid (5,5%), Cáceres (5,3%), Pontevedra (5,3%), Madrid (5,2%), Bizkaia (5,2%), Araba - Álava (5,1%), Illes Balears (5,0%), Málaga (4,9%) y Ourense (4,7%).</w:t>
      </w:r>
    </w:p>
    <w:p w14:paraId="390462F7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Mapa comparativo de la rentabilidad en España por provincias (2011, 2016, 2020 y 2021)</w:t>
      </w:r>
    </w:p>
    <w:p w14:paraId="7855692E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7E2F173" wp14:editId="785588FD">
            <wp:extent cx="5362575" cy="219075"/>
            <wp:effectExtent l="0" t="0" r="0" b="0"/>
            <wp:docPr id="3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 </w:t>
      </w: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0475454E" wp14:editId="21F06A53">
            <wp:extent cx="5396230" cy="2145030"/>
            <wp:effectExtent l="0" t="0" r="0" b="0"/>
            <wp:docPr id="338" name="image1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pa&#10;&#10;Descripción generada automáticamente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4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1068A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1F2BB358" wp14:editId="6A8BEB7E">
            <wp:extent cx="5396230" cy="2112645"/>
            <wp:effectExtent l="0" t="0" r="0" b="0"/>
            <wp:docPr id="336" name="image2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pa&#10;&#10;Descripción generada automáticamente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12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54CDA6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municipios</w:t>
      </w:r>
    </w:p>
    <w:p w14:paraId="61623A56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análisis de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también ofrece datos de rentabilidad por municipios. Así, del análisis se desprende que el 19% de los municipios estudiados (91 municipios en total) tienen una rentabilidad igual o por encima de la media de España (6,5%).  La ciudad más rentable de España en 2021 ha sido Gandía (Valencia) con un 9,6% de rentabilidad. Le siguen, Lleida capital (7,6%), Algeciras (7,5%), Roquetas de Mar (7,5%), San Cristóbal de la Laguna (7,5%), Santa Lucía de Tirajana (7,4%), Jerez de la Frontera (7,2%), Santa Cruz de Tenerife capital (7,0%), Cartagena (6,9%) y Manresa (6,8%).</w:t>
      </w:r>
    </w:p>
    <w:p w14:paraId="1064D7B4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las 10 ciudades menos rentables del país son: Donostia - San Sebastián (3,6%), La Moraleja (3,7%), Sant Cugat del Vallès (4,0%), Pozuelo de Alarcón (4,0%), Getxo (4,0%), Santiago de Compostela (4,2%), Las Rozas de Madrid (4,2%), Fuengirola (4,2%), A Coruña capital (4,3%) y Sitges (4,3%).</w:t>
      </w:r>
    </w:p>
    <w:p w14:paraId="07B3BB6F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Mapas comparativos de la rentabilidad por ciudades (2011, 2016, 2020 y 2021)</w:t>
      </w:r>
    </w:p>
    <w:p w14:paraId="152A36CB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4D62747" wp14:editId="76AD94D9">
            <wp:extent cx="5362575" cy="219075"/>
            <wp:effectExtent l="0" t="0" r="0" b="0"/>
            <wp:docPr id="33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84B655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7C3442A9" wp14:editId="7BEE5B15">
            <wp:extent cx="5396230" cy="2128520"/>
            <wp:effectExtent l="0" t="0" r="0" b="0"/>
            <wp:docPr id="339" name="image9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Mapa&#10;&#10;Descripción generada automáticament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28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0229210E" wp14:editId="7EE5C344">
            <wp:extent cx="5396230" cy="2113280"/>
            <wp:effectExtent l="0" t="0" r="0" b="0"/>
            <wp:docPr id="340" name="image4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pa&#10;&#10;Descripción generada automáticament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11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85648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1539146" w14:textId="304A4C92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distritos</w:t>
      </w:r>
    </w:p>
    <w:p w14:paraId="2DF925B0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análisis de </w:t>
      </w:r>
      <w:hyperlink r:id="rId2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también ofrece datos de los distritos más rentables para comprar una vivienda y ponerla en alquiler en España. Así, del análisis se desprende que el distrito más rentable del país en 2021 por cuarto año consecutivo (de 2018 a 2021) es el distrito alicantino de Pla – Carolinas, que alcanza un 8,5% de rentabilidad. Le siguen, el distrito valenciano de Rascanya y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L'Olivereta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un 8,3% y un 8,1%, respectivamente.</w:t>
      </w:r>
    </w:p>
    <w:p w14:paraId="4A27A322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los tres distritos con menor rentabilidad de España son: Centro (Donostia - San Sebastián) con un 2,9%, Centre (Palma de Mallorca) con un 3,3%, Barrio de Salamanca (Madrid) con un 3,4%.</w:t>
      </w:r>
    </w:p>
    <w:p w14:paraId="6DAA3327" w14:textId="16C2C873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En cuanto a Madrid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>, el distrito más rentable en 2021 es Villaverde con un 7,6% de rentabilidad, después de desbancar al distrito de Puente de Vallecas como distrito más rentable desde 2012 a 2020. Le siguen, Puente de Vallecas (7,0%), Carabanchel (6,3%), Usera (6,1%), Latina (5,9%), Villa de Vallecas (5,5%), San Blas (4,9%), Tetuán (4,7%), Ciudad Lineal (4,7%), Arganzuela (4,3%), Barajas (4,3%), Hortaleza (4,1%), Centro (4,1%), Moncloa - Aravaca (3,9%), Fuencarral (3,8%), Retiro (3,8%), Chamberí (3,7%), Chamartín (3,4%) y Barrio de Salamanca (3,4%).</w:t>
      </w:r>
    </w:p>
    <w:p w14:paraId="49909169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5795D46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Mapas comparativos de la rentabilidad de los distritos de </w:t>
      </w:r>
      <w:proofErr w:type="gramStart"/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Madrid  (</w:t>
      </w:r>
      <w:proofErr w:type="gramEnd"/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2016, 2020 y 2021)</w:t>
      </w:r>
    </w:p>
    <w:p w14:paraId="0BFC14E2" w14:textId="77777777" w:rsidR="00D867CD" w:rsidRDefault="00C42ED8">
      <w:pPr>
        <w:jc w:val="center"/>
        <w:rPr>
          <w:rFonts w:ascii="Open Sans Light" w:eastAsia="Open Sans Light" w:hAnsi="Open Sans Light" w:cs="Open Sans Light"/>
          <w:color w:val="404040"/>
        </w:rPr>
      </w:pPr>
      <w:r>
        <w:rPr>
          <w:noProof/>
        </w:rPr>
        <w:drawing>
          <wp:inline distT="0" distB="0" distL="0" distR="0" wp14:anchorId="4F80F5D9" wp14:editId="21647733">
            <wp:extent cx="5362575" cy="219075"/>
            <wp:effectExtent l="0" t="0" r="0" b="0"/>
            <wp:docPr id="3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B9DC65" w14:textId="77777777" w:rsidR="00D867CD" w:rsidRDefault="00D867CD">
      <w:pPr>
        <w:jc w:val="both"/>
        <w:rPr>
          <w:rFonts w:ascii="Open Sans Light" w:eastAsia="Open Sans Light" w:hAnsi="Open Sans Light" w:cs="Open Sans Light"/>
          <w:color w:val="404040"/>
        </w:rPr>
      </w:pPr>
    </w:p>
    <w:p w14:paraId="5548F4AB" w14:textId="77777777" w:rsidR="00D867CD" w:rsidRDefault="00C42ED8">
      <w:pPr>
        <w:jc w:val="both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noProof/>
          <w:color w:val="404040"/>
        </w:rPr>
        <w:drawing>
          <wp:inline distT="0" distB="0" distL="0" distR="0" wp14:anchorId="263DB28D" wp14:editId="27F78897">
            <wp:extent cx="5396230" cy="2446020"/>
            <wp:effectExtent l="0" t="0" r="0" b="0"/>
            <wp:docPr id="342" name="image8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Mapa&#10;&#10;Descripción generada automáticamente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446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D952FB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6ADF2620" w14:textId="6751558D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cuanto a Barcelona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en 2021 el distrito más rentable desde 2012 es Nou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Barris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con un 6,5%, 0,6 punto más que en 2020. Le siguen,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Ciutat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Vella (4,9%), Sants - Montjuïc (5,4%), Sant Andreu (5,3%), Horta - Guinardó (4,9%), Gràcia (4,4%), Sant Martí (5,0%), Eixample (3,9%), Sarrià - Sant Gervasi (3,5%) y Les Corts (3,7%).</w:t>
      </w:r>
    </w:p>
    <w:p w14:paraId="364BF17E" w14:textId="7A06A1E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B7E034A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76722B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DC689F2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Mapas comparativos de la rentabilidad de los distritos de </w:t>
      </w:r>
      <w:proofErr w:type="gramStart"/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Barcelona  (</w:t>
      </w:r>
      <w:proofErr w:type="gramEnd"/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2016, 2020 y 2021)</w:t>
      </w:r>
    </w:p>
    <w:p w14:paraId="14A6C72F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E3FD9A0" wp14:editId="528CC7FC">
            <wp:extent cx="5362575" cy="219075"/>
            <wp:effectExtent l="0" t="0" r="0" b="0"/>
            <wp:docPr id="34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1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D340760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7DE0E7DC" wp14:editId="382BD08B">
            <wp:extent cx="5396230" cy="1972310"/>
            <wp:effectExtent l="0" t="0" r="0" b="0"/>
            <wp:docPr id="344" name="image10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apa&#10;&#10;Descripción generada automáticamente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972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0BDBA5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bookmarkStart w:id="2" w:name="_heading=h.1fob9te" w:colFirst="0" w:colLast="0"/>
      <w:bookmarkEnd w:id="2"/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barrios</w:t>
      </w:r>
    </w:p>
    <w:p w14:paraId="51F626C0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El análisis de </w:t>
      </w:r>
      <w:hyperlink r:id="rId2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también ofrece datos de los barrios más rentables para comprar una vivienda y ponerla en alquiler en España. Así, del análisis se desprende que el barrio más rentable del país en 2021 es el barrio alicantino de Carolinas Bajas (distrito de Pla - Carolinas), que alcanza un 8% de rentabilidad. Le siguen, el barrio granadino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Almanjáyar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(distrito de Norte) con un 7,9% de rentabilidad y el barrio alicantino de Pla de Bon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Repós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(distrito de Pla - Carolinas) con 7,8% de rentabilidad.</w:t>
      </w:r>
    </w:p>
    <w:p w14:paraId="6B397D79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 otro lado, los tres barrios con menor rentabilidad son: Recoletos (Madrid capital) con 2,2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%,  El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Sardinero (Santander) con 2,3% y Goya (Madrid capital) con 2,6% de rentabilidad.</w:t>
      </w:r>
    </w:p>
    <w:p w14:paraId="178F701D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cuanto a Madrid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barrio más rentable en 2021 es Numancia con un 7,6% de rentabilidad. Le siguen, San Diego (7,4%), Puerta bonita (6,9%),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Opañel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(6,5%), Ventas (6,1%), Vista Alegre (6,1%), Lucero (5,9%), Bellas Vistas (5,5%), San Isidro (5,4%) y Berruguete (5,2%). El barrio menos rentable es Recoletos con un 2,2% de rentabilidad.</w:t>
      </w:r>
    </w:p>
    <w:p w14:paraId="74CCC466" w14:textId="5C512F22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cuanto a Barcelona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el barrio más rentable en 2021 es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Provençals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del Poblenou y El Raval con un 5,7%, cada una. Le siguen, El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Parc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i la Llacuna del Poblenou (5,5%), La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Bordeta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(5,4%), Sants-Badal (5,2%), La Sagrera (5,1%), El Poble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Sec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-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Parc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 Montjuïc (4,9%), Sant Andreu del Palomar (4,9%), Navas (4,9%) y El Guinardó (4,8%).</w:t>
      </w:r>
    </w:p>
    <w:p w14:paraId="318A11EE" w14:textId="18DEA47D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88476E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978246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Tablas:</w:t>
      </w:r>
    </w:p>
    <w:p w14:paraId="456DB622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Tabla 1. Rentabilidad de la vivienda por CCAA (comparativa 2011, 2016, 2020 y 2021)  </w:t>
      </w:r>
    </w:p>
    <w:tbl>
      <w:tblPr>
        <w:tblStyle w:val="a"/>
        <w:tblW w:w="901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3"/>
        <w:gridCol w:w="1842"/>
        <w:gridCol w:w="1701"/>
        <w:gridCol w:w="1653"/>
      </w:tblGrid>
      <w:tr w:rsidR="00D867CD" w14:paraId="6F27E3E2" w14:textId="77777777">
        <w:trPr>
          <w:trHeight w:val="549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1CF11630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Comunidades Autónomas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67ECEF2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Rentabilidad</w:t>
            </w:r>
          </w:p>
          <w:p w14:paraId="079E879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2011</w:t>
            </w:r>
          </w:p>
          <w:p w14:paraId="67C4E4C7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(10 años)</w:t>
            </w:r>
          </w:p>
        </w:tc>
        <w:tc>
          <w:tcPr>
            <w:tcW w:w="1842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07898B3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Rentabilidad</w:t>
            </w:r>
          </w:p>
          <w:p w14:paraId="42AED6E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2016</w:t>
            </w:r>
          </w:p>
          <w:p w14:paraId="48767963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(5 años)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041BAA47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Rentabilidad</w:t>
            </w:r>
          </w:p>
          <w:p w14:paraId="34601B11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2020</w:t>
            </w:r>
          </w:p>
          <w:p w14:paraId="65FB3AA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i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(1 año)</w:t>
            </w:r>
          </w:p>
        </w:tc>
        <w:tc>
          <w:tcPr>
            <w:tcW w:w="1653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7205426C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Rentabilidad</w:t>
            </w:r>
          </w:p>
          <w:p w14:paraId="4ED226D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FFFFFF"/>
                <w:sz w:val="20"/>
                <w:szCs w:val="20"/>
              </w:rPr>
              <w:t>2021</w:t>
            </w:r>
          </w:p>
        </w:tc>
      </w:tr>
      <w:tr w:rsidR="00D867CD" w14:paraId="1E142E06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85E4BA3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Región de Murcia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048893D8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069C80F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3D0C3FC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19F66F2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D867CD" w14:paraId="171989B6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7366EC1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Navarra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4E439C08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12C5C86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48A60E0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257510F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D867CD" w14:paraId="0B41E14D" w14:textId="77777777">
        <w:trPr>
          <w:trHeight w:val="288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9C4CFC0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 Valenciana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1E62E14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5269232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2677730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4F83B84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D867CD" w14:paraId="2255752E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96D0875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Cataluña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66EA674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498871C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12826DA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30B4C77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D867CD" w14:paraId="42D551C7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37D21BB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Canarias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3283C95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04D0EB1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5DD7F0A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403816F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D867CD" w14:paraId="35E5BD75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CAF0F8B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Aragón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32F40F9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5806709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0A192F5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0338D23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D867CD" w14:paraId="6BD278EF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9A208CC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Castilla-La Mancha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68385C0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552FD4F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270A89D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5A578D3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D867CD" w14:paraId="37A09DE8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4765ADE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Asturias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4B88BBC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5799C0C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40855E3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577B7E1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17837F6A" w14:textId="77777777">
        <w:trPr>
          <w:trHeight w:val="288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7D6A28D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Cantabria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7026C9D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1B196BE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394C9AD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4ADCE67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0EC58B6A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ABBC0DA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7FE23FA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25B0454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765D9DF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0081CDE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5FDAB53B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B820938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56A8990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1D035E1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253D42D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3A3A0B9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2AA1496D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467866D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La Rioja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729CF64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0AA2386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0C5B6DA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2A8AD1D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56FCA768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88A9B0A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Extremadura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486A8A3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3A44AFE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781C0D0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672D7C0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781CC8FB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5AF32D3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País Vasco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1D3D8DA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5D707165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3DBB2A3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504EBFB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5735E2CF" w14:textId="77777777">
        <w:trPr>
          <w:trHeight w:val="288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35743AB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Galicia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45CB9B9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2F1D9B1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1DD4B9D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04EB700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59D5F583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94AFB5C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Madrid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5C99E24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168B4A5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78AF9F1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0476BA4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6B6BD979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0387EC2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Baleares</w:t>
            </w:r>
          </w:p>
        </w:tc>
        <w:tc>
          <w:tcPr>
            <w:tcW w:w="1843" w:type="dxa"/>
            <w:shd w:val="clear" w:color="auto" w:fill="B4C6E7"/>
            <w:vAlign w:val="bottom"/>
          </w:tcPr>
          <w:p w14:paraId="126375A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842" w:type="dxa"/>
            <w:shd w:val="clear" w:color="auto" w:fill="B4C6E7"/>
            <w:vAlign w:val="bottom"/>
          </w:tcPr>
          <w:p w14:paraId="0CA447D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701" w:type="dxa"/>
            <w:shd w:val="clear" w:color="auto" w:fill="B4C6E7"/>
            <w:vAlign w:val="bottom"/>
          </w:tcPr>
          <w:p w14:paraId="15655E68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53" w:type="dxa"/>
            <w:shd w:val="clear" w:color="auto" w:fill="B4C6E7"/>
            <w:vAlign w:val="bottom"/>
          </w:tcPr>
          <w:p w14:paraId="6CE36A2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7D470DB1" w14:textId="77777777">
        <w:trPr>
          <w:trHeight w:val="273"/>
        </w:trPr>
        <w:tc>
          <w:tcPr>
            <w:tcW w:w="198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bottom"/>
          </w:tcPr>
          <w:p w14:paraId="2382E6AD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España</w:t>
            </w:r>
          </w:p>
        </w:tc>
        <w:tc>
          <w:tcPr>
            <w:tcW w:w="1843" w:type="dxa"/>
            <w:shd w:val="clear" w:color="auto" w:fill="D9E2F3"/>
            <w:vAlign w:val="bottom"/>
          </w:tcPr>
          <w:p w14:paraId="6FD84E1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42" w:type="dxa"/>
            <w:shd w:val="clear" w:color="auto" w:fill="D9E2F3"/>
            <w:vAlign w:val="bottom"/>
          </w:tcPr>
          <w:p w14:paraId="5838C0F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shd w:val="clear" w:color="auto" w:fill="D9E2F3"/>
            <w:vAlign w:val="bottom"/>
          </w:tcPr>
          <w:p w14:paraId="145094D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653" w:type="dxa"/>
            <w:shd w:val="clear" w:color="auto" w:fill="D9E2F3"/>
            <w:vAlign w:val="bottom"/>
          </w:tcPr>
          <w:p w14:paraId="726A90E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6,5%</w:t>
            </w:r>
          </w:p>
        </w:tc>
      </w:tr>
    </w:tbl>
    <w:p w14:paraId="29E53CA8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Tabla 2. Rentabilidad de la vivienda por provincias (comparativa 2011, 2016, 2020 y 2021)  </w:t>
      </w:r>
    </w:p>
    <w:tbl>
      <w:tblPr>
        <w:tblStyle w:val="a0"/>
        <w:tblW w:w="912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642"/>
        <w:gridCol w:w="1701"/>
        <w:gridCol w:w="1701"/>
        <w:gridCol w:w="1757"/>
      </w:tblGrid>
      <w:tr w:rsidR="00D867CD" w14:paraId="0D5B9770" w14:textId="77777777" w:rsidTr="00D8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5A54CE86" w14:textId="77777777" w:rsidR="00D867CD" w:rsidRDefault="00C42ED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sz w:val="20"/>
                <w:szCs w:val="20"/>
              </w:rPr>
              <w:t>Provincia</w:t>
            </w:r>
          </w:p>
        </w:tc>
        <w:tc>
          <w:tcPr>
            <w:tcW w:w="1642" w:type="dxa"/>
            <w:vAlign w:val="center"/>
          </w:tcPr>
          <w:p w14:paraId="0283CE3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1589C34F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2011</w:t>
            </w:r>
          </w:p>
          <w:p w14:paraId="6116663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(10 años)</w:t>
            </w:r>
          </w:p>
        </w:tc>
        <w:tc>
          <w:tcPr>
            <w:tcW w:w="1701" w:type="dxa"/>
            <w:vAlign w:val="center"/>
          </w:tcPr>
          <w:p w14:paraId="335B7B5C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5798412D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2016</w:t>
            </w:r>
          </w:p>
          <w:p w14:paraId="0709438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(5 años)</w:t>
            </w:r>
          </w:p>
        </w:tc>
        <w:tc>
          <w:tcPr>
            <w:tcW w:w="1701" w:type="dxa"/>
            <w:vAlign w:val="center"/>
          </w:tcPr>
          <w:p w14:paraId="096F4B69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0DACC0AE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2020</w:t>
            </w:r>
          </w:p>
          <w:p w14:paraId="37689C44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i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 año)</w:t>
            </w:r>
          </w:p>
        </w:tc>
        <w:tc>
          <w:tcPr>
            <w:tcW w:w="1757" w:type="dxa"/>
            <w:vAlign w:val="center"/>
          </w:tcPr>
          <w:p w14:paraId="433FBA5D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7EDD5D9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2021</w:t>
            </w:r>
          </w:p>
        </w:tc>
      </w:tr>
      <w:tr w:rsidR="00D867CD" w14:paraId="20F6A189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DCD5EA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1642" w:type="dxa"/>
            <w:vAlign w:val="bottom"/>
          </w:tcPr>
          <w:p w14:paraId="1AB52B0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333F5BE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01" w:type="dxa"/>
            <w:vAlign w:val="bottom"/>
          </w:tcPr>
          <w:p w14:paraId="20B613B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757" w:type="dxa"/>
            <w:vAlign w:val="bottom"/>
          </w:tcPr>
          <w:p w14:paraId="041E7EE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8,2%</w:t>
            </w:r>
          </w:p>
        </w:tc>
      </w:tr>
      <w:tr w:rsidR="00D867CD" w14:paraId="72351809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09FBAC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1642" w:type="dxa"/>
            <w:vAlign w:val="bottom"/>
          </w:tcPr>
          <w:p w14:paraId="7ACDD62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459DC99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01" w:type="dxa"/>
            <w:vAlign w:val="bottom"/>
          </w:tcPr>
          <w:p w14:paraId="514CB3C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57" w:type="dxa"/>
            <w:vAlign w:val="bottom"/>
          </w:tcPr>
          <w:p w14:paraId="069A8D8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8,0%</w:t>
            </w:r>
          </w:p>
        </w:tc>
      </w:tr>
      <w:tr w:rsidR="00D867CD" w14:paraId="0CA373F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9E80BD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1642" w:type="dxa"/>
            <w:vAlign w:val="bottom"/>
          </w:tcPr>
          <w:p w14:paraId="561B8A5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7996942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20BE7BA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757" w:type="dxa"/>
            <w:vAlign w:val="bottom"/>
          </w:tcPr>
          <w:p w14:paraId="469992D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7,9%</w:t>
            </w:r>
          </w:p>
        </w:tc>
      </w:tr>
      <w:tr w:rsidR="00D867CD" w14:paraId="376D585E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5A56CA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1642" w:type="dxa"/>
            <w:vAlign w:val="bottom"/>
          </w:tcPr>
          <w:p w14:paraId="66452D6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06EBF59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2538FFD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757" w:type="dxa"/>
            <w:vAlign w:val="bottom"/>
          </w:tcPr>
          <w:p w14:paraId="16BBA31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7,5%</w:t>
            </w:r>
          </w:p>
        </w:tc>
      </w:tr>
      <w:tr w:rsidR="00D867CD" w14:paraId="1D328FF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8E3D6E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1642" w:type="dxa"/>
            <w:vAlign w:val="bottom"/>
          </w:tcPr>
          <w:p w14:paraId="57B8441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53182C9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6173BD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57" w:type="dxa"/>
            <w:vAlign w:val="bottom"/>
          </w:tcPr>
          <w:p w14:paraId="302882E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7,4%</w:t>
            </w:r>
          </w:p>
        </w:tc>
      </w:tr>
      <w:tr w:rsidR="00D867CD" w14:paraId="526F7E9B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7C9CB7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1642" w:type="dxa"/>
            <w:vAlign w:val="bottom"/>
          </w:tcPr>
          <w:p w14:paraId="538FCB8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4E7EF8F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vAlign w:val="bottom"/>
          </w:tcPr>
          <w:p w14:paraId="782110A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57" w:type="dxa"/>
            <w:vAlign w:val="bottom"/>
          </w:tcPr>
          <w:p w14:paraId="27891EC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</w:tr>
      <w:tr w:rsidR="00D867CD" w14:paraId="6ED5D50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A58DBE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1642" w:type="dxa"/>
            <w:vAlign w:val="bottom"/>
          </w:tcPr>
          <w:p w14:paraId="5DF7D28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0753663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2584630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757" w:type="dxa"/>
            <w:vAlign w:val="bottom"/>
          </w:tcPr>
          <w:p w14:paraId="62D70B3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</w:tr>
      <w:tr w:rsidR="00D867CD" w14:paraId="0334DB25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C5A798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1642" w:type="dxa"/>
            <w:vAlign w:val="bottom"/>
          </w:tcPr>
          <w:p w14:paraId="55F455C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198AABA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77E8C82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757" w:type="dxa"/>
            <w:vAlign w:val="bottom"/>
          </w:tcPr>
          <w:p w14:paraId="3853D59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</w:tr>
      <w:tr w:rsidR="00D867CD" w14:paraId="790A3A03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DC7C82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1642" w:type="dxa"/>
            <w:vAlign w:val="bottom"/>
          </w:tcPr>
          <w:p w14:paraId="14562C0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48E2F6C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462331E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757" w:type="dxa"/>
            <w:vAlign w:val="bottom"/>
          </w:tcPr>
          <w:p w14:paraId="4F3D2D9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</w:tr>
      <w:tr w:rsidR="00D867CD" w14:paraId="0CBDAF36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8608E9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Las Palmas</w:t>
            </w:r>
          </w:p>
        </w:tc>
        <w:tc>
          <w:tcPr>
            <w:tcW w:w="1642" w:type="dxa"/>
            <w:vAlign w:val="bottom"/>
          </w:tcPr>
          <w:p w14:paraId="4B4ACF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1018BE1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701" w:type="dxa"/>
            <w:vAlign w:val="bottom"/>
          </w:tcPr>
          <w:p w14:paraId="2040B11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757" w:type="dxa"/>
            <w:vAlign w:val="bottom"/>
          </w:tcPr>
          <w:p w14:paraId="6CD6EFE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</w:tr>
      <w:tr w:rsidR="00D867CD" w14:paraId="220FF77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3F752B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1642" w:type="dxa"/>
            <w:vAlign w:val="bottom"/>
          </w:tcPr>
          <w:p w14:paraId="222CA4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259E465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vAlign w:val="bottom"/>
          </w:tcPr>
          <w:p w14:paraId="43FD334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757" w:type="dxa"/>
            <w:vAlign w:val="bottom"/>
          </w:tcPr>
          <w:p w14:paraId="63A3E83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</w:tr>
      <w:tr w:rsidR="00D867CD" w14:paraId="31776C99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994A11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1642" w:type="dxa"/>
            <w:vAlign w:val="bottom"/>
          </w:tcPr>
          <w:p w14:paraId="35F5A11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2B30C04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084C1E2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757" w:type="dxa"/>
            <w:vAlign w:val="bottom"/>
          </w:tcPr>
          <w:p w14:paraId="6B2CD1B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7,0%</w:t>
            </w:r>
          </w:p>
        </w:tc>
      </w:tr>
      <w:tr w:rsidR="00D867CD" w14:paraId="3590F10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D8DE5C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1642" w:type="dxa"/>
            <w:vAlign w:val="bottom"/>
          </w:tcPr>
          <w:p w14:paraId="57B3CB1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27842BF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14979C6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757" w:type="dxa"/>
            <w:vAlign w:val="bottom"/>
          </w:tcPr>
          <w:p w14:paraId="175867C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6,7%</w:t>
            </w:r>
          </w:p>
        </w:tc>
      </w:tr>
      <w:tr w:rsidR="00D867CD" w14:paraId="0FAD3637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47BE0A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1642" w:type="dxa"/>
            <w:vAlign w:val="bottom"/>
          </w:tcPr>
          <w:p w14:paraId="6F654BB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1C16936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2921D43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757" w:type="dxa"/>
            <w:vAlign w:val="bottom"/>
          </w:tcPr>
          <w:p w14:paraId="11D7679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</w:tr>
      <w:tr w:rsidR="00D867CD" w14:paraId="5CC007E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3059E3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1642" w:type="dxa"/>
            <w:vAlign w:val="bottom"/>
          </w:tcPr>
          <w:p w14:paraId="099393B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7D960D3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00853FD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757" w:type="dxa"/>
            <w:vAlign w:val="bottom"/>
          </w:tcPr>
          <w:p w14:paraId="12EE585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D867CD" w14:paraId="7EC8D2CB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DFB14E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1642" w:type="dxa"/>
            <w:vAlign w:val="bottom"/>
          </w:tcPr>
          <w:p w14:paraId="345D88B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03534B3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2D7982A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57" w:type="dxa"/>
            <w:vAlign w:val="bottom"/>
          </w:tcPr>
          <w:p w14:paraId="29961C4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D867CD" w14:paraId="4F156DD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94BBC9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1642" w:type="dxa"/>
            <w:vAlign w:val="bottom"/>
          </w:tcPr>
          <w:p w14:paraId="698FD17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4D62A00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5BA1634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57" w:type="dxa"/>
            <w:vAlign w:val="bottom"/>
          </w:tcPr>
          <w:p w14:paraId="5969E8D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D867CD" w14:paraId="1AADB414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423E21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1642" w:type="dxa"/>
            <w:vAlign w:val="bottom"/>
          </w:tcPr>
          <w:p w14:paraId="6FA5786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3A08DE6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01" w:type="dxa"/>
            <w:vAlign w:val="bottom"/>
          </w:tcPr>
          <w:p w14:paraId="014937A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757" w:type="dxa"/>
            <w:vAlign w:val="bottom"/>
          </w:tcPr>
          <w:p w14:paraId="70E84BB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6,4%</w:t>
            </w:r>
          </w:p>
        </w:tc>
      </w:tr>
      <w:tr w:rsidR="00D867CD" w14:paraId="37364FE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4E2276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1642" w:type="dxa"/>
            <w:vAlign w:val="bottom"/>
          </w:tcPr>
          <w:p w14:paraId="430D6BF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74F481C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01" w:type="dxa"/>
            <w:vAlign w:val="bottom"/>
          </w:tcPr>
          <w:p w14:paraId="6323AA5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57" w:type="dxa"/>
            <w:vAlign w:val="bottom"/>
          </w:tcPr>
          <w:p w14:paraId="6A4A15E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D867CD" w14:paraId="4CD174D5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9A316D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1642" w:type="dxa"/>
            <w:vAlign w:val="bottom"/>
          </w:tcPr>
          <w:p w14:paraId="40B1425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6B4A57C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1E1616C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757" w:type="dxa"/>
            <w:vAlign w:val="bottom"/>
          </w:tcPr>
          <w:p w14:paraId="5075A89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6,3%</w:t>
            </w:r>
          </w:p>
        </w:tc>
      </w:tr>
      <w:tr w:rsidR="00D867CD" w14:paraId="32F48F0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A7BF04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1642" w:type="dxa"/>
            <w:vAlign w:val="bottom"/>
          </w:tcPr>
          <w:p w14:paraId="1FBD0ED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32EFE39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37F9FCC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0C62521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6008EC6A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B20DD3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1642" w:type="dxa"/>
            <w:vAlign w:val="bottom"/>
          </w:tcPr>
          <w:p w14:paraId="66D415C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715411C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413B497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1A7D9D5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7428EF9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1627CF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1642" w:type="dxa"/>
            <w:vAlign w:val="bottom"/>
          </w:tcPr>
          <w:p w14:paraId="4A61F7F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2B7364F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04F589E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5AB8873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124B4C42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17CA28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1642" w:type="dxa"/>
            <w:vAlign w:val="bottom"/>
          </w:tcPr>
          <w:p w14:paraId="0573650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36F713B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01" w:type="dxa"/>
            <w:vAlign w:val="bottom"/>
          </w:tcPr>
          <w:p w14:paraId="3FBCDF8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4BD700E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39A3CA53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DB9306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1642" w:type="dxa"/>
            <w:vAlign w:val="bottom"/>
          </w:tcPr>
          <w:p w14:paraId="7481E01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357FA18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14:paraId="7C63E47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1F41C80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6240EB40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B95AFD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1642" w:type="dxa"/>
            <w:vAlign w:val="bottom"/>
          </w:tcPr>
          <w:p w14:paraId="18869A5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7EDC35B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610601E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3E83D2F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12F0492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F8DE5D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1642" w:type="dxa"/>
            <w:vAlign w:val="bottom"/>
          </w:tcPr>
          <w:p w14:paraId="31B66E8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3EBADE3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21EC1ED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57" w:type="dxa"/>
            <w:vAlign w:val="bottom"/>
          </w:tcPr>
          <w:p w14:paraId="7A686B7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5566C9AF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733B74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1642" w:type="dxa"/>
            <w:vAlign w:val="bottom"/>
          </w:tcPr>
          <w:p w14:paraId="060B3BF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bottom"/>
          </w:tcPr>
          <w:p w14:paraId="78095C4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701" w:type="dxa"/>
            <w:vAlign w:val="bottom"/>
          </w:tcPr>
          <w:p w14:paraId="1A2539C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57" w:type="dxa"/>
            <w:vAlign w:val="bottom"/>
          </w:tcPr>
          <w:p w14:paraId="21264D0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58A69BC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3540FD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1642" w:type="dxa"/>
            <w:vAlign w:val="bottom"/>
          </w:tcPr>
          <w:p w14:paraId="2AF1BAE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169CD29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1946CE8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57" w:type="dxa"/>
            <w:vAlign w:val="bottom"/>
          </w:tcPr>
          <w:p w14:paraId="4C6EFB2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31F4E281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AB3F8F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1642" w:type="dxa"/>
            <w:vAlign w:val="bottom"/>
          </w:tcPr>
          <w:p w14:paraId="3563E2D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54033A2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1ADA223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57" w:type="dxa"/>
            <w:vAlign w:val="bottom"/>
          </w:tcPr>
          <w:p w14:paraId="3D60499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523DB43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AA239D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1642" w:type="dxa"/>
            <w:vAlign w:val="bottom"/>
          </w:tcPr>
          <w:p w14:paraId="5C92CCA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06C29FD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737B3EF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757" w:type="dxa"/>
            <w:vAlign w:val="bottom"/>
          </w:tcPr>
          <w:p w14:paraId="5A2B829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</w:tr>
      <w:tr w:rsidR="00D867CD" w14:paraId="2CA7CCB4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438A31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1642" w:type="dxa"/>
            <w:vAlign w:val="bottom"/>
          </w:tcPr>
          <w:p w14:paraId="2BD65B4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5978F1D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0FE365C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57" w:type="dxa"/>
            <w:vAlign w:val="bottom"/>
          </w:tcPr>
          <w:p w14:paraId="21C5645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</w:tr>
      <w:tr w:rsidR="00D867CD" w14:paraId="44E5460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C64E07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1642" w:type="dxa"/>
            <w:vAlign w:val="bottom"/>
          </w:tcPr>
          <w:p w14:paraId="0504359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0D8874B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46F347C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57" w:type="dxa"/>
            <w:vAlign w:val="bottom"/>
          </w:tcPr>
          <w:p w14:paraId="7E169F2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13CA8749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ABD76A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1642" w:type="dxa"/>
            <w:vAlign w:val="bottom"/>
          </w:tcPr>
          <w:p w14:paraId="417DD04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bottom"/>
          </w:tcPr>
          <w:p w14:paraId="12AB944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5B63230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57" w:type="dxa"/>
            <w:vAlign w:val="bottom"/>
          </w:tcPr>
          <w:p w14:paraId="0543C43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6AC53A9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BB4BC2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1642" w:type="dxa"/>
            <w:vAlign w:val="bottom"/>
          </w:tcPr>
          <w:p w14:paraId="3FA4278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bottom"/>
          </w:tcPr>
          <w:p w14:paraId="178E02D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3E10024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57" w:type="dxa"/>
            <w:vAlign w:val="bottom"/>
          </w:tcPr>
          <w:p w14:paraId="0733D6D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</w:tr>
      <w:tr w:rsidR="00D867CD" w14:paraId="04E7DA6B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2B666A5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1642" w:type="dxa"/>
            <w:vAlign w:val="bottom"/>
          </w:tcPr>
          <w:p w14:paraId="130A1BD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701" w:type="dxa"/>
            <w:vAlign w:val="bottom"/>
          </w:tcPr>
          <w:p w14:paraId="05DBD71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14:paraId="5DD72CC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57" w:type="dxa"/>
            <w:vAlign w:val="bottom"/>
          </w:tcPr>
          <w:p w14:paraId="22DC9FB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5,6%</w:t>
            </w:r>
          </w:p>
        </w:tc>
      </w:tr>
      <w:tr w:rsidR="00D867CD" w14:paraId="64EAB09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DB2F16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1642" w:type="dxa"/>
            <w:vAlign w:val="bottom"/>
          </w:tcPr>
          <w:p w14:paraId="64E478B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2BF75B4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  <w:vAlign w:val="bottom"/>
          </w:tcPr>
          <w:p w14:paraId="4B7543A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57" w:type="dxa"/>
            <w:vAlign w:val="bottom"/>
          </w:tcPr>
          <w:p w14:paraId="6CB1327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2AE6DA34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A84655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1642" w:type="dxa"/>
            <w:vAlign w:val="bottom"/>
          </w:tcPr>
          <w:p w14:paraId="6430C36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3DC5FA0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14:paraId="6F149DD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57" w:type="dxa"/>
            <w:vAlign w:val="bottom"/>
          </w:tcPr>
          <w:p w14:paraId="04F7A0F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344C72C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54DD8C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1642" w:type="dxa"/>
            <w:vAlign w:val="bottom"/>
          </w:tcPr>
          <w:p w14:paraId="4681321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656C5FD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09A4DA9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57" w:type="dxa"/>
            <w:vAlign w:val="bottom"/>
          </w:tcPr>
          <w:p w14:paraId="1462FB3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D867CD" w14:paraId="1FF1A5B8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73DD0C0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1642" w:type="dxa"/>
            <w:vAlign w:val="bottom"/>
          </w:tcPr>
          <w:p w14:paraId="0223FF9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3A1094B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292673B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57" w:type="dxa"/>
            <w:vAlign w:val="bottom"/>
          </w:tcPr>
          <w:p w14:paraId="43333E8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</w:tr>
      <w:tr w:rsidR="00D867CD" w14:paraId="568DCEE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46F48E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1642" w:type="dxa"/>
            <w:vAlign w:val="bottom"/>
          </w:tcPr>
          <w:p w14:paraId="0C4D981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17CFBA9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01" w:type="dxa"/>
            <w:vAlign w:val="bottom"/>
          </w:tcPr>
          <w:p w14:paraId="1734FFD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757" w:type="dxa"/>
            <w:vAlign w:val="bottom"/>
          </w:tcPr>
          <w:p w14:paraId="67482A5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239C2DC3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948738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1642" w:type="dxa"/>
            <w:vAlign w:val="bottom"/>
          </w:tcPr>
          <w:p w14:paraId="0B85C21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2572B17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3C0FBB7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57" w:type="dxa"/>
            <w:vAlign w:val="bottom"/>
          </w:tcPr>
          <w:p w14:paraId="429685E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3735138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39945DD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1642" w:type="dxa"/>
            <w:vAlign w:val="bottom"/>
          </w:tcPr>
          <w:p w14:paraId="0BDFFBD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2ACC08B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7077507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57" w:type="dxa"/>
            <w:vAlign w:val="bottom"/>
          </w:tcPr>
          <w:p w14:paraId="2C57967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5,1%</w:t>
            </w:r>
          </w:p>
        </w:tc>
      </w:tr>
      <w:tr w:rsidR="00D867CD" w14:paraId="1C38EA1E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A3BCF6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1642" w:type="dxa"/>
            <w:vAlign w:val="bottom"/>
          </w:tcPr>
          <w:p w14:paraId="339091B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701" w:type="dxa"/>
            <w:vAlign w:val="bottom"/>
          </w:tcPr>
          <w:p w14:paraId="4C31DCA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701" w:type="dxa"/>
            <w:vAlign w:val="bottom"/>
          </w:tcPr>
          <w:p w14:paraId="2FEB236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57" w:type="dxa"/>
            <w:vAlign w:val="bottom"/>
          </w:tcPr>
          <w:p w14:paraId="6ABAD2E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696657A9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E7A355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1642" w:type="dxa"/>
            <w:vAlign w:val="bottom"/>
          </w:tcPr>
          <w:p w14:paraId="415D76D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39A5ECD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701" w:type="dxa"/>
            <w:vAlign w:val="bottom"/>
          </w:tcPr>
          <w:p w14:paraId="2D7B541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57" w:type="dxa"/>
            <w:vAlign w:val="bottom"/>
          </w:tcPr>
          <w:p w14:paraId="6F56A0D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70282941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163DE7B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1642" w:type="dxa"/>
            <w:vAlign w:val="bottom"/>
          </w:tcPr>
          <w:p w14:paraId="5FEEC12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701" w:type="dxa"/>
            <w:vAlign w:val="bottom"/>
          </w:tcPr>
          <w:p w14:paraId="6574CA0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701" w:type="dxa"/>
            <w:vAlign w:val="bottom"/>
          </w:tcPr>
          <w:p w14:paraId="4C7899E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57" w:type="dxa"/>
            <w:vAlign w:val="bottom"/>
          </w:tcPr>
          <w:p w14:paraId="49B642A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739CB8A4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4FC396F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1642" w:type="dxa"/>
            <w:vAlign w:val="bottom"/>
          </w:tcPr>
          <w:p w14:paraId="1D83D21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6520351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1FA29B8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57" w:type="dxa"/>
          </w:tcPr>
          <w:p w14:paraId="3C35B63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</w:tr>
      <w:tr w:rsidR="00D867CD" w14:paraId="236F7770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5E64692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1642" w:type="dxa"/>
            <w:vAlign w:val="bottom"/>
          </w:tcPr>
          <w:p w14:paraId="4D230DD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54D75AB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701" w:type="dxa"/>
            <w:vAlign w:val="bottom"/>
          </w:tcPr>
          <w:p w14:paraId="64C09F6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57" w:type="dxa"/>
          </w:tcPr>
          <w:p w14:paraId="4CB0531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</w:tr>
      <w:tr w:rsidR="00D867CD" w14:paraId="4006E14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0645C96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1642" w:type="dxa"/>
            <w:vAlign w:val="bottom"/>
          </w:tcPr>
          <w:p w14:paraId="3E4B188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701" w:type="dxa"/>
            <w:vAlign w:val="bottom"/>
          </w:tcPr>
          <w:p w14:paraId="61F7E24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701" w:type="dxa"/>
          </w:tcPr>
          <w:p w14:paraId="7DB0C0B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757" w:type="dxa"/>
          </w:tcPr>
          <w:p w14:paraId="00DD2CA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</w:tr>
      <w:tr w:rsidR="00D867CD" w14:paraId="6282F248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bottom"/>
          </w:tcPr>
          <w:p w14:paraId="62FE309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1642" w:type="dxa"/>
            <w:vAlign w:val="bottom"/>
          </w:tcPr>
          <w:p w14:paraId="4C9C2D6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701" w:type="dxa"/>
            <w:vAlign w:val="bottom"/>
          </w:tcPr>
          <w:p w14:paraId="1E86F35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701" w:type="dxa"/>
          </w:tcPr>
          <w:p w14:paraId="3A31C3B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1757" w:type="dxa"/>
          </w:tcPr>
          <w:p w14:paraId="222E3A6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</w:t>
            </w:r>
          </w:p>
        </w:tc>
      </w:tr>
    </w:tbl>
    <w:p w14:paraId="20C1F44A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549599D5" w14:textId="22292D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Tabla 3. Rentabilidad de la vivienda por ciudades (comparativa 2011, 2016, 2020 y 2021)  </w:t>
      </w:r>
    </w:p>
    <w:tbl>
      <w:tblPr>
        <w:tblStyle w:val="a1"/>
        <w:tblW w:w="905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783"/>
        <w:gridCol w:w="1635"/>
        <w:gridCol w:w="1628"/>
        <w:gridCol w:w="1632"/>
      </w:tblGrid>
      <w:tr w:rsidR="00D867CD" w14:paraId="4743EDFE" w14:textId="77777777" w:rsidTr="00D8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center"/>
          </w:tcPr>
          <w:p w14:paraId="0A3B6CE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Ciudades</w:t>
            </w:r>
          </w:p>
        </w:tc>
        <w:tc>
          <w:tcPr>
            <w:tcW w:w="1783" w:type="dxa"/>
            <w:vAlign w:val="center"/>
          </w:tcPr>
          <w:p w14:paraId="24CCA7D1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5A4EB99E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2011</w:t>
            </w:r>
          </w:p>
          <w:p w14:paraId="1933C12F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(10 años)</w:t>
            </w:r>
          </w:p>
        </w:tc>
        <w:tc>
          <w:tcPr>
            <w:tcW w:w="1635" w:type="dxa"/>
            <w:vAlign w:val="center"/>
          </w:tcPr>
          <w:p w14:paraId="7186F94B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6216AE8D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2016</w:t>
            </w:r>
          </w:p>
          <w:p w14:paraId="1B333E4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(5 años)</w:t>
            </w:r>
          </w:p>
        </w:tc>
        <w:tc>
          <w:tcPr>
            <w:tcW w:w="1628" w:type="dxa"/>
            <w:vAlign w:val="center"/>
          </w:tcPr>
          <w:p w14:paraId="17E7EDB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3797AF3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2020</w:t>
            </w:r>
          </w:p>
          <w:p w14:paraId="5128D499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 año)</w:t>
            </w:r>
          </w:p>
        </w:tc>
        <w:tc>
          <w:tcPr>
            <w:tcW w:w="1632" w:type="dxa"/>
            <w:vAlign w:val="center"/>
          </w:tcPr>
          <w:p w14:paraId="2670DDB5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52F6205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2021</w:t>
            </w:r>
          </w:p>
        </w:tc>
      </w:tr>
      <w:tr w:rsidR="00D867CD" w14:paraId="28448DA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40E063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Gandía</w:t>
            </w:r>
          </w:p>
        </w:tc>
        <w:tc>
          <w:tcPr>
            <w:tcW w:w="1783" w:type="dxa"/>
            <w:vAlign w:val="bottom"/>
          </w:tcPr>
          <w:p w14:paraId="79101BE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7A0B5D2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628" w:type="dxa"/>
            <w:vAlign w:val="bottom"/>
          </w:tcPr>
          <w:p w14:paraId="2101CBA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632" w:type="dxa"/>
            <w:vAlign w:val="bottom"/>
          </w:tcPr>
          <w:p w14:paraId="5CEDC25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9,6%</w:t>
            </w:r>
          </w:p>
        </w:tc>
      </w:tr>
      <w:tr w:rsidR="00D867CD" w14:paraId="23001BD0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8FBB6B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 capital</w:t>
            </w:r>
          </w:p>
        </w:tc>
        <w:tc>
          <w:tcPr>
            <w:tcW w:w="1783" w:type="dxa"/>
            <w:vAlign w:val="bottom"/>
          </w:tcPr>
          <w:p w14:paraId="1B9D129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73DE5C8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28" w:type="dxa"/>
            <w:vAlign w:val="bottom"/>
          </w:tcPr>
          <w:p w14:paraId="3491948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632" w:type="dxa"/>
            <w:vAlign w:val="bottom"/>
          </w:tcPr>
          <w:p w14:paraId="4FFC742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D867CD" w14:paraId="4B664E9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637BDC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Algeciras</w:t>
            </w:r>
          </w:p>
        </w:tc>
        <w:tc>
          <w:tcPr>
            <w:tcW w:w="1783" w:type="dxa"/>
            <w:vAlign w:val="bottom"/>
          </w:tcPr>
          <w:p w14:paraId="33782C2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5" w:type="dxa"/>
            <w:vAlign w:val="bottom"/>
          </w:tcPr>
          <w:p w14:paraId="244271C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28" w:type="dxa"/>
            <w:vAlign w:val="bottom"/>
          </w:tcPr>
          <w:p w14:paraId="24133C6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632" w:type="dxa"/>
            <w:vAlign w:val="bottom"/>
          </w:tcPr>
          <w:p w14:paraId="1100165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D867CD" w14:paraId="49464D7F" w14:textId="77777777" w:rsidTr="00D867C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EE2C7A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Roquetas de Mar</w:t>
            </w:r>
          </w:p>
        </w:tc>
        <w:tc>
          <w:tcPr>
            <w:tcW w:w="1783" w:type="dxa"/>
            <w:vAlign w:val="bottom"/>
          </w:tcPr>
          <w:p w14:paraId="4D12641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55962A4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28" w:type="dxa"/>
            <w:vAlign w:val="bottom"/>
          </w:tcPr>
          <w:p w14:paraId="7CDFFB6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32" w:type="dxa"/>
            <w:vAlign w:val="bottom"/>
          </w:tcPr>
          <w:p w14:paraId="37BC2E3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D867CD" w14:paraId="1317C91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917E69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Cristóbal de la Laguna</w:t>
            </w:r>
          </w:p>
        </w:tc>
        <w:tc>
          <w:tcPr>
            <w:tcW w:w="1783" w:type="dxa"/>
            <w:vAlign w:val="bottom"/>
          </w:tcPr>
          <w:p w14:paraId="14F6067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3D622A37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79FA61E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632" w:type="dxa"/>
            <w:vAlign w:val="bottom"/>
          </w:tcPr>
          <w:p w14:paraId="158B10F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D867CD" w14:paraId="45A2E41E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28AA25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Lucía de Tirajana</w:t>
            </w:r>
          </w:p>
        </w:tc>
        <w:tc>
          <w:tcPr>
            <w:tcW w:w="1783" w:type="dxa"/>
            <w:vAlign w:val="bottom"/>
          </w:tcPr>
          <w:p w14:paraId="6B82D0C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35" w:type="dxa"/>
            <w:vAlign w:val="bottom"/>
          </w:tcPr>
          <w:p w14:paraId="14902EB9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7A5D2D2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632" w:type="dxa"/>
            <w:vAlign w:val="bottom"/>
          </w:tcPr>
          <w:p w14:paraId="639AD32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</w:tr>
      <w:tr w:rsidR="00D867CD" w14:paraId="00AF687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5163D2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Jerez de la Frontera</w:t>
            </w:r>
          </w:p>
        </w:tc>
        <w:tc>
          <w:tcPr>
            <w:tcW w:w="1783" w:type="dxa"/>
            <w:vAlign w:val="bottom"/>
          </w:tcPr>
          <w:p w14:paraId="1134A40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635" w:type="dxa"/>
            <w:vAlign w:val="bottom"/>
          </w:tcPr>
          <w:p w14:paraId="2B84CC5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628" w:type="dxa"/>
            <w:vAlign w:val="bottom"/>
          </w:tcPr>
          <w:p w14:paraId="209F5FB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632" w:type="dxa"/>
            <w:vAlign w:val="bottom"/>
          </w:tcPr>
          <w:p w14:paraId="1D271DD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</w:tr>
      <w:tr w:rsidR="00D867CD" w14:paraId="21C6C12D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448588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 capital</w:t>
            </w:r>
          </w:p>
        </w:tc>
        <w:tc>
          <w:tcPr>
            <w:tcW w:w="1783" w:type="dxa"/>
            <w:vAlign w:val="bottom"/>
          </w:tcPr>
          <w:p w14:paraId="46791A1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5" w:type="dxa"/>
            <w:vAlign w:val="bottom"/>
          </w:tcPr>
          <w:p w14:paraId="2EEA007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28" w:type="dxa"/>
            <w:vAlign w:val="bottom"/>
          </w:tcPr>
          <w:p w14:paraId="62211D4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632" w:type="dxa"/>
            <w:vAlign w:val="bottom"/>
          </w:tcPr>
          <w:p w14:paraId="2B6D78F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D867CD" w14:paraId="415E7F5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0ED913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Cartagena</w:t>
            </w:r>
          </w:p>
        </w:tc>
        <w:tc>
          <w:tcPr>
            <w:tcW w:w="1783" w:type="dxa"/>
            <w:vAlign w:val="bottom"/>
          </w:tcPr>
          <w:p w14:paraId="14E9023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4A05B40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28" w:type="dxa"/>
            <w:vAlign w:val="bottom"/>
          </w:tcPr>
          <w:p w14:paraId="57D8E43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32" w:type="dxa"/>
            <w:vAlign w:val="bottom"/>
          </w:tcPr>
          <w:p w14:paraId="36B7B9C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D867CD" w14:paraId="46E51B00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1486FC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Manresa</w:t>
            </w:r>
          </w:p>
        </w:tc>
        <w:tc>
          <w:tcPr>
            <w:tcW w:w="1783" w:type="dxa"/>
            <w:vAlign w:val="bottom"/>
          </w:tcPr>
          <w:p w14:paraId="32F59F4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35" w:type="dxa"/>
            <w:vAlign w:val="bottom"/>
          </w:tcPr>
          <w:p w14:paraId="13EB58A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628" w:type="dxa"/>
            <w:vAlign w:val="bottom"/>
          </w:tcPr>
          <w:p w14:paraId="46B4E8E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32" w:type="dxa"/>
            <w:vAlign w:val="bottom"/>
          </w:tcPr>
          <w:p w14:paraId="2558489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</w:tr>
      <w:tr w:rsidR="00D867CD" w14:paraId="571F33E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E49A28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Telde</w:t>
            </w:r>
          </w:p>
        </w:tc>
        <w:tc>
          <w:tcPr>
            <w:tcW w:w="1783" w:type="dxa"/>
            <w:vAlign w:val="bottom"/>
          </w:tcPr>
          <w:p w14:paraId="49ED9CA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5" w:type="dxa"/>
            <w:vAlign w:val="bottom"/>
          </w:tcPr>
          <w:p w14:paraId="3B9F19DE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61B02EC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632" w:type="dxa"/>
            <w:vAlign w:val="bottom"/>
          </w:tcPr>
          <w:p w14:paraId="3EFEFC3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</w:tr>
      <w:tr w:rsidR="00D867CD" w14:paraId="13E510DA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317284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Reus</w:t>
            </w:r>
          </w:p>
        </w:tc>
        <w:tc>
          <w:tcPr>
            <w:tcW w:w="1783" w:type="dxa"/>
            <w:vAlign w:val="bottom"/>
          </w:tcPr>
          <w:p w14:paraId="0A70A28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1E16F4A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628" w:type="dxa"/>
            <w:vAlign w:val="bottom"/>
          </w:tcPr>
          <w:p w14:paraId="71B355B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632" w:type="dxa"/>
            <w:vAlign w:val="bottom"/>
          </w:tcPr>
          <w:p w14:paraId="07EC6B8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</w:tr>
      <w:tr w:rsidR="00D867CD" w14:paraId="7842052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5C43EA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Alcoy / Alcoi</w:t>
            </w:r>
          </w:p>
        </w:tc>
        <w:tc>
          <w:tcPr>
            <w:tcW w:w="1783" w:type="dxa"/>
            <w:vAlign w:val="bottom"/>
          </w:tcPr>
          <w:p w14:paraId="64A3929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5" w:type="dxa"/>
            <w:vAlign w:val="bottom"/>
          </w:tcPr>
          <w:p w14:paraId="723C48A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28" w:type="dxa"/>
            <w:vAlign w:val="bottom"/>
          </w:tcPr>
          <w:p w14:paraId="0DBB402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632" w:type="dxa"/>
            <w:vAlign w:val="bottom"/>
          </w:tcPr>
          <w:p w14:paraId="6398CEC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</w:tr>
      <w:tr w:rsidR="00D867CD" w14:paraId="43040315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7CDA1D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 capital</w:t>
            </w:r>
          </w:p>
        </w:tc>
        <w:tc>
          <w:tcPr>
            <w:tcW w:w="1783" w:type="dxa"/>
            <w:vAlign w:val="bottom"/>
          </w:tcPr>
          <w:p w14:paraId="46C6466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3F8828C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28" w:type="dxa"/>
            <w:vAlign w:val="bottom"/>
          </w:tcPr>
          <w:p w14:paraId="65910CB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32" w:type="dxa"/>
            <w:vAlign w:val="bottom"/>
          </w:tcPr>
          <w:p w14:paraId="08A1D20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D867CD" w14:paraId="014B142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BF7059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Badalona</w:t>
            </w:r>
          </w:p>
        </w:tc>
        <w:tc>
          <w:tcPr>
            <w:tcW w:w="1783" w:type="dxa"/>
            <w:vAlign w:val="bottom"/>
          </w:tcPr>
          <w:p w14:paraId="1E9F085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5610B7B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28" w:type="dxa"/>
            <w:vAlign w:val="bottom"/>
          </w:tcPr>
          <w:p w14:paraId="5A63EE5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32" w:type="dxa"/>
            <w:vAlign w:val="bottom"/>
          </w:tcPr>
          <w:p w14:paraId="46BAA4A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D867CD" w14:paraId="68C3B155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850D73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 capital</w:t>
            </w:r>
          </w:p>
        </w:tc>
        <w:tc>
          <w:tcPr>
            <w:tcW w:w="1783" w:type="dxa"/>
            <w:vAlign w:val="bottom"/>
          </w:tcPr>
          <w:p w14:paraId="105D118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35" w:type="dxa"/>
            <w:vAlign w:val="bottom"/>
          </w:tcPr>
          <w:p w14:paraId="5D7738D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628" w:type="dxa"/>
            <w:vAlign w:val="bottom"/>
          </w:tcPr>
          <w:p w14:paraId="41CCA28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632" w:type="dxa"/>
            <w:vAlign w:val="bottom"/>
          </w:tcPr>
          <w:p w14:paraId="628378F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D867CD" w14:paraId="46194EF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676E66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L'Hospitalet de Llobregat</w:t>
            </w:r>
          </w:p>
        </w:tc>
        <w:tc>
          <w:tcPr>
            <w:tcW w:w="1783" w:type="dxa"/>
            <w:vAlign w:val="bottom"/>
          </w:tcPr>
          <w:p w14:paraId="0A7256D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5" w:type="dxa"/>
            <w:vAlign w:val="bottom"/>
          </w:tcPr>
          <w:p w14:paraId="5F7B146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628" w:type="dxa"/>
            <w:vAlign w:val="bottom"/>
          </w:tcPr>
          <w:p w14:paraId="0FCAB57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632" w:type="dxa"/>
            <w:vAlign w:val="bottom"/>
          </w:tcPr>
          <w:p w14:paraId="6EA1893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D867CD" w14:paraId="0939DA42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3F7CAE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El Puerto de Santa María</w:t>
            </w:r>
          </w:p>
        </w:tc>
        <w:tc>
          <w:tcPr>
            <w:tcW w:w="1783" w:type="dxa"/>
            <w:vAlign w:val="bottom"/>
          </w:tcPr>
          <w:p w14:paraId="6430B47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5" w:type="dxa"/>
            <w:vAlign w:val="bottom"/>
          </w:tcPr>
          <w:p w14:paraId="3B885FA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28" w:type="dxa"/>
            <w:vAlign w:val="bottom"/>
          </w:tcPr>
          <w:p w14:paraId="79CA270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32" w:type="dxa"/>
            <w:vAlign w:val="bottom"/>
          </w:tcPr>
          <w:p w14:paraId="5B488C4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D867CD" w14:paraId="4EB7627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B76C96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Valdemoro</w:t>
            </w:r>
          </w:p>
        </w:tc>
        <w:tc>
          <w:tcPr>
            <w:tcW w:w="1783" w:type="dxa"/>
            <w:vAlign w:val="bottom"/>
          </w:tcPr>
          <w:p w14:paraId="671858F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2C18F310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54317AA9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093B9B0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D867CD" w14:paraId="6B5F75E4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C4A346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 capital</w:t>
            </w:r>
          </w:p>
        </w:tc>
        <w:tc>
          <w:tcPr>
            <w:tcW w:w="1783" w:type="dxa"/>
            <w:vAlign w:val="bottom"/>
          </w:tcPr>
          <w:p w14:paraId="75C9D2F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35" w:type="dxa"/>
            <w:vAlign w:val="bottom"/>
          </w:tcPr>
          <w:p w14:paraId="5AB070A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28" w:type="dxa"/>
            <w:vAlign w:val="bottom"/>
          </w:tcPr>
          <w:p w14:paraId="3DDEA5C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632" w:type="dxa"/>
            <w:vAlign w:val="bottom"/>
          </w:tcPr>
          <w:p w14:paraId="218AF82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D867CD" w14:paraId="233244C4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483A97B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Terrassa</w:t>
            </w:r>
          </w:p>
        </w:tc>
        <w:tc>
          <w:tcPr>
            <w:tcW w:w="1783" w:type="dxa"/>
            <w:vAlign w:val="bottom"/>
          </w:tcPr>
          <w:p w14:paraId="0ADB83A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5" w:type="dxa"/>
            <w:vAlign w:val="bottom"/>
          </w:tcPr>
          <w:p w14:paraId="22556EC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628" w:type="dxa"/>
            <w:vAlign w:val="bottom"/>
          </w:tcPr>
          <w:p w14:paraId="4287F0C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32" w:type="dxa"/>
            <w:vAlign w:val="bottom"/>
          </w:tcPr>
          <w:p w14:paraId="742DFC3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6763366E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A84EB3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83" w:type="dxa"/>
            <w:vAlign w:val="bottom"/>
          </w:tcPr>
          <w:p w14:paraId="384193C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35" w:type="dxa"/>
            <w:vAlign w:val="bottom"/>
          </w:tcPr>
          <w:p w14:paraId="46CEDC2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28" w:type="dxa"/>
            <w:vAlign w:val="bottom"/>
          </w:tcPr>
          <w:p w14:paraId="08DFEFF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632" w:type="dxa"/>
            <w:vAlign w:val="bottom"/>
          </w:tcPr>
          <w:p w14:paraId="120510D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225E571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42C1A9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 capital</w:t>
            </w:r>
          </w:p>
        </w:tc>
        <w:tc>
          <w:tcPr>
            <w:tcW w:w="1783" w:type="dxa"/>
            <w:vAlign w:val="bottom"/>
          </w:tcPr>
          <w:p w14:paraId="0B05CE2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78C2953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28" w:type="dxa"/>
            <w:vAlign w:val="bottom"/>
          </w:tcPr>
          <w:p w14:paraId="5BE26FA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32" w:type="dxa"/>
            <w:vAlign w:val="bottom"/>
          </w:tcPr>
          <w:p w14:paraId="18E19D5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2EB39AEA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83F0B0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Ferrol</w:t>
            </w:r>
          </w:p>
        </w:tc>
        <w:tc>
          <w:tcPr>
            <w:tcW w:w="1783" w:type="dxa"/>
            <w:vAlign w:val="bottom"/>
          </w:tcPr>
          <w:p w14:paraId="4597F6C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35" w:type="dxa"/>
            <w:vAlign w:val="bottom"/>
          </w:tcPr>
          <w:p w14:paraId="71E3BA5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28" w:type="dxa"/>
            <w:vAlign w:val="bottom"/>
          </w:tcPr>
          <w:p w14:paraId="48715BD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32" w:type="dxa"/>
            <w:vAlign w:val="bottom"/>
          </w:tcPr>
          <w:p w14:paraId="3FDD7A8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3C802F1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B4ACA1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Ávila capital</w:t>
            </w:r>
          </w:p>
        </w:tc>
        <w:tc>
          <w:tcPr>
            <w:tcW w:w="1783" w:type="dxa"/>
            <w:vAlign w:val="bottom"/>
          </w:tcPr>
          <w:p w14:paraId="3F38A2D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35" w:type="dxa"/>
            <w:vAlign w:val="bottom"/>
          </w:tcPr>
          <w:p w14:paraId="7ACBBF9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28" w:type="dxa"/>
            <w:vAlign w:val="bottom"/>
          </w:tcPr>
          <w:p w14:paraId="7581C12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32" w:type="dxa"/>
            <w:vAlign w:val="bottom"/>
          </w:tcPr>
          <w:p w14:paraId="0DDB98C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57997A65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C9BF67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Alcalá de Henares</w:t>
            </w:r>
          </w:p>
        </w:tc>
        <w:tc>
          <w:tcPr>
            <w:tcW w:w="1783" w:type="dxa"/>
            <w:vAlign w:val="bottom"/>
          </w:tcPr>
          <w:p w14:paraId="264B6DB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5" w:type="dxa"/>
            <w:vAlign w:val="bottom"/>
          </w:tcPr>
          <w:p w14:paraId="36BD566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28" w:type="dxa"/>
            <w:vAlign w:val="bottom"/>
          </w:tcPr>
          <w:p w14:paraId="18A7B0F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32" w:type="dxa"/>
            <w:vAlign w:val="bottom"/>
          </w:tcPr>
          <w:p w14:paraId="743CB28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40A8820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5F96C0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 / Alacant</w:t>
            </w:r>
          </w:p>
        </w:tc>
        <w:tc>
          <w:tcPr>
            <w:tcW w:w="1783" w:type="dxa"/>
            <w:vAlign w:val="bottom"/>
          </w:tcPr>
          <w:p w14:paraId="3CB3162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3D64969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28" w:type="dxa"/>
            <w:vAlign w:val="bottom"/>
          </w:tcPr>
          <w:p w14:paraId="56F1742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32" w:type="dxa"/>
            <w:vAlign w:val="bottom"/>
          </w:tcPr>
          <w:p w14:paraId="08019B1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D867CD" w14:paraId="70006C02" w14:textId="77777777" w:rsidTr="00D867C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B91F06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 de Gran Canaria</w:t>
            </w:r>
          </w:p>
        </w:tc>
        <w:tc>
          <w:tcPr>
            <w:tcW w:w="1783" w:type="dxa"/>
            <w:vAlign w:val="bottom"/>
          </w:tcPr>
          <w:p w14:paraId="48BFBA4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5" w:type="dxa"/>
            <w:vAlign w:val="bottom"/>
          </w:tcPr>
          <w:p w14:paraId="7E59944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28" w:type="dxa"/>
            <w:vAlign w:val="bottom"/>
          </w:tcPr>
          <w:p w14:paraId="4D9B206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632" w:type="dxa"/>
            <w:vAlign w:val="bottom"/>
          </w:tcPr>
          <w:p w14:paraId="5336950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483A479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B3C7E9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Elche / Elx</w:t>
            </w:r>
          </w:p>
        </w:tc>
        <w:tc>
          <w:tcPr>
            <w:tcW w:w="1783" w:type="dxa"/>
            <w:vAlign w:val="bottom"/>
          </w:tcPr>
          <w:p w14:paraId="3AD1360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071390B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28" w:type="dxa"/>
            <w:vAlign w:val="bottom"/>
          </w:tcPr>
          <w:p w14:paraId="14A3062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32" w:type="dxa"/>
            <w:vAlign w:val="bottom"/>
          </w:tcPr>
          <w:p w14:paraId="4D30124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09667AEC" w14:textId="77777777" w:rsidTr="00D867C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7EDA751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Avilés</w:t>
            </w:r>
          </w:p>
        </w:tc>
        <w:tc>
          <w:tcPr>
            <w:tcW w:w="1783" w:type="dxa"/>
            <w:vAlign w:val="bottom"/>
          </w:tcPr>
          <w:p w14:paraId="1DCA63B3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14:paraId="785F7F0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28" w:type="dxa"/>
            <w:vAlign w:val="bottom"/>
          </w:tcPr>
          <w:p w14:paraId="02980CF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32" w:type="dxa"/>
            <w:vAlign w:val="bottom"/>
          </w:tcPr>
          <w:p w14:paraId="1E359A2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1B7EA43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B866A2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 capital</w:t>
            </w:r>
          </w:p>
        </w:tc>
        <w:tc>
          <w:tcPr>
            <w:tcW w:w="1783" w:type="dxa"/>
            <w:vAlign w:val="bottom"/>
          </w:tcPr>
          <w:p w14:paraId="2EA4344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6C75C81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28" w:type="dxa"/>
            <w:vAlign w:val="bottom"/>
          </w:tcPr>
          <w:p w14:paraId="7D8A7E8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632" w:type="dxa"/>
            <w:vAlign w:val="bottom"/>
          </w:tcPr>
          <w:p w14:paraId="4524452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2F3F03BE" w14:textId="77777777" w:rsidTr="00D867C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46FB0A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 capital</w:t>
            </w:r>
          </w:p>
        </w:tc>
        <w:tc>
          <w:tcPr>
            <w:tcW w:w="1783" w:type="dxa"/>
            <w:vAlign w:val="bottom"/>
          </w:tcPr>
          <w:p w14:paraId="2BD886C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635" w:type="dxa"/>
            <w:vAlign w:val="bottom"/>
          </w:tcPr>
          <w:p w14:paraId="2CB75C2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28" w:type="dxa"/>
            <w:vAlign w:val="bottom"/>
          </w:tcPr>
          <w:p w14:paraId="1157388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32" w:type="dxa"/>
            <w:vAlign w:val="bottom"/>
          </w:tcPr>
          <w:p w14:paraId="5A20969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344E181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F7F496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Sabadell</w:t>
            </w:r>
          </w:p>
        </w:tc>
        <w:tc>
          <w:tcPr>
            <w:tcW w:w="1783" w:type="dxa"/>
            <w:vAlign w:val="bottom"/>
          </w:tcPr>
          <w:p w14:paraId="71306CF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35" w:type="dxa"/>
            <w:vAlign w:val="bottom"/>
          </w:tcPr>
          <w:p w14:paraId="69D0B9B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28" w:type="dxa"/>
            <w:vAlign w:val="bottom"/>
          </w:tcPr>
          <w:p w14:paraId="07724D1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632" w:type="dxa"/>
            <w:vAlign w:val="bottom"/>
          </w:tcPr>
          <w:p w14:paraId="4705605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2209ECEB" w14:textId="77777777" w:rsidTr="00D867CD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2FFEBF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Móstoles</w:t>
            </w:r>
          </w:p>
        </w:tc>
        <w:tc>
          <w:tcPr>
            <w:tcW w:w="1783" w:type="dxa"/>
            <w:vAlign w:val="bottom"/>
          </w:tcPr>
          <w:p w14:paraId="1F0B93D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5" w:type="dxa"/>
            <w:vAlign w:val="bottom"/>
          </w:tcPr>
          <w:p w14:paraId="1A3321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628" w:type="dxa"/>
            <w:vAlign w:val="bottom"/>
          </w:tcPr>
          <w:p w14:paraId="36AA63B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32" w:type="dxa"/>
            <w:vAlign w:val="bottom"/>
          </w:tcPr>
          <w:p w14:paraId="41C0F1D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D867CD" w14:paraId="36700F1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71D2AED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 capital</w:t>
            </w:r>
          </w:p>
        </w:tc>
        <w:tc>
          <w:tcPr>
            <w:tcW w:w="1783" w:type="dxa"/>
            <w:vAlign w:val="bottom"/>
          </w:tcPr>
          <w:p w14:paraId="3A8B36A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09BD04A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28" w:type="dxa"/>
            <w:vAlign w:val="bottom"/>
          </w:tcPr>
          <w:p w14:paraId="33676B6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32" w:type="dxa"/>
            <w:vAlign w:val="bottom"/>
          </w:tcPr>
          <w:p w14:paraId="2190433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D867CD" w14:paraId="583B0523" w14:textId="77777777" w:rsidTr="00D867C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3FFCB5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Torrevieja</w:t>
            </w:r>
          </w:p>
        </w:tc>
        <w:tc>
          <w:tcPr>
            <w:tcW w:w="1783" w:type="dxa"/>
            <w:vAlign w:val="bottom"/>
          </w:tcPr>
          <w:p w14:paraId="07285DE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35" w:type="dxa"/>
            <w:vAlign w:val="bottom"/>
          </w:tcPr>
          <w:p w14:paraId="32A6976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28" w:type="dxa"/>
            <w:vAlign w:val="bottom"/>
          </w:tcPr>
          <w:p w14:paraId="3C0BC86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32" w:type="dxa"/>
            <w:vAlign w:val="bottom"/>
          </w:tcPr>
          <w:p w14:paraId="2B14CE4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3A41A175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B40ED2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Torrejón de Ardoz</w:t>
            </w:r>
          </w:p>
        </w:tc>
        <w:tc>
          <w:tcPr>
            <w:tcW w:w="1783" w:type="dxa"/>
            <w:vAlign w:val="bottom"/>
          </w:tcPr>
          <w:p w14:paraId="34D6B8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35" w:type="dxa"/>
            <w:vAlign w:val="bottom"/>
          </w:tcPr>
          <w:p w14:paraId="2C5F9E4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28" w:type="dxa"/>
            <w:vAlign w:val="bottom"/>
          </w:tcPr>
          <w:p w14:paraId="6B4784D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32" w:type="dxa"/>
            <w:vAlign w:val="bottom"/>
          </w:tcPr>
          <w:p w14:paraId="31C0531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261DD3A5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2DBCD2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 capital</w:t>
            </w:r>
          </w:p>
        </w:tc>
        <w:tc>
          <w:tcPr>
            <w:tcW w:w="1783" w:type="dxa"/>
            <w:vAlign w:val="bottom"/>
          </w:tcPr>
          <w:p w14:paraId="4559841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635" w:type="dxa"/>
            <w:vAlign w:val="bottom"/>
          </w:tcPr>
          <w:p w14:paraId="162C5D8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28" w:type="dxa"/>
            <w:vAlign w:val="bottom"/>
          </w:tcPr>
          <w:p w14:paraId="3F0D4E0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32" w:type="dxa"/>
            <w:vAlign w:val="bottom"/>
          </w:tcPr>
          <w:p w14:paraId="7C78172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79F34CB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14D20B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 capital</w:t>
            </w:r>
          </w:p>
        </w:tc>
        <w:tc>
          <w:tcPr>
            <w:tcW w:w="1783" w:type="dxa"/>
            <w:vAlign w:val="bottom"/>
          </w:tcPr>
          <w:p w14:paraId="66EC895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1B5D69F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28" w:type="dxa"/>
            <w:vAlign w:val="bottom"/>
          </w:tcPr>
          <w:p w14:paraId="69B69AF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32" w:type="dxa"/>
            <w:vAlign w:val="bottom"/>
          </w:tcPr>
          <w:p w14:paraId="1D62FF9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4FD3F737" w14:textId="77777777" w:rsidTr="00D867C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5D3100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Oviedo</w:t>
            </w:r>
          </w:p>
        </w:tc>
        <w:tc>
          <w:tcPr>
            <w:tcW w:w="1783" w:type="dxa"/>
            <w:vAlign w:val="bottom"/>
          </w:tcPr>
          <w:p w14:paraId="0D1AA6A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5277FA6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28" w:type="dxa"/>
            <w:vAlign w:val="bottom"/>
          </w:tcPr>
          <w:p w14:paraId="5FCF3CC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32" w:type="dxa"/>
            <w:vAlign w:val="bottom"/>
          </w:tcPr>
          <w:p w14:paraId="2C5B90E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47CAFBB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1BFE36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 capital</w:t>
            </w:r>
          </w:p>
        </w:tc>
        <w:tc>
          <w:tcPr>
            <w:tcW w:w="1783" w:type="dxa"/>
            <w:vAlign w:val="bottom"/>
          </w:tcPr>
          <w:p w14:paraId="0982D76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7B8D879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28" w:type="dxa"/>
            <w:vAlign w:val="bottom"/>
          </w:tcPr>
          <w:p w14:paraId="7F97A68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32" w:type="dxa"/>
            <w:vAlign w:val="bottom"/>
          </w:tcPr>
          <w:p w14:paraId="77DBD6C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D867CD" w14:paraId="4B81E4E1" w14:textId="77777777" w:rsidTr="00D867CD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1266AB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Leganés</w:t>
            </w:r>
          </w:p>
        </w:tc>
        <w:tc>
          <w:tcPr>
            <w:tcW w:w="1783" w:type="dxa"/>
            <w:vAlign w:val="bottom"/>
          </w:tcPr>
          <w:p w14:paraId="49D9289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635" w:type="dxa"/>
            <w:vAlign w:val="bottom"/>
          </w:tcPr>
          <w:p w14:paraId="2AF77D4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28" w:type="dxa"/>
            <w:vAlign w:val="bottom"/>
          </w:tcPr>
          <w:p w14:paraId="738DE4C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32" w:type="dxa"/>
            <w:vAlign w:val="bottom"/>
          </w:tcPr>
          <w:p w14:paraId="258DC9C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3B35CF84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136579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Gijón</w:t>
            </w:r>
          </w:p>
        </w:tc>
        <w:tc>
          <w:tcPr>
            <w:tcW w:w="1783" w:type="dxa"/>
            <w:vAlign w:val="bottom"/>
          </w:tcPr>
          <w:p w14:paraId="2CCA289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35" w:type="dxa"/>
            <w:vAlign w:val="bottom"/>
          </w:tcPr>
          <w:p w14:paraId="6285388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28" w:type="dxa"/>
            <w:vAlign w:val="bottom"/>
          </w:tcPr>
          <w:p w14:paraId="2BD6419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32" w:type="dxa"/>
            <w:vAlign w:val="bottom"/>
          </w:tcPr>
          <w:p w14:paraId="559E768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22971790" w14:textId="77777777" w:rsidTr="00D867CD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A66D6D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Arona</w:t>
            </w:r>
          </w:p>
        </w:tc>
        <w:tc>
          <w:tcPr>
            <w:tcW w:w="1783" w:type="dxa"/>
            <w:vAlign w:val="bottom"/>
          </w:tcPr>
          <w:p w14:paraId="764BDDE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5" w:type="dxa"/>
            <w:vAlign w:val="bottom"/>
          </w:tcPr>
          <w:p w14:paraId="578DAA4F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70CB710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632" w:type="dxa"/>
            <w:vAlign w:val="bottom"/>
          </w:tcPr>
          <w:p w14:paraId="47BC6C6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1D86A97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96FC3F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El Campello</w:t>
            </w:r>
          </w:p>
        </w:tc>
        <w:tc>
          <w:tcPr>
            <w:tcW w:w="1783" w:type="dxa"/>
            <w:vAlign w:val="bottom"/>
          </w:tcPr>
          <w:p w14:paraId="6FBE57C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635" w:type="dxa"/>
            <w:vAlign w:val="bottom"/>
          </w:tcPr>
          <w:p w14:paraId="7439BD0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28" w:type="dxa"/>
            <w:vAlign w:val="bottom"/>
          </w:tcPr>
          <w:p w14:paraId="6616035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32" w:type="dxa"/>
            <w:vAlign w:val="bottom"/>
          </w:tcPr>
          <w:p w14:paraId="758C2C2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374062D5" w14:textId="77777777" w:rsidTr="00D867C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21EFC7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Alcorcón</w:t>
            </w:r>
          </w:p>
        </w:tc>
        <w:tc>
          <w:tcPr>
            <w:tcW w:w="1783" w:type="dxa"/>
            <w:vAlign w:val="bottom"/>
          </w:tcPr>
          <w:p w14:paraId="09C72AD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35" w:type="dxa"/>
            <w:vAlign w:val="bottom"/>
          </w:tcPr>
          <w:p w14:paraId="38C3E90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28" w:type="dxa"/>
            <w:vAlign w:val="bottom"/>
          </w:tcPr>
          <w:p w14:paraId="4ED07B3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32" w:type="dxa"/>
            <w:vAlign w:val="bottom"/>
          </w:tcPr>
          <w:p w14:paraId="2F14424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D867CD" w14:paraId="10D37BF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C1C5D9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 capital</w:t>
            </w:r>
          </w:p>
        </w:tc>
        <w:tc>
          <w:tcPr>
            <w:tcW w:w="1783" w:type="dxa"/>
            <w:vAlign w:val="bottom"/>
          </w:tcPr>
          <w:p w14:paraId="273E7BD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635" w:type="dxa"/>
            <w:vAlign w:val="bottom"/>
          </w:tcPr>
          <w:p w14:paraId="23228E4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28" w:type="dxa"/>
            <w:vAlign w:val="bottom"/>
          </w:tcPr>
          <w:p w14:paraId="7FB7F33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32" w:type="dxa"/>
            <w:vAlign w:val="bottom"/>
          </w:tcPr>
          <w:p w14:paraId="4EFB114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09AF617E" w14:textId="77777777" w:rsidTr="00D867C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C48313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Getafe</w:t>
            </w:r>
          </w:p>
        </w:tc>
        <w:tc>
          <w:tcPr>
            <w:tcW w:w="1783" w:type="dxa"/>
            <w:vAlign w:val="bottom"/>
          </w:tcPr>
          <w:p w14:paraId="1893D29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5" w:type="dxa"/>
            <w:vAlign w:val="bottom"/>
          </w:tcPr>
          <w:p w14:paraId="7A02774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28" w:type="dxa"/>
            <w:vAlign w:val="bottom"/>
          </w:tcPr>
          <w:p w14:paraId="4BA757E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632" w:type="dxa"/>
            <w:vAlign w:val="bottom"/>
          </w:tcPr>
          <w:p w14:paraId="6DE51DA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1A8BA57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83BDFB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Torremolinos</w:t>
            </w:r>
          </w:p>
        </w:tc>
        <w:tc>
          <w:tcPr>
            <w:tcW w:w="1783" w:type="dxa"/>
            <w:vAlign w:val="bottom"/>
          </w:tcPr>
          <w:p w14:paraId="1C031BA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3E48557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28" w:type="dxa"/>
            <w:vAlign w:val="bottom"/>
          </w:tcPr>
          <w:p w14:paraId="7802BB5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32" w:type="dxa"/>
            <w:vAlign w:val="bottom"/>
          </w:tcPr>
          <w:p w14:paraId="1BDA235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7E423410" w14:textId="77777777" w:rsidTr="00D867CD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7A588C2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Fuenlabrada</w:t>
            </w:r>
          </w:p>
        </w:tc>
        <w:tc>
          <w:tcPr>
            <w:tcW w:w="1783" w:type="dxa"/>
            <w:vAlign w:val="bottom"/>
          </w:tcPr>
          <w:p w14:paraId="32062CB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5" w:type="dxa"/>
            <w:vAlign w:val="bottom"/>
          </w:tcPr>
          <w:p w14:paraId="31EDE29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28" w:type="dxa"/>
            <w:vAlign w:val="bottom"/>
          </w:tcPr>
          <w:p w14:paraId="0E197AB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32" w:type="dxa"/>
            <w:vAlign w:val="bottom"/>
          </w:tcPr>
          <w:p w14:paraId="028688F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4F76F0E3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4CD4481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 capital</w:t>
            </w:r>
          </w:p>
        </w:tc>
        <w:tc>
          <w:tcPr>
            <w:tcW w:w="1783" w:type="dxa"/>
            <w:vAlign w:val="bottom"/>
          </w:tcPr>
          <w:p w14:paraId="06DDA77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635" w:type="dxa"/>
            <w:vAlign w:val="bottom"/>
          </w:tcPr>
          <w:p w14:paraId="006F552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28" w:type="dxa"/>
            <w:vAlign w:val="bottom"/>
          </w:tcPr>
          <w:p w14:paraId="4A22A4D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2" w:type="dxa"/>
            <w:vAlign w:val="bottom"/>
          </w:tcPr>
          <w:p w14:paraId="2E1AA69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49496432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104071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 capital</w:t>
            </w:r>
          </w:p>
        </w:tc>
        <w:tc>
          <w:tcPr>
            <w:tcW w:w="1783" w:type="dxa"/>
            <w:vAlign w:val="bottom"/>
          </w:tcPr>
          <w:p w14:paraId="3291A46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35" w:type="dxa"/>
            <w:vAlign w:val="bottom"/>
          </w:tcPr>
          <w:p w14:paraId="185DA89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28" w:type="dxa"/>
            <w:vAlign w:val="bottom"/>
          </w:tcPr>
          <w:p w14:paraId="5C1A5FA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32" w:type="dxa"/>
            <w:vAlign w:val="bottom"/>
          </w:tcPr>
          <w:p w14:paraId="7AD49AF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152DD60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F95BF3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 capital</w:t>
            </w:r>
          </w:p>
        </w:tc>
        <w:tc>
          <w:tcPr>
            <w:tcW w:w="1783" w:type="dxa"/>
            <w:vAlign w:val="bottom"/>
          </w:tcPr>
          <w:p w14:paraId="4ED452E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427E3AA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628" w:type="dxa"/>
            <w:vAlign w:val="bottom"/>
          </w:tcPr>
          <w:p w14:paraId="7F9D938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32" w:type="dxa"/>
            <w:vAlign w:val="bottom"/>
          </w:tcPr>
          <w:p w14:paraId="5B3180F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2878C406" w14:textId="77777777" w:rsidTr="00D867C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A79ABC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 capital</w:t>
            </w:r>
          </w:p>
        </w:tc>
        <w:tc>
          <w:tcPr>
            <w:tcW w:w="1783" w:type="dxa"/>
            <w:vAlign w:val="bottom"/>
          </w:tcPr>
          <w:p w14:paraId="48BEEEB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635" w:type="dxa"/>
            <w:vAlign w:val="bottom"/>
          </w:tcPr>
          <w:p w14:paraId="5FD7E58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28" w:type="dxa"/>
            <w:vAlign w:val="bottom"/>
          </w:tcPr>
          <w:p w14:paraId="788C3A3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32" w:type="dxa"/>
            <w:vAlign w:val="bottom"/>
          </w:tcPr>
          <w:p w14:paraId="36A30EB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216261E5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C04D47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Melilla capital</w:t>
            </w:r>
          </w:p>
        </w:tc>
        <w:tc>
          <w:tcPr>
            <w:tcW w:w="1783" w:type="dxa"/>
            <w:vAlign w:val="bottom"/>
          </w:tcPr>
          <w:p w14:paraId="20580BF0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14:paraId="6CCEB1D4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50890255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332B5B8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7737D96C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652559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 capital</w:t>
            </w:r>
          </w:p>
        </w:tc>
        <w:tc>
          <w:tcPr>
            <w:tcW w:w="1783" w:type="dxa"/>
            <w:vAlign w:val="bottom"/>
          </w:tcPr>
          <w:p w14:paraId="2FAAAC6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635" w:type="dxa"/>
            <w:vAlign w:val="bottom"/>
          </w:tcPr>
          <w:p w14:paraId="41A4620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28" w:type="dxa"/>
            <w:vAlign w:val="bottom"/>
          </w:tcPr>
          <w:p w14:paraId="5A5271E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1632" w:type="dxa"/>
            <w:vAlign w:val="bottom"/>
          </w:tcPr>
          <w:p w14:paraId="27E7807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3FE607B3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49D0B0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 capital</w:t>
            </w:r>
          </w:p>
        </w:tc>
        <w:tc>
          <w:tcPr>
            <w:tcW w:w="1783" w:type="dxa"/>
            <w:vAlign w:val="bottom"/>
          </w:tcPr>
          <w:p w14:paraId="07BD030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635" w:type="dxa"/>
            <w:vAlign w:val="bottom"/>
          </w:tcPr>
          <w:p w14:paraId="792AFF0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28" w:type="dxa"/>
            <w:vAlign w:val="bottom"/>
          </w:tcPr>
          <w:p w14:paraId="0187CD8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2" w:type="dxa"/>
            <w:vAlign w:val="bottom"/>
          </w:tcPr>
          <w:p w14:paraId="51E456E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4DF10E46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76C23D0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Pola</w:t>
            </w:r>
          </w:p>
        </w:tc>
        <w:tc>
          <w:tcPr>
            <w:tcW w:w="1783" w:type="dxa"/>
            <w:vAlign w:val="bottom"/>
          </w:tcPr>
          <w:p w14:paraId="14AC686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5" w:type="dxa"/>
            <w:vAlign w:val="bottom"/>
          </w:tcPr>
          <w:p w14:paraId="352DDAB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628" w:type="dxa"/>
            <w:vAlign w:val="bottom"/>
          </w:tcPr>
          <w:p w14:paraId="3B2C40C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2" w:type="dxa"/>
            <w:vAlign w:val="bottom"/>
          </w:tcPr>
          <w:p w14:paraId="2BBEB34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D867CD" w14:paraId="682477C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3BD7EF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 capital</w:t>
            </w:r>
          </w:p>
        </w:tc>
        <w:tc>
          <w:tcPr>
            <w:tcW w:w="1783" w:type="dxa"/>
            <w:vAlign w:val="bottom"/>
          </w:tcPr>
          <w:p w14:paraId="07BC233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579FE73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28" w:type="dxa"/>
            <w:vAlign w:val="bottom"/>
          </w:tcPr>
          <w:p w14:paraId="2C7735C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632" w:type="dxa"/>
            <w:vAlign w:val="bottom"/>
          </w:tcPr>
          <w:p w14:paraId="7457D21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457533C6" w14:textId="77777777" w:rsidTr="00D867C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A14E89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Logroño</w:t>
            </w:r>
          </w:p>
        </w:tc>
        <w:tc>
          <w:tcPr>
            <w:tcW w:w="1783" w:type="dxa"/>
            <w:vAlign w:val="bottom"/>
          </w:tcPr>
          <w:p w14:paraId="6F2B98A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635" w:type="dxa"/>
            <w:vAlign w:val="bottom"/>
          </w:tcPr>
          <w:p w14:paraId="768C60E2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026DC80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632" w:type="dxa"/>
            <w:vAlign w:val="bottom"/>
          </w:tcPr>
          <w:p w14:paraId="48A0374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259DDE66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C501E6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 capital</w:t>
            </w:r>
          </w:p>
        </w:tc>
        <w:tc>
          <w:tcPr>
            <w:tcW w:w="1783" w:type="dxa"/>
            <w:vAlign w:val="bottom"/>
          </w:tcPr>
          <w:p w14:paraId="68AA34D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635" w:type="dxa"/>
            <w:vAlign w:val="bottom"/>
          </w:tcPr>
          <w:p w14:paraId="64BA38D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28" w:type="dxa"/>
            <w:vAlign w:val="bottom"/>
          </w:tcPr>
          <w:p w14:paraId="5724031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632" w:type="dxa"/>
            <w:vAlign w:val="bottom"/>
          </w:tcPr>
          <w:p w14:paraId="1B97B23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45916062" w14:textId="77777777" w:rsidTr="00D867C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469BBC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Mijas</w:t>
            </w:r>
          </w:p>
        </w:tc>
        <w:tc>
          <w:tcPr>
            <w:tcW w:w="1783" w:type="dxa"/>
            <w:vAlign w:val="bottom"/>
          </w:tcPr>
          <w:p w14:paraId="5755C17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5" w:type="dxa"/>
            <w:vAlign w:val="bottom"/>
          </w:tcPr>
          <w:p w14:paraId="0FECF6D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28" w:type="dxa"/>
            <w:vAlign w:val="bottom"/>
          </w:tcPr>
          <w:p w14:paraId="10C53C9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2" w:type="dxa"/>
            <w:vAlign w:val="bottom"/>
          </w:tcPr>
          <w:p w14:paraId="79B23B1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D867CD" w14:paraId="10E7D7F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752B5BA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Benidorm</w:t>
            </w:r>
          </w:p>
        </w:tc>
        <w:tc>
          <w:tcPr>
            <w:tcW w:w="1783" w:type="dxa"/>
            <w:vAlign w:val="bottom"/>
          </w:tcPr>
          <w:p w14:paraId="1B67FD8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7F75A7D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28" w:type="dxa"/>
            <w:vAlign w:val="bottom"/>
          </w:tcPr>
          <w:p w14:paraId="5FB5AD3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2" w:type="dxa"/>
            <w:vAlign w:val="bottom"/>
          </w:tcPr>
          <w:p w14:paraId="57C3E2F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D867CD" w14:paraId="6625E41A" w14:textId="77777777" w:rsidTr="00D867CD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9558A6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 capital</w:t>
            </w:r>
          </w:p>
        </w:tc>
        <w:tc>
          <w:tcPr>
            <w:tcW w:w="1783" w:type="dxa"/>
            <w:vAlign w:val="bottom"/>
          </w:tcPr>
          <w:p w14:paraId="51AA8F0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635" w:type="dxa"/>
            <w:vAlign w:val="bottom"/>
          </w:tcPr>
          <w:p w14:paraId="173E70B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28" w:type="dxa"/>
            <w:vAlign w:val="bottom"/>
          </w:tcPr>
          <w:p w14:paraId="5177D10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2" w:type="dxa"/>
            <w:vAlign w:val="bottom"/>
          </w:tcPr>
          <w:p w14:paraId="7C9B1F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D867CD" w14:paraId="657319D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6AC9B1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Santander</w:t>
            </w:r>
          </w:p>
        </w:tc>
        <w:tc>
          <w:tcPr>
            <w:tcW w:w="1783" w:type="dxa"/>
            <w:vAlign w:val="bottom"/>
          </w:tcPr>
          <w:p w14:paraId="36C61BB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635" w:type="dxa"/>
            <w:vAlign w:val="bottom"/>
          </w:tcPr>
          <w:p w14:paraId="69231AD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28" w:type="dxa"/>
            <w:vAlign w:val="bottom"/>
          </w:tcPr>
          <w:p w14:paraId="02C8B91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2" w:type="dxa"/>
            <w:vAlign w:val="bottom"/>
          </w:tcPr>
          <w:p w14:paraId="69726AA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178D3D2D" w14:textId="77777777" w:rsidTr="00D867C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BB3E17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 capital</w:t>
            </w:r>
          </w:p>
        </w:tc>
        <w:tc>
          <w:tcPr>
            <w:tcW w:w="1783" w:type="dxa"/>
            <w:vAlign w:val="bottom"/>
          </w:tcPr>
          <w:p w14:paraId="0EDC81B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3C6854B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28" w:type="dxa"/>
            <w:vAlign w:val="bottom"/>
          </w:tcPr>
          <w:p w14:paraId="0987D70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2" w:type="dxa"/>
            <w:vAlign w:val="bottom"/>
          </w:tcPr>
          <w:p w14:paraId="3B506DB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3052290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070B65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Sebastián de los Reyes</w:t>
            </w:r>
          </w:p>
        </w:tc>
        <w:tc>
          <w:tcPr>
            <w:tcW w:w="1783" w:type="dxa"/>
            <w:vAlign w:val="bottom"/>
          </w:tcPr>
          <w:p w14:paraId="1F0F52D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35" w:type="dxa"/>
            <w:vAlign w:val="bottom"/>
          </w:tcPr>
          <w:p w14:paraId="29EAB16B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2BA5142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32" w:type="dxa"/>
            <w:vAlign w:val="bottom"/>
          </w:tcPr>
          <w:p w14:paraId="77025A6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24514331" w14:textId="77777777" w:rsidTr="00D867C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AFC0F9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 capital</w:t>
            </w:r>
          </w:p>
        </w:tc>
        <w:tc>
          <w:tcPr>
            <w:tcW w:w="1783" w:type="dxa"/>
            <w:vAlign w:val="bottom"/>
          </w:tcPr>
          <w:p w14:paraId="12EFC45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35" w:type="dxa"/>
            <w:vAlign w:val="bottom"/>
          </w:tcPr>
          <w:p w14:paraId="134D04D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628" w:type="dxa"/>
            <w:vAlign w:val="bottom"/>
          </w:tcPr>
          <w:p w14:paraId="0CBEA86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632" w:type="dxa"/>
            <w:vAlign w:val="bottom"/>
          </w:tcPr>
          <w:p w14:paraId="094E850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6FE04354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C8B81B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 capital</w:t>
            </w:r>
          </w:p>
        </w:tc>
        <w:tc>
          <w:tcPr>
            <w:tcW w:w="1783" w:type="dxa"/>
            <w:vAlign w:val="bottom"/>
          </w:tcPr>
          <w:p w14:paraId="6EFD592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635" w:type="dxa"/>
            <w:vAlign w:val="bottom"/>
          </w:tcPr>
          <w:p w14:paraId="0851DBB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28" w:type="dxa"/>
            <w:vAlign w:val="bottom"/>
          </w:tcPr>
          <w:p w14:paraId="4766343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32" w:type="dxa"/>
            <w:vAlign w:val="bottom"/>
          </w:tcPr>
          <w:p w14:paraId="36EE528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2245DA67" w14:textId="77777777" w:rsidTr="00D867C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983E24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Castro-Urdiales</w:t>
            </w:r>
          </w:p>
        </w:tc>
        <w:tc>
          <w:tcPr>
            <w:tcW w:w="1783" w:type="dxa"/>
            <w:vAlign w:val="bottom"/>
          </w:tcPr>
          <w:p w14:paraId="238BB17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635" w:type="dxa"/>
            <w:vAlign w:val="bottom"/>
          </w:tcPr>
          <w:p w14:paraId="412380D0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0A1184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632" w:type="dxa"/>
            <w:vAlign w:val="bottom"/>
          </w:tcPr>
          <w:p w14:paraId="5D2652D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568C7F9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CD86D6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Marbella</w:t>
            </w:r>
          </w:p>
        </w:tc>
        <w:tc>
          <w:tcPr>
            <w:tcW w:w="1783" w:type="dxa"/>
            <w:vAlign w:val="bottom"/>
          </w:tcPr>
          <w:p w14:paraId="45E99C9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2E2887F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28" w:type="dxa"/>
            <w:vAlign w:val="bottom"/>
          </w:tcPr>
          <w:p w14:paraId="63F61E3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2" w:type="dxa"/>
            <w:vAlign w:val="bottom"/>
          </w:tcPr>
          <w:p w14:paraId="73F3443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5CA4B87B" w14:textId="77777777" w:rsidTr="00D867CD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708ACA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Pamplona / Iruña</w:t>
            </w:r>
          </w:p>
        </w:tc>
        <w:tc>
          <w:tcPr>
            <w:tcW w:w="1783" w:type="dxa"/>
            <w:vAlign w:val="bottom"/>
          </w:tcPr>
          <w:p w14:paraId="52D3B3B1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14:paraId="1EA17C4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28" w:type="dxa"/>
            <w:vAlign w:val="bottom"/>
          </w:tcPr>
          <w:p w14:paraId="34293D4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32" w:type="dxa"/>
            <w:vAlign w:val="bottom"/>
          </w:tcPr>
          <w:p w14:paraId="2D20C14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45D64F5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6463D2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Vigo</w:t>
            </w:r>
          </w:p>
        </w:tc>
        <w:tc>
          <w:tcPr>
            <w:tcW w:w="1783" w:type="dxa"/>
            <w:vAlign w:val="bottom"/>
          </w:tcPr>
          <w:p w14:paraId="3FA494F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635" w:type="dxa"/>
            <w:vAlign w:val="bottom"/>
          </w:tcPr>
          <w:p w14:paraId="27F3065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28" w:type="dxa"/>
            <w:vAlign w:val="bottom"/>
          </w:tcPr>
          <w:p w14:paraId="31463BA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32" w:type="dxa"/>
            <w:vAlign w:val="bottom"/>
          </w:tcPr>
          <w:p w14:paraId="6E6C25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3DC9EFFD" w14:textId="77777777" w:rsidTr="00D867C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49ADD05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 capital</w:t>
            </w:r>
          </w:p>
        </w:tc>
        <w:tc>
          <w:tcPr>
            <w:tcW w:w="1783" w:type="dxa"/>
            <w:vAlign w:val="bottom"/>
          </w:tcPr>
          <w:p w14:paraId="2C1E3B0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1ECB2F7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628" w:type="dxa"/>
            <w:vAlign w:val="bottom"/>
          </w:tcPr>
          <w:p w14:paraId="73E8E3B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2" w:type="dxa"/>
            <w:vAlign w:val="bottom"/>
          </w:tcPr>
          <w:p w14:paraId="4874A42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1371CD21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708A0D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Benalmádena</w:t>
            </w:r>
          </w:p>
        </w:tc>
        <w:tc>
          <w:tcPr>
            <w:tcW w:w="1783" w:type="dxa"/>
            <w:vAlign w:val="bottom"/>
          </w:tcPr>
          <w:p w14:paraId="711023F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5" w:type="dxa"/>
            <w:vAlign w:val="bottom"/>
          </w:tcPr>
          <w:p w14:paraId="134080D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628" w:type="dxa"/>
            <w:vAlign w:val="bottom"/>
          </w:tcPr>
          <w:p w14:paraId="2C9C78B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632" w:type="dxa"/>
            <w:vAlign w:val="bottom"/>
          </w:tcPr>
          <w:p w14:paraId="09D0344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67D47EEE" w14:textId="77777777" w:rsidTr="00D867CD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FD715D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Bilbao</w:t>
            </w:r>
          </w:p>
        </w:tc>
        <w:tc>
          <w:tcPr>
            <w:tcW w:w="1783" w:type="dxa"/>
            <w:vAlign w:val="bottom"/>
          </w:tcPr>
          <w:p w14:paraId="496DFBC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1B60C1E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28" w:type="dxa"/>
            <w:vAlign w:val="bottom"/>
          </w:tcPr>
          <w:p w14:paraId="69FAC49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2" w:type="dxa"/>
            <w:vAlign w:val="bottom"/>
          </w:tcPr>
          <w:p w14:paraId="54554F6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302637F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E16601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 capital</w:t>
            </w:r>
          </w:p>
        </w:tc>
        <w:tc>
          <w:tcPr>
            <w:tcW w:w="1783" w:type="dxa"/>
            <w:vAlign w:val="bottom"/>
          </w:tcPr>
          <w:p w14:paraId="1B71B80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5" w:type="dxa"/>
            <w:vAlign w:val="bottom"/>
          </w:tcPr>
          <w:p w14:paraId="74AD1A8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628" w:type="dxa"/>
            <w:vAlign w:val="bottom"/>
          </w:tcPr>
          <w:p w14:paraId="2FDF021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2" w:type="dxa"/>
            <w:vAlign w:val="bottom"/>
          </w:tcPr>
          <w:p w14:paraId="1960C30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0E0853CE" w14:textId="77777777" w:rsidTr="00D867CD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453CB09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Estepona</w:t>
            </w:r>
          </w:p>
        </w:tc>
        <w:tc>
          <w:tcPr>
            <w:tcW w:w="1783" w:type="dxa"/>
            <w:vAlign w:val="bottom"/>
          </w:tcPr>
          <w:p w14:paraId="444FE98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35" w:type="dxa"/>
            <w:vAlign w:val="bottom"/>
          </w:tcPr>
          <w:p w14:paraId="48BF856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28" w:type="dxa"/>
            <w:vAlign w:val="bottom"/>
          </w:tcPr>
          <w:p w14:paraId="766D058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632" w:type="dxa"/>
            <w:vAlign w:val="bottom"/>
          </w:tcPr>
          <w:p w14:paraId="4F79C85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1821B39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7083CC4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Calvià</w:t>
            </w:r>
          </w:p>
        </w:tc>
        <w:tc>
          <w:tcPr>
            <w:tcW w:w="1783" w:type="dxa"/>
            <w:vAlign w:val="bottom"/>
          </w:tcPr>
          <w:p w14:paraId="0B40430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635" w:type="dxa"/>
            <w:vAlign w:val="bottom"/>
          </w:tcPr>
          <w:p w14:paraId="3B57C31A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30E47D5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632" w:type="dxa"/>
            <w:vAlign w:val="bottom"/>
          </w:tcPr>
          <w:p w14:paraId="48A90B4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7225011E" w14:textId="77777777" w:rsidTr="00D867C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FF3DF8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Palma de Mallorca</w:t>
            </w:r>
          </w:p>
        </w:tc>
        <w:tc>
          <w:tcPr>
            <w:tcW w:w="1783" w:type="dxa"/>
            <w:vAlign w:val="bottom"/>
          </w:tcPr>
          <w:p w14:paraId="29D2396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635" w:type="dxa"/>
            <w:vAlign w:val="bottom"/>
          </w:tcPr>
          <w:p w14:paraId="00F1AAB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628" w:type="dxa"/>
            <w:vAlign w:val="bottom"/>
          </w:tcPr>
          <w:p w14:paraId="523011F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2" w:type="dxa"/>
            <w:vAlign w:val="bottom"/>
          </w:tcPr>
          <w:p w14:paraId="192D190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1A3BBF8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0A8E03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 capital</w:t>
            </w:r>
          </w:p>
        </w:tc>
        <w:tc>
          <w:tcPr>
            <w:tcW w:w="1783" w:type="dxa"/>
            <w:vAlign w:val="bottom"/>
          </w:tcPr>
          <w:p w14:paraId="39AEBC2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1635" w:type="dxa"/>
            <w:vAlign w:val="bottom"/>
          </w:tcPr>
          <w:p w14:paraId="7F750F0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628" w:type="dxa"/>
            <w:vAlign w:val="bottom"/>
          </w:tcPr>
          <w:p w14:paraId="48CDE70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632" w:type="dxa"/>
            <w:vAlign w:val="bottom"/>
          </w:tcPr>
          <w:p w14:paraId="1E255BB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74D296C6" w14:textId="77777777" w:rsidTr="00D867C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12FDEF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Sitges</w:t>
            </w:r>
          </w:p>
        </w:tc>
        <w:tc>
          <w:tcPr>
            <w:tcW w:w="1783" w:type="dxa"/>
            <w:vAlign w:val="bottom"/>
          </w:tcPr>
          <w:p w14:paraId="248A38D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635" w:type="dxa"/>
            <w:vAlign w:val="bottom"/>
          </w:tcPr>
          <w:p w14:paraId="65B2B0DF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1338458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32" w:type="dxa"/>
            <w:vAlign w:val="bottom"/>
          </w:tcPr>
          <w:p w14:paraId="70CFF40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D867CD" w14:paraId="4D02EF5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4DEF141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 capital</w:t>
            </w:r>
          </w:p>
        </w:tc>
        <w:tc>
          <w:tcPr>
            <w:tcW w:w="1783" w:type="dxa"/>
            <w:vAlign w:val="bottom"/>
          </w:tcPr>
          <w:p w14:paraId="67E3121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635" w:type="dxa"/>
            <w:vAlign w:val="bottom"/>
          </w:tcPr>
          <w:p w14:paraId="0D3AFF9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28" w:type="dxa"/>
            <w:vAlign w:val="bottom"/>
          </w:tcPr>
          <w:p w14:paraId="2B6BEC8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2" w:type="dxa"/>
            <w:vAlign w:val="bottom"/>
          </w:tcPr>
          <w:p w14:paraId="665E5C2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D867CD" w14:paraId="68ECC5FE" w14:textId="77777777" w:rsidTr="00D867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4A55B1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Fuengirola</w:t>
            </w:r>
          </w:p>
        </w:tc>
        <w:tc>
          <w:tcPr>
            <w:tcW w:w="1783" w:type="dxa"/>
            <w:vAlign w:val="bottom"/>
          </w:tcPr>
          <w:p w14:paraId="56A348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635" w:type="dxa"/>
            <w:vAlign w:val="bottom"/>
          </w:tcPr>
          <w:p w14:paraId="5132B82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628" w:type="dxa"/>
            <w:vAlign w:val="bottom"/>
          </w:tcPr>
          <w:p w14:paraId="21D0294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632" w:type="dxa"/>
            <w:vAlign w:val="bottom"/>
          </w:tcPr>
          <w:p w14:paraId="49CD6D7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5A30A5D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5E748CB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Rozas de Madrid</w:t>
            </w:r>
          </w:p>
        </w:tc>
        <w:tc>
          <w:tcPr>
            <w:tcW w:w="1783" w:type="dxa"/>
            <w:vAlign w:val="bottom"/>
          </w:tcPr>
          <w:p w14:paraId="38475AD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5" w:type="dxa"/>
            <w:vAlign w:val="bottom"/>
          </w:tcPr>
          <w:p w14:paraId="2473D3F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628" w:type="dxa"/>
            <w:vAlign w:val="bottom"/>
          </w:tcPr>
          <w:p w14:paraId="0A96EAD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632" w:type="dxa"/>
            <w:vAlign w:val="bottom"/>
          </w:tcPr>
          <w:p w14:paraId="5ABB301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6B505B19" w14:textId="77777777" w:rsidTr="00D867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1758026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Santiago de Compostela</w:t>
            </w:r>
          </w:p>
        </w:tc>
        <w:tc>
          <w:tcPr>
            <w:tcW w:w="1783" w:type="dxa"/>
            <w:vAlign w:val="bottom"/>
          </w:tcPr>
          <w:p w14:paraId="265FF6B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635" w:type="dxa"/>
            <w:vAlign w:val="bottom"/>
          </w:tcPr>
          <w:p w14:paraId="4A889C2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628" w:type="dxa"/>
            <w:vAlign w:val="bottom"/>
          </w:tcPr>
          <w:p w14:paraId="75DB5D8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32" w:type="dxa"/>
            <w:vAlign w:val="bottom"/>
          </w:tcPr>
          <w:p w14:paraId="7BA1052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4DDE4B2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4C3C08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Getxo</w:t>
            </w:r>
          </w:p>
        </w:tc>
        <w:tc>
          <w:tcPr>
            <w:tcW w:w="1783" w:type="dxa"/>
            <w:vAlign w:val="bottom"/>
          </w:tcPr>
          <w:p w14:paraId="64BCB00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635" w:type="dxa"/>
            <w:vAlign w:val="bottom"/>
          </w:tcPr>
          <w:p w14:paraId="35BB2D2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28" w:type="dxa"/>
            <w:vAlign w:val="bottom"/>
          </w:tcPr>
          <w:p w14:paraId="68C10F9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2" w:type="dxa"/>
            <w:vAlign w:val="bottom"/>
          </w:tcPr>
          <w:p w14:paraId="51809B9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67EA4579" w14:textId="77777777" w:rsidTr="00D867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63F6A3D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Pozuelo de Alarcón</w:t>
            </w:r>
          </w:p>
        </w:tc>
        <w:tc>
          <w:tcPr>
            <w:tcW w:w="1783" w:type="dxa"/>
            <w:vAlign w:val="bottom"/>
          </w:tcPr>
          <w:p w14:paraId="07F916B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635" w:type="dxa"/>
            <w:vAlign w:val="bottom"/>
          </w:tcPr>
          <w:p w14:paraId="79E89A74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6B7A54A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632" w:type="dxa"/>
            <w:vAlign w:val="bottom"/>
          </w:tcPr>
          <w:p w14:paraId="4F0E053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5F541409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21782BE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Cugat del Vallès</w:t>
            </w:r>
          </w:p>
        </w:tc>
        <w:tc>
          <w:tcPr>
            <w:tcW w:w="1783" w:type="dxa"/>
            <w:vAlign w:val="bottom"/>
          </w:tcPr>
          <w:p w14:paraId="1A38AA1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635" w:type="dxa"/>
            <w:vAlign w:val="bottom"/>
          </w:tcPr>
          <w:p w14:paraId="0AE2DDAD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3C5EDFB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632" w:type="dxa"/>
            <w:vAlign w:val="bottom"/>
          </w:tcPr>
          <w:p w14:paraId="1EB9F76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7704835F" w14:textId="77777777" w:rsidTr="00D867C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3791884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Moraleja</w:t>
            </w:r>
          </w:p>
        </w:tc>
        <w:tc>
          <w:tcPr>
            <w:tcW w:w="1783" w:type="dxa"/>
            <w:vAlign w:val="bottom"/>
          </w:tcPr>
          <w:p w14:paraId="6525813A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vAlign w:val="bottom"/>
          </w:tcPr>
          <w:p w14:paraId="6ADB76D1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28" w:type="dxa"/>
            <w:vAlign w:val="bottom"/>
          </w:tcPr>
          <w:p w14:paraId="006A2D96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bottom"/>
          </w:tcPr>
          <w:p w14:paraId="0463782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55F31D3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  <w:vAlign w:val="bottom"/>
          </w:tcPr>
          <w:p w14:paraId="0330C2B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Donostia - San Sebastián</w:t>
            </w:r>
          </w:p>
        </w:tc>
        <w:tc>
          <w:tcPr>
            <w:tcW w:w="1783" w:type="dxa"/>
            <w:vAlign w:val="bottom"/>
          </w:tcPr>
          <w:p w14:paraId="00ABA48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635" w:type="dxa"/>
            <w:vAlign w:val="bottom"/>
          </w:tcPr>
          <w:p w14:paraId="53D4918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628" w:type="dxa"/>
            <w:vAlign w:val="bottom"/>
          </w:tcPr>
          <w:p w14:paraId="1CE01D3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632" w:type="dxa"/>
            <w:vAlign w:val="bottom"/>
          </w:tcPr>
          <w:p w14:paraId="5CCD95A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</w:tbl>
    <w:p w14:paraId="6AB53A0C" w14:textId="77777777" w:rsidR="00D867CD" w:rsidRDefault="00D867CD">
      <w:pPr>
        <w:jc w:val="both"/>
        <w:rPr>
          <w:rFonts w:ascii="Open Sans Light" w:eastAsia="Open Sans Light" w:hAnsi="Open Sans Light" w:cs="Open Sans Light"/>
          <w:color w:val="404040"/>
        </w:rPr>
      </w:pPr>
    </w:p>
    <w:p w14:paraId="74F2F9DE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555E09FA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4580C17D" w14:textId="2868BE6C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Tabla 4. Rentabilidad de la vivienda por distritos de Madrid (comparativa 2016, 2020 y 2021)  </w:t>
      </w:r>
    </w:p>
    <w:tbl>
      <w:tblPr>
        <w:tblStyle w:val="a2"/>
        <w:tblW w:w="888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44"/>
        <w:gridCol w:w="2133"/>
        <w:gridCol w:w="1956"/>
        <w:gridCol w:w="1947"/>
      </w:tblGrid>
      <w:tr w:rsidR="00D867CD" w14:paraId="0B8A3657" w14:textId="77777777">
        <w:trPr>
          <w:trHeight w:val="593"/>
        </w:trPr>
        <w:tc>
          <w:tcPr>
            <w:tcW w:w="284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778BBE29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Distritos de Madrid</w:t>
            </w:r>
          </w:p>
        </w:tc>
        <w:tc>
          <w:tcPr>
            <w:tcW w:w="2133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470B1E5C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Rentabilidad </w:t>
            </w:r>
          </w:p>
          <w:p w14:paraId="109885D1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2016 (5 años)</w:t>
            </w:r>
          </w:p>
        </w:tc>
        <w:tc>
          <w:tcPr>
            <w:tcW w:w="195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465266F6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6244C28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2020 (1 año)</w:t>
            </w:r>
          </w:p>
        </w:tc>
        <w:tc>
          <w:tcPr>
            <w:tcW w:w="194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vAlign w:val="center"/>
          </w:tcPr>
          <w:p w14:paraId="02E6D896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6D0FA06C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i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2021</w:t>
            </w:r>
          </w:p>
        </w:tc>
      </w:tr>
      <w:tr w:rsidR="00D867CD" w14:paraId="488F4FAF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0536FC3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Villaverde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BF3629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331ABB3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238BE2F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D867CD" w14:paraId="7485B93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CF0D5A0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Puente de Vallecas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7E4027E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7E488FE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40C584D5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D867CD" w14:paraId="13D62E42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91F6B04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Carabanchel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555951F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5EAB596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6E92E13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D867CD" w14:paraId="4846366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AB94D74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Usera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51DD2CD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2D0D00F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66EA5ED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7F920650" w14:textId="77777777">
        <w:trPr>
          <w:trHeight w:val="304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8A1D965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Latina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041DD89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080A53E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0F425A6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D867CD" w14:paraId="7346FC2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0092B6B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Villa de Vallecas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1AD3613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3A446CE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6E133E3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27D75292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544504B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 Blas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8C904E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42CE83A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079CDD0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28B39574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A877166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Tetuán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09161F0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30B172F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2294274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555F22EE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C7941A2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Ciudad Lineal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2D7AA1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46A3E2D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1842CA7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523C39DC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DCBF886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Arganzuela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550A146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7EBCB60F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28A1621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D867CD" w14:paraId="584B165F" w14:textId="77777777">
        <w:trPr>
          <w:trHeight w:val="304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B848748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Barajas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5646D79B" w14:textId="77777777" w:rsidR="00D867CD" w:rsidRDefault="00D867CD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B4C6E7"/>
            <w:vAlign w:val="bottom"/>
          </w:tcPr>
          <w:p w14:paraId="76CA384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46DE46B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D867CD" w14:paraId="6B8B2E24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3A61014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Hortaleza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24C3B9B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03B965C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7A8215C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D867CD" w14:paraId="64472C76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575FECF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Centro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2ABD1C0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33E9D1D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2C2360D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D867CD" w14:paraId="112DC7FA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9819D96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Moncloa - Aravaca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1C873A7E" w14:textId="77777777" w:rsidR="00D867CD" w:rsidRDefault="00D867CD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D9E2F3"/>
            <w:vAlign w:val="bottom"/>
          </w:tcPr>
          <w:p w14:paraId="0ADBB3B1" w14:textId="77777777" w:rsidR="00D867CD" w:rsidRDefault="00D867CD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D9E2F3"/>
            <w:vAlign w:val="bottom"/>
          </w:tcPr>
          <w:p w14:paraId="29893E75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D867CD" w14:paraId="12BBC6E5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45D8183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Fuencarral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323E413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19582DB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66DEF72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D867CD" w14:paraId="319CEC47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8C9F61D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Retiro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06F395D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49C85B1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265BFA45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D867CD" w14:paraId="012D81F0" w14:textId="77777777">
        <w:trPr>
          <w:trHeight w:val="304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C213702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Chamberí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5148320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59B4ECF8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0CF3D48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46208A34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9DE7275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Chamartín</w:t>
            </w:r>
          </w:p>
        </w:tc>
        <w:tc>
          <w:tcPr>
            <w:tcW w:w="2133" w:type="dxa"/>
            <w:shd w:val="clear" w:color="auto" w:fill="D9E2F3"/>
            <w:vAlign w:val="bottom"/>
          </w:tcPr>
          <w:p w14:paraId="75D9DB0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56" w:type="dxa"/>
            <w:shd w:val="clear" w:color="auto" w:fill="D9E2F3"/>
            <w:vAlign w:val="bottom"/>
          </w:tcPr>
          <w:p w14:paraId="41B48FC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947" w:type="dxa"/>
            <w:shd w:val="clear" w:color="auto" w:fill="D9E2F3"/>
            <w:vAlign w:val="bottom"/>
          </w:tcPr>
          <w:p w14:paraId="46FBD4D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D867CD" w14:paraId="019991B0" w14:textId="77777777">
        <w:trPr>
          <w:trHeight w:val="289"/>
        </w:trPr>
        <w:tc>
          <w:tcPr>
            <w:tcW w:w="2844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962C7C7" w14:textId="77777777" w:rsidR="00D867CD" w:rsidRDefault="00C42ED8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Barrio de Salamanca</w:t>
            </w:r>
          </w:p>
        </w:tc>
        <w:tc>
          <w:tcPr>
            <w:tcW w:w="2133" w:type="dxa"/>
            <w:shd w:val="clear" w:color="auto" w:fill="B4C6E7"/>
            <w:vAlign w:val="bottom"/>
          </w:tcPr>
          <w:p w14:paraId="0D9703C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956" w:type="dxa"/>
            <w:shd w:val="clear" w:color="auto" w:fill="B4C6E7"/>
            <w:vAlign w:val="bottom"/>
          </w:tcPr>
          <w:p w14:paraId="75796F2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947" w:type="dxa"/>
            <w:shd w:val="clear" w:color="auto" w:fill="B4C6E7"/>
            <w:vAlign w:val="bottom"/>
          </w:tcPr>
          <w:p w14:paraId="4EAA981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</w:tbl>
    <w:p w14:paraId="7B76AC8E" w14:textId="77777777" w:rsidR="00D867CD" w:rsidRDefault="00D86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12C6B675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Tabla 5. Rentabilidad de la vivienda por distritos de Barcelona (comparativa 2016, 2020 y 2021)  </w:t>
      </w:r>
    </w:p>
    <w:tbl>
      <w:tblPr>
        <w:tblStyle w:val="a3"/>
        <w:tblW w:w="914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27"/>
        <w:gridCol w:w="2218"/>
        <w:gridCol w:w="1972"/>
      </w:tblGrid>
      <w:tr w:rsidR="00D867CD" w14:paraId="0C2AC76C" w14:textId="77777777">
        <w:trPr>
          <w:trHeight w:val="559"/>
        </w:trPr>
        <w:tc>
          <w:tcPr>
            <w:tcW w:w="2830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</w:tcPr>
          <w:p w14:paraId="6C5250B0" w14:textId="77777777" w:rsidR="00D867CD" w:rsidRDefault="00C42ED8">
            <w:pP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  <w:t>Distritos de Barcelona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</w:tcPr>
          <w:p w14:paraId="2CEE53E5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Rentabilidad </w:t>
            </w:r>
          </w:p>
          <w:p w14:paraId="4E1537A8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2016 (5 años)</w:t>
            </w:r>
          </w:p>
        </w:tc>
        <w:tc>
          <w:tcPr>
            <w:tcW w:w="221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1F04FC1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1D4843A5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2020 (1 año)</w:t>
            </w:r>
          </w:p>
        </w:tc>
        <w:tc>
          <w:tcPr>
            <w:tcW w:w="197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vAlign w:val="center"/>
          </w:tcPr>
          <w:p w14:paraId="7857CE61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5B955D57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 Light" w:eastAsia="Open Sans Light" w:hAnsi="Open Sans Light" w:cs="Open Sans Light"/>
                <w:b/>
                <w:i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2021</w:t>
            </w:r>
          </w:p>
        </w:tc>
      </w:tr>
      <w:tr w:rsidR="00D867CD" w14:paraId="6ECB68DC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0313487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127" w:type="dxa"/>
            <w:shd w:val="clear" w:color="auto" w:fill="B4C6E7"/>
            <w:vAlign w:val="bottom"/>
          </w:tcPr>
          <w:p w14:paraId="5AB90505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070272D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03FBD29C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D867CD" w14:paraId="6105B602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C82B6FD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Sants - Montjuïc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0DB2AD2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1AA96F36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711C2D60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744846D5" w14:textId="77777777">
        <w:trPr>
          <w:trHeight w:val="294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3244790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 Andreu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11DA3B2D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7C1CFB58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7EE3628A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</w:tr>
      <w:tr w:rsidR="00D867CD" w14:paraId="7BCA0210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3D25F94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 Martí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08A97089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674EDAFC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5733DD9F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4784A68A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FBE0FD5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Horta - Guinardó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0972272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7B542B8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6715B9C5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2770F8A5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6F5CC28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 Vella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5EA5F412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1F9132B4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2052E6E7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0F2FE4EE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3FFABC8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Gràcia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726DE953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7D9D14E7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0E37D696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D867CD" w14:paraId="6306F877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B6E26EC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Eixample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0BD808E0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79D92461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1A55A77C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D867CD" w14:paraId="5B18CFA0" w14:textId="77777777">
        <w:trPr>
          <w:trHeight w:val="294"/>
        </w:trPr>
        <w:tc>
          <w:tcPr>
            <w:tcW w:w="2830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D76E4D2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Les Corts</w:t>
            </w:r>
          </w:p>
        </w:tc>
        <w:tc>
          <w:tcPr>
            <w:tcW w:w="2127" w:type="dxa"/>
            <w:shd w:val="clear" w:color="auto" w:fill="B4C6E7"/>
            <w:vAlign w:val="bottom"/>
          </w:tcPr>
          <w:p w14:paraId="7534FBDE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2218" w:type="dxa"/>
            <w:shd w:val="clear" w:color="auto" w:fill="B4C6E7"/>
            <w:vAlign w:val="bottom"/>
          </w:tcPr>
          <w:p w14:paraId="0CAF5A9A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972" w:type="dxa"/>
            <w:shd w:val="clear" w:color="auto" w:fill="B4C6E7"/>
            <w:vAlign w:val="bottom"/>
          </w:tcPr>
          <w:p w14:paraId="3E338F9A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069BD184" w14:textId="77777777">
        <w:trPr>
          <w:trHeight w:val="279"/>
        </w:trPr>
        <w:tc>
          <w:tcPr>
            <w:tcW w:w="283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bottom"/>
          </w:tcPr>
          <w:p w14:paraId="61E20E4E" w14:textId="77777777" w:rsidR="00D867CD" w:rsidRDefault="00C42ED8">
            <w:pPr>
              <w:rPr>
                <w:rFonts w:ascii="Open Sans Light" w:eastAsia="Open Sans Light" w:hAnsi="Open Sans Light" w:cs="Open Sans Light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Sarrià - Sant Gervasi</w:t>
            </w:r>
          </w:p>
        </w:tc>
        <w:tc>
          <w:tcPr>
            <w:tcW w:w="2127" w:type="dxa"/>
            <w:shd w:val="clear" w:color="auto" w:fill="D9E2F3"/>
            <w:vAlign w:val="bottom"/>
          </w:tcPr>
          <w:p w14:paraId="384BB6BB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218" w:type="dxa"/>
            <w:shd w:val="clear" w:color="auto" w:fill="D9E2F3"/>
            <w:vAlign w:val="bottom"/>
          </w:tcPr>
          <w:p w14:paraId="4BADE918" w14:textId="77777777" w:rsidR="00D867CD" w:rsidRDefault="00C42ED8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972" w:type="dxa"/>
            <w:shd w:val="clear" w:color="auto" w:fill="D9E2F3"/>
            <w:vAlign w:val="bottom"/>
          </w:tcPr>
          <w:p w14:paraId="69D40A4B" w14:textId="77777777" w:rsidR="00D867CD" w:rsidRDefault="00C42ED8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</w:tbl>
    <w:p w14:paraId="22C16882" w14:textId="77777777" w:rsidR="00D867CD" w:rsidRDefault="00D867CD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0D2F580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Tabla 6. Rentabilidad de la vivienda por barrios de Madrid (comparativa 2016, 2020 y 2021)  </w:t>
      </w:r>
    </w:p>
    <w:tbl>
      <w:tblPr>
        <w:tblStyle w:val="a4"/>
        <w:tblW w:w="8928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69"/>
        <w:gridCol w:w="1544"/>
        <w:gridCol w:w="1544"/>
        <w:gridCol w:w="1491"/>
      </w:tblGrid>
      <w:tr w:rsidR="00D867CD" w14:paraId="7CF7DB64" w14:textId="77777777" w:rsidTr="00D8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68212B21" w14:textId="77777777" w:rsidR="00D867CD" w:rsidRDefault="00C42ED8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Distritos</w:t>
            </w:r>
          </w:p>
        </w:tc>
        <w:tc>
          <w:tcPr>
            <w:tcW w:w="2369" w:type="dxa"/>
            <w:vAlign w:val="center"/>
          </w:tcPr>
          <w:p w14:paraId="5B80861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1544" w:type="dxa"/>
            <w:vAlign w:val="center"/>
          </w:tcPr>
          <w:p w14:paraId="6CA5699C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20D18188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2016</w:t>
            </w:r>
          </w:p>
          <w:p w14:paraId="2062FBA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(5 años)</w:t>
            </w:r>
          </w:p>
        </w:tc>
        <w:tc>
          <w:tcPr>
            <w:tcW w:w="1544" w:type="dxa"/>
            <w:vAlign w:val="center"/>
          </w:tcPr>
          <w:p w14:paraId="105BEBF7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3178171B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2020</w:t>
            </w:r>
          </w:p>
          <w:p w14:paraId="671B3F5F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 año)</w:t>
            </w:r>
          </w:p>
        </w:tc>
        <w:tc>
          <w:tcPr>
            <w:tcW w:w="1491" w:type="dxa"/>
            <w:vAlign w:val="center"/>
          </w:tcPr>
          <w:p w14:paraId="1B5B142D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1021D512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i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2021</w:t>
            </w:r>
          </w:p>
        </w:tc>
      </w:tr>
      <w:tr w:rsidR="00D867CD" w14:paraId="1A1A9064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BA892F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369" w:type="dxa"/>
            <w:vAlign w:val="bottom"/>
          </w:tcPr>
          <w:p w14:paraId="1D1A456D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Numancia</w:t>
            </w:r>
          </w:p>
        </w:tc>
        <w:tc>
          <w:tcPr>
            <w:tcW w:w="1544" w:type="dxa"/>
            <w:vAlign w:val="bottom"/>
          </w:tcPr>
          <w:p w14:paraId="13E6359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01A20D1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491" w:type="dxa"/>
            <w:vAlign w:val="bottom"/>
          </w:tcPr>
          <w:p w14:paraId="40DDDAA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D867CD" w14:paraId="1A3D771E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0822091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369" w:type="dxa"/>
            <w:vAlign w:val="bottom"/>
          </w:tcPr>
          <w:p w14:paraId="1CC3C379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544" w:type="dxa"/>
          </w:tcPr>
          <w:p w14:paraId="1D2EC61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267103C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1491" w:type="dxa"/>
            <w:vAlign w:val="bottom"/>
          </w:tcPr>
          <w:p w14:paraId="58AA59A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</w:tr>
      <w:tr w:rsidR="00D867CD" w14:paraId="7EF29989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30F768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369" w:type="dxa"/>
            <w:vAlign w:val="bottom"/>
          </w:tcPr>
          <w:p w14:paraId="43427DC5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Puerta bonita</w:t>
            </w:r>
          </w:p>
        </w:tc>
        <w:tc>
          <w:tcPr>
            <w:tcW w:w="1544" w:type="dxa"/>
          </w:tcPr>
          <w:p w14:paraId="68DFC3E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B6B973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1994DD1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D867CD" w14:paraId="6869C316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BF9295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369" w:type="dxa"/>
            <w:vAlign w:val="bottom"/>
          </w:tcPr>
          <w:p w14:paraId="60B398CA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Opañel</w:t>
            </w:r>
            <w:proofErr w:type="spellEnd"/>
          </w:p>
        </w:tc>
        <w:tc>
          <w:tcPr>
            <w:tcW w:w="1544" w:type="dxa"/>
          </w:tcPr>
          <w:p w14:paraId="64F9615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4E1805E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491" w:type="dxa"/>
            <w:vAlign w:val="bottom"/>
          </w:tcPr>
          <w:p w14:paraId="0AA7F4D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</w:tr>
      <w:tr w:rsidR="00D867CD" w14:paraId="4BC397B0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C6E060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369" w:type="dxa"/>
            <w:vAlign w:val="bottom"/>
          </w:tcPr>
          <w:p w14:paraId="63EAD924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Ventas</w:t>
            </w:r>
          </w:p>
        </w:tc>
        <w:tc>
          <w:tcPr>
            <w:tcW w:w="1544" w:type="dxa"/>
          </w:tcPr>
          <w:p w14:paraId="439931A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7131CB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491" w:type="dxa"/>
            <w:vAlign w:val="bottom"/>
          </w:tcPr>
          <w:p w14:paraId="6340E5F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4DE5AF29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99F1C0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369" w:type="dxa"/>
            <w:vAlign w:val="bottom"/>
          </w:tcPr>
          <w:p w14:paraId="5803BB6B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Vista Alegre</w:t>
            </w:r>
          </w:p>
        </w:tc>
        <w:tc>
          <w:tcPr>
            <w:tcW w:w="1544" w:type="dxa"/>
          </w:tcPr>
          <w:p w14:paraId="2239E78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</w:tcPr>
          <w:p w14:paraId="22737F2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43E1F0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D867CD" w14:paraId="5055891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F7D8EA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369" w:type="dxa"/>
            <w:vAlign w:val="bottom"/>
          </w:tcPr>
          <w:p w14:paraId="0ED6D046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Lucero</w:t>
            </w:r>
          </w:p>
        </w:tc>
        <w:tc>
          <w:tcPr>
            <w:tcW w:w="1544" w:type="dxa"/>
          </w:tcPr>
          <w:p w14:paraId="6200D00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</w:tcPr>
          <w:p w14:paraId="5439FBD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4F7ED8F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D867CD" w14:paraId="666D9E10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C7914A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369" w:type="dxa"/>
            <w:vAlign w:val="bottom"/>
          </w:tcPr>
          <w:p w14:paraId="4C19B6E3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Bellas Vistas</w:t>
            </w:r>
          </w:p>
        </w:tc>
        <w:tc>
          <w:tcPr>
            <w:tcW w:w="1544" w:type="dxa"/>
          </w:tcPr>
          <w:p w14:paraId="1189FE1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5E60AE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91" w:type="dxa"/>
            <w:vAlign w:val="bottom"/>
          </w:tcPr>
          <w:p w14:paraId="153D297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5063961B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655BD1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369" w:type="dxa"/>
            <w:vAlign w:val="bottom"/>
          </w:tcPr>
          <w:p w14:paraId="724480DC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 Isidro</w:t>
            </w:r>
          </w:p>
        </w:tc>
        <w:tc>
          <w:tcPr>
            <w:tcW w:w="1544" w:type="dxa"/>
          </w:tcPr>
          <w:p w14:paraId="49105FC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1436FF7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491" w:type="dxa"/>
            <w:vAlign w:val="bottom"/>
          </w:tcPr>
          <w:p w14:paraId="1CF3CF4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31FDA9B0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782764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369" w:type="dxa"/>
            <w:vAlign w:val="bottom"/>
          </w:tcPr>
          <w:p w14:paraId="030168C7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Berruguete</w:t>
            </w:r>
          </w:p>
        </w:tc>
        <w:tc>
          <w:tcPr>
            <w:tcW w:w="1544" w:type="dxa"/>
          </w:tcPr>
          <w:p w14:paraId="681D56F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489EE05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91" w:type="dxa"/>
            <w:vAlign w:val="bottom"/>
          </w:tcPr>
          <w:p w14:paraId="1211051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3138E3B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B63865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369" w:type="dxa"/>
            <w:vAlign w:val="bottom"/>
          </w:tcPr>
          <w:p w14:paraId="6425F420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Palos de Moguer</w:t>
            </w:r>
          </w:p>
        </w:tc>
        <w:tc>
          <w:tcPr>
            <w:tcW w:w="1544" w:type="dxa"/>
          </w:tcPr>
          <w:p w14:paraId="1F1349C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4201AB6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491" w:type="dxa"/>
            <w:vAlign w:val="bottom"/>
          </w:tcPr>
          <w:p w14:paraId="5518BDD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D867CD" w14:paraId="248CAE17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E85875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369" w:type="dxa"/>
            <w:vAlign w:val="bottom"/>
          </w:tcPr>
          <w:p w14:paraId="13A567CD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Valdeacederas</w:t>
            </w:r>
            <w:proofErr w:type="spellEnd"/>
          </w:p>
        </w:tc>
        <w:tc>
          <w:tcPr>
            <w:tcW w:w="1544" w:type="dxa"/>
          </w:tcPr>
          <w:p w14:paraId="4B8BE5A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50F5609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91" w:type="dxa"/>
            <w:vAlign w:val="bottom"/>
          </w:tcPr>
          <w:p w14:paraId="7087CB3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1B001E83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3FF746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369" w:type="dxa"/>
            <w:vAlign w:val="bottom"/>
          </w:tcPr>
          <w:p w14:paraId="3A21A1A2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Simancas</w:t>
            </w:r>
          </w:p>
        </w:tc>
        <w:tc>
          <w:tcPr>
            <w:tcW w:w="1544" w:type="dxa"/>
          </w:tcPr>
          <w:p w14:paraId="3742944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103E314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491" w:type="dxa"/>
            <w:vAlign w:val="bottom"/>
          </w:tcPr>
          <w:p w14:paraId="3CF4EBA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73B93216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E9F42B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369" w:type="dxa"/>
            <w:vAlign w:val="bottom"/>
          </w:tcPr>
          <w:p w14:paraId="6ECEFFA7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Delicias</w:t>
            </w:r>
          </w:p>
        </w:tc>
        <w:tc>
          <w:tcPr>
            <w:tcW w:w="1544" w:type="dxa"/>
          </w:tcPr>
          <w:p w14:paraId="1632AB1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30D99FB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491" w:type="dxa"/>
            <w:vAlign w:val="bottom"/>
          </w:tcPr>
          <w:p w14:paraId="27D00E1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</w:tr>
      <w:tr w:rsidR="00D867CD" w14:paraId="4AA93BD6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2C37CD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369" w:type="dxa"/>
            <w:vAlign w:val="bottom"/>
          </w:tcPr>
          <w:p w14:paraId="409A0254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Concepción</w:t>
            </w:r>
          </w:p>
        </w:tc>
        <w:tc>
          <w:tcPr>
            <w:tcW w:w="1544" w:type="dxa"/>
          </w:tcPr>
          <w:p w14:paraId="6F58146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21137CA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03A0CB7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7EF8B0BC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9696AC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 de Vallecas</w:t>
            </w:r>
          </w:p>
        </w:tc>
        <w:tc>
          <w:tcPr>
            <w:tcW w:w="2369" w:type="dxa"/>
            <w:vAlign w:val="bottom"/>
          </w:tcPr>
          <w:p w14:paraId="3C31BBDE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Ensanche de Vallecas - La Gavia</w:t>
            </w:r>
          </w:p>
        </w:tc>
        <w:tc>
          <w:tcPr>
            <w:tcW w:w="1544" w:type="dxa"/>
          </w:tcPr>
          <w:p w14:paraId="5B01053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5133144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491" w:type="dxa"/>
            <w:vAlign w:val="bottom"/>
          </w:tcPr>
          <w:p w14:paraId="2F9EED0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62F21DC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5A1122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369" w:type="dxa"/>
            <w:vAlign w:val="bottom"/>
          </w:tcPr>
          <w:p w14:paraId="2F427E18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Pilar</w:t>
            </w:r>
          </w:p>
        </w:tc>
        <w:tc>
          <w:tcPr>
            <w:tcW w:w="1544" w:type="dxa"/>
          </w:tcPr>
          <w:p w14:paraId="24EC385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1539F80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491" w:type="dxa"/>
            <w:vAlign w:val="bottom"/>
          </w:tcPr>
          <w:p w14:paraId="6BEC4A7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728921DE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D6D7E6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369" w:type="dxa"/>
            <w:vAlign w:val="bottom"/>
          </w:tcPr>
          <w:p w14:paraId="6C976C8A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Pinar del Rey</w:t>
            </w:r>
          </w:p>
        </w:tc>
        <w:tc>
          <w:tcPr>
            <w:tcW w:w="1544" w:type="dxa"/>
          </w:tcPr>
          <w:p w14:paraId="082BE7A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17623BA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491" w:type="dxa"/>
            <w:vAlign w:val="bottom"/>
          </w:tcPr>
          <w:p w14:paraId="2E97043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4458F55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1E53FD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369" w:type="dxa"/>
            <w:vAlign w:val="bottom"/>
          </w:tcPr>
          <w:p w14:paraId="22CE7D5C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Almenara -Ventilla</w:t>
            </w:r>
          </w:p>
        </w:tc>
        <w:tc>
          <w:tcPr>
            <w:tcW w:w="1544" w:type="dxa"/>
          </w:tcPr>
          <w:p w14:paraId="66AC07F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0BB5F6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491" w:type="dxa"/>
            <w:vAlign w:val="bottom"/>
          </w:tcPr>
          <w:p w14:paraId="5F4710B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1F98924B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3C9525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369" w:type="dxa"/>
            <w:vAlign w:val="bottom"/>
          </w:tcPr>
          <w:p w14:paraId="7D699D5D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Aluche</w:t>
            </w:r>
          </w:p>
        </w:tc>
        <w:tc>
          <w:tcPr>
            <w:tcW w:w="1544" w:type="dxa"/>
            <w:vAlign w:val="bottom"/>
          </w:tcPr>
          <w:p w14:paraId="57C6E1F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544" w:type="dxa"/>
          </w:tcPr>
          <w:p w14:paraId="03D85B4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1E32D81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7324EA4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B3119F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369" w:type="dxa"/>
            <w:vAlign w:val="bottom"/>
          </w:tcPr>
          <w:p w14:paraId="65BE06F3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Tres Olivos - Valverde</w:t>
            </w:r>
          </w:p>
        </w:tc>
        <w:tc>
          <w:tcPr>
            <w:tcW w:w="1544" w:type="dxa"/>
          </w:tcPr>
          <w:p w14:paraId="461D798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</w:tcPr>
          <w:p w14:paraId="73CC4DC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7FD03F9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3F120AAA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A3BD4C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369" w:type="dxa"/>
            <w:vAlign w:val="bottom"/>
          </w:tcPr>
          <w:p w14:paraId="145F6277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Puerta del Ángel</w:t>
            </w:r>
          </w:p>
        </w:tc>
        <w:tc>
          <w:tcPr>
            <w:tcW w:w="1544" w:type="dxa"/>
          </w:tcPr>
          <w:p w14:paraId="2A51263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0634655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491" w:type="dxa"/>
            <w:vAlign w:val="bottom"/>
          </w:tcPr>
          <w:p w14:paraId="2320DED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6C39498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23001D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369" w:type="dxa"/>
            <w:vAlign w:val="bottom"/>
          </w:tcPr>
          <w:p w14:paraId="76C24B2C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Quintana</w:t>
            </w:r>
          </w:p>
        </w:tc>
        <w:tc>
          <w:tcPr>
            <w:tcW w:w="1544" w:type="dxa"/>
          </w:tcPr>
          <w:p w14:paraId="16CAC32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BAEA0A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755580C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743C8EF7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CC76D2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369" w:type="dxa"/>
            <w:vAlign w:val="bottom"/>
          </w:tcPr>
          <w:p w14:paraId="39B45826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Pueblo Nuevo</w:t>
            </w:r>
          </w:p>
        </w:tc>
        <w:tc>
          <w:tcPr>
            <w:tcW w:w="1544" w:type="dxa"/>
          </w:tcPr>
          <w:p w14:paraId="56A68CE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4E79929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491" w:type="dxa"/>
            <w:vAlign w:val="bottom"/>
          </w:tcPr>
          <w:p w14:paraId="28F904D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D867CD" w14:paraId="6188566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2457D2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369" w:type="dxa"/>
            <w:vAlign w:val="bottom"/>
          </w:tcPr>
          <w:p w14:paraId="4EDF693B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Canillas</w:t>
            </w:r>
          </w:p>
        </w:tc>
        <w:tc>
          <w:tcPr>
            <w:tcW w:w="1544" w:type="dxa"/>
          </w:tcPr>
          <w:p w14:paraId="6BD4E66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197114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491" w:type="dxa"/>
            <w:vAlign w:val="bottom"/>
          </w:tcPr>
          <w:p w14:paraId="7B7F666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</w:tr>
      <w:tr w:rsidR="00D867CD" w14:paraId="1C6EEBFF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668B21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369" w:type="dxa"/>
            <w:vAlign w:val="bottom"/>
          </w:tcPr>
          <w:p w14:paraId="39843CE6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Acacias</w:t>
            </w:r>
          </w:p>
        </w:tc>
        <w:tc>
          <w:tcPr>
            <w:tcW w:w="1544" w:type="dxa"/>
          </w:tcPr>
          <w:p w14:paraId="21210DA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0C15D88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91" w:type="dxa"/>
            <w:vAlign w:val="bottom"/>
          </w:tcPr>
          <w:p w14:paraId="3D20552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D867CD" w14:paraId="6686EB2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66045A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369" w:type="dxa"/>
            <w:vAlign w:val="bottom"/>
          </w:tcPr>
          <w:p w14:paraId="165D7529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Embajadores - Lavapiés</w:t>
            </w:r>
          </w:p>
        </w:tc>
        <w:tc>
          <w:tcPr>
            <w:tcW w:w="1544" w:type="dxa"/>
            <w:vAlign w:val="bottom"/>
          </w:tcPr>
          <w:p w14:paraId="1A6456A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44" w:type="dxa"/>
            <w:vAlign w:val="bottom"/>
          </w:tcPr>
          <w:p w14:paraId="165DE7D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491" w:type="dxa"/>
            <w:vAlign w:val="bottom"/>
          </w:tcPr>
          <w:p w14:paraId="2B93F76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209A9EF3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0F834F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369" w:type="dxa"/>
            <w:vAlign w:val="bottom"/>
          </w:tcPr>
          <w:p w14:paraId="2D150D53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Castilla</w:t>
            </w:r>
          </w:p>
        </w:tc>
        <w:tc>
          <w:tcPr>
            <w:tcW w:w="1544" w:type="dxa"/>
            <w:vAlign w:val="bottom"/>
          </w:tcPr>
          <w:p w14:paraId="1BACECF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44" w:type="dxa"/>
            <w:vAlign w:val="bottom"/>
          </w:tcPr>
          <w:p w14:paraId="540B81F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491" w:type="dxa"/>
            <w:vAlign w:val="bottom"/>
          </w:tcPr>
          <w:p w14:paraId="5885D07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18A330F9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6D09B9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369" w:type="dxa"/>
            <w:vAlign w:val="bottom"/>
          </w:tcPr>
          <w:p w14:paraId="6BED6BA8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Castillejos - Cuzco</w:t>
            </w:r>
          </w:p>
        </w:tc>
        <w:tc>
          <w:tcPr>
            <w:tcW w:w="1544" w:type="dxa"/>
            <w:vAlign w:val="bottom"/>
          </w:tcPr>
          <w:p w14:paraId="0E4805A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C0D36E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91" w:type="dxa"/>
            <w:vAlign w:val="bottom"/>
          </w:tcPr>
          <w:p w14:paraId="2200ED7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D867CD" w14:paraId="391C0A3E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79A772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369" w:type="dxa"/>
            <w:vAlign w:val="bottom"/>
          </w:tcPr>
          <w:p w14:paraId="0BDA03F0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Cuatro Caminos -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Azca</w:t>
            </w:r>
            <w:proofErr w:type="spellEnd"/>
          </w:p>
        </w:tc>
        <w:tc>
          <w:tcPr>
            <w:tcW w:w="1544" w:type="dxa"/>
            <w:vAlign w:val="bottom"/>
          </w:tcPr>
          <w:p w14:paraId="45D5CFD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544" w:type="dxa"/>
            <w:vAlign w:val="bottom"/>
          </w:tcPr>
          <w:p w14:paraId="3692AFF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491" w:type="dxa"/>
            <w:vAlign w:val="bottom"/>
          </w:tcPr>
          <w:p w14:paraId="34764AB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</w:tr>
      <w:tr w:rsidR="00D867CD" w14:paraId="178ECA8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03C1D13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369" w:type="dxa"/>
            <w:vAlign w:val="bottom"/>
          </w:tcPr>
          <w:p w14:paraId="3D847CB5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Imperial</w:t>
            </w:r>
          </w:p>
        </w:tc>
        <w:tc>
          <w:tcPr>
            <w:tcW w:w="1544" w:type="dxa"/>
          </w:tcPr>
          <w:p w14:paraId="1EB0EF0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04CF30D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91" w:type="dxa"/>
            <w:vAlign w:val="bottom"/>
          </w:tcPr>
          <w:p w14:paraId="1B90A82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63F8E4CB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BFCCDB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369" w:type="dxa"/>
            <w:vAlign w:val="bottom"/>
          </w:tcPr>
          <w:p w14:paraId="0C6D17E3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Peñagrande</w:t>
            </w:r>
            <w:proofErr w:type="spellEnd"/>
          </w:p>
        </w:tc>
        <w:tc>
          <w:tcPr>
            <w:tcW w:w="1544" w:type="dxa"/>
          </w:tcPr>
          <w:p w14:paraId="503A259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1C1390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491" w:type="dxa"/>
            <w:vAlign w:val="bottom"/>
          </w:tcPr>
          <w:p w14:paraId="4CB557D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649D8EB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E6E375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369" w:type="dxa"/>
            <w:vAlign w:val="bottom"/>
          </w:tcPr>
          <w:p w14:paraId="454D8DD2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Gaztambide</w:t>
            </w:r>
          </w:p>
        </w:tc>
        <w:tc>
          <w:tcPr>
            <w:tcW w:w="1544" w:type="dxa"/>
          </w:tcPr>
          <w:p w14:paraId="4B46983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E4B4C0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91" w:type="dxa"/>
            <w:vAlign w:val="bottom"/>
          </w:tcPr>
          <w:p w14:paraId="59B089A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D867CD" w14:paraId="0197A324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0B79653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Retiro</w:t>
            </w:r>
          </w:p>
        </w:tc>
        <w:tc>
          <w:tcPr>
            <w:tcW w:w="2369" w:type="dxa"/>
            <w:vAlign w:val="bottom"/>
          </w:tcPr>
          <w:p w14:paraId="4B2CBB2F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Pacífico</w:t>
            </w:r>
          </w:p>
        </w:tc>
        <w:tc>
          <w:tcPr>
            <w:tcW w:w="1544" w:type="dxa"/>
          </w:tcPr>
          <w:p w14:paraId="0E15C98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4DFFBA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91" w:type="dxa"/>
            <w:vAlign w:val="bottom"/>
          </w:tcPr>
          <w:p w14:paraId="4FC632C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185E846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15A463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369" w:type="dxa"/>
            <w:vAlign w:val="bottom"/>
          </w:tcPr>
          <w:p w14:paraId="6F437C6C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Palacio</w:t>
            </w:r>
          </w:p>
        </w:tc>
        <w:tc>
          <w:tcPr>
            <w:tcW w:w="1544" w:type="dxa"/>
            <w:vAlign w:val="bottom"/>
          </w:tcPr>
          <w:p w14:paraId="0B09308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44" w:type="dxa"/>
            <w:vAlign w:val="bottom"/>
          </w:tcPr>
          <w:p w14:paraId="7A97CC3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491" w:type="dxa"/>
            <w:vAlign w:val="bottom"/>
          </w:tcPr>
          <w:p w14:paraId="2C8228A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7138D07D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D0964C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369" w:type="dxa"/>
            <w:vAlign w:val="bottom"/>
          </w:tcPr>
          <w:p w14:paraId="6C6C7445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Cortes - Huertas</w:t>
            </w:r>
          </w:p>
        </w:tc>
        <w:tc>
          <w:tcPr>
            <w:tcW w:w="1544" w:type="dxa"/>
            <w:vAlign w:val="bottom"/>
          </w:tcPr>
          <w:p w14:paraId="17B561A5" w14:textId="77777777" w:rsidR="00D867CD" w:rsidRDefault="00D86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Align w:val="bottom"/>
          </w:tcPr>
          <w:p w14:paraId="246FC40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91" w:type="dxa"/>
            <w:vAlign w:val="bottom"/>
          </w:tcPr>
          <w:p w14:paraId="6EC0B05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1F6452D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2BA34D1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369" w:type="dxa"/>
            <w:vAlign w:val="bottom"/>
          </w:tcPr>
          <w:p w14:paraId="32D21532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Rejas</w:t>
            </w:r>
          </w:p>
        </w:tc>
        <w:tc>
          <w:tcPr>
            <w:tcW w:w="1544" w:type="dxa"/>
            <w:vAlign w:val="bottom"/>
          </w:tcPr>
          <w:p w14:paraId="4083F9D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44" w:type="dxa"/>
            <w:vAlign w:val="bottom"/>
          </w:tcPr>
          <w:p w14:paraId="22140B9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491" w:type="dxa"/>
            <w:vAlign w:val="bottom"/>
          </w:tcPr>
          <w:p w14:paraId="760E587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0A0A8E4E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6CB40A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369" w:type="dxa"/>
            <w:vAlign w:val="bottom"/>
          </w:tcPr>
          <w:p w14:paraId="1E7BF6C6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Costillares</w:t>
            </w:r>
          </w:p>
        </w:tc>
        <w:tc>
          <w:tcPr>
            <w:tcW w:w="1544" w:type="dxa"/>
          </w:tcPr>
          <w:p w14:paraId="14B6D4F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4513A7D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91" w:type="dxa"/>
            <w:vAlign w:val="bottom"/>
          </w:tcPr>
          <w:p w14:paraId="1E1AED3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20DF5DB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201F27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369" w:type="dxa"/>
            <w:vAlign w:val="bottom"/>
          </w:tcPr>
          <w:p w14:paraId="2FBFBEE9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Jerónimos</w:t>
            </w:r>
          </w:p>
        </w:tc>
        <w:tc>
          <w:tcPr>
            <w:tcW w:w="1544" w:type="dxa"/>
          </w:tcPr>
          <w:p w14:paraId="6A0BB7E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5E9AE8C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1" w:type="dxa"/>
            <w:vAlign w:val="bottom"/>
          </w:tcPr>
          <w:p w14:paraId="77E17F5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657FBD52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41BDE6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369" w:type="dxa"/>
            <w:vAlign w:val="bottom"/>
          </w:tcPr>
          <w:p w14:paraId="2C30A901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Ríos Rosas - Nuevos Ministerios</w:t>
            </w:r>
          </w:p>
        </w:tc>
        <w:tc>
          <w:tcPr>
            <w:tcW w:w="1544" w:type="dxa"/>
          </w:tcPr>
          <w:p w14:paraId="61D0680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133488A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491" w:type="dxa"/>
            <w:vAlign w:val="bottom"/>
          </w:tcPr>
          <w:p w14:paraId="616B1E8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D867CD" w14:paraId="53D2F92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08ED22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369" w:type="dxa"/>
            <w:vAlign w:val="bottom"/>
          </w:tcPr>
          <w:p w14:paraId="3221C497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Arapiles</w:t>
            </w:r>
          </w:p>
        </w:tc>
        <w:tc>
          <w:tcPr>
            <w:tcW w:w="1544" w:type="dxa"/>
          </w:tcPr>
          <w:p w14:paraId="547FB03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419731C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91" w:type="dxa"/>
            <w:vAlign w:val="bottom"/>
          </w:tcPr>
          <w:p w14:paraId="605C667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D867CD" w14:paraId="24C8B4FE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FAC5F6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369" w:type="dxa"/>
            <w:vAlign w:val="bottom"/>
          </w:tcPr>
          <w:p w14:paraId="72D4A1EB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Trafalgar</w:t>
            </w:r>
          </w:p>
        </w:tc>
        <w:tc>
          <w:tcPr>
            <w:tcW w:w="1544" w:type="dxa"/>
          </w:tcPr>
          <w:p w14:paraId="6254BAB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78BF28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491" w:type="dxa"/>
            <w:vAlign w:val="bottom"/>
          </w:tcPr>
          <w:p w14:paraId="7EE4A63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D867CD" w14:paraId="456D703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2D42C3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369" w:type="dxa"/>
            <w:vAlign w:val="bottom"/>
          </w:tcPr>
          <w:p w14:paraId="60B23AA9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Las Tablas</w:t>
            </w:r>
          </w:p>
        </w:tc>
        <w:tc>
          <w:tcPr>
            <w:tcW w:w="1544" w:type="dxa"/>
          </w:tcPr>
          <w:p w14:paraId="3081541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C82CE8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91" w:type="dxa"/>
            <w:vAlign w:val="bottom"/>
          </w:tcPr>
          <w:p w14:paraId="71397C9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D867CD" w14:paraId="3DCB4E17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276D33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369" w:type="dxa"/>
            <w:vAlign w:val="bottom"/>
          </w:tcPr>
          <w:p w14:paraId="7391814D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Guindalera</w:t>
            </w:r>
          </w:p>
        </w:tc>
        <w:tc>
          <w:tcPr>
            <w:tcW w:w="1544" w:type="dxa"/>
          </w:tcPr>
          <w:p w14:paraId="301A5A2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E00D19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491" w:type="dxa"/>
            <w:vAlign w:val="bottom"/>
          </w:tcPr>
          <w:p w14:paraId="0075AF1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5D0D102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B7F936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369" w:type="dxa"/>
            <w:vAlign w:val="bottom"/>
          </w:tcPr>
          <w:p w14:paraId="2847EEC7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Sanchinarro</w:t>
            </w:r>
          </w:p>
        </w:tc>
        <w:tc>
          <w:tcPr>
            <w:tcW w:w="1544" w:type="dxa"/>
            <w:vAlign w:val="bottom"/>
          </w:tcPr>
          <w:p w14:paraId="6AA01FE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44" w:type="dxa"/>
            <w:vAlign w:val="bottom"/>
          </w:tcPr>
          <w:p w14:paraId="1BF407E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91" w:type="dxa"/>
            <w:vAlign w:val="bottom"/>
          </w:tcPr>
          <w:p w14:paraId="7BE00AD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5293BED4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9329D8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369" w:type="dxa"/>
            <w:vAlign w:val="bottom"/>
          </w:tcPr>
          <w:p w14:paraId="05D26F08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Prosperidad</w:t>
            </w:r>
          </w:p>
        </w:tc>
        <w:tc>
          <w:tcPr>
            <w:tcW w:w="1544" w:type="dxa"/>
            <w:vAlign w:val="bottom"/>
          </w:tcPr>
          <w:p w14:paraId="74FA4CB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44" w:type="dxa"/>
            <w:vAlign w:val="bottom"/>
          </w:tcPr>
          <w:p w14:paraId="415DD4E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91" w:type="dxa"/>
            <w:vAlign w:val="bottom"/>
          </w:tcPr>
          <w:p w14:paraId="47BDAC9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54989C2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090CA2E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369" w:type="dxa"/>
            <w:vAlign w:val="bottom"/>
          </w:tcPr>
          <w:p w14:paraId="44D27A98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Sol</w:t>
            </w:r>
          </w:p>
        </w:tc>
        <w:tc>
          <w:tcPr>
            <w:tcW w:w="1544" w:type="dxa"/>
            <w:vAlign w:val="bottom"/>
          </w:tcPr>
          <w:p w14:paraId="59B5EAA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32F8669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491" w:type="dxa"/>
            <w:vAlign w:val="bottom"/>
          </w:tcPr>
          <w:p w14:paraId="7E8522E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6E9B163B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DAC8D9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369" w:type="dxa"/>
            <w:vAlign w:val="bottom"/>
          </w:tcPr>
          <w:p w14:paraId="5FC1B85E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Hispanoamérica - Bernabéu</w:t>
            </w:r>
          </w:p>
        </w:tc>
        <w:tc>
          <w:tcPr>
            <w:tcW w:w="1544" w:type="dxa"/>
            <w:vAlign w:val="bottom"/>
          </w:tcPr>
          <w:p w14:paraId="25CAE39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388D6F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91" w:type="dxa"/>
            <w:vAlign w:val="bottom"/>
          </w:tcPr>
          <w:p w14:paraId="63AC934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5716B63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4EB0D6E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369" w:type="dxa"/>
            <w:vAlign w:val="bottom"/>
          </w:tcPr>
          <w:p w14:paraId="71317DAF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Universidad - Malasaña</w:t>
            </w:r>
          </w:p>
        </w:tc>
        <w:tc>
          <w:tcPr>
            <w:tcW w:w="1544" w:type="dxa"/>
            <w:vAlign w:val="bottom"/>
          </w:tcPr>
          <w:p w14:paraId="12AFA90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44" w:type="dxa"/>
            <w:vAlign w:val="bottom"/>
          </w:tcPr>
          <w:p w14:paraId="77F3136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491" w:type="dxa"/>
            <w:vAlign w:val="bottom"/>
          </w:tcPr>
          <w:p w14:paraId="433B5AC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407A8F35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D5A77F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Moncloa</w:t>
            </w:r>
          </w:p>
        </w:tc>
        <w:tc>
          <w:tcPr>
            <w:tcW w:w="2369" w:type="dxa"/>
            <w:vAlign w:val="bottom"/>
          </w:tcPr>
          <w:p w14:paraId="32B7FEFD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Argüelles</w:t>
            </w:r>
          </w:p>
        </w:tc>
        <w:tc>
          <w:tcPr>
            <w:tcW w:w="1544" w:type="dxa"/>
            <w:vAlign w:val="bottom"/>
          </w:tcPr>
          <w:p w14:paraId="57BE10B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44" w:type="dxa"/>
            <w:vAlign w:val="bottom"/>
          </w:tcPr>
          <w:p w14:paraId="3194306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91" w:type="dxa"/>
            <w:vAlign w:val="bottom"/>
          </w:tcPr>
          <w:p w14:paraId="1D116C7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5DCF3F8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8D4C1C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369" w:type="dxa"/>
            <w:vAlign w:val="bottom"/>
          </w:tcPr>
          <w:p w14:paraId="551A4A0D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Justicia - Chueca</w:t>
            </w:r>
          </w:p>
        </w:tc>
        <w:tc>
          <w:tcPr>
            <w:tcW w:w="1544" w:type="dxa"/>
            <w:vAlign w:val="bottom"/>
          </w:tcPr>
          <w:p w14:paraId="6C97CA5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44" w:type="dxa"/>
            <w:vAlign w:val="bottom"/>
          </w:tcPr>
          <w:p w14:paraId="163B0C0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91" w:type="dxa"/>
            <w:vAlign w:val="bottom"/>
          </w:tcPr>
          <w:p w14:paraId="7248617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3,2%</w:t>
            </w:r>
          </w:p>
        </w:tc>
      </w:tr>
      <w:tr w:rsidR="00D867CD" w14:paraId="777C1CBB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72C44A0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369" w:type="dxa"/>
            <w:vAlign w:val="bottom"/>
          </w:tcPr>
          <w:p w14:paraId="6F5996CF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Ibiza de Madrid</w:t>
            </w:r>
          </w:p>
        </w:tc>
        <w:tc>
          <w:tcPr>
            <w:tcW w:w="1544" w:type="dxa"/>
          </w:tcPr>
          <w:p w14:paraId="5AFB652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79638C6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491" w:type="dxa"/>
            <w:vAlign w:val="bottom"/>
          </w:tcPr>
          <w:p w14:paraId="7B0E87C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</w:tr>
      <w:tr w:rsidR="00D867CD" w14:paraId="5C9AC67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F6735B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369" w:type="dxa"/>
            <w:vAlign w:val="bottom"/>
          </w:tcPr>
          <w:p w14:paraId="65853441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Fuente del Berro</w:t>
            </w:r>
          </w:p>
        </w:tc>
        <w:tc>
          <w:tcPr>
            <w:tcW w:w="1544" w:type="dxa"/>
          </w:tcPr>
          <w:p w14:paraId="42327C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25CDE1C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91" w:type="dxa"/>
            <w:vAlign w:val="bottom"/>
          </w:tcPr>
          <w:p w14:paraId="665B6E1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</w:tr>
      <w:tr w:rsidR="00D867CD" w14:paraId="51EBE01F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38BD7F5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369" w:type="dxa"/>
            <w:vAlign w:val="bottom"/>
          </w:tcPr>
          <w:p w14:paraId="58CB86A5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Vallehermoso</w:t>
            </w:r>
          </w:p>
        </w:tc>
        <w:tc>
          <w:tcPr>
            <w:tcW w:w="1544" w:type="dxa"/>
          </w:tcPr>
          <w:p w14:paraId="12F957D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02AA814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91" w:type="dxa"/>
            <w:vAlign w:val="bottom"/>
          </w:tcPr>
          <w:p w14:paraId="622F76C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  <w:tr w:rsidR="00D867CD" w14:paraId="2389436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101E87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369" w:type="dxa"/>
            <w:vAlign w:val="bottom"/>
          </w:tcPr>
          <w:p w14:paraId="214009F4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Almagro</w:t>
            </w:r>
          </w:p>
        </w:tc>
        <w:tc>
          <w:tcPr>
            <w:tcW w:w="1544" w:type="dxa"/>
          </w:tcPr>
          <w:p w14:paraId="30CA9E9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6834107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91" w:type="dxa"/>
            <w:vAlign w:val="bottom"/>
          </w:tcPr>
          <w:p w14:paraId="306812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  <w:tr w:rsidR="00D867CD" w14:paraId="5EA154C4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3EAC51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369" w:type="dxa"/>
            <w:vAlign w:val="bottom"/>
          </w:tcPr>
          <w:p w14:paraId="4097EFED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Nueva España</w:t>
            </w:r>
          </w:p>
        </w:tc>
        <w:tc>
          <w:tcPr>
            <w:tcW w:w="1544" w:type="dxa"/>
            <w:vAlign w:val="bottom"/>
          </w:tcPr>
          <w:p w14:paraId="1FDC388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44" w:type="dxa"/>
            <w:vAlign w:val="bottom"/>
          </w:tcPr>
          <w:p w14:paraId="5E708BC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491" w:type="dxa"/>
            <w:vAlign w:val="bottom"/>
          </w:tcPr>
          <w:p w14:paraId="1EAFF04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  <w:tr w:rsidR="00D867CD" w14:paraId="610A75E6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E3DCAE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369" w:type="dxa"/>
            <w:vAlign w:val="bottom"/>
          </w:tcPr>
          <w:p w14:paraId="539DE8BE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Castellana</w:t>
            </w:r>
          </w:p>
        </w:tc>
        <w:tc>
          <w:tcPr>
            <w:tcW w:w="1544" w:type="dxa"/>
            <w:vAlign w:val="bottom"/>
          </w:tcPr>
          <w:p w14:paraId="6BF69F5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44" w:type="dxa"/>
            <w:vAlign w:val="bottom"/>
          </w:tcPr>
          <w:p w14:paraId="6F4C5A3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491" w:type="dxa"/>
            <w:vAlign w:val="bottom"/>
          </w:tcPr>
          <w:p w14:paraId="5F2D1EF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</w:tr>
      <w:tr w:rsidR="00D867CD" w14:paraId="4C72311C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959D5E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369" w:type="dxa"/>
            <w:vAlign w:val="bottom"/>
          </w:tcPr>
          <w:p w14:paraId="36705849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Viso</w:t>
            </w:r>
          </w:p>
        </w:tc>
        <w:tc>
          <w:tcPr>
            <w:tcW w:w="1544" w:type="dxa"/>
            <w:vAlign w:val="bottom"/>
          </w:tcPr>
          <w:p w14:paraId="0EF7C00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44" w:type="dxa"/>
            <w:vAlign w:val="bottom"/>
          </w:tcPr>
          <w:p w14:paraId="518EF91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91" w:type="dxa"/>
            <w:vAlign w:val="bottom"/>
          </w:tcPr>
          <w:p w14:paraId="74F7407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</w:tr>
      <w:tr w:rsidR="00D867CD" w14:paraId="243B5BC5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53D2EB71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369" w:type="dxa"/>
            <w:vAlign w:val="bottom"/>
          </w:tcPr>
          <w:p w14:paraId="5D9F39F2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Lista</w:t>
            </w:r>
          </w:p>
        </w:tc>
        <w:tc>
          <w:tcPr>
            <w:tcW w:w="1544" w:type="dxa"/>
            <w:vAlign w:val="bottom"/>
          </w:tcPr>
          <w:p w14:paraId="407EE85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44" w:type="dxa"/>
            <w:vAlign w:val="bottom"/>
          </w:tcPr>
          <w:p w14:paraId="5FA3E28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91" w:type="dxa"/>
            <w:vAlign w:val="bottom"/>
          </w:tcPr>
          <w:p w14:paraId="2D36A3E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</w:tr>
      <w:tr w:rsidR="00D867CD" w14:paraId="687EDDD5" w14:textId="77777777" w:rsidTr="00D867C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143C4F8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369" w:type="dxa"/>
            <w:vAlign w:val="bottom"/>
          </w:tcPr>
          <w:p w14:paraId="68C412BC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Goya</w:t>
            </w:r>
          </w:p>
        </w:tc>
        <w:tc>
          <w:tcPr>
            <w:tcW w:w="1544" w:type="dxa"/>
            <w:vAlign w:val="bottom"/>
          </w:tcPr>
          <w:p w14:paraId="450F999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44" w:type="dxa"/>
            <w:vAlign w:val="bottom"/>
          </w:tcPr>
          <w:p w14:paraId="0283901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91" w:type="dxa"/>
            <w:vAlign w:val="bottom"/>
          </w:tcPr>
          <w:p w14:paraId="0C3BAD9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2,6%</w:t>
            </w:r>
          </w:p>
        </w:tc>
      </w:tr>
      <w:tr w:rsidR="00D867CD" w14:paraId="685544D1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bottom"/>
          </w:tcPr>
          <w:p w14:paraId="661127C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369" w:type="dxa"/>
            <w:vAlign w:val="bottom"/>
          </w:tcPr>
          <w:p w14:paraId="3B2F23E7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Recoletos</w:t>
            </w:r>
          </w:p>
        </w:tc>
        <w:tc>
          <w:tcPr>
            <w:tcW w:w="1544" w:type="dxa"/>
            <w:vAlign w:val="bottom"/>
          </w:tcPr>
          <w:p w14:paraId="1A813A6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544" w:type="dxa"/>
            <w:vAlign w:val="bottom"/>
          </w:tcPr>
          <w:p w14:paraId="6AA9261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491" w:type="dxa"/>
            <w:vAlign w:val="bottom"/>
          </w:tcPr>
          <w:p w14:paraId="76279A3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</w:tr>
    </w:tbl>
    <w:p w14:paraId="2A3DEF5A" w14:textId="13B1A65F" w:rsidR="00D867CD" w:rsidRDefault="00D867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2148493B" w14:textId="6D2E112E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1B560D1F" w14:textId="77777777" w:rsidR="00C3241D" w:rsidRDefault="00C32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251418FA" w14:textId="77777777" w:rsidR="00D867CD" w:rsidRDefault="00C42E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Tabla 7. Rentabilidad de la vivienda por barrios de Barcelona (comparativa 2016, 2020 y 2021)  </w:t>
      </w:r>
    </w:p>
    <w:tbl>
      <w:tblPr>
        <w:tblStyle w:val="a5"/>
        <w:tblW w:w="896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2816"/>
        <w:gridCol w:w="1559"/>
        <w:gridCol w:w="1559"/>
        <w:gridCol w:w="1455"/>
      </w:tblGrid>
      <w:tr w:rsidR="00D867CD" w14:paraId="63DCFC09" w14:textId="77777777" w:rsidTr="00D86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center"/>
          </w:tcPr>
          <w:p w14:paraId="0F0EFB07" w14:textId="77777777" w:rsidR="00D867CD" w:rsidRDefault="00C42ED8">
            <w:pPr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b w:val="0"/>
                <w:sz w:val="20"/>
                <w:szCs w:val="20"/>
              </w:rPr>
              <w:t>Distritos</w:t>
            </w:r>
          </w:p>
        </w:tc>
        <w:tc>
          <w:tcPr>
            <w:tcW w:w="2816" w:type="dxa"/>
            <w:vAlign w:val="center"/>
          </w:tcPr>
          <w:p w14:paraId="4CC0E49A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1559" w:type="dxa"/>
            <w:vAlign w:val="center"/>
          </w:tcPr>
          <w:p w14:paraId="1F0ED678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17466A00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2016</w:t>
            </w:r>
          </w:p>
          <w:p w14:paraId="035D4284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(5 años)</w:t>
            </w:r>
          </w:p>
        </w:tc>
        <w:tc>
          <w:tcPr>
            <w:tcW w:w="1559" w:type="dxa"/>
            <w:vAlign w:val="center"/>
          </w:tcPr>
          <w:p w14:paraId="2BCD847E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066094A4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2020</w:t>
            </w:r>
          </w:p>
          <w:p w14:paraId="42331A44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Open Sans Light" w:hAnsi="Open Sans Light" w:cs="Open Sans Light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(1 año)</w:t>
            </w:r>
          </w:p>
        </w:tc>
        <w:tc>
          <w:tcPr>
            <w:tcW w:w="1455" w:type="dxa"/>
            <w:vAlign w:val="center"/>
          </w:tcPr>
          <w:p w14:paraId="3D836F81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Rentabilidad</w:t>
            </w:r>
          </w:p>
          <w:p w14:paraId="765988AB" w14:textId="77777777" w:rsidR="00D867CD" w:rsidRDefault="00C42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eastAsia="Open Sans Light" w:hAnsi="Open Sans Light" w:cs="Open Sans Light"/>
                <w:i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0"/>
                <w:szCs w:val="20"/>
              </w:rPr>
              <w:t>2021</w:t>
            </w:r>
          </w:p>
        </w:tc>
      </w:tr>
      <w:tr w:rsidR="00D867CD" w14:paraId="696671ED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2FBDBF1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816" w:type="dxa"/>
            <w:vAlign w:val="bottom"/>
          </w:tcPr>
          <w:p w14:paraId="1D5966D9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Provençals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del Poblenou</w:t>
            </w:r>
          </w:p>
        </w:tc>
        <w:tc>
          <w:tcPr>
            <w:tcW w:w="1559" w:type="dxa"/>
            <w:vAlign w:val="bottom"/>
          </w:tcPr>
          <w:p w14:paraId="09CB45D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5643D72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455" w:type="dxa"/>
            <w:vAlign w:val="bottom"/>
          </w:tcPr>
          <w:p w14:paraId="03A19890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289CC679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1A2D71F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816" w:type="dxa"/>
            <w:vAlign w:val="bottom"/>
          </w:tcPr>
          <w:p w14:paraId="5C7A7EB4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Raval</w:t>
            </w:r>
          </w:p>
        </w:tc>
        <w:tc>
          <w:tcPr>
            <w:tcW w:w="1559" w:type="dxa"/>
            <w:vAlign w:val="bottom"/>
          </w:tcPr>
          <w:p w14:paraId="625B950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559" w:type="dxa"/>
            <w:vAlign w:val="bottom"/>
          </w:tcPr>
          <w:p w14:paraId="6E71455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455" w:type="dxa"/>
            <w:vAlign w:val="bottom"/>
          </w:tcPr>
          <w:p w14:paraId="0A7E415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D867CD" w14:paraId="5F9C3404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2176E81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816" w:type="dxa"/>
            <w:vAlign w:val="bottom"/>
          </w:tcPr>
          <w:p w14:paraId="69B1EBC1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Parc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i la Llacuna del Poblenou</w:t>
            </w:r>
          </w:p>
        </w:tc>
        <w:tc>
          <w:tcPr>
            <w:tcW w:w="1559" w:type="dxa"/>
          </w:tcPr>
          <w:p w14:paraId="69AE368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5B6FF7E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55" w:type="dxa"/>
            <w:vAlign w:val="bottom"/>
          </w:tcPr>
          <w:p w14:paraId="7186E8C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D867CD" w14:paraId="02BE3673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068459B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816" w:type="dxa"/>
            <w:vAlign w:val="bottom"/>
          </w:tcPr>
          <w:p w14:paraId="1E71A5C8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Bordeta</w:t>
            </w:r>
            <w:proofErr w:type="spellEnd"/>
          </w:p>
        </w:tc>
        <w:tc>
          <w:tcPr>
            <w:tcW w:w="1559" w:type="dxa"/>
          </w:tcPr>
          <w:p w14:paraId="08F1B24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3B508E8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455" w:type="dxa"/>
            <w:vAlign w:val="bottom"/>
          </w:tcPr>
          <w:p w14:paraId="1C79ABB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D867CD" w14:paraId="21FDAA9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63B838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816" w:type="dxa"/>
            <w:vAlign w:val="bottom"/>
          </w:tcPr>
          <w:p w14:paraId="4431191A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Sants-Badal</w:t>
            </w:r>
          </w:p>
        </w:tc>
        <w:tc>
          <w:tcPr>
            <w:tcW w:w="1559" w:type="dxa"/>
          </w:tcPr>
          <w:p w14:paraId="2A9CC32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5AF683CE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455" w:type="dxa"/>
            <w:vAlign w:val="bottom"/>
          </w:tcPr>
          <w:p w14:paraId="3E2B663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D867CD" w14:paraId="1E026B9B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1B8655C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816" w:type="dxa"/>
            <w:vAlign w:val="bottom"/>
          </w:tcPr>
          <w:p w14:paraId="0B963F04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Sagrera</w:t>
            </w:r>
          </w:p>
        </w:tc>
        <w:tc>
          <w:tcPr>
            <w:tcW w:w="1559" w:type="dxa"/>
          </w:tcPr>
          <w:p w14:paraId="1DFC300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6ECA6F0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bottom"/>
          </w:tcPr>
          <w:p w14:paraId="67114EA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D867CD" w14:paraId="287658A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DE6C91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816" w:type="dxa"/>
            <w:vAlign w:val="bottom"/>
          </w:tcPr>
          <w:p w14:paraId="79BE3306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El Poble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Sec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Parc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 Montjuïc</w:t>
            </w:r>
          </w:p>
        </w:tc>
        <w:tc>
          <w:tcPr>
            <w:tcW w:w="1559" w:type="dxa"/>
          </w:tcPr>
          <w:p w14:paraId="10B8770D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0FBBE998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455" w:type="dxa"/>
            <w:vAlign w:val="bottom"/>
          </w:tcPr>
          <w:p w14:paraId="36FD24B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5622CAA3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F34904E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816" w:type="dxa"/>
            <w:vAlign w:val="bottom"/>
          </w:tcPr>
          <w:p w14:paraId="7E90E7A9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Andreu del Palomar</w:t>
            </w:r>
          </w:p>
        </w:tc>
        <w:tc>
          <w:tcPr>
            <w:tcW w:w="1559" w:type="dxa"/>
          </w:tcPr>
          <w:p w14:paraId="18142AB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58B887A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455" w:type="dxa"/>
            <w:vAlign w:val="bottom"/>
          </w:tcPr>
          <w:p w14:paraId="3A39CAB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3BB1DEF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0FC4A83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816" w:type="dxa"/>
            <w:vAlign w:val="bottom"/>
          </w:tcPr>
          <w:p w14:paraId="0676B12F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Navas</w:t>
            </w:r>
          </w:p>
        </w:tc>
        <w:tc>
          <w:tcPr>
            <w:tcW w:w="1559" w:type="dxa"/>
          </w:tcPr>
          <w:p w14:paraId="1278121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235A06A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bottom"/>
          </w:tcPr>
          <w:p w14:paraId="4FBDB41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D867CD" w14:paraId="37192DE3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31C4A8EA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816" w:type="dxa"/>
            <w:vAlign w:val="bottom"/>
          </w:tcPr>
          <w:p w14:paraId="6090EF66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Guinardó</w:t>
            </w:r>
          </w:p>
        </w:tc>
        <w:tc>
          <w:tcPr>
            <w:tcW w:w="1559" w:type="dxa"/>
          </w:tcPr>
          <w:p w14:paraId="333D067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472D674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455" w:type="dxa"/>
            <w:vAlign w:val="bottom"/>
          </w:tcPr>
          <w:p w14:paraId="33E0188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5338E28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C021E34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816" w:type="dxa"/>
            <w:vAlign w:val="bottom"/>
          </w:tcPr>
          <w:p w14:paraId="584D8855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El Camp de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l'Arpa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del Clot</w:t>
            </w:r>
          </w:p>
        </w:tc>
        <w:tc>
          <w:tcPr>
            <w:tcW w:w="1559" w:type="dxa"/>
            <w:vAlign w:val="bottom"/>
          </w:tcPr>
          <w:p w14:paraId="3173FDB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559" w:type="dxa"/>
            <w:vAlign w:val="bottom"/>
          </w:tcPr>
          <w:p w14:paraId="49DA4C3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455" w:type="dxa"/>
            <w:vAlign w:val="bottom"/>
          </w:tcPr>
          <w:p w14:paraId="56AA02C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D867CD" w14:paraId="567B1E4B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48585B1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816" w:type="dxa"/>
            <w:vAlign w:val="bottom"/>
          </w:tcPr>
          <w:p w14:paraId="00AC7F92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Hostafrancs</w:t>
            </w:r>
            <w:proofErr w:type="spellEnd"/>
          </w:p>
        </w:tc>
        <w:tc>
          <w:tcPr>
            <w:tcW w:w="1559" w:type="dxa"/>
          </w:tcPr>
          <w:p w14:paraId="74A6A63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3843128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455" w:type="dxa"/>
            <w:vAlign w:val="bottom"/>
          </w:tcPr>
          <w:p w14:paraId="0029966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D867CD" w14:paraId="19F21F3E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4C46044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816" w:type="dxa"/>
            <w:vAlign w:val="bottom"/>
          </w:tcPr>
          <w:p w14:paraId="351F08A3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Baix Guinardó</w:t>
            </w:r>
          </w:p>
        </w:tc>
        <w:tc>
          <w:tcPr>
            <w:tcW w:w="1559" w:type="dxa"/>
          </w:tcPr>
          <w:p w14:paraId="029B1DD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13D3DB8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55" w:type="dxa"/>
            <w:vAlign w:val="bottom"/>
          </w:tcPr>
          <w:p w14:paraId="4198B20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59ECF28C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78A5548D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816" w:type="dxa"/>
            <w:vAlign w:val="bottom"/>
          </w:tcPr>
          <w:p w14:paraId="79A9ACEA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Clot</w:t>
            </w:r>
          </w:p>
        </w:tc>
        <w:tc>
          <w:tcPr>
            <w:tcW w:w="1559" w:type="dxa"/>
            <w:vAlign w:val="bottom"/>
          </w:tcPr>
          <w:p w14:paraId="7D5B8B69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3C00257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55" w:type="dxa"/>
            <w:vAlign w:val="bottom"/>
          </w:tcPr>
          <w:p w14:paraId="6CAA3CD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</w:tr>
      <w:tr w:rsidR="00D867CD" w14:paraId="5DB2E59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7221DB2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816" w:type="dxa"/>
            <w:vAlign w:val="bottom"/>
          </w:tcPr>
          <w:p w14:paraId="17E1F98F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Barceloneta</w:t>
            </w:r>
          </w:p>
        </w:tc>
        <w:tc>
          <w:tcPr>
            <w:tcW w:w="1559" w:type="dxa"/>
            <w:vAlign w:val="bottom"/>
          </w:tcPr>
          <w:p w14:paraId="532F9D0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64A799E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455" w:type="dxa"/>
            <w:vAlign w:val="bottom"/>
          </w:tcPr>
          <w:p w14:paraId="0CC787D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6EA8C9BB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331E0129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816" w:type="dxa"/>
            <w:vAlign w:val="bottom"/>
          </w:tcPr>
          <w:p w14:paraId="211F43AF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Fort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Pienc</w:t>
            </w:r>
            <w:proofErr w:type="spellEnd"/>
          </w:p>
        </w:tc>
        <w:tc>
          <w:tcPr>
            <w:tcW w:w="1559" w:type="dxa"/>
            <w:vAlign w:val="bottom"/>
          </w:tcPr>
          <w:p w14:paraId="4774567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559" w:type="dxa"/>
            <w:vAlign w:val="bottom"/>
          </w:tcPr>
          <w:p w14:paraId="5526989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55" w:type="dxa"/>
            <w:vAlign w:val="bottom"/>
          </w:tcPr>
          <w:p w14:paraId="44B8552F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</w:tr>
      <w:tr w:rsidR="00D867CD" w14:paraId="71719B57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C500D1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816" w:type="dxa"/>
            <w:vAlign w:val="bottom"/>
          </w:tcPr>
          <w:p w14:paraId="0612CC1A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El Camp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d'en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Grassot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i Gràcia Nova</w:t>
            </w:r>
          </w:p>
        </w:tc>
        <w:tc>
          <w:tcPr>
            <w:tcW w:w="1559" w:type="dxa"/>
            <w:vAlign w:val="bottom"/>
          </w:tcPr>
          <w:p w14:paraId="1A2CC36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42505A7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455" w:type="dxa"/>
            <w:vAlign w:val="bottom"/>
          </w:tcPr>
          <w:p w14:paraId="1FAAAB1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</w:tr>
      <w:tr w:rsidR="00D867CD" w14:paraId="0D37F3AB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2E61559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816" w:type="dxa"/>
            <w:vAlign w:val="bottom"/>
          </w:tcPr>
          <w:p w14:paraId="671D346E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Barri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Gòtic</w:t>
            </w:r>
            <w:proofErr w:type="spellEnd"/>
          </w:p>
        </w:tc>
        <w:tc>
          <w:tcPr>
            <w:tcW w:w="1559" w:type="dxa"/>
            <w:vAlign w:val="bottom"/>
          </w:tcPr>
          <w:p w14:paraId="6671511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59" w:type="dxa"/>
            <w:vAlign w:val="bottom"/>
          </w:tcPr>
          <w:p w14:paraId="244136E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55" w:type="dxa"/>
            <w:vAlign w:val="bottom"/>
          </w:tcPr>
          <w:p w14:paraId="74E4EBD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40B3F08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368B9DE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816" w:type="dxa"/>
            <w:vAlign w:val="bottom"/>
          </w:tcPr>
          <w:p w14:paraId="25352B91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Vallcarca i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els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Penitents</w:t>
            </w:r>
            <w:proofErr w:type="spellEnd"/>
          </w:p>
        </w:tc>
        <w:tc>
          <w:tcPr>
            <w:tcW w:w="1559" w:type="dxa"/>
            <w:vAlign w:val="bottom"/>
          </w:tcPr>
          <w:p w14:paraId="03D51732" w14:textId="77777777" w:rsidR="00D867CD" w:rsidRDefault="00D86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20E7918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55" w:type="dxa"/>
            <w:vAlign w:val="bottom"/>
          </w:tcPr>
          <w:p w14:paraId="6EC618D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</w:tr>
      <w:tr w:rsidR="00D867CD" w14:paraId="7FBB763C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21F7822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816" w:type="dxa"/>
            <w:vAlign w:val="bottom"/>
          </w:tcPr>
          <w:p w14:paraId="1C508B51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Sants</w:t>
            </w:r>
          </w:p>
        </w:tc>
        <w:tc>
          <w:tcPr>
            <w:tcW w:w="1559" w:type="dxa"/>
            <w:vAlign w:val="bottom"/>
          </w:tcPr>
          <w:p w14:paraId="58FD698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0CC66EB6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455" w:type="dxa"/>
            <w:vAlign w:val="bottom"/>
          </w:tcPr>
          <w:p w14:paraId="3391E99A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53938A65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5B3CBF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816" w:type="dxa"/>
            <w:vAlign w:val="bottom"/>
          </w:tcPr>
          <w:p w14:paraId="6DA4996C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Vila de Gràcia</w:t>
            </w:r>
          </w:p>
        </w:tc>
        <w:tc>
          <w:tcPr>
            <w:tcW w:w="1559" w:type="dxa"/>
            <w:vAlign w:val="bottom"/>
          </w:tcPr>
          <w:p w14:paraId="5E9EA42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559" w:type="dxa"/>
            <w:vAlign w:val="bottom"/>
          </w:tcPr>
          <w:p w14:paraId="070BE61A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55" w:type="dxa"/>
            <w:vAlign w:val="bottom"/>
          </w:tcPr>
          <w:p w14:paraId="6E8731E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D867CD" w14:paraId="4475811C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E31262C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816" w:type="dxa"/>
            <w:vAlign w:val="bottom"/>
          </w:tcPr>
          <w:p w14:paraId="1E924BE4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El Poblenou</w:t>
            </w:r>
          </w:p>
        </w:tc>
        <w:tc>
          <w:tcPr>
            <w:tcW w:w="1559" w:type="dxa"/>
            <w:vAlign w:val="bottom"/>
          </w:tcPr>
          <w:p w14:paraId="6D761E8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14:paraId="677D08F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455" w:type="dxa"/>
            <w:vAlign w:val="bottom"/>
          </w:tcPr>
          <w:p w14:paraId="42CCC384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D867CD" w14:paraId="30ECD4F5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6AE6E70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816" w:type="dxa"/>
            <w:vAlign w:val="bottom"/>
          </w:tcPr>
          <w:p w14:paraId="373B2D20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Sagrada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Família</w:t>
            </w:r>
            <w:proofErr w:type="spellEnd"/>
          </w:p>
        </w:tc>
        <w:tc>
          <w:tcPr>
            <w:tcW w:w="1559" w:type="dxa"/>
            <w:vAlign w:val="bottom"/>
          </w:tcPr>
          <w:p w14:paraId="743EF61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559" w:type="dxa"/>
            <w:vAlign w:val="bottom"/>
          </w:tcPr>
          <w:p w14:paraId="2E72FB6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455" w:type="dxa"/>
            <w:vAlign w:val="bottom"/>
          </w:tcPr>
          <w:p w14:paraId="0C22DFB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</w:tr>
      <w:tr w:rsidR="00D867CD" w14:paraId="054FE120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08B2894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816" w:type="dxa"/>
            <w:vAlign w:val="bottom"/>
          </w:tcPr>
          <w:p w14:paraId="444A480F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Gervasi i la Bonanova</w:t>
            </w:r>
          </w:p>
        </w:tc>
        <w:tc>
          <w:tcPr>
            <w:tcW w:w="1559" w:type="dxa"/>
            <w:vAlign w:val="bottom"/>
          </w:tcPr>
          <w:p w14:paraId="70BB2F4E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5812A49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455" w:type="dxa"/>
            <w:vAlign w:val="bottom"/>
          </w:tcPr>
          <w:p w14:paraId="5E412C5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200ECD8F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647C4D5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816" w:type="dxa"/>
            <w:vAlign w:val="bottom"/>
          </w:tcPr>
          <w:p w14:paraId="0FAFA560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Pere, Sta. Caterina i la Ribera</w:t>
            </w:r>
          </w:p>
        </w:tc>
        <w:tc>
          <w:tcPr>
            <w:tcW w:w="1559" w:type="dxa"/>
            <w:vAlign w:val="bottom"/>
          </w:tcPr>
          <w:p w14:paraId="6068122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559" w:type="dxa"/>
            <w:vAlign w:val="bottom"/>
          </w:tcPr>
          <w:p w14:paraId="138CC6B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455" w:type="dxa"/>
            <w:vAlign w:val="bottom"/>
          </w:tcPr>
          <w:p w14:paraId="1AB154CC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15E1007D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72F0AA4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816" w:type="dxa"/>
            <w:vAlign w:val="bottom"/>
          </w:tcPr>
          <w:p w14:paraId="15C27DDB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 Antoni</w:t>
            </w:r>
          </w:p>
        </w:tc>
        <w:tc>
          <w:tcPr>
            <w:tcW w:w="1559" w:type="dxa"/>
            <w:vAlign w:val="bottom"/>
          </w:tcPr>
          <w:p w14:paraId="6162F66D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559" w:type="dxa"/>
            <w:vAlign w:val="bottom"/>
          </w:tcPr>
          <w:p w14:paraId="2C94927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455" w:type="dxa"/>
            <w:vAlign w:val="bottom"/>
          </w:tcPr>
          <w:p w14:paraId="5AC36AB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</w:tr>
      <w:tr w:rsidR="00D867CD" w14:paraId="5FED669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73DC7C5F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816" w:type="dxa"/>
            <w:vAlign w:val="bottom"/>
          </w:tcPr>
          <w:p w14:paraId="6C9C34DB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Nova Esquerra de l'Eixample</w:t>
            </w:r>
          </w:p>
        </w:tc>
        <w:tc>
          <w:tcPr>
            <w:tcW w:w="1559" w:type="dxa"/>
            <w:vAlign w:val="bottom"/>
          </w:tcPr>
          <w:p w14:paraId="3FA4A893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559" w:type="dxa"/>
            <w:vAlign w:val="bottom"/>
          </w:tcPr>
          <w:p w14:paraId="2AE3E25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455" w:type="dxa"/>
            <w:vAlign w:val="bottom"/>
          </w:tcPr>
          <w:p w14:paraId="036F4D1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0B582F05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3186672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Sarrià - Sant Gervasi</w:t>
            </w:r>
          </w:p>
        </w:tc>
        <w:tc>
          <w:tcPr>
            <w:tcW w:w="2816" w:type="dxa"/>
            <w:vAlign w:val="bottom"/>
          </w:tcPr>
          <w:p w14:paraId="0C30465F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Putget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i el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Farró</w:t>
            </w:r>
            <w:proofErr w:type="spellEnd"/>
          </w:p>
        </w:tc>
        <w:tc>
          <w:tcPr>
            <w:tcW w:w="1559" w:type="dxa"/>
            <w:vAlign w:val="bottom"/>
          </w:tcPr>
          <w:p w14:paraId="3308600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59" w:type="dxa"/>
            <w:vAlign w:val="bottom"/>
          </w:tcPr>
          <w:p w14:paraId="6358211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455" w:type="dxa"/>
            <w:vAlign w:val="bottom"/>
          </w:tcPr>
          <w:p w14:paraId="46FA4C91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</w:tr>
      <w:tr w:rsidR="00D867CD" w14:paraId="39427A58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1108C36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816" w:type="dxa"/>
            <w:vAlign w:val="bottom"/>
          </w:tcPr>
          <w:p w14:paraId="02DFD2B5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Dreta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 l'Eixample</w:t>
            </w:r>
          </w:p>
        </w:tc>
        <w:tc>
          <w:tcPr>
            <w:tcW w:w="1559" w:type="dxa"/>
            <w:vAlign w:val="bottom"/>
          </w:tcPr>
          <w:p w14:paraId="5FA30A1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559" w:type="dxa"/>
            <w:vAlign w:val="bottom"/>
          </w:tcPr>
          <w:p w14:paraId="0CC8331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455" w:type="dxa"/>
            <w:vAlign w:val="bottom"/>
          </w:tcPr>
          <w:p w14:paraId="775CAC1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D867CD" w14:paraId="56C354A5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465C5E35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816" w:type="dxa"/>
            <w:vAlign w:val="bottom"/>
          </w:tcPr>
          <w:p w14:paraId="6096E1BB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Maternitat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i Sant Ramon</w:t>
            </w:r>
          </w:p>
        </w:tc>
        <w:tc>
          <w:tcPr>
            <w:tcW w:w="1559" w:type="dxa"/>
            <w:vAlign w:val="bottom"/>
          </w:tcPr>
          <w:p w14:paraId="175EB1E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26DBC522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455" w:type="dxa"/>
            <w:vAlign w:val="bottom"/>
          </w:tcPr>
          <w:p w14:paraId="5826778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D867CD" w14:paraId="2B87AF6C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1E93346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816" w:type="dxa"/>
            <w:vAlign w:val="bottom"/>
          </w:tcPr>
          <w:p w14:paraId="104E33EE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Sarrià</w:t>
            </w:r>
          </w:p>
        </w:tc>
        <w:tc>
          <w:tcPr>
            <w:tcW w:w="1559" w:type="dxa"/>
            <w:vAlign w:val="bottom"/>
          </w:tcPr>
          <w:p w14:paraId="232AE324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1559" w:type="dxa"/>
            <w:vAlign w:val="bottom"/>
          </w:tcPr>
          <w:p w14:paraId="3F589FF7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455" w:type="dxa"/>
            <w:vAlign w:val="bottom"/>
          </w:tcPr>
          <w:p w14:paraId="45FD8FE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</w:tr>
      <w:tr w:rsidR="00D867CD" w14:paraId="6FB37273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0F6195C8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816" w:type="dxa"/>
            <w:vAlign w:val="bottom"/>
          </w:tcPr>
          <w:p w14:paraId="2DBBE170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Pedralbes</w:t>
            </w:r>
          </w:p>
        </w:tc>
        <w:tc>
          <w:tcPr>
            <w:tcW w:w="1559" w:type="dxa"/>
            <w:vAlign w:val="bottom"/>
          </w:tcPr>
          <w:p w14:paraId="1BC45FFB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559" w:type="dxa"/>
            <w:vAlign w:val="bottom"/>
          </w:tcPr>
          <w:p w14:paraId="57A2CEF0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1455" w:type="dxa"/>
            <w:vAlign w:val="bottom"/>
          </w:tcPr>
          <w:p w14:paraId="1BE9B437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D867CD" w14:paraId="028DC3D2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23AA92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816" w:type="dxa"/>
            <w:vAlign w:val="bottom"/>
          </w:tcPr>
          <w:p w14:paraId="2F771A80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Barri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 les Corts</w:t>
            </w:r>
          </w:p>
        </w:tc>
        <w:tc>
          <w:tcPr>
            <w:tcW w:w="1559" w:type="dxa"/>
            <w:vAlign w:val="bottom"/>
          </w:tcPr>
          <w:p w14:paraId="07406D3B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59" w:type="dxa"/>
            <w:vAlign w:val="bottom"/>
          </w:tcPr>
          <w:p w14:paraId="4DAB23E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455" w:type="dxa"/>
            <w:vAlign w:val="bottom"/>
          </w:tcPr>
          <w:p w14:paraId="398D735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</w:tr>
      <w:tr w:rsidR="00D867CD" w14:paraId="547E2035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139DF727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816" w:type="dxa"/>
            <w:vAlign w:val="bottom"/>
          </w:tcPr>
          <w:p w14:paraId="2E1F5EED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Les Tres Torres</w:t>
            </w:r>
          </w:p>
        </w:tc>
        <w:tc>
          <w:tcPr>
            <w:tcW w:w="1559" w:type="dxa"/>
            <w:vAlign w:val="bottom"/>
          </w:tcPr>
          <w:p w14:paraId="048966B8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559" w:type="dxa"/>
            <w:vAlign w:val="bottom"/>
          </w:tcPr>
          <w:p w14:paraId="2636524C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455" w:type="dxa"/>
            <w:vAlign w:val="bottom"/>
          </w:tcPr>
          <w:p w14:paraId="0D0002F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7A10BF73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05A67BBB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816" w:type="dxa"/>
            <w:vAlign w:val="bottom"/>
          </w:tcPr>
          <w:p w14:paraId="5EE56CAE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Sant Gervasi-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Galvany</w:t>
            </w:r>
            <w:proofErr w:type="spellEnd"/>
          </w:p>
        </w:tc>
        <w:tc>
          <w:tcPr>
            <w:tcW w:w="1559" w:type="dxa"/>
            <w:vAlign w:val="bottom"/>
          </w:tcPr>
          <w:p w14:paraId="22872E72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559" w:type="dxa"/>
            <w:vAlign w:val="bottom"/>
          </w:tcPr>
          <w:p w14:paraId="370DA015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455" w:type="dxa"/>
            <w:vAlign w:val="bottom"/>
          </w:tcPr>
          <w:p w14:paraId="20C32936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</w:tr>
      <w:tr w:rsidR="00D867CD" w14:paraId="5C8AC1D3" w14:textId="77777777" w:rsidTr="00D867C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6F8D9FE0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816" w:type="dxa"/>
            <w:vAlign w:val="bottom"/>
          </w:tcPr>
          <w:p w14:paraId="273B5361" w14:textId="77777777" w:rsidR="00D867CD" w:rsidRDefault="00C42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L'Antiga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Esquerra de l'Eixample</w:t>
            </w:r>
          </w:p>
        </w:tc>
        <w:tc>
          <w:tcPr>
            <w:tcW w:w="1559" w:type="dxa"/>
            <w:vAlign w:val="bottom"/>
          </w:tcPr>
          <w:p w14:paraId="29FA8595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559" w:type="dxa"/>
            <w:vAlign w:val="bottom"/>
          </w:tcPr>
          <w:p w14:paraId="0AE37AB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455" w:type="dxa"/>
            <w:vAlign w:val="bottom"/>
          </w:tcPr>
          <w:p w14:paraId="53E6E923" w14:textId="77777777" w:rsidR="00D867CD" w:rsidRDefault="00C42E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  <w:tr w:rsidR="00D867CD" w14:paraId="79C7B3EA" w14:textId="77777777" w:rsidTr="00D86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4" w:type="dxa"/>
            <w:vAlign w:val="bottom"/>
          </w:tcPr>
          <w:p w14:paraId="523A9AE3" w14:textId="77777777" w:rsidR="00D867CD" w:rsidRDefault="00C42ED8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816" w:type="dxa"/>
            <w:vAlign w:val="bottom"/>
          </w:tcPr>
          <w:p w14:paraId="2D54CB23" w14:textId="77777777" w:rsidR="00D867CD" w:rsidRDefault="00C42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Diagonal Mar i el Front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Marítim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del Poblenou</w:t>
            </w:r>
          </w:p>
        </w:tc>
        <w:tc>
          <w:tcPr>
            <w:tcW w:w="1559" w:type="dxa"/>
            <w:vAlign w:val="bottom"/>
          </w:tcPr>
          <w:p w14:paraId="2901BAEF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559" w:type="dxa"/>
            <w:vAlign w:val="bottom"/>
          </w:tcPr>
          <w:p w14:paraId="426D25A9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455" w:type="dxa"/>
            <w:vAlign w:val="bottom"/>
          </w:tcPr>
          <w:p w14:paraId="704A9F21" w14:textId="77777777" w:rsidR="00D867CD" w:rsidRDefault="00C42E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</w:tr>
    </w:tbl>
    <w:p w14:paraId="7D4E0CD1" w14:textId="77777777" w:rsidR="00D867CD" w:rsidRDefault="00D867CD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64EB506" w14:textId="77777777" w:rsidR="00D867CD" w:rsidRDefault="00D867CD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61E0E70" w14:textId="77777777" w:rsidR="00D55862" w:rsidRDefault="00D55862" w:rsidP="00D55862">
      <w:pPr>
        <w:spacing w:line="276" w:lineRule="auto"/>
        <w:ind w:right="-7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2A1CC185" w14:textId="77777777" w:rsidR="00D55862" w:rsidRDefault="00D55862" w:rsidP="00D55862">
      <w:pPr>
        <w:shd w:val="clear" w:color="auto" w:fill="FFFFFF"/>
        <w:spacing w:before="280" w:after="280"/>
        <w:ind w:right="-7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2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p w14:paraId="2C38D532" w14:textId="77777777" w:rsidR="00D55862" w:rsidRDefault="00D55862" w:rsidP="00D55862">
      <w:pPr>
        <w:shd w:val="clear" w:color="auto" w:fill="FFFFFF"/>
        <w:spacing w:before="280" w:after="280"/>
        <w:ind w:right="-7"/>
        <w:jc w:val="both"/>
        <w:rPr>
          <w:rFonts w:ascii="Open Sans" w:eastAsia="Open Sans" w:hAnsi="Open Sans" w:cs="Open Sans"/>
          <w:sz w:val="22"/>
          <w:szCs w:val="22"/>
        </w:rPr>
      </w:pPr>
      <w:hyperlink r:id="rId29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1B57BCC1" w14:textId="77777777" w:rsidR="00D55862" w:rsidRDefault="00D55862" w:rsidP="00D55862">
      <w:pPr>
        <w:shd w:val="clear" w:color="auto" w:fill="FFFFFF"/>
        <w:spacing w:before="280" w:after="280"/>
        <w:ind w:right="-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3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0FF0E692" w14:textId="77777777" w:rsidR="00D55862" w:rsidRDefault="00D55862" w:rsidP="00D55862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3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3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3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3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27CA3A32" w14:textId="77777777" w:rsidR="00D55862" w:rsidRDefault="00D55862" w:rsidP="00D55862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1"/>
          <w:szCs w:val="21"/>
        </w:rPr>
      </w:pPr>
    </w:p>
    <w:p w14:paraId="14274AC3" w14:textId="77777777" w:rsidR="00D55862" w:rsidRDefault="00D55862" w:rsidP="00D55862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lastRenderedPageBreak/>
        <w:t xml:space="preserve">Toda nuestra información la puedes encontrar en nuestra </w:t>
      </w:r>
      <w:hyperlink r:id="rId35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426BCFF7" w14:textId="77777777" w:rsidR="00D55862" w:rsidRDefault="00D55862" w:rsidP="00D55862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1"/>
          <w:szCs w:val="21"/>
        </w:rPr>
      </w:pPr>
    </w:p>
    <w:p w14:paraId="3D160841" w14:textId="3126468A" w:rsidR="00D55862" w:rsidRDefault="00D55862" w:rsidP="00D55862">
      <w:pPr>
        <w:spacing w:line="276" w:lineRule="auto"/>
        <w:ind w:right="-7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11477112" w14:textId="77777777" w:rsidR="00D55862" w:rsidRDefault="00D55862" w:rsidP="00D55862">
      <w:pPr>
        <w:shd w:val="clear" w:color="auto" w:fill="FFFFFF"/>
        <w:spacing w:line="276" w:lineRule="auto"/>
        <w:ind w:right="-7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Anaïs López </w:t>
      </w:r>
    </w:p>
    <w:p w14:paraId="7CC96FA4" w14:textId="77777777" w:rsidR="00D55862" w:rsidRDefault="00D55862" w:rsidP="00D55862">
      <w:pPr>
        <w:shd w:val="clear" w:color="auto" w:fill="FFFFFF"/>
        <w:spacing w:line="276" w:lineRule="auto"/>
        <w:ind w:right="-7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36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</w:t>
      </w:r>
      <w:hyperlink r:id="rId37" w:history="1">
        <w:r w:rsidRPr="0087613C">
          <w:rPr>
            <w:rStyle w:val="Hipervnculo"/>
            <w:rFonts w:ascii="Open Sans" w:eastAsia="Open Sans" w:hAnsi="Open Sans" w:cs="Open Sans"/>
            <w:sz w:val="19"/>
            <w:szCs w:val="19"/>
          </w:rPr>
          <w:t>comunicacion@fotocasa.es</w:t>
        </w:r>
      </w:hyperlink>
    </w:p>
    <w:p w14:paraId="56CCD7F2" w14:textId="77777777" w:rsidR="00D55862" w:rsidRDefault="00D55862" w:rsidP="00D55862">
      <w:pPr>
        <w:shd w:val="clear" w:color="auto" w:fill="FFFFFF"/>
        <w:spacing w:line="276" w:lineRule="auto"/>
        <w:ind w:right="-7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   620 66 29 26</w:t>
      </w:r>
    </w:p>
    <w:p w14:paraId="0B853203" w14:textId="77777777" w:rsidR="00D55862" w:rsidRDefault="00D55862" w:rsidP="00D55862">
      <w:pPr>
        <w:shd w:val="clear" w:color="auto" w:fill="FFFFFF"/>
        <w:ind w:right="-7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0FDC616D" w14:textId="77777777" w:rsidR="00D55862" w:rsidRDefault="00D55862" w:rsidP="00D55862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14925F41" w14:textId="77777777" w:rsidR="00D55862" w:rsidRDefault="00D55862" w:rsidP="00D55862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38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4E5CED1F" w14:textId="77777777" w:rsidR="00D55862" w:rsidRDefault="00D55862" w:rsidP="00D55862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5E01940E" w14:textId="77777777" w:rsidR="00D55862" w:rsidRDefault="00D55862" w:rsidP="00D55862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p w14:paraId="609CDA72" w14:textId="5091029D" w:rsidR="00D867CD" w:rsidRDefault="00D867CD" w:rsidP="00D55862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D867CD">
      <w:footerReference w:type="default" r:id="rId39"/>
      <w:pgSz w:w="11900" w:h="16840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C9F8" w14:textId="77777777" w:rsidR="00582444" w:rsidRDefault="00582444">
      <w:r>
        <w:separator/>
      </w:r>
    </w:p>
  </w:endnote>
  <w:endnote w:type="continuationSeparator" w:id="0">
    <w:p w14:paraId="64ECCED6" w14:textId="77777777" w:rsidR="00582444" w:rsidRDefault="0058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DF21" w14:textId="77777777" w:rsidR="00D867CD" w:rsidRDefault="00C42E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64D1032" wp14:editId="75731DE3">
          <wp:simplePos x="0" y="0"/>
          <wp:positionH relativeFrom="column">
            <wp:posOffset>-1068069</wp:posOffset>
          </wp:positionH>
          <wp:positionV relativeFrom="paragraph">
            <wp:posOffset>174625</wp:posOffset>
          </wp:positionV>
          <wp:extent cx="7670800" cy="451485"/>
          <wp:effectExtent l="0" t="0" r="0" b="0"/>
          <wp:wrapNone/>
          <wp:docPr id="32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800" cy="45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CDFC" w14:textId="77777777" w:rsidR="00582444" w:rsidRDefault="00582444">
      <w:r>
        <w:separator/>
      </w:r>
    </w:p>
  </w:footnote>
  <w:footnote w:type="continuationSeparator" w:id="0">
    <w:p w14:paraId="26AF6026" w14:textId="77777777" w:rsidR="00582444" w:rsidRDefault="0058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52BC"/>
    <w:multiLevelType w:val="multilevel"/>
    <w:tmpl w:val="913C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7CD"/>
    <w:rsid w:val="00550CD3"/>
    <w:rsid w:val="00582444"/>
    <w:rsid w:val="00780A63"/>
    <w:rsid w:val="00AE636C"/>
    <w:rsid w:val="00B929DF"/>
    <w:rsid w:val="00C3241D"/>
    <w:rsid w:val="00C42ED8"/>
    <w:rsid w:val="00CB0E01"/>
    <w:rsid w:val="00D55862"/>
    <w:rsid w:val="00D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3597"/>
  <w15:docId w15:val="{F96E585F-5EB3-4472-8B18-CFF76697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06"/>
    <w:rPr>
      <w:lang w:val="es-ES_tradnl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Refdecomentario">
    <w:name w:val="annotation reference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 w:eastAsia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9" Type="http://schemas.openxmlformats.org/officeDocument/2006/relationships/footer" Target="footer1.xml"/><Relationship Id="rId21" Type="http://schemas.openxmlformats.org/officeDocument/2006/relationships/hyperlink" Target="http://www.fotocasa.es" TargetMode="External"/><Relationship Id="rId34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www.fotocasa.es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fotocasa.es" TargetMode="External"/><Relationship Id="rId32" Type="http://schemas.openxmlformats.org/officeDocument/2006/relationships/hyperlink" Target="https://www.infojobs.net/" TargetMode="External"/><Relationship Id="rId37" Type="http://schemas.openxmlformats.org/officeDocument/2006/relationships/hyperlink" Target="mailto:comunicacion@fotocasa.e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hyperlink" Target="https://www.fotocasa.es/indice/" TargetMode="External"/><Relationship Id="rId36" Type="http://schemas.openxmlformats.org/officeDocument/2006/relationships/hyperlink" Target="mailto:rtorne@llorenteycuenca.com" TargetMode="External"/><Relationship Id="rId10" Type="http://schemas.openxmlformats.org/officeDocument/2006/relationships/hyperlink" Target="http://www.fotocasa.es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yTIKaBFBfo" TargetMode="External"/><Relationship Id="rId14" Type="http://schemas.openxmlformats.org/officeDocument/2006/relationships/chart" Target="charts/chart2.xml"/><Relationship Id="rId22" Type="http://schemas.openxmlformats.org/officeDocument/2006/relationships/image" Target="media/image9.png"/><Relationship Id="rId27" Type="http://schemas.openxmlformats.org/officeDocument/2006/relationships/hyperlink" Target="http://www.fotocasa.es" TargetMode="External"/><Relationship Id="rId30" Type="http://schemas.openxmlformats.org/officeDocument/2006/relationships/hyperlink" Target="https://www.fotocasa.es/es/quienes-somos/" TargetMode="External"/><Relationship Id="rId35" Type="http://schemas.openxmlformats.org/officeDocument/2006/relationships/hyperlink" Target="http://prensa.fotocasa.es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fotocasa.es/es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33" Type="http://schemas.openxmlformats.org/officeDocument/2006/relationships/hyperlink" Target="https://www.coches.net/" TargetMode="External"/><Relationship Id="rId38" Type="http://schemas.openxmlformats.org/officeDocument/2006/relationships/hyperlink" Target="mailto:emerino@llorenteycuenc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4-ESTUDIO%20NdP\RENTABILIDAD\NOTAS%20DE%20PRENSA\2021\DIC%202021\Prensa%20Rentabilidad%20dic-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rani\Google%20Drive\PATRI%20Y%20ELENA\001%20CLIENTES\01-SCHIBSTED\04-ESTUDIO%20NdP\RENTABILIDAD\NOTAS%20DE%20PRENSA\2021\DIC%202021\Prensa%20Rentabilidad%20dic-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2.7852366952267334E-2"/>
          <c:y val="5.0797334605751504E-2"/>
          <c:w val="0.95378147655471668"/>
          <c:h val="0.723019968293143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Hoja1!$F$2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83B-4E8C-902B-CA21E208967B}"/>
              </c:ext>
            </c:extLst>
          </c:dPt>
          <c:dPt>
            <c:idx val="5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83B-4E8C-902B-CA21E208967B}"/>
              </c:ext>
            </c:extLst>
          </c:dPt>
          <c:dPt>
            <c:idx val="10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83B-4E8C-902B-CA21E208967B}"/>
              </c:ext>
            </c:extLst>
          </c:dPt>
          <c:dLbls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83B-4E8C-902B-CA21E20896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Hoja1!$E$3:$E$13</c:f>
              <c:strCache>
                <c:ptCount val="11"/>
                <c:pt idx="0">
                  <c:v>2011      (10 AÑOS)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         (5 AÑOS)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        (1 AÑO)</c:v>
                </c:pt>
                <c:pt idx="10">
                  <c:v>2021</c:v>
                </c:pt>
              </c:strCache>
            </c:strRef>
          </c:cat>
          <c:val>
            <c:numRef>
              <c:f>Hoja1!$F$3:$F$13</c:f>
              <c:numCache>
                <c:formatCode>0.0%</c:formatCode>
                <c:ptCount val="11"/>
                <c:pt idx="0">
                  <c:v>4.2994492290395599E-2</c:v>
                </c:pt>
                <c:pt idx="1">
                  <c:v>4.6228986147428729E-2</c:v>
                </c:pt>
                <c:pt idx="2">
                  <c:v>4.785734031512312E-2</c:v>
                </c:pt>
                <c:pt idx="3">
                  <c:v>4.9783162144262177E-2</c:v>
                </c:pt>
                <c:pt idx="4">
                  <c:v>5.2614758995687995E-2</c:v>
                </c:pt>
                <c:pt idx="5">
                  <c:v>5.4639073813132551E-2</c:v>
                </c:pt>
                <c:pt idx="6">
                  <c:v>6.1684022269016633E-2</c:v>
                </c:pt>
                <c:pt idx="7">
                  <c:v>6.2207106867722371E-2</c:v>
                </c:pt>
                <c:pt idx="8">
                  <c:v>6.6187705211143963E-2</c:v>
                </c:pt>
                <c:pt idx="9">
                  <c:v>6.8126935727193721E-2</c:v>
                </c:pt>
                <c:pt idx="10">
                  <c:v>6.4616933369686033E-2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83B-4E8C-902B-CA21E20896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none" spc="20" normalizeH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ES"/>
    </a:p>
  </c:txPr>
  <c:externalData r:id="rId4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6.5638353573807443E-2"/>
          <c:y val="5.2999752201714649E-2"/>
          <c:w val="0.91080259092756055"/>
          <c:h val="0.5884456961128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Hoja1!$B$36</c:f>
              <c:strCache>
                <c:ptCount val="1"/>
                <c:pt idx="0">
                  <c:v>01/12/2021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70AD47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6BC-4976-9310-4ED2E3D957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Hoja1!$A$37:$A$54</c:f>
              <c:strCache>
                <c:ptCount val="18"/>
                <c:pt idx="0">
                  <c:v>Región de Murcia</c:v>
                </c:pt>
                <c:pt idx="1">
                  <c:v>Navarra</c:v>
                </c:pt>
                <c:pt idx="2">
                  <c:v>Comunitat Valenciana</c:v>
                </c:pt>
                <c:pt idx="3">
                  <c:v>Cataluña</c:v>
                </c:pt>
                <c:pt idx="4">
                  <c:v>Canarias</c:v>
                </c:pt>
                <c:pt idx="5">
                  <c:v>España</c:v>
                </c:pt>
                <c:pt idx="6">
                  <c:v>Aragón</c:v>
                </c:pt>
                <c:pt idx="7">
                  <c:v>Castilla-La Mancha</c:v>
                </c:pt>
                <c:pt idx="8">
                  <c:v>Asturias</c:v>
                </c:pt>
                <c:pt idx="9">
                  <c:v>Cantabria</c:v>
                </c:pt>
                <c:pt idx="10">
                  <c:v>Castilla y León</c:v>
                </c:pt>
                <c:pt idx="11">
                  <c:v>Andalucía</c:v>
                </c:pt>
                <c:pt idx="12">
                  <c:v>La Rioja</c:v>
                </c:pt>
                <c:pt idx="13">
                  <c:v>Extremadura</c:v>
                </c:pt>
                <c:pt idx="14">
                  <c:v>País Vasco</c:v>
                </c:pt>
                <c:pt idx="15">
                  <c:v>Galicia</c:v>
                </c:pt>
                <c:pt idx="16">
                  <c:v>Madrid</c:v>
                </c:pt>
                <c:pt idx="17">
                  <c:v>Baleares</c:v>
                </c:pt>
              </c:strCache>
            </c:strRef>
          </c:cat>
          <c:val>
            <c:numRef>
              <c:f>Hoja1!$B$37:$B$54</c:f>
              <c:numCache>
                <c:formatCode>0.0%</c:formatCode>
                <c:ptCount val="18"/>
                <c:pt idx="0">
                  <c:v>7.515788921985693E-2</c:v>
                </c:pt>
                <c:pt idx="1">
                  <c:v>7.3366877927118254E-2</c:v>
                </c:pt>
                <c:pt idx="2">
                  <c:v>7.2535853436127007E-2</c:v>
                </c:pt>
                <c:pt idx="3">
                  <c:v>6.6317365857876745E-2</c:v>
                </c:pt>
                <c:pt idx="4">
                  <c:v>6.4845573711617893E-2</c:v>
                </c:pt>
                <c:pt idx="5">
                  <c:v>6.4616933369686033E-2</c:v>
                </c:pt>
                <c:pt idx="6">
                  <c:v>6.3877868728971041E-2</c:v>
                </c:pt>
                <c:pt idx="7">
                  <c:v>6.3127225639365486E-2</c:v>
                </c:pt>
                <c:pt idx="8">
                  <c:v>6.1880571264257653E-2</c:v>
                </c:pt>
                <c:pt idx="9">
                  <c:v>6.1162492405319659E-2</c:v>
                </c:pt>
                <c:pt idx="10">
                  <c:v>6.0913283749532546E-2</c:v>
                </c:pt>
                <c:pt idx="11">
                  <c:v>6.0217764240450937E-2</c:v>
                </c:pt>
                <c:pt idx="12">
                  <c:v>5.9897203448136309E-2</c:v>
                </c:pt>
                <c:pt idx="13">
                  <c:v>5.844633659203196E-2</c:v>
                </c:pt>
                <c:pt idx="14">
                  <c:v>5.4669039960861469E-2</c:v>
                </c:pt>
                <c:pt idx="15">
                  <c:v>5.4662320201852778E-2</c:v>
                </c:pt>
                <c:pt idx="16">
                  <c:v>5.2338316104984045E-2</c:v>
                </c:pt>
                <c:pt idx="17">
                  <c:v>4.9746698779171164E-2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BC-4976-9310-4ED2E3D957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I4a/cajMqX/ReIbeTjXwTyvOw==">AMUW2mVcgmjKLSfmjrSYRL6g+aFn6yUzgl4+5cG6zJGp4GJAfEUluRwoppwU/EcoBcw9wipDyg2MCY2JNuXqvOXJllz/pvtp3lyK7Fb0LtNiMAgmoNAshFMAAXdRS5kspsonyMt9bSExQUtNwdqOIpFdqdGMTBvvhA==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3506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6</cp:revision>
  <dcterms:created xsi:type="dcterms:W3CDTF">2021-01-12T19:15:00Z</dcterms:created>
  <dcterms:modified xsi:type="dcterms:W3CDTF">2022-01-28T08:22:00Z</dcterms:modified>
</cp:coreProperties>
</file>