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B56C" w14:textId="77777777" w:rsidR="00B51FB4" w:rsidRDefault="005B5E6E">
      <w:r>
        <w:rPr>
          <w:noProof/>
        </w:rPr>
        <w:drawing>
          <wp:anchor distT="0" distB="0" distL="0" distR="0" simplePos="0" relativeHeight="251658240" behindDoc="0" locked="0" layoutInCell="1" hidden="0" allowOverlap="1" wp14:anchorId="069F0510" wp14:editId="1D91E545">
            <wp:simplePos x="0" y="0"/>
            <wp:positionH relativeFrom="column">
              <wp:posOffset>-1056061</wp:posOffset>
            </wp:positionH>
            <wp:positionV relativeFrom="paragraph">
              <wp:posOffset>-346330</wp:posOffset>
            </wp:positionV>
            <wp:extent cx="7711147" cy="1037167"/>
            <wp:effectExtent l="0" t="0" r="0" b="0"/>
            <wp:wrapSquare wrapText="bothSides" distT="0" distB="0" distL="0" distR="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711147" cy="1037167"/>
                    </a:xfrm>
                    <a:prstGeom prst="rect">
                      <a:avLst/>
                    </a:prstGeom>
                    <a:ln/>
                  </pic:spPr>
                </pic:pic>
              </a:graphicData>
            </a:graphic>
          </wp:anchor>
        </w:drawing>
      </w:r>
    </w:p>
    <w:p w14:paraId="23C1B445" w14:textId="77777777" w:rsidR="00B51FB4" w:rsidRDefault="00B51FB4">
      <w:pPr>
        <w:jc w:val="right"/>
        <w:rPr>
          <w:rFonts w:ascii="National" w:eastAsia="National" w:hAnsi="National" w:cs="National"/>
          <w:color w:val="303AB2"/>
          <w:sz w:val="36"/>
          <w:szCs w:val="36"/>
        </w:rPr>
      </w:pPr>
    </w:p>
    <w:p w14:paraId="592D9235" w14:textId="77777777" w:rsidR="00B51FB4" w:rsidRDefault="00B51FB4">
      <w:pPr>
        <w:jc w:val="both"/>
        <w:rPr>
          <w:rFonts w:ascii="National" w:eastAsia="National" w:hAnsi="National" w:cs="National"/>
          <w:color w:val="303AB2"/>
        </w:rPr>
      </w:pPr>
    </w:p>
    <w:p w14:paraId="444EDE9C" w14:textId="77777777" w:rsidR="00B51FB4" w:rsidRDefault="005B5E6E">
      <w:pPr>
        <w:pBdr>
          <w:top w:val="nil"/>
          <w:left w:val="nil"/>
          <w:bottom w:val="nil"/>
          <w:right w:val="nil"/>
          <w:between w:val="nil"/>
        </w:pBdr>
        <w:shd w:val="clear" w:color="auto" w:fill="FFFFFF"/>
        <w:spacing w:after="225" w:line="276" w:lineRule="auto"/>
        <w:ind w:right="-135"/>
        <w:jc w:val="center"/>
        <w:rPr>
          <w:rFonts w:ascii="National" w:eastAsia="National" w:hAnsi="National" w:cs="National"/>
          <w:b/>
          <w:color w:val="303AB2"/>
          <w:sz w:val="56"/>
          <w:szCs w:val="56"/>
        </w:rPr>
      </w:pPr>
      <w:r>
        <w:rPr>
          <w:rFonts w:ascii="National" w:eastAsia="National" w:hAnsi="National" w:cs="National"/>
          <w:b/>
          <w:color w:val="303AB2"/>
          <w:sz w:val="56"/>
          <w:szCs w:val="56"/>
        </w:rPr>
        <w:t>"La Ley de Vivienda es intervencionista, genera inseguridad jurídica y carece de incentivos suficientes”</w:t>
      </w:r>
    </w:p>
    <w:p w14:paraId="20BEDAF8" w14:textId="77777777" w:rsidR="00B51FB4" w:rsidRDefault="005B5E6E">
      <w:pPr>
        <w:numPr>
          <w:ilvl w:val="0"/>
          <w:numId w:val="5"/>
        </w:numPr>
        <w:pBdr>
          <w:top w:val="nil"/>
          <w:left w:val="nil"/>
          <w:bottom w:val="nil"/>
          <w:right w:val="nil"/>
          <w:between w:val="nil"/>
        </w:pBdr>
        <w:shd w:val="clear" w:color="auto" w:fill="FFFFFF"/>
        <w:spacing w:after="225" w:line="276" w:lineRule="auto"/>
        <w:jc w:val="both"/>
        <w:rPr>
          <w:rFonts w:ascii="Open Sans" w:eastAsia="Open Sans" w:hAnsi="Open Sans" w:cs="Open Sans"/>
          <w:b/>
          <w:color w:val="303AB2"/>
          <w:highlight w:val="white"/>
        </w:rPr>
      </w:pPr>
      <w:hyperlink r:id="rId9">
        <w:r>
          <w:rPr>
            <w:rFonts w:ascii="Open Sans" w:eastAsia="Open Sans" w:hAnsi="Open Sans" w:cs="Open Sans"/>
            <w:b/>
            <w:color w:val="1155CC"/>
            <w:highlight w:val="white"/>
            <w:u w:val="single"/>
          </w:rPr>
          <w:t>Aquí se puede ver una valoración en vídeo de la directora de Estudios de Fotocasa</w:t>
        </w:r>
      </w:hyperlink>
    </w:p>
    <w:p w14:paraId="54E31CD5" w14:textId="77777777" w:rsidR="00B51FB4" w:rsidRDefault="005B5E6E">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highlight w:val="white"/>
        </w:rPr>
      </w:pPr>
      <w:r>
        <w:rPr>
          <w:rFonts w:ascii="Open Sans" w:eastAsia="Open Sans" w:hAnsi="Open Sans" w:cs="Open Sans"/>
          <w:b/>
          <w:color w:val="303AB2"/>
          <w:highlight w:val="white"/>
        </w:rPr>
        <w:t>Madrid, 1 de febrero de 2022</w:t>
      </w:r>
    </w:p>
    <w:p w14:paraId="27D5EED2" w14:textId="77777777" w:rsidR="00B51FB4" w:rsidRDefault="005B5E6E">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Con el Proyecto de Ley Estatal por el Derecho a la Vivienda aprobado en Consejo de </w:t>
      </w:r>
      <w:proofErr w:type="gramStart"/>
      <w:r>
        <w:rPr>
          <w:rFonts w:ascii="Open Sans" w:eastAsia="Open Sans" w:hAnsi="Open Sans" w:cs="Open Sans"/>
          <w:sz w:val="21"/>
          <w:szCs w:val="21"/>
        </w:rPr>
        <w:t>Ministros</w:t>
      </w:r>
      <w:proofErr w:type="gramEnd"/>
      <w:r>
        <w:rPr>
          <w:rFonts w:ascii="Open Sans" w:eastAsia="Open Sans" w:hAnsi="Open Sans" w:cs="Open Sans"/>
          <w:sz w:val="21"/>
          <w:szCs w:val="21"/>
        </w:rPr>
        <w:t xml:space="preserve"> y rumbo a la Mesa del Congreso para su tramitación parlamentaria, el sector inmobiliario constata que no se han tenido en cuenta sus observaciones y aportaciones c</w:t>
      </w:r>
      <w:r>
        <w:rPr>
          <w:rFonts w:ascii="Open Sans" w:eastAsia="Open Sans" w:hAnsi="Open Sans" w:cs="Open Sans"/>
          <w:sz w:val="21"/>
          <w:szCs w:val="21"/>
        </w:rPr>
        <w:t>omo principal afectado por la norma.</w:t>
      </w:r>
    </w:p>
    <w:p w14:paraId="5537C727" w14:textId="77777777" w:rsidR="00B51FB4" w:rsidRDefault="005B5E6E">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Hacía tiempo que el sector demandaba una Ley de Vivienda que estuviera centrada en los dos ejes fundamentales que intervienen en el mercado del alquiler: ofrecer seguridad a los propietarios y proteger a los colectivos </w:t>
      </w:r>
      <w:r>
        <w:rPr>
          <w:rFonts w:ascii="Open Sans" w:eastAsia="Open Sans" w:hAnsi="Open Sans" w:cs="Open Sans"/>
          <w:sz w:val="21"/>
          <w:szCs w:val="21"/>
        </w:rPr>
        <w:t xml:space="preserve">vulnerables, dos componentes elementales para la estabilidad del mercado. En </w:t>
      </w:r>
      <w:hyperlink r:id="rId10">
        <w:r>
          <w:rPr>
            <w:rFonts w:ascii="Open Sans" w:eastAsia="Open Sans" w:hAnsi="Open Sans" w:cs="Open Sans"/>
            <w:color w:val="1155CC"/>
            <w:sz w:val="21"/>
            <w:szCs w:val="21"/>
            <w:u w:val="single"/>
          </w:rPr>
          <w:t>Fotocasa</w:t>
        </w:r>
      </w:hyperlink>
      <w:r>
        <w:rPr>
          <w:rFonts w:ascii="Open Sans" w:eastAsia="Open Sans" w:hAnsi="Open Sans" w:cs="Open Sans"/>
          <w:sz w:val="21"/>
          <w:szCs w:val="21"/>
        </w:rPr>
        <w:t xml:space="preserve"> somos conscientes de la sensibilidad en la que se envuelve una política como la de vivienda, y por ello calificamos como positivas las medidas que tienen el objetivo de establecer el derecho social a un hogar digno, al mismo tiempo que equilibrar el merca</w:t>
      </w:r>
      <w:r>
        <w:rPr>
          <w:rFonts w:ascii="Open Sans" w:eastAsia="Open Sans" w:hAnsi="Open Sans" w:cs="Open Sans"/>
          <w:sz w:val="21"/>
          <w:szCs w:val="21"/>
        </w:rPr>
        <w:t xml:space="preserve">do del alquiler, aumentar la oferta de viviendas y ayudar a que los jóvenes puedan emanciparse mucho antes. Pero en este Proyecto de Ley también se aprecian carencias en cuanto a la seguridad jurídica y a los incentivos fiscales, factores que obstaculizan </w:t>
      </w:r>
      <w:r>
        <w:rPr>
          <w:rFonts w:ascii="Open Sans" w:eastAsia="Open Sans" w:hAnsi="Open Sans" w:cs="Open Sans"/>
          <w:sz w:val="21"/>
          <w:szCs w:val="21"/>
        </w:rPr>
        <w:t>la generación de un clima de confianza.</w:t>
      </w:r>
    </w:p>
    <w:p w14:paraId="57E00D57" w14:textId="77777777" w:rsidR="00B51FB4" w:rsidRDefault="005B5E6E">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A raíz de la aprobación, realizamos una valoración de los puntos más destacados de la ley:</w:t>
      </w:r>
    </w:p>
    <w:p w14:paraId="496CAB35" w14:textId="77777777" w:rsidR="00B51FB4" w:rsidRDefault="005B5E6E">
      <w:pPr>
        <w:numPr>
          <w:ilvl w:val="0"/>
          <w:numId w:val="4"/>
        </w:numPr>
        <w:pBdr>
          <w:top w:val="nil"/>
          <w:left w:val="nil"/>
          <w:bottom w:val="nil"/>
          <w:right w:val="nil"/>
          <w:between w:val="nil"/>
        </w:pBdr>
        <w:shd w:val="clear" w:color="auto" w:fill="FFFFFF"/>
        <w:spacing w:before="280" w:after="280" w:line="276" w:lineRule="auto"/>
        <w:ind w:left="0" w:hanging="283"/>
        <w:jc w:val="both"/>
        <w:rPr>
          <w:rFonts w:ascii="Open Sans" w:eastAsia="Open Sans" w:hAnsi="Open Sans" w:cs="Open Sans"/>
          <w:sz w:val="21"/>
          <w:szCs w:val="21"/>
        </w:rPr>
      </w:pPr>
      <w:r>
        <w:rPr>
          <w:rFonts w:ascii="Open Sans" w:eastAsia="Open Sans" w:hAnsi="Open Sans" w:cs="Open Sans"/>
          <w:b/>
          <w:sz w:val="21"/>
          <w:szCs w:val="21"/>
        </w:rPr>
        <w:lastRenderedPageBreak/>
        <w:t>Definición de zona de mercado tensionado:</w:t>
      </w:r>
      <w:r>
        <w:rPr>
          <w:rFonts w:ascii="Open Sans" w:eastAsia="Open Sans" w:hAnsi="Open Sans" w:cs="Open Sans"/>
          <w:sz w:val="21"/>
          <w:szCs w:val="21"/>
        </w:rPr>
        <w:t xml:space="preserve"> el cumplimiento de los criterios que permiten declarar un área tensionada no es del</w:t>
      </w:r>
      <w:r>
        <w:rPr>
          <w:rFonts w:ascii="Open Sans" w:eastAsia="Open Sans" w:hAnsi="Open Sans" w:cs="Open Sans"/>
          <w:sz w:val="21"/>
          <w:szCs w:val="21"/>
        </w:rPr>
        <w:t xml:space="preserve"> todo riguroso debido a la escasez de datos oficiales que existen respecto a los precios de los alquileres. Además, la inclusión de los gastos de suministros en la fórmula es muy relativo e impreciso, ya que depende del consumo particular que haga cada inq</w:t>
      </w:r>
      <w:r>
        <w:rPr>
          <w:rFonts w:ascii="Open Sans" w:eastAsia="Open Sans" w:hAnsi="Open Sans" w:cs="Open Sans"/>
          <w:sz w:val="21"/>
          <w:szCs w:val="21"/>
        </w:rPr>
        <w:t>uilino. Sin embargo, es muy positivo que la administración pública se comprometa en el desarrollo de un programa de medidas específico, buscando fórmulas de colaboración con el sector privado para estimular la oferta, lanzando ayudas públicas adicionales o</w:t>
      </w:r>
      <w:r>
        <w:rPr>
          <w:rFonts w:ascii="Open Sans" w:eastAsia="Open Sans" w:hAnsi="Open Sans" w:cs="Open Sans"/>
          <w:sz w:val="21"/>
          <w:szCs w:val="21"/>
        </w:rPr>
        <w:t xml:space="preserve"> impulsando la oferta de vivienda social. Sería muy eficaz que esta implicación por parte de las autoridades se realizase antes de declarar una zona como tensionada. </w:t>
      </w:r>
    </w:p>
    <w:p w14:paraId="68F0D99B" w14:textId="77777777" w:rsidR="00B51FB4" w:rsidRDefault="005B5E6E">
      <w:pPr>
        <w:numPr>
          <w:ilvl w:val="0"/>
          <w:numId w:val="7"/>
        </w:numPr>
        <w:pBdr>
          <w:top w:val="nil"/>
          <w:left w:val="nil"/>
          <w:bottom w:val="nil"/>
          <w:right w:val="nil"/>
          <w:between w:val="nil"/>
        </w:pBdr>
        <w:shd w:val="clear" w:color="auto" w:fill="FFFFFF"/>
        <w:spacing w:before="280" w:after="280" w:line="276" w:lineRule="auto"/>
        <w:ind w:left="0" w:hanging="283"/>
        <w:jc w:val="both"/>
        <w:rPr>
          <w:rFonts w:ascii="Open Sans" w:eastAsia="Open Sans" w:hAnsi="Open Sans" w:cs="Open Sans"/>
          <w:sz w:val="21"/>
          <w:szCs w:val="21"/>
        </w:rPr>
      </w:pPr>
      <w:r>
        <w:rPr>
          <w:rFonts w:ascii="Open Sans" w:eastAsia="Open Sans" w:hAnsi="Open Sans" w:cs="Open Sans"/>
          <w:b/>
          <w:sz w:val="21"/>
          <w:szCs w:val="21"/>
        </w:rPr>
        <w:t>Congelación de las rentas durante máximo 3 años:</w:t>
      </w:r>
      <w:r>
        <w:rPr>
          <w:rFonts w:ascii="Open Sans" w:eastAsia="Open Sans" w:hAnsi="Open Sans" w:cs="Open Sans"/>
          <w:sz w:val="21"/>
          <w:szCs w:val="21"/>
        </w:rPr>
        <w:t xml:space="preserve"> Esta prórroga extraordinaria en el mantenimiento del precio del alquiler para el inquilino supondrá la garantía de que no le subirá el precio de su contrato en los próximos ejercicios. No obstante, esta cong</w:t>
      </w:r>
      <w:r>
        <w:rPr>
          <w:rFonts w:ascii="Open Sans" w:eastAsia="Open Sans" w:hAnsi="Open Sans" w:cs="Open Sans"/>
          <w:sz w:val="21"/>
          <w:szCs w:val="21"/>
        </w:rPr>
        <w:t>elación de los precios de las rentas es una medida intervencionista para los pequeños propietarios que no cuenta con la aprobación de los arrendadores, lo que podría verse reflejado en la contracción de la oferta de viviendas en renta, ya que para ellos su</w:t>
      </w:r>
      <w:r>
        <w:rPr>
          <w:rFonts w:ascii="Open Sans" w:eastAsia="Open Sans" w:hAnsi="Open Sans" w:cs="Open Sans"/>
          <w:sz w:val="21"/>
          <w:szCs w:val="21"/>
        </w:rPr>
        <w:t>pone una medida desincentivadora. Una acción que dificultará aún más el acceso a la vivienda y que puede hacer que el parque de viviendas en alquiler escasee todavía más. De hecho, gracias a la experiencia de otras ciudades vecinas europeas como, por ejemp</w:t>
      </w:r>
      <w:r>
        <w:rPr>
          <w:rFonts w:ascii="Open Sans" w:eastAsia="Open Sans" w:hAnsi="Open Sans" w:cs="Open Sans"/>
          <w:sz w:val="21"/>
          <w:szCs w:val="21"/>
        </w:rPr>
        <w:t>lo, Berlín o París, se ha demostrado que este tipo de medidas no son eficientes a largo plazo.</w:t>
      </w:r>
    </w:p>
    <w:p w14:paraId="7AD908D7" w14:textId="77777777" w:rsidR="00B51FB4" w:rsidRDefault="005B5E6E">
      <w:pPr>
        <w:numPr>
          <w:ilvl w:val="0"/>
          <w:numId w:val="7"/>
        </w:numPr>
        <w:pBdr>
          <w:top w:val="nil"/>
          <w:left w:val="nil"/>
          <w:bottom w:val="nil"/>
          <w:right w:val="nil"/>
          <w:between w:val="nil"/>
        </w:pBdr>
        <w:shd w:val="clear" w:color="auto" w:fill="FFFFFF"/>
        <w:spacing w:before="280" w:after="280" w:line="276" w:lineRule="auto"/>
        <w:ind w:left="0" w:hanging="283"/>
        <w:jc w:val="both"/>
        <w:rPr>
          <w:rFonts w:ascii="Open Sans" w:eastAsia="Open Sans" w:hAnsi="Open Sans" w:cs="Open Sans"/>
          <w:sz w:val="21"/>
          <w:szCs w:val="21"/>
        </w:rPr>
      </w:pPr>
      <w:r>
        <w:rPr>
          <w:rFonts w:ascii="Open Sans" w:eastAsia="Open Sans" w:hAnsi="Open Sans" w:cs="Open Sans"/>
          <w:b/>
          <w:sz w:val="21"/>
          <w:szCs w:val="21"/>
        </w:rPr>
        <w:t>Límites a las rentas de los grandes propietarios:</w:t>
      </w:r>
      <w:r>
        <w:rPr>
          <w:rFonts w:ascii="Open Sans" w:eastAsia="Open Sans" w:hAnsi="Open Sans" w:cs="Open Sans"/>
          <w:sz w:val="21"/>
          <w:szCs w:val="21"/>
        </w:rPr>
        <w:t xml:space="preserve"> desde el portal inmobiliario </w:t>
      </w:r>
      <w:hyperlink r:id="rId11">
        <w:r>
          <w:rPr>
            <w:rFonts w:ascii="Open Sans" w:eastAsia="Open Sans" w:hAnsi="Open Sans" w:cs="Open Sans"/>
            <w:color w:val="1155CC"/>
            <w:sz w:val="21"/>
            <w:szCs w:val="21"/>
            <w:u w:val="single"/>
          </w:rPr>
          <w:t>Fotocasa</w:t>
        </w:r>
      </w:hyperlink>
      <w:r>
        <w:rPr>
          <w:rFonts w:ascii="Open Sans" w:eastAsia="Open Sans" w:hAnsi="Open Sans" w:cs="Open Sans"/>
          <w:sz w:val="21"/>
          <w:szCs w:val="21"/>
        </w:rPr>
        <w:t xml:space="preserve"> consideramos más eficaz ha</w:t>
      </w:r>
      <w:r>
        <w:rPr>
          <w:rFonts w:ascii="Open Sans" w:eastAsia="Open Sans" w:hAnsi="Open Sans" w:cs="Open Sans"/>
          <w:sz w:val="21"/>
          <w:szCs w:val="21"/>
        </w:rPr>
        <w:t>ber optado por instrumentos incentivadores, en vez de penalizadores a la hora de establecer un control de los alquileres. Esta es una medida que podrá generar inseguridad jurídica no solo de cara a los grandes propietarios, sino también a los inversores ex</w:t>
      </w:r>
      <w:r>
        <w:rPr>
          <w:rFonts w:ascii="Open Sans" w:eastAsia="Open Sans" w:hAnsi="Open Sans" w:cs="Open Sans"/>
          <w:sz w:val="21"/>
          <w:szCs w:val="21"/>
        </w:rPr>
        <w:t xml:space="preserve">tranjeros. La imposición de la bajada de los precios de las </w:t>
      </w:r>
      <w:proofErr w:type="gramStart"/>
      <w:r>
        <w:rPr>
          <w:rFonts w:ascii="Open Sans" w:eastAsia="Open Sans" w:hAnsi="Open Sans" w:cs="Open Sans"/>
          <w:sz w:val="21"/>
          <w:szCs w:val="21"/>
        </w:rPr>
        <w:t>rentas,</w:t>
      </w:r>
      <w:proofErr w:type="gramEnd"/>
      <w:r>
        <w:rPr>
          <w:rFonts w:ascii="Open Sans" w:eastAsia="Open Sans" w:hAnsi="Open Sans" w:cs="Open Sans"/>
          <w:sz w:val="21"/>
          <w:szCs w:val="21"/>
        </w:rPr>
        <w:t xml:space="preserve"> hará que nuestro país deje de ser atractivo para muchos inversores extranjeros que llevarán su negocio fuera de España. No obstante, hay que recordar que esta medida afectaría a un porcent</w:t>
      </w:r>
      <w:r>
        <w:rPr>
          <w:rFonts w:ascii="Open Sans" w:eastAsia="Open Sans" w:hAnsi="Open Sans" w:cs="Open Sans"/>
          <w:sz w:val="21"/>
          <w:szCs w:val="21"/>
        </w:rPr>
        <w:t>aje muy pequeño de las viviendas en alquiler en nuestro país, ya que la gran mayoría del parque de viviendas en alquiler está en manos de pequeños propietarios. Así, esta limitación de precios no conseguiría una bajada de precios generalizada ya que el imp</w:t>
      </w:r>
      <w:r>
        <w:rPr>
          <w:rFonts w:ascii="Open Sans" w:eastAsia="Open Sans" w:hAnsi="Open Sans" w:cs="Open Sans"/>
          <w:sz w:val="21"/>
          <w:szCs w:val="21"/>
        </w:rPr>
        <w:t xml:space="preserve">acto sobre el parque de viviendas en alquiler actual es muy bajo, pero, en cambio, sí que puede hacer que inversores extranjeros decidan no invertir en nuestro país. </w:t>
      </w:r>
    </w:p>
    <w:p w14:paraId="733511C5" w14:textId="77777777" w:rsidR="00B51FB4" w:rsidRDefault="005B5E6E">
      <w:pPr>
        <w:numPr>
          <w:ilvl w:val="0"/>
          <w:numId w:val="1"/>
        </w:numPr>
        <w:pBdr>
          <w:top w:val="nil"/>
          <w:left w:val="nil"/>
          <w:bottom w:val="nil"/>
          <w:right w:val="nil"/>
          <w:between w:val="nil"/>
        </w:pBdr>
        <w:shd w:val="clear" w:color="auto" w:fill="FFFFFF"/>
        <w:spacing w:before="280" w:after="280" w:line="276" w:lineRule="auto"/>
        <w:ind w:left="0" w:hanging="283"/>
        <w:jc w:val="both"/>
        <w:rPr>
          <w:rFonts w:ascii="Open Sans" w:eastAsia="Open Sans" w:hAnsi="Open Sans" w:cs="Open Sans"/>
          <w:sz w:val="21"/>
          <w:szCs w:val="21"/>
        </w:rPr>
      </w:pPr>
      <w:r>
        <w:rPr>
          <w:rFonts w:ascii="Open Sans" w:eastAsia="Open Sans" w:hAnsi="Open Sans" w:cs="Open Sans"/>
          <w:b/>
          <w:sz w:val="21"/>
          <w:szCs w:val="21"/>
        </w:rPr>
        <w:t>Incentivos fiscales:</w:t>
      </w:r>
      <w:r>
        <w:rPr>
          <w:rFonts w:ascii="Open Sans" w:eastAsia="Open Sans" w:hAnsi="Open Sans" w:cs="Open Sans"/>
          <w:sz w:val="21"/>
          <w:szCs w:val="21"/>
        </w:rPr>
        <w:t xml:space="preserve"> Los alicientes al arrendamiento con desgravaciones fiscales para los</w:t>
      </w:r>
      <w:r>
        <w:rPr>
          <w:rFonts w:ascii="Open Sans" w:eastAsia="Open Sans" w:hAnsi="Open Sans" w:cs="Open Sans"/>
          <w:sz w:val="21"/>
          <w:szCs w:val="21"/>
        </w:rPr>
        <w:t xml:space="preserve"> particulares son muy positivos y servirán para controlar los precios y mantenerlos a un nivel estable, sobre todo en las grandes capitales. Estos estímulos conseguirán el objetivo de evitar subidas de precios desorbitadas para los arrendadores e inquilino</w:t>
      </w:r>
      <w:r>
        <w:rPr>
          <w:rFonts w:ascii="Open Sans" w:eastAsia="Open Sans" w:hAnsi="Open Sans" w:cs="Open Sans"/>
          <w:sz w:val="21"/>
          <w:szCs w:val="21"/>
        </w:rPr>
        <w:t xml:space="preserve">s actuales, pero no solucionarán el gran problema de la falta de vivienda en alquiler que nos encontramos en las ciudades más pobladas. Aun así, se hace necesario que esta Ley de Vivienda incluya más </w:t>
      </w:r>
      <w:r>
        <w:rPr>
          <w:rFonts w:ascii="Open Sans" w:eastAsia="Open Sans" w:hAnsi="Open Sans" w:cs="Open Sans"/>
          <w:sz w:val="21"/>
          <w:szCs w:val="21"/>
        </w:rPr>
        <w:lastRenderedPageBreak/>
        <w:t>medidas incentivadoras que doten de seguridad y estabili</w:t>
      </w:r>
      <w:r>
        <w:rPr>
          <w:rFonts w:ascii="Open Sans" w:eastAsia="Open Sans" w:hAnsi="Open Sans" w:cs="Open Sans"/>
          <w:sz w:val="21"/>
          <w:szCs w:val="21"/>
        </w:rPr>
        <w:t>dad a ambas partes del mercado del alquiler.</w:t>
      </w:r>
    </w:p>
    <w:p w14:paraId="55F7A189" w14:textId="77777777" w:rsidR="00B51FB4" w:rsidRDefault="005B5E6E">
      <w:pPr>
        <w:numPr>
          <w:ilvl w:val="0"/>
          <w:numId w:val="2"/>
        </w:numPr>
        <w:pBdr>
          <w:top w:val="nil"/>
          <w:left w:val="nil"/>
          <w:bottom w:val="nil"/>
          <w:right w:val="nil"/>
          <w:between w:val="nil"/>
        </w:pBdr>
        <w:shd w:val="clear" w:color="auto" w:fill="FFFFFF"/>
        <w:spacing w:before="280" w:after="280" w:line="276" w:lineRule="auto"/>
        <w:ind w:left="0" w:hanging="283"/>
        <w:jc w:val="both"/>
        <w:rPr>
          <w:rFonts w:ascii="Open Sans" w:eastAsia="Open Sans" w:hAnsi="Open Sans" w:cs="Open Sans"/>
          <w:sz w:val="21"/>
          <w:szCs w:val="21"/>
        </w:rPr>
      </w:pPr>
      <w:r>
        <w:rPr>
          <w:rFonts w:ascii="Open Sans" w:eastAsia="Open Sans" w:hAnsi="Open Sans" w:cs="Open Sans"/>
          <w:b/>
          <w:sz w:val="21"/>
          <w:szCs w:val="21"/>
        </w:rPr>
        <w:t xml:space="preserve">Recargo del IBI a la vivienda vacía: </w:t>
      </w:r>
      <w:r>
        <w:rPr>
          <w:rFonts w:ascii="Open Sans" w:eastAsia="Open Sans" w:hAnsi="Open Sans" w:cs="Open Sans"/>
          <w:sz w:val="21"/>
          <w:szCs w:val="21"/>
        </w:rPr>
        <w:t>Esta medida es sancionadora, por lo que contribuye a la generación de un clima inestable para los propietarios.</w:t>
      </w:r>
      <w:r>
        <w:rPr>
          <w:rFonts w:ascii="Open Sans" w:eastAsia="Open Sans" w:hAnsi="Open Sans" w:cs="Open Sans"/>
          <w:b/>
          <w:sz w:val="21"/>
          <w:szCs w:val="21"/>
        </w:rPr>
        <w:t xml:space="preserve"> </w:t>
      </w:r>
      <w:r>
        <w:rPr>
          <w:rFonts w:ascii="Open Sans" w:eastAsia="Open Sans" w:hAnsi="Open Sans" w:cs="Open Sans"/>
          <w:sz w:val="21"/>
          <w:szCs w:val="21"/>
        </w:rPr>
        <w:t>Además, nos muestra un nuevo problema: ¿cómo sabrán los Ayuntamientos qué viviendas están vacías? ¿encargando su propio censo? España necesita a</w:t>
      </w:r>
      <w:r>
        <w:rPr>
          <w:rFonts w:ascii="Open Sans" w:eastAsia="Open Sans" w:hAnsi="Open Sans" w:cs="Open Sans"/>
          <w:sz w:val="21"/>
          <w:szCs w:val="21"/>
        </w:rPr>
        <w:t>ctualizar el censo de vivienda vacía, cuanto antes. Aunque de igual manera, no es una medida cooperativa en la creación de un clima inversor atractivo. Por supuesto, no podemos olvidar la razón por la que las viviendas se encuentran vacías. Es probable que</w:t>
      </w:r>
      <w:r>
        <w:rPr>
          <w:rFonts w:ascii="Open Sans" w:eastAsia="Open Sans" w:hAnsi="Open Sans" w:cs="Open Sans"/>
          <w:sz w:val="21"/>
          <w:szCs w:val="21"/>
        </w:rPr>
        <w:t xml:space="preserve"> la mayoría necesite rehabilitación o nuevas cédulas de habitabilidad, por lo que el Estado debe estimular la salida de este tipo de vivienda al mercado mediante ayudas y bonificaciones. Otra razón para la existencia de vivienda vacía es el temor de los pr</w:t>
      </w:r>
      <w:r>
        <w:rPr>
          <w:rFonts w:ascii="Open Sans" w:eastAsia="Open Sans" w:hAnsi="Open Sans" w:cs="Open Sans"/>
          <w:sz w:val="21"/>
          <w:szCs w:val="21"/>
        </w:rPr>
        <w:t>opietarios a no poder recuperar su propiedad alquilada de forma rápida en caso de impago por parte del inquilino, algo que no resuelve la nueva Ley.</w:t>
      </w:r>
    </w:p>
    <w:p w14:paraId="17FCDF10" w14:textId="77777777" w:rsidR="00B51FB4" w:rsidRDefault="005B5E6E">
      <w:pPr>
        <w:numPr>
          <w:ilvl w:val="0"/>
          <w:numId w:val="2"/>
        </w:numPr>
        <w:pBdr>
          <w:top w:val="nil"/>
          <w:left w:val="nil"/>
          <w:bottom w:val="nil"/>
          <w:right w:val="nil"/>
          <w:between w:val="nil"/>
        </w:pBdr>
        <w:shd w:val="clear" w:color="auto" w:fill="FFFFFF"/>
        <w:spacing w:before="280" w:after="280" w:line="276" w:lineRule="auto"/>
        <w:ind w:left="0" w:hanging="283"/>
        <w:jc w:val="both"/>
        <w:rPr>
          <w:rFonts w:ascii="Open Sans" w:eastAsia="Open Sans" w:hAnsi="Open Sans" w:cs="Open Sans"/>
          <w:sz w:val="21"/>
          <w:szCs w:val="21"/>
        </w:rPr>
      </w:pPr>
      <w:r>
        <w:rPr>
          <w:rFonts w:ascii="Open Sans" w:eastAsia="Open Sans" w:hAnsi="Open Sans" w:cs="Open Sans"/>
          <w:b/>
          <w:sz w:val="21"/>
          <w:szCs w:val="21"/>
        </w:rPr>
        <w:t>Vivienda asequible incentivada:</w:t>
      </w:r>
      <w:r>
        <w:rPr>
          <w:rFonts w:ascii="Open Sans" w:eastAsia="Open Sans" w:hAnsi="Open Sans" w:cs="Open Sans"/>
          <w:sz w:val="21"/>
          <w:szCs w:val="21"/>
        </w:rPr>
        <w:t xml:space="preserve"> Es una fórmula muy adecuada que otorgará beneficios de carácter urbanístico</w:t>
      </w:r>
      <w:r>
        <w:rPr>
          <w:rFonts w:ascii="Open Sans" w:eastAsia="Open Sans" w:hAnsi="Open Sans" w:cs="Open Sans"/>
          <w:sz w:val="21"/>
          <w:szCs w:val="21"/>
        </w:rPr>
        <w:t>, fiscal, o de cualquier otro tipo, a cambio de que las entidades del tercer sector, las destinen a alquiler con precios reducidos a personas con ingresos bajos. Esta fórmula servirá para incrementar la oferta social a corto plazo. Una medida que podría se</w:t>
      </w:r>
      <w:r>
        <w:rPr>
          <w:rFonts w:ascii="Open Sans" w:eastAsia="Open Sans" w:hAnsi="Open Sans" w:cs="Open Sans"/>
          <w:sz w:val="21"/>
          <w:szCs w:val="21"/>
        </w:rPr>
        <w:t>r extrapolable a los propietarios particulares.</w:t>
      </w:r>
    </w:p>
    <w:p w14:paraId="5B061791" w14:textId="77777777" w:rsidR="00B51FB4" w:rsidRDefault="005B5E6E">
      <w:pPr>
        <w:numPr>
          <w:ilvl w:val="0"/>
          <w:numId w:val="2"/>
        </w:numPr>
        <w:pBdr>
          <w:top w:val="nil"/>
          <w:left w:val="nil"/>
          <w:bottom w:val="nil"/>
          <w:right w:val="nil"/>
          <w:between w:val="nil"/>
        </w:pBdr>
        <w:shd w:val="clear" w:color="auto" w:fill="FFFFFF"/>
        <w:spacing w:before="280" w:after="280" w:line="276" w:lineRule="auto"/>
        <w:ind w:left="0" w:hanging="283"/>
        <w:jc w:val="both"/>
        <w:rPr>
          <w:rFonts w:ascii="Open Sans" w:eastAsia="Open Sans" w:hAnsi="Open Sans" w:cs="Open Sans"/>
          <w:sz w:val="21"/>
          <w:szCs w:val="21"/>
        </w:rPr>
      </w:pPr>
      <w:r>
        <w:rPr>
          <w:rFonts w:ascii="Open Sans" w:eastAsia="Open Sans" w:hAnsi="Open Sans" w:cs="Open Sans"/>
          <w:b/>
          <w:sz w:val="21"/>
          <w:szCs w:val="21"/>
        </w:rPr>
        <w:t>Reserva del 30% de las nuevas promociones a vivienda pública:</w:t>
      </w:r>
      <w:r>
        <w:rPr>
          <w:rFonts w:ascii="Open Sans" w:eastAsia="Open Sans" w:hAnsi="Open Sans" w:cs="Open Sans"/>
          <w:sz w:val="21"/>
          <w:szCs w:val="21"/>
        </w:rPr>
        <w:t xml:space="preserve"> En </w:t>
      </w:r>
      <w:hyperlink r:id="rId12">
        <w:r>
          <w:rPr>
            <w:rFonts w:ascii="Open Sans" w:eastAsia="Open Sans" w:hAnsi="Open Sans" w:cs="Open Sans"/>
            <w:color w:val="1155CC"/>
            <w:sz w:val="21"/>
            <w:szCs w:val="21"/>
            <w:u w:val="single"/>
          </w:rPr>
          <w:t>Fotocasa</w:t>
        </w:r>
      </w:hyperlink>
      <w:r>
        <w:rPr>
          <w:rFonts w:ascii="Open Sans" w:eastAsia="Open Sans" w:hAnsi="Open Sans" w:cs="Open Sans"/>
          <w:sz w:val="21"/>
          <w:szCs w:val="21"/>
        </w:rPr>
        <w:t xml:space="preserve"> siempre preferimos medidas estimulantes y motivadoras, en vez de medidas punitivas y sa</w:t>
      </w:r>
      <w:r>
        <w:rPr>
          <w:rFonts w:ascii="Open Sans" w:eastAsia="Open Sans" w:hAnsi="Open Sans" w:cs="Open Sans"/>
          <w:sz w:val="21"/>
          <w:szCs w:val="21"/>
        </w:rPr>
        <w:t>ncionadoras. El hecho de introducir por ley esta nueva obligación genera inseguridad jurídica en el sector, lo que muy probablemente alejará a la inversión. Tal y como ha ocurrido en Cataluña, donde ya se aplica: más de la mitad de los promotores y constru</w:t>
      </w:r>
      <w:r>
        <w:rPr>
          <w:rFonts w:ascii="Open Sans" w:eastAsia="Open Sans" w:hAnsi="Open Sans" w:cs="Open Sans"/>
          <w:sz w:val="21"/>
          <w:szCs w:val="21"/>
        </w:rPr>
        <w:t>ctores han parado su inversión y más del 10% ha trasladado su actividad inmobiliaria a aquellas zonas que no aplican esta medida. Además, las compensaciones anunciadas por el Gobierno son consideradas como insuficientes por parte de los promotores inmobili</w:t>
      </w:r>
      <w:r>
        <w:rPr>
          <w:rFonts w:ascii="Open Sans" w:eastAsia="Open Sans" w:hAnsi="Open Sans" w:cs="Open Sans"/>
          <w:sz w:val="21"/>
          <w:szCs w:val="21"/>
        </w:rPr>
        <w:t>arios.</w:t>
      </w:r>
    </w:p>
    <w:p w14:paraId="13C2FCB5" w14:textId="77777777" w:rsidR="00B51FB4" w:rsidRDefault="005B5E6E">
      <w:pPr>
        <w:numPr>
          <w:ilvl w:val="0"/>
          <w:numId w:val="3"/>
        </w:numPr>
        <w:pBdr>
          <w:top w:val="nil"/>
          <w:left w:val="nil"/>
          <w:bottom w:val="nil"/>
          <w:right w:val="nil"/>
          <w:between w:val="nil"/>
        </w:pBdr>
        <w:shd w:val="clear" w:color="auto" w:fill="FFFFFF"/>
        <w:spacing w:before="280" w:after="280" w:line="276" w:lineRule="auto"/>
        <w:ind w:left="0" w:hanging="283"/>
        <w:jc w:val="both"/>
        <w:rPr>
          <w:rFonts w:ascii="Open Sans" w:eastAsia="Open Sans" w:hAnsi="Open Sans" w:cs="Open Sans"/>
          <w:b/>
          <w:sz w:val="21"/>
          <w:szCs w:val="21"/>
        </w:rPr>
      </w:pPr>
      <w:r>
        <w:rPr>
          <w:rFonts w:ascii="Open Sans" w:eastAsia="Open Sans" w:hAnsi="Open Sans" w:cs="Open Sans"/>
          <w:b/>
          <w:sz w:val="21"/>
          <w:szCs w:val="21"/>
        </w:rPr>
        <w:t xml:space="preserve">Creación de un fondo social de vivienda: </w:t>
      </w:r>
      <w:r>
        <w:rPr>
          <w:rFonts w:ascii="Open Sans" w:eastAsia="Open Sans" w:hAnsi="Open Sans" w:cs="Open Sans"/>
          <w:sz w:val="21"/>
          <w:szCs w:val="21"/>
        </w:rPr>
        <w:t xml:space="preserve">Precisamente, es muy adecuada la apuesta por un parque público de alquiler y una medida que hace muchos años que viene reclamando el sector inmobiliario. Es necesario recordar que desde 2015 se han creado en </w:t>
      </w:r>
      <w:r>
        <w:rPr>
          <w:rFonts w:ascii="Open Sans" w:eastAsia="Open Sans" w:hAnsi="Open Sans" w:cs="Open Sans"/>
          <w:sz w:val="21"/>
          <w:szCs w:val="21"/>
        </w:rPr>
        <w:t>España en torno a 5.500 viviendas protegidas, de las cuales, menos de 1.000 se han destinado al alquiler. De hecho, en España contamos con un parque público muy por debajo de la media europea: en torno a un 2%, frente a un 18% de Reino Unido, un 23% de Aus</w:t>
      </w:r>
      <w:r>
        <w:rPr>
          <w:rFonts w:ascii="Open Sans" w:eastAsia="Open Sans" w:hAnsi="Open Sans" w:cs="Open Sans"/>
          <w:sz w:val="21"/>
          <w:szCs w:val="21"/>
        </w:rPr>
        <w:t>tria o un 32% de Países Bajos.</w:t>
      </w:r>
    </w:p>
    <w:p w14:paraId="3A6555DD" w14:textId="77777777" w:rsidR="00B51FB4" w:rsidRDefault="005B5E6E">
      <w:pPr>
        <w:numPr>
          <w:ilvl w:val="0"/>
          <w:numId w:val="6"/>
        </w:numPr>
        <w:shd w:val="clear" w:color="auto" w:fill="FFFFFF"/>
        <w:spacing w:before="280" w:after="280" w:line="276" w:lineRule="auto"/>
        <w:ind w:left="0" w:hanging="283"/>
        <w:jc w:val="both"/>
        <w:rPr>
          <w:rFonts w:ascii="Open Sans" w:eastAsia="Open Sans" w:hAnsi="Open Sans" w:cs="Open Sans"/>
          <w:sz w:val="21"/>
          <w:szCs w:val="21"/>
        </w:rPr>
      </w:pPr>
      <w:r>
        <w:rPr>
          <w:rFonts w:ascii="Open Sans" w:eastAsia="Open Sans" w:hAnsi="Open Sans" w:cs="Open Sans"/>
          <w:b/>
          <w:sz w:val="21"/>
          <w:szCs w:val="21"/>
        </w:rPr>
        <w:t>Protección frente a los desahucios:</w:t>
      </w:r>
      <w:r>
        <w:rPr>
          <w:rFonts w:ascii="Open Sans" w:eastAsia="Open Sans" w:hAnsi="Open Sans" w:cs="Open Sans"/>
          <w:sz w:val="21"/>
          <w:szCs w:val="21"/>
        </w:rPr>
        <w:t xml:space="preserve"> Desde Fotocasa alzamos la voz por todas las personas y familias en situación de vulnerabilidad. Y consideramos que la administración es la responsable de garantizarles su derecho a la vivie</w:t>
      </w:r>
      <w:r>
        <w:rPr>
          <w:rFonts w:ascii="Open Sans" w:eastAsia="Open Sans" w:hAnsi="Open Sans" w:cs="Open Sans"/>
          <w:sz w:val="21"/>
          <w:szCs w:val="21"/>
        </w:rPr>
        <w:t xml:space="preserve">nda. Pero no creemos que la obligación deba recaer en los propietarios particulares, que dicen encontrarse en situación de desamparo </w:t>
      </w:r>
      <w:r>
        <w:rPr>
          <w:rFonts w:ascii="Open Sans" w:eastAsia="Open Sans" w:hAnsi="Open Sans" w:cs="Open Sans"/>
          <w:sz w:val="21"/>
          <w:szCs w:val="21"/>
        </w:rPr>
        <w:lastRenderedPageBreak/>
        <w:t>jurídico. Esta circunstancia podría provocar que se contrajese la oferta por parte de los propietarios y la inversión de ca</w:t>
      </w:r>
      <w:r>
        <w:rPr>
          <w:rFonts w:ascii="Open Sans" w:eastAsia="Open Sans" w:hAnsi="Open Sans" w:cs="Open Sans"/>
          <w:sz w:val="21"/>
          <w:szCs w:val="21"/>
        </w:rPr>
        <w:t>ra al exterior.</w:t>
      </w:r>
    </w:p>
    <w:p w14:paraId="5C9BDC45" w14:textId="77777777" w:rsidR="00B51FB4" w:rsidRDefault="005B5E6E">
      <w:pPr>
        <w:numPr>
          <w:ilvl w:val="0"/>
          <w:numId w:val="6"/>
        </w:numPr>
        <w:pBdr>
          <w:top w:val="nil"/>
          <w:left w:val="nil"/>
          <w:bottom w:val="nil"/>
          <w:right w:val="nil"/>
          <w:between w:val="nil"/>
        </w:pBdr>
        <w:shd w:val="clear" w:color="auto" w:fill="FFFFFF"/>
        <w:spacing w:before="280" w:after="280" w:line="276" w:lineRule="auto"/>
        <w:ind w:left="0" w:hanging="283"/>
        <w:jc w:val="both"/>
        <w:rPr>
          <w:rFonts w:ascii="Open Sans" w:eastAsia="Open Sans" w:hAnsi="Open Sans" w:cs="Open Sans"/>
          <w:sz w:val="21"/>
          <w:szCs w:val="21"/>
        </w:rPr>
      </w:pPr>
      <w:r>
        <w:rPr>
          <w:rFonts w:ascii="Open Sans" w:eastAsia="Open Sans" w:hAnsi="Open Sans" w:cs="Open Sans"/>
          <w:b/>
          <w:sz w:val="21"/>
          <w:szCs w:val="21"/>
        </w:rPr>
        <w:t xml:space="preserve">Imposibilidad de cambiar la calificación de vivienda pública: </w:t>
      </w:r>
      <w:r>
        <w:rPr>
          <w:rFonts w:ascii="Open Sans" w:eastAsia="Open Sans" w:hAnsi="Open Sans" w:cs="Open Sans"/>
          <w:sz w:val="21"/>
          <w:szCs w:val="21"/>
        </w:rPr>
        <w:t>Es una medida muy positiva que permite salvaguardar el parque de vivienda pública a través del tiempo. De esta forma, se garantiza que la administración mantenga una cuantía de oferta que le permita tomar decisiones durante los próximos 30 años y seguir tr</w:t>
      </w:r>
      <w:r>
        <w:rPr>
          <w:rFonts w:ascii="Open Sans" w:eastAsia="Open Sans" w:hAnsi="Open Sans" w:cs="Open Sans"/>
          <w:sz w:val="21"/>
          <w:szCs w:val="21"/>
        </w:rPr>
        <w:t xml:space="preserve">abajando para que el parque de vivienda pública en nuestro país cada vez sea más abundante. </w:t>
      </w:r>
    </w:p>
    <w:p w14:paraId="625E2CDD" w14:textId="4E9D7659" w:rsidR="00B51FB4" w:rsidRDefault="005B5E6E">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Los frutos de esta nueva ley serán recogidos en los próximos años. Esperamos que se incluyan las observaciones y peticiones del sector inmobiliario, para que podam</w:t>
      </w:r>
      <w:r>
        <w:rPr>
          <w:rFonts w:ascii="Open Sans" w:eastAsia="Open Sans" w:hAnsi="Open Sans" w:cs="Open Sans"/>
          <w:sz w:val="21"/>
          <w:szCs w:val="21"/>
        </w:rPr>
        <w:t>os decir que esta norma ha traído una mejor accesibilidad para las personas con menos recursos y nuestros jóvenes, seguridad jurídica para los propietarios, confianza de cara al exterior inversor y estabilidad en nuestro mercado.</w:t>
      </w:r>
    </w:p>
    <w:p w14:paraId="35EFC673" w14:textId="2C7ED26B" w:rsidR="002F7173" w:rsidRDefault="002F7173">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noProof/>
        </w:rPr>
        <w:drawing>
          <wp:inline distT="0" distB="0" distL="0" distR="0" wp14:anchorId="185B182F" wp14:editId="4E721CD4">
            <wp:extent cx="5798579" cy="3238500"/>
            <wp:effectExtent l="0" t="0" r="0" b="0"/>
            <wp:docPr id="1" name="Imagen 1" descr="Interfaz de usuario gráfica&#10;&#10;Descripción generada automáticame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a:hlinkClick r:id="rId9"/>
                    </pic:cNvPr>
                    <pic:cNvPicPr/>
                  </pic:nvPicPr>
                  <pic:blipFill>
                    <a:blip r:embed="rId13"/>
                    <a:stretch>
                      <a:fillRect/>
                    </a:stretch>
                  </pic:blipFill>
                  <pic:spPr>
                    <a:xfrm>
                      <a:off x="0" y="0"/>
                      <a:ext cx="5800730" cy="3239701"/>
                    </a:xfrm>
                    <a:prstGeom prst="rect">
                      <a:avLst/>
                    </a:prstGeom>
                  </pic:spPr>
                </pic:pic>
              </a:graphicData>
            </a:graphic>
          </wp:inline>
        </w:drawing>
      </w:r>
    </w:p>
    <w:p w14:paraId="51EC0668" w14:textId="77777777" w:rsidR="00B51FB4" w:rsidRDefault="005B5E6E">
      <w:pPr>
        <w:spacing w:line="276" w:lineRule="auto"/>
        <w:ind w:right="-12"/>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w:t>
      </w:r>
      <w:r>
        <w:rPr>
          <w:rFonts w:ascii="Open Sans Light" w:eastAsia="Open Sans Light" w:hAnsi="Open Sans Light" w:cs="Open Sans Light"/>
          <w:b/>
          <w:color w:val="303AB2"/>
        </w:rPr>
        <w:t>ón de Fotocasa</w:t>
      </w:r>
    </w:p>
    <w:p w14:paraId="66BEA1BD" w14:textId="77777777" w:rsidR="00B51FB4" w:rsidRDefault="005B5E6E">
      <w:pPr>
        <w:pBdr>
          <w:top w:val="nil"/>
          <w:left w:val="nil"/>
          <w:bottom w:val="nil"/>
          <w:right w:val="nil"/>
          <w:between w:val="nil"/>
        </w:pBdr>
        <w:shd w:val="clear" w:color="auto" w:fill="FFFFFF"/>
        <w:spacing w:line="276" w:lineRule="auto"/>
        <w:ind w:right="-12"/>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3A4FC752" w14:textId="77777777" w:rsidR="00B51FB4" w:rsidRDefault="005B5E6E">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219E71B4" w14:textId="77777777" w:rsidR="00B51FB4" w:rsidRDefault="005B5E6E">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4">
        <w:r>
          <w:rPr>
            <w:rFonts w:ascii="Open Sans" w:eastAsia="Open Sans" w:hAnsi="Open Sans" w:cs="Open Sans"/>
            <w:color w:val="0563C1"/>
            <w:sz w:val="21"/>
            <w:szCs w:val="21"/>
            <w:u w:val="single"/>
          </w:rPr>
          <w:t>comunicacion@fotocasa.es</w:t>
        </w:r>
      </w:hyperlink>
    </w:p>
    <w:p w14:paraId="567CC2DB" w14:textId="77777777" w:rsidR="00B51FB4" w:rsidRDefault="005B5E6E">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5">
        <w:r>
          <w:rPr>
            <w:rFonts w:ascii="Open Sans" w:eastAsia="Open Sans" w:hAnsi="Open Sans" w:cs="Open Sans"/>
            <w:color w:val="0563C1"/>
            <w:sz w:val="21"/>
            <w:szCs w:val="21"/>
            <w:u w:val="single"/>
          </w:rPr>
          <w:t>http://prensa.fotocasa.es</w:t>
        </w:r>
      </w:hyperlink>
    </w:p>
    <w:p w14:paraId="0B4C3BCE" w14:textId="77777777" w:rsidR="00B51FB4" w:rsidRDefault="005B5E6E">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sectPr w:rsidR="00B51FB4">
      <w:footerReference w:type="default" r:id="rId16"/>
      <w:pgSz w:w="11900" w:h="16840"/>
      <w:pgMar w:top="1417" w:right="1139"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0F2C" w14:textId="77777777" w:rsidR="005B5E6E" w:rsidRDefault="005B5E6E">
      <w:r>
        <w:separator/>
      </w:r>
    </w:p>
  </w:endnote>
  <w:endnote w:type="continuationSeparator" w:id="0">
    <w:p w14:paraId="35CCA6C8" w14:textId="77777777" w:rsidR="005B5E6E" w:rsidRDefault="005B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7A0A" w14:textId="77777777" w:rsidR="00B51FB4" w:rsidRDefault="005B5E6E">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114B5B1F" wp14:editId="12F36857">
          <wp:simplePos x="0" y="0"/>
          <wp:positionH relativeFrom="column">
            <wp:posOffset>-1106159</wp:posOffset>
          </wp:positionH>
          <wp:positionV relativeFrom="paragraph">
            <wp:posOffset>148705</wp:posOffset>
          </wp:positionV>
          <wp:extent cx="7670550" cy="451315"/>
          <wp:effectExtent l="0" t="0" r="0" b="0"/>
          <wp:wrapSquare wrapText="bothSides" distT="0" distB="0" distL="0" distR="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91299" w14:textId="77777777" w:rsidR="005B5E6E" w:rsidRDefault="005B5E6E">
      <w:r>
        <w:separator/>
      </w:r>
    </w:p>
  </w:footnote>
  <w:footnote w:type="continuationSeparator" w:id="0">
    <w:p w14:paraId="6E61DBCC" w14:textId="77777777" w:rsidR="005B5E6E" w:rsidRDefault="005B5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73D"/>
    <w:multiLevelType w:val="multilevel"/>
    <w:tmpl w:val="0B506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BD4C62"/>
    <w:multiLevelType w:val="multilevel"/>
    <w:tmpl w:val="360CE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000C16"/>
    <w:multiLevelType w:val="multilevel"/>
    <w:tmpl w:val="A5483C62"/>
    <w:lvl w:ilvl="0">
      <w:start w:val="1"/>
      <w:numFmt w:val="bullet"/>
      <w:lvlText w:val="●"/>
      <w:lvlJc w:val="left"/>
      <w:pPr>
        <w:ind w:left="720" w:hanging="861"/>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C32A78"/>
    <w:multiLevelType w:val="multilevel"/>
    <w:tmpl w:val="D09EE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8F46FA"/>
    <w:multiLevelType w:val="multilevel"/>
    <w:tmpl w:val="4FC0E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EE4151"/>
    <w:multiLevelType w:val="multilevel"/>
    <w:tmpl w:val="20886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7747AD1"/>
    <w:multiLevelType w:val="multilevel"/>
    <w:tmpl w:val="FE8E4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FB4"/>
    <w:rsid w:val="002F7173"/>
    <w:rsid w:val="005B5E6E"/>
    <w:rsid w:val="00B51F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DD864"/>
  <w15:docId w15:val="{163EBB8E-3C5A-4FF4-8772-D11A8983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34340D"/>
    <w:pPr>
      <w:ind w:left="720"/>
      <w:contextualSpacing/>
    </w:pPr>
  </w:style>
  <w:style w:type="paragraph" w:styleId="Revisin">
    <w:name w:val="Revision"/>
    <w:hidden/>
    <w:uiPriority w:val="99"/>
    <w:semiHidden/>
    <w:rsid w:val="00D85496"/>
  </w:style>
  <w:style w:type="character" w:styleId="Refdecomentario">
    <w:name w:val="annotation reference"/>
    <w:basedOn w:val="Fuentedeprrafopredeter"/>
    <w:uiPriority w:val="99"/>
    <w:semiHidden/>
    <w:unhideWhenUsed/>
    <w:rsid w:val="0009626B"/>
    <w:rPr>
      <w:sz w:val="16"/>
      <w:szCs w:val="16"/>
    </w:rPr>
  </w:style>
  <w:style w:type="paragraph" w:styleId="Textocomentario">
    <w:name w:val="annotation text"/>
    <w:basedOn w:val="Normal"/>
    <w:link w:val="TextocomentarioCar"/>
    <w:uiPriority w:val="99"/>
    <w:semiHidden/>
    <w:unhideWhenUsed/>
    <w:rsid w:val="0009626B"/>
    <w:rPr>
      <w:sz w:val="20"/>
      <w:szCs w:val="20"/>
    </w:rPr>
  </w:style>
  <w:style w:type="character" w:customStyle="1" w:styleId="TextocomentarioCar">
    <w:name w:val="Texto comentario Car"/>
    <w:basedOn w:val="Fuentedeprrafopredeter"/>
    <w:link w:val="Textocomentario"/>
    <w:uiPriority w:val="99"/>
    <w:semiHidden/>
    <w:rsid w:val="0009626B"/>
    <w:rPr>
      <w:sz w:val="20"/>
      <w:szCs w:val="20"/>
    </w:rPr>
  </w:style>
  <w:style w:type="paragraph" w:styleId="Asuntodelcomentario">
    <w:name w:val="annotation subject"/>
    <w:basedOn w:val="Textocomentario"/>
    <w:next w:val="Textocomentario"/>
    <w:link w:val="AsuntodelcomentarioCar"/>
    <w:uiPriority w:val="99"/>
    <w:semiHidden/>
    <w:unhideWhenUsed/>
    <w:rsid w:val="0009626B"/>
    <w:rPr>
      <w:b/>
      <w:bCs/>
    </w:rPr>
  </w:style>
  <w:style w:type="character" w:customStyle="1" w:styleId="AsuntodelcomentarioCar">
    <w:name w:val="Asunto del comentario Car"/>
    <w:basedOn w:val="TextocomentarioCar"/>
    <w:link w:val="Asuntodelcomentario"/>
    <w:uiPriority w:val="99"/>
    <w:semiHidden/>
    <w:rsid w:val="000962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5" Type="http://schemas.openxmlformats.org/officeDocument/2006/relationships/webSettings" Target="webSettings.xml"/><Relationship Id="rId15" Type="http://schemas.openxmlformats.org/officeDocument/2006/relationships/hyperlink" Target="http://prensa.fotocasa.es" TargetMode="External"/><Relationship Id="rId10" Type="http://schemas.openxmlformats.org/officeDocument/2006/relationships/hyperlink" Target="https://www.fotocasa.es/es/" TargetMode="External"/><Relationship Id="rId4" Type="http://schemas.openxmlformats.org/officeDocument/2006/relationships/settings" Target="settings.xml"/><Relationship Id="rId9" Type="http://schemas.openxmlformats.org/officeDocument/2006/relationships/hyperlink" Target="https://youtu.be/P_g32cUemHQ" TargetMode="External"/><Relationship Id="rId14" Type="http://schemas.openxmlformats.org/officeDocument/2006/relationships/hyperlink" Target="http://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zgQcuuIAQFLsgeim6JI7xjudA==">AMUW2mXTK55wt0dxJRksz8Mwus7T1YSQ/hlJw4ZUmNNiOc4/IhqEBtNXmK1RRYodLvNNci/+FZG+KKohOE+Enzty+Zo5cYl2uwTdFcVmh3+OI4nYCnmCYy8=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7729</Characters>
  <Application>Microsoft Office Word</Application>
  <DocSecurity>0</DocSecurity>
  <Lines>64</Lines>
  <Paragraphs>18</Paragraphs>
  <ScaleCrop>false</ScaleCrop>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2022-01-13T10:42:00Z</dcterms:created>
  <dcterms:modified xsi:type="dcterms:W3CDTF">2022-02-01T08:13:00Z</dcterms:modified>
</cp:coreProperties>
</file>