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C6A4" w14:textId="77777777" w:rsidR="00F410D1" w:rsidRDefault="007C5140">
      <w:pPr>
        <w:ind w:right="-574"/>
      </w:pPr>
      <w:r>
        <w:rPr>
          <w:noProof/>
        </w:rPr>
        <w:drawing>
          <wp:anchor distT="0" distB="0" distL="114300" distR="114300" simplePos="0" relativeHeight="251658240" behindDoc="0" locked="0" layoutInCell="1" hidden="0" allowOverlap="1" wp14:anchorId="0E828303" wp14:editId="3FE8C1E9">
            <wp:simplePos x="0" y="0"/>
            <wp:positionH relativeFrom="column">
              <wp:posOffset>4057015</wp:posOffset>
            </wp:positionH>
            <wp:positionV relativeFrom="paragraph">
              <wp:posOffset>-321944</wp:posOffset>
            </wp:positionV>
            <wp:extent cx="2465949" cy="668401"/>
            <wp:effectExtent l="0" t="0" r="0" b="0"/>
            <wp:wrapNone/>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F63EDD8" wp14:editId="17A86E62">
            <wp:simplePos x="0" y="0"/>
            <wp:positionH relativeFrom="column">
              <wp:posOffset>-705780</wp:posOffset>
            </wp:positionH>
            <wp:positionV relativeFrom="paragraph">
              <wp:posOffset>-62506</wp:posOffset>
            </wp:positionV>
            <wp:extent cx="1748621" cy="400050"/>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748621" cy="400050"/>
                    </a:xfrm>
                    <a:prstGeom prst="rect">
                      <a:avLst/>
                    </a:prstGeom>
                    <a:ln/>
                  </pic:spPr>
                </pic:pic>
              </a:graphicData>
            </a:graphic>
          </wp:anchor>
        </w:drawing>
      </w:r>
    </w:p>
    <w:p w14:paraId="42135905" w14:textId="77777777" w:rsidR="00F410D1" w:rsidRDefault="00F410D1">
      <w:pPr>
        <w:ind w:right="-574"/>
        <w:jc w:val="right"/>
        <w:rPr>
          <w:rFonts w:ascii="National" w:eastAsia="National" w:hAnsi="National" w:cs="National"/>
          <w:color w:val="303AB2"/>
          <w:sz w:val="36"/>
          <w:szCs w:val="36"/>
        </w:rPr>
      </w:pPr>
    </w:p>
    <w:p w14:paraId="7B4AEDAE" w14:textId="77777777" w:rsidR="00F410D1" w:rsidRDefault="007C5140">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 xml:space="preserve">2021: ANÁLISIS ACUMULATIVO PRECIO DE LA VIVIENDA </w:t>
      </w:r>
    </w:p>
    <w:p w14:paraId="048D1663" w14:textId="77777777" w:rsidR="00F410D1" w:rsidRDefault="007C5140">
      <w:pPr>
        <w:pBdr>
          <w:top w:val="nil"/>
          <w:left w:val="nil"/>
          <w:bottom w:val="nil"/>
          <w:right w:val="nil"/>
          <w:between w:val="nil"/>
        </w:pBdr>
        <w:spacing w:line="276" w:lineRule="auto"/>
        <w:ind w:left="284"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El precio de la vivienda ha subido un 16% en España en los últimos 5 años</w:t>
      </w:r>
    </w:p>
    <w:p w14:paraId="33A09647" w14:textId="77777777" w:rsidR="00F410D1" w:rsidRDefault="00F410D1">
      <w:pPr>
        <w:pBdr>
          <w:top w:val="nil"/>
          <w:left w:val="nil"/>
          <w:bottom w:val="nil"/>
          <w:right w:val="nil"/>
          <w:between w:val="nil"/>
        </w:pBdr>
        <w:spacing w:line="276" w:lineRule="auto"/>
        <w:ind w:left="284" w:right="-574"/>
        <w:jc w:val="center"/>
        <w:rPr>
          <w:rFonts w:ascii="Open Sans" w:eastAsia="Open Sans" w:hAnsi="Open Sans" w:cs="Open Sans"/>
          <w:color w:val="000000"/>
          <w:sz w:val="22"/>
          <w:szCs w:val="22"/>
        </w:rPr>
      </w:pPr>
    </w:p>
    <w:p w14:paraId="32B1F21E" w14:textId="77777777" w:rsidR="00F410D1" w:rsidRDefault="007C514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Baleares el precio ha subido un 45% y en Madrid lo ha hecho un 38% en 5 años</w:t>
      </w:r>
    </w:p>
    <w:p w14:paraId="6FA237F2" w14:textId="77777777" w:rsidR="00F410D1" w:rsidRDefault="007C514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2021 se ha pagado por una vivienda en venta en España un 16% más que hace 5 años (2016), y un 1,7% respecto a hace 1 año (2020)</w:t>
      </w:r>
    </w:p>
    <w:p w14:paraId="3D4930F5" w14:textId="77777777" w:rsidR="00F410D1" w:rsidRDefault="007C514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ninguno de los últimos 16 años analizados, en las comunidades de Asturias y Murcia se han presentado incrementos acumulativos en el precio de la vivienda </w:t>
      </w:r>
    </w:p>
    <w:p w14:paraId="3BE7EC2A" w14:textId="1F523BF6" w:rsidR="00F410D1" w:rsidRDefault="007C514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más perjudicados por el incremento del precio de la vivienda en venta son los residentes de Palma de Mallorca, ya que en la ciudad se presenta un aumento de precio de un 48% en apenas 5 años (2016)</w:t>
      </w:r>
    </w:p>
    <w:bookmarkStart w:id="0" w:name="_Hlk95746794"/>
    <w:p w14:paraId="30D3108E" w14:textId="56D0CDE7" w:rsidR="001A3F9A" w:rsidRPr="002B1D59" w:rsidRDefault="002B1D59">
      <w:pPr>
        <w:numPr>
          <w:ilvl w:val="0"/>
          <w:numId w:val="1"/>
        </w:numPr>
        <w:pBdr>
          <w:top w:val="nil"/>
          <w:left w:val="nil"/>
          <w:bottom w:val="nil"/>
          <w:right w:val="nil"/>
          <w:between w:val="nil"/>
        </w:pBdr>
        <w:spacing w:line="276" w:lineRule="auto"/>
        <w:ind w:left="284" w:right="-574"/>
        <w:jc w:val="both"/>
        <w:rPr>
          <w:rFonts w:ascii="Open Sans" w:eastAsia="Open Sans" w:hAnsi="Open Sans" w:cs="Open Sans"/>
          <w:b/>
          <w:bCs/>
          <w:color w:val="000000"/>
          <w:sz w:val="22"/>
          <w:szCs w:val="22"/>
        </w:rPr>
      </w:pPr>
      <w:r>
        <w:rPr>
          <w:rFonts w:ascii="Open Sans" w:eastAsia="Open Sans" w:hAnsi="Open Sans" w:cs="Open Sans"/>
          <w:b/>
          <w:bCs/>
          <w:color w:val="000000"/>
          <w:sz w:val="22"/>
          <w:szCs w:val="22"/>
        </w:rPr>
        <w:fldChar w:fldCharType="begin"/>
      </w:r>
      <w:r>
        <w:rPr>
          <w:rFonts w:ascii="Open Sans" w:eastAsia="Open Sans" w:hAnsi="Open Sans" w:cs="Open Sans"/>
          <w:b/>
          <w:bCs/>
          <w:color w:val="000000"/>
          <w:sz w:val="22"/>
          <w:szCs w:val="22"/>
        </w:rPr>
        <w:instrText xml:space="preserve"> HYPERLINK "https://youtu.be/FwGhCiEiaqE" </w:instrText>
      </w:r>
      <w:r>
        <w:rPr>
          <w:rFonts w:ascii="Open Sans" w:eastAsia="Open Sans" w:hAnsi="Open Sans" w:cs="Open Sans"/>
          <w:b/>
          <w:bCs/>
          <w:color w:val="000000"/>
          <w:sz w:val="22"/>
          <w:szCs w:val="22"/>
        </w:rPr>
      </w:r>
      <w:r>
        <w:rPr>
          <w:rFonts w:ascii="Open Sans" w:eastAsia="Open Sans" w:hAnsi="Open Sans" w:cs="Open Sans"/>
          <w:b/>
          <w:bCs/>
          <w:color w:val="000000"/>
          <w:sz w:val="22"/>
          <w:szCs w:val="22"/>
        </w:rPr>
        <w:fldChar w:fldCharType="separate"/>
      </w:r>
      <w:r w:rsidR="001A3F9A" w:rsidRPr="002B1D59">
        <w:rPr>
          <w:rStyle w:val="Hipervnculo"/>
          <w:rFonts w:ascii="Open Sans" w:eastAsia="Open Sans" w:hAnsi="Open Sans" w:cs="Open Sans"/>
          <w:b/>
          <w:bCs/>
          <w:sz w:val="22"/>
          <w:szCs w:val="22"/>
        </w:rPr>
        <w:t>Aquí se puede ver un vídeo de la directora de Estudios de Fotocasa</w:t>
      </w:r>
      <w:r>
        <w:rPr>
          <w:rFonts w:ascii="Open Sans" w:eastAsia="Open Sans" w:hAnsi="Open Sans" w:cs="Open Sans"/>
          <w:b/>
          <w:bCs/>
          <w:color w:val="000000"/>
          <w:sz w:val="22"/>
          <w:szCs w:val="22"/>
        </w:rPr>
        <w:fldChar w:fldCharType="end"/>
      </w:r>
    </w:p>
    <w:bookmarkEnd w:id="0"/>
    <w:p w14:paraId="4B5BD3D6" w14:textId="77777777" w:rsidR="00F410D1" w:rsidRDefault="00F410D1" w:rsidP="00D90F30">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1CDA84A6" w14:textId="77777777" w:rsidR="00F410D1" w:rsidRPr="00F56930" w:rsidRDefault="007C5140">
      <w:pPr>
        <w:pBdr>
          <w:top w:val="nil"/>
          <w:left w:val="nil"/>
          <w:bottom w:val="nil"/>
          <w:right w:val="nil"/>
          <w:between w:val="nil"/>
        </w:pBdr>
        <w:spacing w:line="276" w:lineRule="auto"/>
        <w:ind w:right="-574"/>
        <w:rPr>
          <w:rFonts w:ascii="Open Sans Light" w:eastAsia="Open Sans Light" w:hAnsi="Open Sans Light" w:cs="Open Sans Light"/>
          <w:b/>
          <w:bCs/>
          <w:color w:val="303AB2"/>
        </w:rPr>
      </w:pPr>
      <w:r w:rsidRPr="00F56930">
        <w:rPr>
          <w:rFonts w:ascii="Open Sans Light" w:eastAsia="Open Sans Light" w:hAnsi="Open Sans Light" w:cs="Open Sans Light"/>
          <w:b/>
          <w:bCs/>
          <w:color w:val="303AB2"/>
        </w:rPr>
        <w:t>Madrid, 16 de febrero de 2022</w:t>
      </w:r>
    </w:p>
    <w:p w14:paraId="061F87DC" w14:textId="77777777" w:rsidR="00F410D1" w:rsidRDefault="007C514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precio acumulativo de la vivienda en venta </w:t>
      </w:r>
      <w:r>
        <w:rPr>
          <w:rFonts w:ascii="Open Sans" w:eastAsia="Open Sans" w:hAnsi="Open Sans" w:cs="Open Sans"/>
          <w:color w:val="0D0D0D"/>
          <w:sz w:val="22"/>
          <w:szCs w:val="22"/>
        </w:rPr>
        <w:t xml:space="preserve">ha subido en </w:t>
      </w:r>
      <w:r>
        <w:rPr>
          <w:rFonts w:ascii="Open Sans" w:eastAsia="Open Sans" w:hAnsi="Open Sans" w:cs="Open Sans"/>
          <w:color w:val="000000"/>
          <w:sz w:val="22"/>
          <w:szCs w:val="22"/>
        </w:rPr>
        <w:t xml:space="preserve">España un 16% en 5 años (respecto a 2016) y un 1,7% en un año (respecto a 2020), según el estudio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 xml:space="preserve">Variación acumulativa de la vivienda en España en 2021”, </w:t>
      </w:r>
      <w:r>
        <w:rPr>
          <w:rFonts w:ascii="Open Sans" w:eastAsia="Open Sans" w:hAnsi="Open Sans" w:cs="Open Sans"/>
          <w:color w:val="000000"/>
          <w:sz w:val="22"/>
          <w:szCs w:val="22"/>
        </w:rPr>
        <w:t xml:space="preserve">basado en los precios de la vivienda en venta del mes de diciembre de los últimos 16 años del Índice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FF"/>
          <w:sz w:val="22"/>
          <w:szCs w:val="22"/>
          <w:u w:val="single"/>
        </w:rPr>
        <w:t>.</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Sin embargo, este último precio de la vivienda marca el descenso de un -10% en 10 años (respecto a 2011) y de un -34% en 15 años (respecto a 2006).</w:t>
      </w:r>
    </w:p>
    <w:p w14:paraId="02ABB534" w14:textId="77777777" w:rsidR="00F410D1" w:rsidRDefault="007C514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National" w:eastAsia="National" w:hAnsi="National" w:cs="National"/>
          <w:b/>
          <w:color w:val="303AB2"/>
          <w:sz w:val="28"/>
          <w:szCs w:val="28"/>
        </w:rPr>
        <w:t>Variación acumulativa (%) por años en España</w:t>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339F6332" wp14:editId="04AD347B">
            <wp:extent cx="5353050" cy="2447925"/>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AF8767" w14:textId="0A725279" w:rsidR="002B1D59" w:rsidRDefault="007C514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bookmarkStart w:id="1" w:name="_Hlk95746813"/>
      <w:r>
        <w:rPr>
          <w:rFonts w:ascii="Open Sans" w:eastAsia="Open Sans" w:hAnsi="Open Sans" w:cs="Open Sans"/>
          <w:sz w:val="22"/>
          <w:szCs w:val="22"/>
        </w:rPr>
        <w:lastRenderedPageBreak/>
        <w:t>“Efectivamente los datos nos indican que el precio de la vivienda de segunda mano se ha incrementado en el último lustro, pero contrariamente a la percepción popular no lo ha hecho de manera tan elevada como se estima entre la ciudadanía, al presentar un 16% de subida acumulativa a nivel nacional. También debemos tener en cuenta que actualmente estamos un 35% por debajo de los precios máximos que se alcanzaron en la burbuja de 2007. Sin embargo, hay excepciones que sí han sufrido este encarecimiento de la vivienda fuertemente, han sido los baleares, seguidos de los madrileños, los canarios y los catalanes, que en tan solo 5 años han padecido aumentos de entre el 45% y el 22%”, explica María Matos, directora de Estudios y Portavoz de Fotocasa.</w:t>
      </w:r>
    </w:p>
    <w:p w14:paraId="619891B4" w14:textId="290C53F0" w:rsidR="002B1D59" w:rsidRDefault="002B1D59">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noProof/>
        </w:rPr>
        <w:drawing>
          <wp:inline distT="0" distB="0" distL="0" distR="0" wp14:anchorId="06ED2BF4" wp14:editId="17875896">
            <wp:extent cx="5762625" cy="3444148"/>
            <wp:effectExtent l="0" t="0" r="0" b="4445"/>
            <wp:docPr id="1" name="Imagen 1" descr="Interfaz de usuario gráfica, Aplicación&#10;&#10;Descripción generada automáticamen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9044" cy="3447985"/>
                    </a:xfrm>
                    <a:prstGeom prst="rect">
                      <a:avLst/>
                    </a:prstGeom>
                    <a:noFill/>
                    <a:ln>
                      <a:noFill/>
                    </a:ln>
                  </pic:spPr>
                </pic:pic>
              </a:graphicData>
            </a:graphic>
          </wp:inline>
        </w:drawing>
      </w:r>
    </w:p>
    <w:bookmarkEnd w:id="1"/>
    <w:p w14:paraId="640372B6" w14:textId="77777777" w:rsidR="00F410D1" w:rsidRDefault="007C514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 xml:space="preserve">CCAA con porcentajes (%) acumulativo  </w:t>
      </w:r>
    </w:p>
    <w:p w14:paraId="73548F59" w14:textId="77777777" w:rsidR="00F410D1" w:rsidRDefault="00F410D1">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
        <w:tblW w:w="8982"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1935"/>
        <w:gridCol w:w="1828"/>
        <w:gridCol w:w="1828"/>
        <w:gridCol w:w="1714"/>
        <w:gridCol w:w="1677"/>
      </w:tblGrid>
      <w:tr w:rsidR="00F410D1" w14:paraId="328C4B08" w14:textId="77777777">
        <w:trPr>
          <w:trHeight w:val="738"/>
        </w:trPr>
        <w:tc>
          <w:tcPr>
            <w:tcW w:w="1935" w:type="dxa"/>
            <w:shd w:val="clear" w:color="auto" w:fill="ACB9CA"/>
            <w:vAlign w:val="center"/>
          </w:tcPr>
          <w:p w14:paraId="0E0C445E" w14:textId="77777777" w:rsidR="00F410D1" w:rsidRDefault="007C5140">
            <w:pPr>
              <w:rPr>
                <w:rFonts w:ascii="Open Sans" w:eastAsia="Open Sans" w:hAnsi="Open Sans" w:cs="Open Sans"/>
                <w:color w:val="000000"/>
                <w:sz w:val="20"/>
                <w:szCs w:val="20"/>
              </w:rPr>
            </w:pPr>
            <w:r>
              <w:rPr>
                <w:rFonts w:ascii="Open Sans" w:eastAsia="Open Sans" w:hAnsi="Open Sans" w:cs="Open Sans"/>
                <w:color w:val="000000"/>
                <w:sz w:val="20"/>
                <w:szCs w:val="20"/>
              </w:rPr>
              <w:t>CCAA</w:t>
            </w:r>
          </w:p>
        </w:tc>
        <w:tc>
          <w:tcPr>
            <w:tcW w:w="1828" w:type="dxa"/>
            <w:shd w:val="clear" w:color="auto" w:fill="ACB9CA"/>
          </w:tcPr>
          <w:p w14:paraId="07A78785" w14:textId="77777777" w:rsidR="00F410D1" w:rsidRDefault="007C5140">
            <w:pPr>
              <w:jc w:val="center"/>
              <w:rPr>
                <w:rFonts w:ascii="Open Sans" w:eastAsia="Open Sans" w:hAnsi="Open Sans" w:cs="Open Sans"/>
                <w:color w:val="0D0D0D"/>
                <w:sz w:val="20"/>
                <w:szCs w:val="20"/>
              </w:rPr>
            </w:pPr>
            <w:r>
              <w:rPr>
                <w:rFonts w:ascii="Open Sans" w:eastAsia="Open Sans" w:hAnsi="Open Sans" w:cs="Open Sans"/>
                <w:color w:val="0D0D0D"/>
                <w:sz w:val="20"/>
                <w:szCs w:val="20"/>
              </w:rPr>
              <w:t xml:space="preserve">(%) Acumulativo      15 años          </w:t>
            </w:r>
            <w:proofErr w:type="gramStart"/>
            <w:r>
              <w:rPr>
                <w:rFonts w:ascii="Open Sans" w:eastAsia="Open Sans" w:hAnsi="Open Sans" w:cs="Open Sans"/>
                <w:color w:val="0D0D0D"/>
                <w:sz w:val="20"/>
                <w:szCs w:val="20"/>
              </w:rPr>
              <w:t xml:space="preserve">   (</w:t>
            </w:r>
            <w:proofErr w:type="gramEnd"/>
            <w:r>
              <w:rPr>
                <w:rFonts w:ascii="Open Sans" w:eastAsia="Open Sans" w:hAnsi="Open Sans" w:cs="Open Sans"/>
                <w:color w:val="0D0D0D"/>
                <w:sz w:val="20"/>
                <w:szCs w:val="20"/>
              </w:rPr>
              <w:t>2021 vs 2006)</w:t>
            </w:r>
          </w:p>
        </w:tc>
        <w:tc>
          <w:tcPr>
            <w:tcW w:w="1828" w:type="dxa"/>
            <w:shd w:val="clear" w:color="auto" w:fill="ACB9CA"/>
            <w:vAlign w:val="center"/>
          </w:tcPr>
          <w:p w14:paraId="4106A3BA" w14:textId="77777777" w:rsidR="00F410D1" w:rsidRDefault="007C5140">
            <w:pPr>
              <w:jc w:val="center"/>
              <w:rPr>
                <w:rFonts w:ascii="Open Sans" w:eastAsia="Open Sans" w:hAnsi="Open Sans" w:cs="Open Sans"/>
                <w:color w:val="0D0D0D"/>
                <w:sz w:val="20"/>
                <w:szCs w:val="20"/>
              </w:rPr>
            </w:pPr>
            <w:r>
              <w:rPr>
                <w:rFonts w:ascii="Open Sans" w:eastAsia="Open Sans" w:hAnsi="Open Sans" w:cs="Open Sans"/>
                <w:color w:val="0D0D0D"/>
                <w:sz w:val="20"/>
                <w:szCs w:val="20"/>
              </w:rPr>
              <w:t xml:space="preserve">(%) Acumulativo      10 años          </w:t>
            </w:r>
            <w:proofErr w:type="gramStart"/>
            <w:r>
              <w:rPr>
                <w:rFonts w:ascii="Open Sans" w:eastAsia="Open Sans" w:hAnsi="Open Sans" w:cs="Open Sans"/>
                <w:color w:val="0D0D0D"/>
                <w:sz w:val="20"/>
                <w:szCs w:val="20"/>
              </w:rPr>
              <w:t xml:space="preserve">   (</w:t>
            </w:r>
            <w:proofErr w:type="gramEnd"/>
            <w:r>
              <w:rPr>
                <w:rFonts w:ascii="Open Sans" w:eastAsia="Open Sans" w:hAnsi="Open Sans" w:cs="Open Sans"/>
                <w:color w:val="0D0D0D"/>
                <w:sz w:val="20"/>
                <w:szCs w:val="20"/>
              </w:rPr>
              <w:t>2021 vs 2011)</w:t>
            </w:r>
          </w:p>
        </w:tc>
        <w:tc>
          <w:tcPr>
            <w:tcW w:w="1714" w:type="dxa"/>
            <w:shd w:val="clear" w:color="auto" w:fill="ACB9CA"/>
            <w:vAlign w:val="center"/>
          </w:tcPr>
          <w:p w14:paraId="36C3E911" w14:textId="77777777" w:rsidR="00F410D1" w:rsidRDefault="007C5140">
            <w:pPr>
              <w:jc w:val="center"/>
              <w:rPr>
                <w:rFonts w:ascii="Open Sans" w:eastAsia="Open Sans" w:hAnsi="Open Sans" w:cs="Open Sans"/>
                <w:color w:val="0D0D0D"/>
                <w:sz w:val="20"/>
                <w:szCs w:val="20"/>
              </w:rPr>
            </w:pPr>
            <w:r>
              <w:rPr>
                <w:rFonts w:ascii="Open Sans" w:eastAsia="Open Sans" w:hAnsi="Open Sans" w:cs="Open Sans"/>
                <w:color w:val="0D0D0D"/>
                <w:sz w:val="20"/>
                <w:szCs w:val="20"/>
              </w:rPr>
              <w:t xml:space="preserve">(%) Acumulativo      5 años          </w:t>
            </w:r>
            <w:proofErr w:type="gramStart"/>
            <w:r>
              <w:rPr>
                <w:rFonts w:ascii="Open Sans" w:eastAsia="Open Sans" w:hAnsi="Open Sans" w:cs="Open Sans"/>
                <w:color w:val="0D0D0D"/>
                <w:sz w:val="20"/>
                <w:szCs w:val="20"/>
              </w:rPr>
              <w:t xml:space="preserve">   (</w:t>
            </w:r>
            <w:proofErr w:type="gramEnd"/>
            <w:r>
              <w:rPr>
                <w:rFonts w:ascii="Open Sans" w:eastAsia="Open Sans" w:hAnsi="Open Sans" w:cs="Open Sans"/>
                <w:color w:val="0D0D0D"/>
                <w:sz w:val="20"/>
                <w:szCs w:val="20"/>
              </w:rPr>
              <w:t>2021 vs 2016)</w:t>
            </w:r>
          </w:p>
        </w:tc>
        <w:tc>
          <w:tcPr>
            <w:tcW w:w="1677" w:type="dxa"/>
            <w:shd w:val="clear" w:color="auto" w:fill="ACB9CA"/>
            <w:vAlign w:val="center"/>
          </w:tcPr>
          <w:p w14:paraId="14D10A7E" w14:textId="77777777" w:rsidR="00F410D1" w:rsidRDefault="007C5140">
            <w:pPr>
              <w:jc w:val="center"/>
              <w:rPr>
                <w:rFonts w:ascii="Open Sans" w:eastAsia="Open Sans" w:hAnsi="Open Sans" w:cs="Open Sans"/>
                <w:color w:val="0D0D0D"/>
                <w:sz w:val="20"/>
                <w:szCs w:val="20"/>
              </w:rPr>
            </w:pPr>
            <w:r>
              <w:rPr>
                <w:rFonts w:ascii="Open Sans" w:eastAsia="Open Sans" w:hAnsi="Open Sans" w:cs="Open Sans"/>
                <w:color w:val="0D0D0D"/>
                <w:sz w:val="20"/>
                <w:szCs w:val="20"/>
              </w:rPr>
              <w:t xml:space="preserve">(%) Acumulativo      1 año         </w:t>
            </w:r>
            <w:proofErr w:type="gramStart"/>
            <w:r>
              <w:rPr>
                <w:rFonts w:ascii="Open Sans" w:eastAsia="Open Sans" w:hAnsi="Open Sans" w:cs="Open Sans"/>
                <w:color w:val="0D0D0D"/>
                <w:sz w:val="20"/>
                <w:szCs w:val="20"/>
              </w:rPr>
              <w:t xml:space="preserve">   (</w:t>
            </w:r>
            <w:proofErr w:type="gramEnd"/>
            <w:r>
              <w:rPr>
                <w:rFonts w:ascii="Open Sans" w:eastAsia="Open Sans" w:hAnsi="Open Sans" w:cs="Open Sans"/>
                <w:color w:val="0D0D0D"/>
                <w:sz w:val="20"/>
                <w:szCs w:val="20"/>
              </w:rPr>
              <w:t>2021 vs 2021)</w:t>
            </w:r>
          </w:p>
        </w:tc>
      </w:tr>
      <w:tr w:rsidR="00F410D1" w14:paraId="2A0E9646" w14:textId="77777777">
        <w:trPr>
          <w:trHeight w:val="215"/>
        </w:trPr>
        <w:tc>
          <w:tcPr>
            <w:tcW w:w="1935" w:type="dxa"/>
            <w:shd w:val="clear" w:color="auto" w:fill="auto"/>
            <w:vAlign w:val="bottom"/>
          </w:tcPr>
          <w:p w14:paraId="4B2741C8"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Andalucía</w:t>
            </w:r>
          </w:p>
        </w:tc>
        <w:tc>
          <w:tcPr>
            <w:tcW w:w="1828" w:type="dxa"/>
            <w:vAlign w:val="bottom"/>
          </w:tcPr>
          <w:p w14:paraId="3C13614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-31%</w:t>
            </w:r>
          </w:p>
        </w:tc>
        <w:tc>
          <w:tcPr>
            <w:tcW w:w="1828" w:type="dxa"/>
            <w:shd w:val="clear" w:color="auto" w:fill="auto"/>
            <w:vAlign w:val="bottom"/>
          </w:tcPr>
          <w:p w14:paraId="4E87056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-4,8%</w:t>
            </w:r>
          </w:p>
        </w:tc>
        <w:tc>
          <w:tcPr>
            <w:tcW w:w="1714" w:type="dxa"/>
            <w:shd w:val="clear" w:color="auto" w:fill="auto"/>
            <w:vAlign w:val="bottom"/>
          </w:tcPr>
          <w:p w14:paraId="2CE6435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677" w:type="dxa"/>
            <w:vAlign w:val="bottom"/>
          </w:tcPr>
          <w:p w14:paraId="18B31A8F"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3,9%</w:t>
            </w:r>
          </w:p>
        </w:tc>
      </w:tr>
      <w:tr w:rsidR="00F410D1" w14:paraId="57BD83C2" w14:textId="77777777">
        <w:trPr>
          <w:trHeight w:val="215"/>
        </w:trPr>
        <w:tc>
          <w:tcPr>
            <w:tcW w:w="1935" w:type="dxa"/>
            <w:shd w:val="clear" w:color="auto" w:fill="auto"/>
            <w:vAlign w:val="bottom"/>
          </w:tcPr>
          <w:p w14:paraId="0CA7C95C"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Aragón</w:t>
            </w:r>
          </w:p>
        </w:tc>
        <w:tc>
          <w:tcPr>
            <w:tcW w:w="1828" w:type="dxa"/>
            <w:vAlign w:val="bottom"/>
          </w:tcPr>
          <w:p w14:paraId="1BE47E4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-48%</w:t>
            </w:r>
          </w:p>
        </w:tc>
        <w:tc>
          <w:tcPr>
            <w:tcW w:w="1828" w:type="dxa"/>
            <w:shd w:val="clear" w:color="auto" w:fill="auto"/>
            <w:vAlign w:val="bottom"/>
          </w:tcPr>
          <w:p w14:paraId="27CE2C7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-24%</w:t>
            </w:r>
          </w:p>
        </w:tc>
        <w:tc>
          <w:tcPr>
            <w:tcW w:w="1714" w:type="dxa"/>
            <w:shd w:val="clear" w:color="auto" w:fill="auto"/>
            <w:vAlign w:val="bottom"/>
          </w:tcPr>
          <w:p w14:paraId="2B8B7DB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8,4%</w:t>
            </w:r>
          </w:p>
        </w:tc>
        <w:tc>
          <w:tcPr>
            <w:tcW w:w="1677" w:type="dxa"/>
            <w:vAlign w:val="bottom"/>
          </w:tcPr>
          <w:p w14:paraId="21626B5D"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3,3%</w:t>
            </w:r>
          </w:p>
        </w:tc>
      </w:tr>
      <w:tr w:rsidR="00F410D1" w14:paraId="659933E0" w14:textId="77777777">
        <w:trPr>
          <w:trHeight w:val="215"/>
        </w:trPr>
        <w:tc>
          <w:tcPr>
            <w:tcW w:w="1935" w:type="dxa"/>
            <w:shd w:val="clear" w:color="auto" w:fill="auto"/>
            <w:vAlign w:val="bottom"/>
          </w:tcPr>
          <w:p w14:paraId="1C74936D"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1828" w:type="dxa"/>
            <w:vAlign w:val="bottom"/>
          </w:tcPr>
          <w:p w14:paraId="3F48904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-45%</w:t>
            </w:r>
          </w:p>
        </w:tc>
        <w:tc>
          <w:tcPr>
            <w:tcW w:w="1828" w:type="dxa"/>
            <w:shd w:val="clear" w:color="auto" w:fill="auto"/>
            <w:vAlign w:val="bottom"/>
          </w:tcPr>
          <w:p w14:paraId="5DD462F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1714" w:type="dxa"/>
            <w:shd w:val="clear" w:color="auto" w:fill="auto"/>
            <w:vAlign w:val="bottom"/>
          </w:tcPr>
          <w:p w14:paraId="37E56FC7"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-1,0%</w:t>
            </w:r>
          </w:p>
        </w:tc>
        <w:tc>
          <w:tcPr>
            <w:tcW w:w="1677" w:type="dxa"/>
            <w:vAlign w:val="bottom"/>
          </w:tcPr>
          <w:p w14:paraId="77FDFB28"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9C0006"/>
                <w:sz w:val="22"/>
                <w:szCs w:val="22"/>
              </w:rPr>
              <w:t>-0,7%</w:t>
            </w:r>
          </w:p>
        </w:tc>
      </w:tr>
      <w:tr w:rsidR="00F410D1" w14:paraId="54AECEEB" w14:textId="77777777">
        <w:trPr>
          <w:trHeight w:val="215"/>
        </w:trPr>
        <w:tc>
          <w:tcPr>
            <w:tcW w:w="1935" w:type="dxa"/>
            <w:shd w:val="clear" w:color="auto" w:fill="auto"/>
            <w:vAlign w:val="bottom"/>
          </w:tcPr>
          <w:p w14:paraId="41680C70"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Baleares</w:t>
            </w:r>
          </w:p>
        </w:tc>
        <w:tc>
          <w:tcPr>
            <w:tcW w:w="1828" w:type="dxa"/>
            <w:vAlign w:val="bottom"/>
          </w:tcPr>
          <w:p w14:paraId="4FB20C6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6,9%</w:t>
            </w:r>
          </w:p>
        </w:tc>
        <w:tc>
          <w:tcPr>
            <w:tcW w:w="1828" w:type="dxa"/>
            <w:shd w:val="clear" w:color="auto" w:fill="auto"/>
            <w:vAlign w:val="bottom"/>
          </w:tcPr>
          <w:p w14:paraId="7C921AC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31%</w:t>
            </w:r>
          </w:p>
        </w:tc>
        <w:tc>
          <w:tcPr>
            <w:tcW w:w="1714" w:type="dxa"/>
            <w:shd w:val="clear" w:color="auto" w:fill="auto"/>
            <w:vAlign w:val="bottom"/>
          </w:tcPr>
          <w:p w14:paraId="0C1A95A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677" w:type="dxa"/>
            <w:vAlign w:val="bottom"/>
          </w:tcPr>
          <w:p w14:paraId="72EBA1E5"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3,4%</w:t>
            </w:r>
          </w:p>
        </w:tc>
      </w:tr>
      <w:tr w:rsidR="00F410D1" w14:paraId="1D6E0701" w14:textId="77777777">
        <w:trPr>
          <w:trHeight w:val="215"/>
        </w:trPr>
        <w:tc>
          <w:tcPr>
            <w:tcW w:w="1935" w:type="dxa"/>
            <w:shd w:val="clear" w:color="auto" w:fill="auto"/>
            <w:vAlign w:val="bottom"/>
          </w:tcPr>
          <w:p w14:paraId="5144E99B"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Canarias</w:t>
            </w:r>
          </w:p>
        </w:tc>
        <w:tc>
          <w:tcPr>
            <w:tcW w:w="1828" w:type="dxa"/>
            <w:vAlign w:val="bottom"/>
          </w:tcPr>
          <w:p w14:paraId="5BC2D02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1828" w:type="dxa"/>
            <w:shd w:val="clear" w:color="auto" w:fill="auto"/>
            <w:vAlign w:val="bottom"/>
          </w:tcPr>
          <w:p w14:paraId="5BB830C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714" w:type="dxa"/>
            <w:shd w:val="clear" w:color="auto" w:fill="auto"/>
            <w:vAlign w:val="bottom"/>
          </w:tcPr>
          <w:p w14:paraId="4433F62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677" w:type="dxa"/>
            <w:vAlign w:val="bottom"/>
          </w:tcPr>
          <w:p w14:paraId="1876B798"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0,9%</w:t>
            </w:r>
          </w:p>
        </w:tc>
      </w:tr>
      <w:tr w:rsidR="00F410D1" w14:paraId="5EAA7432" w14:textId="77777777">
        <w:trPr>
          <w:trHeight w:val="215"/>
        </w:trPr>
        <w:tc>
          <w:tcPr>
            <w:tcW w:w="1935" w:type="dxa"/>
            <w:shd w:val="clear" w:color="auto" w:fill="auto"/>
            <w:vAlign w:val="bottom"/>
          </w:tcPr>
          <w:p w14:paraId="210F8177"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1828" w:type="dxa"/>
            <w:vAlign w:val="bottom"/>
          </w:tcPr>
          <w:p w14:paraId="6AE66C5F"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-36%</w:t>
            </w:r>
          </w:p>
        </w:tc>
        <w:tc>
          <w:tcPr>
            <w:tcW w:w="1828" w:type="dxa"/>
            <w:shd w:val="clear" w:color="auto" w:fill="auto"/>
            <w:vAlign w:val="bottom"/>
          </w:tcPr>
          <w:p w14:paraId="24D876E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-22%</w:t>
            </w:r>
          </w:p>
        </w:tc>
        <w:tc>
          <w:tcPr>
            <w:tcW w:w="1714" w:type="dxa"/>
            <w:shd w:val="clear" w:color="auto" w:fill="auto"/>
            <w:vAlign w:val="bottom"/>
          </w:tcPr>
          <w:p w14:paraId="1F56D95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677" w:type="dxa"/>
            <w:vAlign w:val="bottom"/>
          </w:tcPr>
          <w:p w14:paraId="61DC620D"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1,9%</w:t>
            </w:r>
          </w:p>
        </w:tc>
      </w:tr>
      <w:tr w:rsidR="00F410D1" w14:paraId="675F884A" w14:textId="77777777">
        <w:trPr>
          <w:trHeight w:val="215"/>
        </w:trPr>
        <w:tc>
          <w:tcPr>
            <w:tcW w:w="1935" w:type="dxa"/>
            <w:shd w:val="clear" w:color="auto" w:fill="auto"/>
            <w:vAlign w:val="bottom"/>
          </w:tcPr>
          <w:p w14:paraId="4C389C72"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Castilla y León</w:t>
            </w:r>
          </w:p>
        </w:tc>
        <w:tc>
          <w:tcPr>
            <w:tcW w:w="1828" w:type="dxa"/>
            <w:vAlign w:val="bottom"/>
          </w:tcPr>
          <w:p w14:paraId="32D6AC0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-34%</w:t>
            </w:r>
          </w:p>
        </w:tc>
        <w:tc>
          <w:tcPr>
            <w:tcW w:w="1828" w:type="dxa"/>
            <w:shd w:val="clear" w:color="auto" w:fill="auto"/>
            <w:vAlign w:val="bottom"/>
          </w:tcPr>
          <w:p w14:paraId="7092C15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1714" w:type="dxa"/>
            <w:shd w:val="clear" w:color="auto" w:fill="auto"/>
            <w:vAlign w:val="bottom"/>
          </w:tcPr>
          <w:p w14:paraId="490F176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1677" w:type="dxa"/>
            <w:vAlign w:val="bottom"/>
          </w:tcPr>
          <w:p w14:paraId="6302395D"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0,9%</w:t>
            </w:r>
          </w:p>
        </w:tc>
      </w:tr>
      <w:tr w:rsidR="00F410D1" w14:paraId="299D39DF" w14:textId="77777777">
        <w:trPr>
          <w:trHeight w:val="215"/>
        </w:trPr>
        <w:tc>
          <w:tcPr>
            <w:tcW w:w="1935" w:type="dxa"/>
            <w:shd w:val="clear" w:color="auto" w:fill="auto"/>
            <w:vAlign w:val="bottom"/>
          </w:tcPr>
          <w:p w14:paraId="56FC611D"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Castilla-La Mancha</w:t>
            </w:r>
          </w:p>
        </w:tc>
        <w:tc>
          <w:tcPr>
            <w:tcW w:w="1828" w:type="dxa"/>
            <w:vAlign w:val="bottom"/>
          </w:tcPr>
          <w:p w14:paraId="2B26746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-49%</w:t>
            </w:r>
          </w:p>
        </w:tc>
        <w:tc>
          <w:tcPr>
            <w:tcW w:w="1828" w:type="dxa"/>
            <w:shd w:val="clear" w:color="auto" w:fill="auto"/>
            <w:vAlign w:val="bottom"/>
          </w:tcPr>
          <w:p w14:paraId="7D4C1EE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-27%</w:t>
            </w:r>
          </w:p>
        </w:tc>
        <w:tc>
          <w:tcPr>
            <w:tcW w:w="1714" w:type="dxa"/>
            <w:shd w:val="clear" w:color="auto" w:fill="auto"/>
            <w:vAlign w:val="bottom"/>
          </w:tcPr>
          <w:p w14:paraId="6C4995E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7,1%</w:t>
            </w:r>
          </w:p>
        </w:tc>
        <w:tc>
          <w:tcPr>
            <w:tcW w:w="1677" w:type="dxa"/>
            <w:vAlign w:val="bottom"/>
          </w:tcPr>
          <w:p w14:paraId="5E09660F"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9C0006"/>
                <w:sz w:val="22"/>
                <w:szCs w:val="22"/>
              </w:rPr>
              <w:t>-1,4%</w:t>
            </w:r>
          </w:p>
        </w:tc>
      </w:tr>
      <w:tr w:rsidR="00F410D1" w14:paraId="09A704A7" w14:textId="77777777">
        <w:trPr>
          <w:trHeight w:val="215"/>
        </w:trPr>
        <w:tc>
          <w:tcPr>
            <w:tcW w:w="1935" w:type="dxa"/>
            <w:shd w:val="clear" w:color="auto" w:fill="auto"/>
            <w:vAlign w:val="bottom"/>
          </w:tcPr>
          <w:p w14:paraId="0FC1F37C"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Cataluña</w:t>
            </w:r>
          </w:p>
        </w:tc>
        <w:tc>
          <w:tcPr>
            <w:tcW w:w="1828" w:type="dxa"/>
            <w:vAlign w:val="bottom"/>
          </w:tcPr>
          <w:p w14:paraId="1EA69CD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-32%</w:t>
            </w:r>
          </w:p>
        </w:tc>
        <w:tc>
          <w:tcPr>
            <w:tcW w:w="1828" w:type="dxa"/>
            <w:shd w:val="clear" w:color="auto" w:fill="auto"/>
            <w:vAlign w:val="bottom"/>
          </w:tcPr>
          <w:p w14:paraId="78DC825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-6,2%</w:t>
            </w:r>
          </w:p>
        </w:tc>
        <w:tc>
          <w:tcPr>
            <w:tcW w:w="1714" w:type="dxa"/>
            <w:shd w:val="clear" w:color="auto" w:fill="auto"/>
            <w:vAlign w:val="bottom"/>
          </w:tcPr>
          <w:p w14:paraId="3E80CBA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w:t>
            </w:r>
          </w:p>
        </w:tc>
        <w:tc>
          <w:tcPr>
            <w:tcW w:w="1677" w:type="dxa"/>
            <w:vAlign w:val="bottom"/>
          </w:tcPr>
          <w:p w14:paraId="6E107D62"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2,6%</w:t>
            </w:r>
          </w:p>
        </w:tc>
      </w:tr>
      <w:tr w:rsidR="00F410D1" w14:paraId="1696DA85" w14:textId="77777777">
        <w:trPr>
          <w:trHeight w:val="215"/>
        </w:trPr>
        <w:tc>
          <w:tcPr>
            <w:tcW w:w="1935" w:type="dxa"/>
            <w:shd w:val="clear" w:color="auto" w:fill="auto"/>
            <w:vAlign w:val="bottom"/>
          </w:tcPr>
          <w:p w14:paraId="676A2B72" w14:textId="77777777" w:rsidR="00F410D1" w:rsidRDefault="007C5140">
            <w:pPr>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lastRenderedPageBreak/>
              <w:t>Comunitat</w:t>
            </w:r>
            <w:proofErr w:type="spellEnd"/>
            <w:r>
              <w:rPr>
                <w:rFonts w:ascii="Open Sans" w:eastAsia="Open Sans" w:hAnsi="Open Sans" w:cs="Open Sans"/>
                <w:color w:val="000000"/>
                <w:sz w:val="22"/>
                <w:szCs w:val="22"/>
              </w:rPr>
              <w:t xml:space="preserve"> Valenciana</w:t>
            </w:r>
          </w:p>
        </w:tc>
        <w:tc>
          <w:tcPr>
            <w:tcW w:w="1828" w:type="dxa"/>
            <w:vAlign w:val="bottom"/>
          </w:tcPr>
          <w:p w14:paraId="6F1197C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-40%</w:t>
            </w:r>
          </w:p>
        </w:tc>
        <w:tc>
          <w:tcPr>
            <w:tcW w:w="1828" w:type="dxa"/>
            <w:shd w:val="clear" w:color="auto" w:fill="auto"/>
            <w:vAlign w:val="bottom"/>
          </w:tcPr>
          <w:p w14:paraId="10F834D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1714" w:type="dxa"/>
            <w:shd w:val="clear" w:color="auto" w:fill="auto"/>
            <w:vAlign w:val="bottom"/>
          </w:tcPr>
          <w:p w14:paraId="1D10C31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1677" w:type="dxa"/>
            <w:vAlign w:val="bottom"/>
          </w:tcPr>
          <w:p w14:paraId="2719747E"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0,8%</w:t>
            </w:r>
          </w:p>
        </w:tc>
      </w:tr>
      <w:tr w:rsidR="00F410D1" w14:paraId="0D4F4406" w14:textId="77777777">
        <w:trPr>
          <w:trHeight w:val="215"/>
        </w:trPr>
        <w:tc>
          <w:tcPr>
            <w:tcW w:w="1935" w:type="dxa"/>
            <w:shd w:val="clear" w:color="auto" w:fill="auto"/>
            <w:vAlign w:val="bottom"/>
          </w:tcPr>
          <w:p w14:paraId="3449E481"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Extremadura</w:t>
            </w:r>
          </w:p>
        </w:tc>
        <w:tc>
          <w:tcPr>
            <w:tcW w:w="1828" w:type="dxa"/>
            <w:vAlign w:val="bottom"/>
          </w:tcPr>
          <w:p w14:paraId="11CFE79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-32%</w:t>
            </w:r>
          </w:p>
        </w:tc>
        <w:tc>
          <w:tcPr>
            <w:tcW w:w="1828" w:type="dxa"/>
            <w:shd w:val="clear" w:color="auto" w:fill="auto"/>
            <w:vAlign w:val="bottom"/>
          </w:tcPr>
          <w:p w14:paraId="6FF3F3E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1714" w:type="dxa"/>
            <w:shd w:val="clear" w:color="auto" w:fill="auto"/>
            <w:vAlign w:val="bottom"/>
          </w:tcPr>
          <w:p w14:paraId="7CDFD3C7"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677" w:type="dxa"/>
            <w:vAlign w:val="bottom"/>
          </w:tcPr>
          <w:p w14:paraId="31CC7FCA"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9C0006"/>
                <w:sz w:val="22"/>
                <w:szCs w:val="22"/>
              </w:rPr>
              <w:t>-2,4%</w:t>
            </w:r>
          </w:p>
        </w:tc>
      </w:tr>
      <w:tr w:rsidR="00F410D1" w14:paraId="3BEDD385" w14:textId="77777777">
        <w:trPr>
          <w:trHeight w:val="215"/>
        </w:trPr>
        <w:tc>
          <w:tcPr>
            <w:tcW w:w="1935" w:type="dxa"/>
            <w:shd w:val="clear" w:color="auto" w:fill="auto"/>
            <w:vAlign w:val="bottom"/>
          </w:tcPr>
          <w:p w14:paraId="34F15347"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Galicia</w:t>
            </w:r>
          </w:p>
        </w:tc>
        <w:tc>
          <w:tcPr>
            <w:tcW w:w="1828" w:type="dxa"/>
            <w:vAlign w:val="bottom"/>
          </w:tcPr>
          <w:p w14:paraId="29148E0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1828" w:type="dxa"/>
            <w:shd w:val="clear" w:color="auto" w:fill="auto"/>
            <w:vAlign w:val="bottom"/>
          </w:tcPr>
          <w:p w14:paraId="1498939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714" w:type="dxa"/>
            <w:shd w:val="clear" w:color="auto" w:fill="auto"/>
            <w:vAlign w:val="bottom"/>
          </w:tcPr>
          <w:p w14:paraId="3C627F17"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677" w:type="dxa"/>
            <w:vAlign w:val="bottom"/>
          </w:tcPr>
          <w:p w14:paraId="29B26588"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2,5%</w:t>
            </w:r>
          </w:p>
        </w:tc>
      </w:tr>
      <w:tr w:rsidR="00F410D1" w14:paraId="1DFD976E" w14:textId="77777777">
        <w:trPr>
          <w:trHeight w:val="215"/>
        </w:trPr>
        <w:tc>
          <w:tcPr>
            <w:tcW w:w="1935" w:type="dxa"/>
            <w:shd w:val="clear" w:color="auto" w:fill="auto"/>
            <w:vAlign w:val="bottom"/>
          </w:tcPr>
          <w:p w14:paraId="2DD8693D"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1828" w:type="dxa"/>
            <w:vAlign w:val="bottom"/>
          </w:tcPr>
          <w:p w14:paraId="624A0D6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-42%</w:t>
            </w:r>
          </w:p>
        </w:tc>
        <w:tc>
          <w:tcPr>
            <w:tcW w:w="1828" w:type="dxa"/>
            <w:shd w:val="clear" w:color="auto" w:fill="auto"/>
            <w:vAlign w:val="bottom"/>
          </w:tcPr>
          <w:p w14:paraId="4DF1ADE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1714" w:type="dxa"/>
            <w:shd w:val="clear" w:color="auto" w:fill="auto"/>
            <w:vAlign w:val="bottom"/>
          </w:tcPr>
          <w:p w14:paraId="4BA9E75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677" w:type="dxa"/>
            <w:vAlign w:val="bottom"/>
          </w:tcPr>
          <w:p w14:paraId="501DB034"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5,4%</w:t>
            </w:r>
          </w:p>
        </w:tc>
      </w:tr>
      <w:tr w:rsidR="00F410D1" w14:paraId="3A808412" w14:textId="77777777">
        <w:trPr>
          <w:trHeight w:val="215"/>
        </w:trPr>
        <w:tc>
          <w:tcPr>
            <w:tcW w:w="1935" w:type="dxa"/>
            <w:shd w:val="clear" w:color="auto" w:fill="auto"/>
            <w:vAlign w:val="bottom"/>
          </w:tcPr>
          <w:p w14:paraId="24A716F4"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1828" w:type="dxa"/>
            <w:vAlign w:val="bottom"/>
          </w:tcPr>
          <w:p w14:paraId="392846C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828" w:type="dxa"/>
            <w:shd w:val="clear" w:color="auto" w:fill="auto"/>
            <w:vAlign w:val="bottom"/>
          </w:tcPr>
          <w:p w14:paraId="592F828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w:t>
            </w:r>
          </w:p>
        </w:tc>
        <w:tc>
          <w:tcPr>
            <w:tcW w:w="1714" w:type="dxa"/>
            <w:shd w:val="clear" w:color="auto" w:fill="auto"/>
            <w:vAlign w:val="bottom"/>
          </w:tcPr>
          <w:p w14:paraId="0EB041A7"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677" w:type="dxa"/>
            <w:vAlign w:val="bottom"/>
          </w:tcPr>
          <w:p w14:paraId="1AD362C3"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2,1%</w:t>
            </w:r>
          </w:p>
        </w:tc>
      </w:tr>
      <w:tr w:rsidR="00F410D1" w14:paraId="3A74CD31" w14:textId="77777777">
        <w:trPr>
          <w:trHeight w:val="215"/>
        </w:trPr>
        <w:tc>
          <w:tcPr>
            <w:tcW w:w="1935" w:type="dxa"/>
            <w:shd w:val="clear" w:color="auto" w:fill="auto"/>
            <w:vAlign w:val="bottom"/>
          </w:tcPr>
          <w:p w14:paraId="6F5766FA"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1828" w:type="dxa"/>
            <w:vAlign w:val="bottom"/>
          </w:tcPr>
          <w:p w14:paraId="071666C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-52%</w:t>
            </w:r>
          </w:p>
        </w:tc>
        <w:tc>
          <w:tcPr>
            <w:tcW w:w="1828" w:type="dxa"/>
            <w:shd w:val="clear" w:color="auto" w:fill="auto"/>
            <w:vAlign w:val="bottom"/>
          </w:tcPr>
          <w:p w14:paraId="0170BD2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-31%</w:t>
            </w:r>
          </w:p>
        </w:tc>
        <w:tc>
          <w:tcPr>
            <w:tcW w:w="1714" w:type="dxa"/>
            <w:shd w:val="clear" w:color="auto" w:fill="auto"/>
            <w:vAlign w:val="bottom"/>
          </w:tcPr>
          <w:p w14:paraId="5D1630A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1677" w:type="dxa"/>
            <w:vAlign w:val="bottom"/>
          </w:tcPr>
          <w:p w14:paraId="37545CB1"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9C0006"/>
                <w:sz w:val="22"/>
                <w:szCs w:val="22"/>
              </w:rPr>
              <w:t>-4,9%</w:t>
            </w:r>
          </w:p>
        </w:tc>
      </w:tr>
      <w:tr w:rsidR="00F410D1" w14:paraId="42A68623" w14:textId="77777777">
        <w:trPr>
          <w:trHeight w:val="215"/>
        </w:trPr>
        <w:tc>
          <w:tcPr>
            <w:tcW w:w="1935" w:type="dxa"/>
            <w:shd w:val="clear" w:color="auto" w:fill="auto"/>
            <w:vAlign w:val="bottom"/>
          </w:tcPr>
          <w:p w14:paraId="2DF090F1"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País Vasco</w:t>
            </w:r>
          </w:p>
        </w:tc>
        <w:tc>
          <w:tcPr>
            <w:tcW w:w="1828" w:type="dxa"/>
            <w:vAlign w:val="bottom"/>
          </w:tcPr>
          <w:p w14:paraId="00F5339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-33%</w:t>
            </w:r>
          </w:p>
        </w:tc>
        <w:tc>
          <w:tcPr>
            <w:tcW w:w="1828" w:type="dxa"/>
            <w:shd w:val="clear" w:color="auto" w:fill="auto"/>
            <w:vAlign w:val="bottom"/>
          </w:tcPr>
          <w:p w14:paraId="59C9BB2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1714" w:type="dxa"/>
            <w:shd w:val="clear" w:color="auto" w:fill="auto"/>
            <w:vAlign w:val="bottom"/>
          </w:tcPr>
          <w:p w14:paraId="2B1D3B4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1677" w:type="dxa"/>
            <w:vAlign w:val="bottom"/>
          </w:tcPr>
          <w:p w14:paraId="1B77167D"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9C0006"/>
                <w:sz w:val="22"/>
                <w:szCs w:val="22"/>
              </w:rPr>
              <w:t>-0,3%</w:t>
            </w:r>
          </w:p>
        </w:tc>
      </w:tr>
      <w:tr w:rsidR="00F410D1" w14:paraId="62CC0E77" w14:textId="77777777">
        <w:trPr>
          <w:trHeight w:val="215"/>
        </w:trPr>
        <w:tc>
          <w:tcPr>
            <w:tcW w:w="1935" w:type="dxa"/>
            <w:shd w:val="clear" w:color="auto" w:fill="auto"/>
            <w:vAlign w:val="bottom"/>
          </w:tcPr>
          <w:p w14:paraId="0974C68F"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Región de Murcia</w:t>
            </w:r>
          </w:p>
        </w:tc>
        <w:tc>
          <w:tcPr>
            <w:tcW w:w="1828" w:type="dxa"/>
            <w:vAlign w:val="bottom"/>
          </w:tcPr>
          <w:p w14:paraId="5FF2074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-47%</w:t>
            </w:r>
          </w:p>
        </w:tc>
        <w:tc>
          <w:tcPr>
            <w:tcW w:w="1828" w:type="dxa"/>
            <w:shd w:val="clear" w:color="auto" w:fill="auto"/>
            <w:vAlign w:val="bottom"/>
          </w:tcPr>
          <w:p w14:paraId="630D485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1714" w:type="dxa"/>
            <w:shd w:val="clear" w:color="auto" w:fill="auto"/>
            <w:vAlign w:val="bottom"/>
          </w:tcPr>
          <w:p w14:paraId="0F9E0C6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0,0%</w:t>
            </w:r>
          </w:p>
        </w:tc>
        <w:tc>
          <w:tcPr>
            <w:tcW w:w="1677" w:type="dxa"/>
            <w:vAlign w:val="bottom"/>
          </w:tcPr>
          <w:p w14:paraId="3D4D8AA1"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9C0006"/>
                <w:sz w:val="22"/>
                <w:szCs w:val="22"/>
              </w:rPr>
              <w:t>-1,1%</w:t>
            </w:r>
          </w:p>
        </w:tc>
      </w:tr>
      <w:tr w:rsidR="00F410D1" w14:paraId="5E6B2FDF" w14:textId="77777777">
        <w:trPr>
          <w:trHeight w:val="215"/>
        </w:trPr>
        <w:tc>
          <w:tcPr>
            <w:tcW w:w="1935" w:type="dxa"/>
            <w:shd w:val="clear" w:color="auto" w:fill="ACB9CA"/>
            <w:vAlign w:val="bottom"/>
          </w:tcPr>
          <w:p w14:paraId="4953CC1D" w14:textId="77777777" w:rsidR="00F410D1" w:rsidRDefault="007C5140">
            <w:pPr>
              <w:rPr>
                <w:rFonts w:ascii="Open Sans" w:eastAsia="Open Sans" w:hAnsi="Open Sans" w:cs="Open Sans"/>
                <w:b/>
                <w:color w:val="000000"/>
                <w:sz w:val="22"/>
                <w:szCs w:val="22"/>
              </w:rPr>
            </w:pPr>
            <w:r>
              <w:rPr>
                <w:rFonts w:ascii="Open Sans" w:eastAsia="Open Sans" w:hAnsi="Open Sans" w:cs="Open Sans"/>
                <w:b/>
                <w:color w:val="000000"/>
                <w:sz w:val="22"/>
                <w:szCs w:val="22"/>
              </w:rPr>
              <w:t>España</w:t>
            </w:r>
          </w:p>
        </w:tc>
        <w:tc>
          <w:tcPr>
            <w:tcW w:w="1828" w:type="dxa"/>
            <w:shd w:val="clear" w:color="auto" w:fill="ACB9CA"/>
            <w:vAlign w:val="bottom"/>
          </w:tcPr>
          <w:p w14:paraId="2ECA490E" w14:textId="77777777" w:rsidR="00F410D1" w:rsidRDefault="007C5140">
            <w:pPr>
              <w:jc w:val="center"/>
              <w:rPr>
                <w:rFonts w:ascii="Open Sans" w:eastAsia="Open Sans" w:hAnsi="Open Sans" w:cs="Open Sans"/>
                <w:b/>
                <w:color w:val="000000"/>
                <w:sz w:val="22"/>
                <w:szCs w:val="22"/>
              </w:rPr>
            </w:pPr>
            <w:r>
              <w:rPr>
                <w:rFonts w:ascii="Open Sans" w:eastAsia="Open Sans" w:hAnsi="Open Sans" w:cs="Open Sans"/>
                <w:color w:val="9C0006"/>
                <w:sz w:val="22"/>
                <w:szCs w:val="22"/>
              </w:rPr>
              <w:t>-34%</w:t>
            </w:r>
          </w:p>
        </w:tc>
        <w:tc>
          <w:tcPr>
            <w:tcW w:w="1828" w:type="dxa"/>
            <w:shd w:val="clear" w:color="auto" w:fill="ACB9CA"/>
            <w:vAlign w:val="bottom"/>
          </w:tcPr>
          <w:p w14:paraId="216173BB" w14:textId="77777777" w:rsidR="00F410D1" w:rsidRDefault="007C5140">
            <w:pPr>
              <w:jc w:val="center"/>
              <w:rPr>
                <w:rFonts w:ascii="Open Sans" w:eastAsia="Open Sans" w:hAnsi="Open Sans" w:cs="Open Sans"/>
                <w:b/>
                <w:color w:val="000000"/>
                <w:sz w:val="22"/>
                <w:szCs w:val="22"/>
              </w:rPr>
            </w:pPr>
            <w:r>
              <w:rPr>
                <w:rFonts w:ascii="Open Sans" w:eastAsia="Open Sans" w:hAnsi="Open Sans" w:cs="Open Sans"/>
                <w:color w:val="9C0006"/>
                <w:sz w:val="22"/>
                <w:szCs w:val="22"/>
              </w:rPr>
              <w:t>-10%</w:t>
            </w:r>
          </w:p>
        </w:tc>
        <w:tc>
          <w:tcPr>
            <w:tcW w:w="1714" w:type="dxa"/>
            <w:shd w:val="clear" w:color="auto" w:fill="ACB9CA"/>
            <w:vAlign w:val="bottom"/>
          </w:tcPr>
          <w:p w14:paraId="32A19803" w14:textId="77777777" w:rsidR="00F410D1" w:rsidRDefault="007C514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16%</w:t>
            </w:r>
          </w:p>
        </w:tc>
        <w:tc>
          <w:tcPr>
            <w:tcW w:w="1677" w:type="dxa"/>
            <w:shd w:val="clear" w:color="auto" w:fill="ACB9CA"/>
            <w:vAlign w:val="bottom"/>
          </w:tcPr>
          <w:p w14:paraId="7C518513" w14:textId="77777777" w:rsidR="00F410D1" w:rsidRDefault="007C5140">
            <w:pPr>
              <w:jc w:val="center"/>
              <w:rPr>
                <w:rFonts w:ascii="Open Sans" w:eastAsia="Open Sans" w:hAnsi="Open Sans" w:cs="Open Sans"/>
                <w:b/>
                <w:color w:val="FF0000"/>
                <w:sz w:val="22"/>
                <w:szCs w:val="22"/>
              </w:rPr>
            </w:pPr>
            <w:r>
              <w:rPr>
                <w:rFonts w:ascii="Open Sans" w:eastAsia="Open Sans" w:hAnsi="Open Sans" w:cs="Open Sans"/>
                <w:color w:val="000000"/>
                <w:sz w:val="22"/>
                <w:szCs w:val="22"/>
              </w:rPr>
              <w:t>1,7%</w:t>
            </w:r>
          </w:p>
        </w:tc>
      </w:tr>
    </w:tbl>
    <w:p w14:paraId="135DD401" w14:textId="77777777" w:rsidR="002B1D59" w:rsidRDefault="007C5140" w:rsidP="002B1D59">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bookmarkStart w:id="2" w:name="_heading=h.gjdgxs" w:colFirst="0" w:colLast="0"/>
      <w:bookmarkStart w:id="3" w:name="_heading=h.y4frotnuxrj6" w:colFirst="0" w:colLast="0"/>
      <w:bookmarkEnd w:id="2"/>
      <w:bookmarkEnd w:id="3"/>
      <w:r>
        <w:rPr>
          <w:rFonts w:ascii="Open Sans" w:eastAsia="Open Sans" w:hAnsi="Open Sans" w:cs="Open Sans"/>
          <w:color w:val="000000"/>
          <w:sz w:val="22"/>
          <w:szCs w:val="22"/>
        </w:rPr>
        <w:t xml:space="preserve">Analizando los precios que se pagaban por una vivienda en venta en 2016, </w:t>
      </w:r>
      <w:r>
        <w:rPr>
          <w:rFonts w:ascii="Open Sans" w:eastAsia="Open Sans" w:hAnsi="Open Sans" w:cs="Open Sans"/>
          <w:b/>
          <w:color w:val="000000"/>
          <w:sz w:val="22"/>
          <w:szCs w:val="22"/>
        </w:rPr>
        <w:t xml:space="preserve">el precio medio del metro cuadrado de la vivienda se ha incrementado un 16% en España </w:t>
      </w:r>
      <w:r>
        <w:rPr>
          <w:rFonts w:ascii="Open Sans" w:eastAsia="Open Sans" w:hAnsi="Open Sans" w:cs="Open Sans"/>
          <w:color w:val="000000"/>
          <w:sz w:val="22"/>
          <w:szCs w:val="22"/>
        </w:rPr>
        <w:t>(de 1.649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diciembre de 2016, a los 1.907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diciembre de 2021). Así, los españoles hace 5 años (2016) debían pagar por la venta de una vivienda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una media de 131.950 euros, frente a los 152.579 euros que se paga como media en España en 2021. </w:t>
      </w:r>
    </w:p>
    <w:p w14:paraId="2B035328" w14:textId="119AE1F7" w:rsidR="00F410D1" w:rsidRPr="002B1D59" w:rsidRDefault="007C5140" w:rsidP="002B1D59">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de una vivienda de 80 m</w:t>
      </w:r>
      <w:r>
        <w:rPr>
          <w:rFonts w:ascii="National" w:eastAsia="National" w:hAnsi="National" w:cs="National"/>
          <w:b/>
          <w:color w:val="303AB2"/>
          <w:sz w:val="28"/>
          <w:szCs w:val="28"/>
          <w:vertAlign w:val="superscript"/>
        </w:rPr>
        <w:t>2</w:t>
      </w:r>
      <w:r>
        <w:rPr>
          <w:rFonts w:ascii="National" w:eastAsia="National" w:hAnsi="National" w:cs="National"/>
          <w:b/>
          <w:color w:val="303AB2"/>
          <w:sz w:val="28"/>
          <w:szCs w:val="28"/>
        </w:rPr>
        <w:t xml:space="preserve"> por CCAA</w:t>
      </w:r>
    </w:p>
    <w:tbl>
      <w:tblPr>
        <w:tblStyle w:val="a0"/>
        <w:tblW w:w="8982"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1833"/>
        <w:gridCol w:w="1843"/>
        <w:gridCol w:w="1843"/>
        <w:gridCol w:w="1701"/>
        <w:gridCol w:w="1762"/>
      </w:tblGrid>
      <w:tr w:rsidR="00F410D1" w14:paraId="6708F675" w14:textId="77777777">
        <w:trPr>
          <w:trHeight w:val="738"/>
        </w:trPr>
        <w:tc>
          <w:tcPr>
            <w:tcW w:w="1833" w:type="dxa"/>
            <w:shd w:val="clear" w:color="auto" w:fill="ACB9CA"/>
            <w:vAlign w:val="center"/>
          </w:tcPr>
          <w:p w14:paraId="3999E3CC" w14:textId="77777777" w:rsidR="00F410D1" w:rsidRDefault="007C5140">
            <w:pPr>
              <w:rPr>
                <w:rFonts w:ascii="Open Sans" w:eastAsia="Open Sans" w:hAnsi="Open Sans" w:cs="Open Sans"/>
                <w:color w:val="000000"/>
                <w:sz w:val="18"/>
                <w:szCs w:val="18"/>
              </w:rPr>
            </w:pPr>
            <w:r>
              <w:rPr>
                <w:rFonts w:ascii="Open Sans" w:eastAsia="Open Sans" w:hAnsi="Open Sans" w:cs="Open Sans"/>
                <w:color w:val="000000"/>
                <w:sz w:val="18"/>
                <w:szCs w:val="18"/>
              </w:rPr>
              <w:t>CCAA</w:t>
            </w:r>
          </w:p>
        </w:tc>
        <w:tc>
          <w:tcPr>
            <w:tcW w:w="1843" w:type="dxa"/>
            <w:shd w:val="clear" w:color="auto" w:fill="ACB9CA"/>
          </w:tcPr>
          <w:p w14:paraId="5FC4E0C6" w14:textId="77777777" w:rsidR="00F410D1" w:rsidRDefault="007C5140">
            <w:pPr>
              <w:jc w:val="center"/>
              <w:rPr>
                <w:rFonts w:ascii="Open Sans" w:eastAsia="Open Sans" w:hAnsi="Open Sans" w:cs="Open Sans"/>
                <w:color w:val="0D0D0D"/>
                <w:sz w:val="18"/>
                <w:szCs w:val="18"/>
              </w:rPr>
            </w:pPr>
            <w:r>
              <w:rPr>
                <w:rFonts w:ascii="Open Sans" w:eastAsia="Open Sans" w:hAnsi="Open Sans" w:cs="Open Sans"/>
                <w:color w:val="0D0D0D"/>
                <w:sz w:val="18"/>
                <w:szCs w:val="18"/>
              </w:rPr>
              <w:t>Precio de una vivienda de 80 m</w:t>
            </w:r>
            <w:r>
              <w:rPr>
                <w:rFonts w:ascii="Open Sans" w:eastAsia="Open Sans" w:hAnsi="Open Sans" w:cs="Open Sans"/>
                <w:color w:val="0D0D0D"/>
                <w:sz w:val="18"/>
                <w:szCs w:val="18"/>
                <w:vertAlign w:val="superscript"/>
              </w:rPr>
              <w:t>2</w:t>
            </w:r>
            <w:r>
              <w:rPr>
                <w:rFonts w:ascii="Open Sans" w:eastAsia="Open Sans" w:hAnsi="Open Sans" w:cs="Open Sans"/>
                <w:color w:val="0D0D0D"/>
                <w:sz w:val="18"/>
                <w:szCs w:val="18"/>
              </w:rPr>
              <w:t xml:space="preserve"> en 2006</w:t>
            </w:r>
          </w:p>
        </w:tc>
        <w:tc>
          <w:tcPr>
            <w:tcW w:w="1843" w:type="dxa"/>
            <w:shd w:val="clear" w:color="auto" w:fill="ACB9CA"/>
            <w:vAlign w:val="center"/>
          </w:tcPr>
          <w:p w14:paraId="1EEFF9B4" w14:textId="77777777" w:rsidR="00F410D1" w:rsidRDefault="007C5140">
            <w:pPr>
              <w:jc w:val="center"/>
              <w:rPr>
                <w:rFonts w:ascii="Open Sans" w:eastAsia="Open Sans" w:hAnsi="Open Sans" w:cs="Open Sans"/>
                <w:color w:val="0D0D0D"/>
                <w:sz w:val="18"/>
                <w:szCs w:val="18"/>
              </w:rPr>
            </w:pPr>
            <w:r>
              <w:rPr>
                <w:rFonts w:ascii="Open Sans" w:eastAsia="Open Sans" w:hAnsi="Open Sans" w:cs="Open Sans"/>
                <w:color w:val="0D0D0D"/>
                <w:sz w:val="18"/>
                <w:szCs w:val="18"/>
              </w:rPr>
              <w:t>Precio de una vivienda de 80 m</w:t>
            </w:r>
            <w:r>
              <w:rPr>
                <w:rFonts w:ascii="Open Sans" w:eastAsia="Open Sans" w:hAnsi="Open Sans" w:cs="Open Sans"/>
                <w:color w:val="0D0D0D"/>
                <w:sz w:val="18"/>
                <w:szCs w:val="18"/>
                <w:vertAlign w:val="superscript"/>
              </w:rPr>
              <w:t>2</w:t>
            </w:r>
            <w:r>
              <w:rPr>
                <w:rFonts w:ascii="Open Sans" w:eastAsia="Open Sans" w:hAnsi="Open Sans" w:cs="Open Sans"/>
                <w:color w:val="0D0D0D"/>
                <w:sz w:val="18"/>
                <w:szCs w:val="18"/>
              </w:rPr>
              <w:t xml:space="preserve"> en 2011</w:t>
            </w:r>
          </w:p>
        </w:tc>
        <w:tc>
          <w:tcPr>
            <w:tcW w:w="1701" w:type="dxa"/>
            <w:shd w:val="clear" w:color="auto" w:fill="ACB9CA"/>
          </w:tcPr>
          <w:p w14:paraId="774B25D6" w14:textId="77777777" w:rsidR="00F410D1" w:rsidRDefault="007C5140">
            <w:pPr>
              <w:jc w:val="center"/>
              <w:rPr>
                <w:rFonts w:ascii="Open Sans" w:eastAsia="Open Sans" w:hAnsi="Open Sans" w:cs="Open Sans"/>
                <w:color w:val="0D0D0D"/>
                <w:sz w:val="18"/>
                <w:szCs w:val="18"/>
              </w:rPr>
            </w:pPr>
            <w:r>
              <w:rPr>
                <w:rFonts w:ascii="Open Sans" w:eastAsia="Open Sans" w:hAnsi="Open Sans" w:cs="Open Sans"/>
                <w:color w:val="0D0D0D"/>
                <w:sz w:val="18"/>
                <w:szCs w:val="18"/>
              </w:rPr>
              <w:t>Precio de una vivienda de 80 m</w:t>
            </w:r>
            <w:r>
              <w:rPr>
                <w:rFonts w:ascii="Open Sans" w:eastAsia="Open Sans" w:hAnsi="Open Sans" w:cs="Open Sans"/>
                <w:color w:val="0D0D0D"/>
                <w:sz w:val="18"/>
                <w:szCs w:val="18"/>
                <w:vertAlign w:val="superscript"/>
              </w:rPr>
              <w:t>2</w:t>
            </w:r>
            <w:r>
              <w:rPr>
                <w:rFonts w:ascii="Open Sans" w:eastAsia="Open Sans" w:hAnsi="Open Sans" w:cs="Open Sans"/>
                <w:color w:val="0D0D0D"/>
                <w:sz w:val="18"/>
                <w:szCs w:val="18"/>
              </w:rPr>
              <w:t xml:space="preserve"> en 2016</w:t>
            </w:r>
          </w:p>
        </w:tc>
        <w:tc>
          <w:tcPr>
            <w:tcW w:w="1762" w:type="dxa"/>
            <w:shd w:val="clear" w:color="auto" w:fill="ACB9CA"/>
          </w:tcPr>
          <w:p w14:paraId="18F76C78" w14:textId="77777777" w:rsidR="00F410D1" w:rsidRDefault="007C5140">
            <w:pPr>
              <w:jc w:val="center"/>
              <w:rPr>
                <w:rFonts w:ascii="Open Sans" w:eastAsia="Open Sans" w:hAnsi="Open Sans" w:cs="Open Sans"/>
                <w:color w:val="0D0D0D"/>
                <w:sz w:val="18"/>
                <w:szCs w:val="18"/>
              </w:rPr>
            </w:pPr>
            <w:r>
              <w:rPr>
                <w:rFonts w:ascii="Open Sans" w:eastAsia="Open Sans" w:hAnsi="Open Sans" w:cs="Open Sans"/>
                <w:color w:val="0D0D0D"/>
                <w:sz w:val="18"/>
                <w:szCs w:val="18"/>
              </w:rPr>
              <w:t>Precio de una vivienda de 80 m</w:t>
            </w:r>
            <w:r>
              <w:rPr>
                <w:rFonts w:ascii="Open Sans" w:eastAsia="Open Sans" w:hAnsi="Open Sans" w:cs="Open Sans"/>
                <w:color w:val="0D0D0D"/>
                <w:sz w:val="18"/>
                <w:szCs w:val="18"/>
                <w:vertAlign w:val="superscript"/>
              </w:rPr>
              <w:t>2</w:t>
            </w:r>
            <w:r>
              <w:rPr>
                <w:rFonts w:ascii="Open Sans" w:eastAsia="Open Sans" w:hAnsi="Open Sans" w:cs="Open Sans"/>
                <w:color w:val="0D0D0D"/>
                <w:sz w:val="18"/>
                <w:szCs w:val="18"/>
              </w:rPr>
              <w:t xml:space="preserve"> en 2021</w:t>
            </w:r>
          </w:p>
        </w:tc>
      </w:tr>
      <w:tr w:rsidR="00F410D1" w14:paraId="075CB47C" w14:textId="77777777">
        <w:trPr>
          <w:trHeight w:val="215"/>
        </w:trPr>
        <w:tc>
          <w:tcPr>
            <w:tcW w:w="1833" w:type="dxa"/>
            <w:shd w:val="clear" w:color="auto" w:fill="auto"/>
            <w:vAlign w:val="bottom"/>
          </w:tcPr>
          <w:p w14:paraId="5DE3CF8D"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Andalucía</w:t>
            </w:r>
          </w:p>
        </w:tc>
        <w:tc>
          <w:tcPr>
            <w:tcW w:w="1843" w:type="dxa"/>
            <w:vAlign w:val="bottom"/>
          </w:tcPr>
          <w:p w14:paraId="079E476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198.560 €</w:t>
            </w:r>
          </w:p>
        </w:tc>
        <w:tc>
          <w:tcPr>
            <w:tcW w:w="1843" w:type="dxa"/>
            <w:shd w:val="clear" w:color="auto" w:fill="auto"/>
            <w:vAlign w:val="bottom"/>
          </w:tcPr>
          <w:p w14:paraId="5E2581C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143.957 €</w:t>
            </w:r>
          </w:p>
        </w:tc>
        <w:tc>
          <w:tcPr>
            <w:tcW w:w="1701" w:type="dxa"/>
            <w:shd w:val="clear" w:color="auto" w:fill="auto"/>
            <w:vAlign w:val="bottom"/>
          </w:tcPr>
          <w:p w14:paraId="5FF0567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117.582 €</w:t>
            </w:r>
          </w:p>
        </w:tc>
        <w:tc>
          <w:tcPr>
            <w:tcW w:w="1762" w:type="dxa"/>
            <w:vAlign w:val="bottom"/>
          </w:tcPr>
          <w:p w14:paraId="22328673"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137.102 €</w:t>
            </w:r>
          </w:p>
        </w:tc>
      </w:tr>
      <w:tr w:rsidR="00F410D1" w14:paraId="2D8BC359" w14:textId="77777777">
        <w:trPr>
          <w:trHeight w:val="215"/>
        </w:trPr>
        <w:tc>
          <w:tcPr>
            <w:tcW w:w="1833" w:type="dxa"/>
            <w:shd w:val="clear" w:color="auto" w:fill="auto"/>
            <w:vAlign w:val="bottom"/>
          </w:tcPr>
          <w:p w14:paraId="0A84B033"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Aragón</w:t>
            </w:r>
          </w:p>
        </w:tc>
        <w:tc>
          <w:tcPr>
            <w:tcW w:w="1843" w:type="dxa"/>
            <w:vAlign w:val="bottom"/>
          </w:tcPr>
          <w:p w14:paraId="1F683C0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243.200 €</w:t>
            </w:r>
          </w:p>
        </w:tc>
        <w:tc>
          <w:tcPr>
            <w:tcW w:w="1843" w:type="dxa"/>
            <w:shd w:val="clear" w:color="auto" w:fill="auto"/>
            <w:vAlign w:val="bottom"/>
          </w:tcPr>
          <w:p w14:paraId="7CD334B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168.640 €</w:t>
            </w:r>
          </w:p>
        </w:tc>
        <w:tc>
          <w:tcPr>
            <w:tcW w:w="1701" w:type="dxa"/>
            <w:shd w:val="clear" w:color="auto" w:fill="auto"/>
            <w:vAlign w:val="bottom"/>
          </w:tcPr>
          <w:p w14:paraId="4D9AA427"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117.560 €</w:t>
            </w:r>
          </w:p>
        </w:tc>
        <w:tc>
          <w:tcPr>
            <w:tcW w:w="1762" w:type="dxa"/>
            <w:vAlign w:val="bottom"/>
          </w:tcPr>
          <w:p w14:paraId="40984B41"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127.443 €</w:t>
            </w:r>
          </w:p>
        </w:tc>
      </w:tr>
      <w:tr w:rsidR="00F410D1" w14:paraId="7D51D22F" w14:textId="77777777">
        <w:trPr>
          <w:trHeight w:val="215"/>
        </w:trPr>
        <w:tc>
          <w:tcPr>
            <w:tcW w:w="1833" w:type="dxa"/>
            <w:shd w:val="clear" w:color="auto" w:fill="auto"/>
            <w:vAlign w:val="bottom"/>
          </w:tcPr>
          <w:p w14:paraId="65D1F2CA"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Asturias</w:t>
            </w:r>
          </w:p>
        </w:tc>
        <w:tc>
          <w:tcPr>
            <w:tcW w:w="1843" w:type="dxa"/>
            <w:vAlign w:val="bottom"/>
          </w:tcPr>
          <w:p w14:paraId="425C17D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229.360 €</w:t>
            </w:r>
          </w:p>
        </w:tc>
        <w:tc>
          <w:tcPr>
            <w:tcW w:w="1843" w:type="dxa"/>
            <w:shd w:val="clear" w:color="auto" w:fill="auto"/>
            <w:vAlign w:val="bottom"/>
          </w:tcPr>
          <w:p w14:paraId="620B282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168.862 €</w:t>
            </w:r>
          </w:p>
        </w:tc>
        <w:tc>
          <w:tcPr>
            <w:tcW w:w="1701" w:type="dxa"/>
            <w:shd w:val="clear" w:color="auto" w:fill="auto"/>
            <w:vAlign w:val="bottom"/>
          </w:tcPr>
          <w:p w14:paraId="6110884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126.517 €</w:t>
            </w:r>
          </w:p>
        </w:tc>
        <w:tc>
          <w:tcPr>
            <w:tcW w:w="1762" w:type="dxa"/>
            <w:vAlign w:val="bottom"/>
          </w:tcPr>
          <w:p w14:paraId="524A0941"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125.196 €</w:t>
            </w:r>
          </w:p>
        </w:tc>
      </w:tr>
      <w:tr w:rsidR="00F410D1" w14:paraId="0CB9D1C9" w14:textId="77777777">
        <w:trPr>
          <w:trHeight w:val="215"/>
        </w:trPr>
        <w:tc>
          <w:tcPr>
            <w:tcW w:w="1833" w:type="dxa"/>
            <w:shd w:val="clear" w:color="auto" w:fill="auto"/>
            <w:vAlign w:val="bottom"/>
          </w:tcPr>
          <w:p w14:paraId="46F95188"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Baleares</w:t>
            </w:r>
          </w:p>
        </w:tc>
        <w:tc>
          <w:tcPr>
            <w:tcW w:w="1843" w:type="dxa"/>
            <w:vAlign w:val="bottom"/>
          </w:tcPr>
          <w:p w14:paraId="65B99D0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216.320 €</w:t>
            </w:r>
          </w:p>
        </w:tc>
        <w:tc>
          <w:tcPr>
            <w:tcW w:w="1843" w:type="dxa"/>
            <w:shd w:val="clear" w:color="auto" w:fill="auto"/>
            <w:vAlign w:val="bottom"/>
          </w:tcPr>
          <w:p w14:paraId="1CC91DF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176.292 €</w:t>
            </w:r>
          </w:p>
        </w:tc>
        <w:tc>
          <w:tcPr>
            <w:tcW w:w="1701" w:type="dxa"/>
            <w:shd w:val="clear" w:color="auto" w:fill="auto"/>
            <w:vAlign w:val="bottom"/>
          </w:tcPr>
          <w:p w14:paraId="6A8F1DB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159.664 €</w:t>
            </w:r>
          </w:p>
        </w:tc>
        <w:tc>
          <w:tcPr>
            <w:tcW w:w="1762" w:type="dxa"/>
            <w:vAlign w:val="bottom"/>
          </w:tcPr>
          <w:p w14:paraId="0F74BE6B"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231.187 €</w:t>
            </w:r>
          </w:p>
        </w:tc>
      </w:tr>
      <w:tr w:rsidR="00F410D1" w14:paraId="235BC68A" w14:textId="77777777">
        <w:trPr>
          <w:trHeight w:val="215"/>
        </w:trPr>
        <w:tc>
          <w:tcPr>
            <w:tcW w:w="1833" w:type="dxa"/>
            <w:shd w:val="clear" w:color="auto" w:fill="auto"/>
            <w:vAlign w:val="bottom"/>
          </w:tcPr>
          <w:p w14:paraId="4FB1C75D"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Canarias</w:t>
            </w:r>
          </w:p>
        </w:tc>
        <w:tc>
          <w:tcPr>
            <w:tcW w:w="1843" w:type="dxa"/>
            <w:vAlign w:val="bottom"/>
          </w:tcPr>
          <w:p w14:paraId="723A0F3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166.560 €</w:t>
            </w:r>
          </w:p>
        </w:tc>
        <w:tc>
          <w:tcPr>
            <w:tcW w:w="1843" w:type="dxa"/>
            <w:shd w:val="clear" w:color="auto" w:fill="auto"/>
            <w:vAlign w:val="bottom"/>
          </w:tcPr>
          <w:p w14:paraId="3867191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135.122 €</w:t>
            </w:r>
          </w:p>
        </w:tc>
        <w:tc>
          <w:tcPr>
            <w:tcW w:w="1701" w:type="dxa"/>
            <w:shd w:val="clear" w:color="auto" w:fill="auto"/>
            <w:vAlign w:val="bottom"/>
          </w:tcPr>
          <w:p w14:paraId="663B168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110.743 €</w:t>
            </w:r>
          </w:p>
        </w:tc>
        <w:tc>
          <w:tcPr>
            <w:tcW w:w="1762" w:type="dxa"/>
            <w:vAlign w:val="bottom"/>
          </w:tcPr>
          <w:p w14:paraId="03DBD3DF"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142.566 €</w:t>
            </w:r>
          </w:p>
        </w:tc>
      </w:tr>
      <w:tr w:rsidR="00F410D1" w14:paraId="2152639E" w14:textId="77777777">
        <w:trPr>
          <w:trHeight w:val="215"/>
        </w:trPr>
        <w:tc>
          <w:tcPr>
            <w:tcW w:w="1833" w:type="dxa"/>
            <w:shd w:val="clear" w:color="auto" w:fill="auto"/>
            <w:vAlign w:val="bottom"/>
          </w:tcPr>
          <w:p w14:paraId="12DC5C46"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Cantabria</w:t>
            </w:r>
          </w:p>
        </w:tc>
        <w:tc>
          <w:tcPr>
            <w:tcW w:w="1843" w:type="dxa"/>
            <w:vAlign w:val="bottom"/>
          </w:tcPr>
          <w:p w14:paraId="2ACCAF7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223.600 €</w:t>
            </w:r>
          </w:p>
        </w:tc>
        <w:tc>
          <w:tcPr>
            <w:tcW w:w="1843" w:type="dxa"/>
            <w:shd w:val="clear" w:color="auto" w:fill="auto"/>
            <w:vAlign w:val="bottom"/>
          </w:tcPr>
          <w:p w14:paraId="097521E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182.354 €</w:t>
            </w:r>
          </w:p>
        </w:tc>
        <w:tc>
          <w:tcPr>
            <w:tcW w:w="1701" w:type="dxa"/>
            <w:shd w:val="clear" w:color="auto" w:fill="auto"/>
            <w:vAlign w:val="bottom"/>
          </w:tcPr>
          <w:p w14:paraId="6DA19BE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134.940 €</w:t>
            </w:r>
          </w:p>
        </w:tc>
        <w:tc>
          <w:tcPr>
            <w:tcW w:w="1762" w:type="dxa"/>
            <w:vAlign w:val="bottom"/>
          </w:tcPr>
          <w:p w14:paraId="6BE73E6A"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142.205 €</w:t>
            </w:r>
          </w:p>
        </w:tc>
      </w:tr>
      <w:tr w:rsidR="00F410D1" w14:paraId="6DFCFAD3" w14:textId="77777777">
        <w:trPr>
          <w:trHeight w:val="215"/>
        </w:trPr>
        <w:tc>
          <w:tcPr>
            <w:tcW w:w="1833" w:type="dxa"/>
            <w:shd w:val="clear" w:color="auto" w:fill="auto"/>
            <w:vAlign w:val="bottom"/>
          </w:tcPr>
          <w:p w14:paraId="70C468A8"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Castilla y León</w:t>
            </w:r>
          </w:p>
        </w:tc>
        <w:tc>
          <w:tcPr>
            <w:tcW w:w="1843" w:type="dxa"/>
            <w:vAlign w:val="bottom"/>
          </w:tcPr>
          <w:p w14:paraId="39EFE11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176.320 €</w:t>
            </w:r>
          </w:p>
        </w:tc>
        <w:tc>
          <w:tcPr>
            <w:tcW w:w="1843" w:type="dxa"/>
            <w:shd w:val="clear" w:color="auto" w:fill="auto"/>
            <w:vAlign w:val="bottom"/>
          </w:tcPr>
          <w:p w14:paraId="429A936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145.720 €</w:t>
            </w:r>
          </w:p>
        </w:tc>
        <w:tc>
          <w:tcPr>
            <w:tcW w:w="1701" w:type="dxa"/>
            <w:shd w:val="clear" w:color="auto" w:fill="auto"/>
            <w:vAlign w:val="bottom"/>
          </w:tcPr>
          <w:p w14:paraId="3F15E02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114.478 €</w:t>
            </w:r>
          </w:p>
        </w:tc>
        <w:tc>
          <w:tcPr>
            <w:tcW w:w="1762" w:type="dxa"/>
            <w:vAlign w:val="bottom"/>
          </w:tcPr>
          <w:p w14:paraId="45447302"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115.522 €</w:t>
            </w:r>
          </w:p>
        </w:tc>
      </w:tr>
      <w:tr w:rsidR="00F410D1" w14:paraId="02DD9DFD" w14:textId="77777777">
        <w:trPr>
          <w:trHeight w:val="215"/>
        </w:trPr>
        <w:tc>
          <w:tcPr>
            <w:tcW w:w="1833" w:type="dxa"/>
            <w:shd w:val="clear" w:color="auto" w:fill="auto"/>
            <w:vAlign w:val="bottom"/>
          </w:tcPr>
          <w:p w14:paraId="1D2F6E76"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Castilla-La Mancha</w:t>
            </w:r>
          </w:p>
        </w:tc>
        <w:tc>
          <w:tcPr>
            <w:tcW w:w="1843" w:type="dxa"/>
            <w:vAlign w:val="bottom"/>
          </w:tcPr>
          <w:p w14:paraId="3FAD577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176.080 €</w:t>
            </w:r>
          </w:p>
        </w:tc>
        <w:tc>
          <w:tcPr>
            <w:tcW w:w="1843" w:type="dxa"/>
            <w:shd w:val="clear" w:color="auto" w:fill="auto"/>
            <w:vAlign w:val="bottom"/>
          </w:tcPr>
          <w:p w14:paraId="78007B3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121.331 €</w:t>
            </w:r>
          </w:p>
        </w:tc>
        <w:tc>
          <w:tcPr>
            <w:tcW w:w="1701" w:type="dxa"/>
            <w:shd w:val="clear" w:color="auto" w:fill="auto"/>
            <w:vAlign w:val="bottom"/>
          </w:tcPr>
          <w:p w14:paraId="4582EB4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83.102 €</w:t>
            </w:r>
          </w:p>
        </w:tc>
        <w:tc>
          <w:tcPr>
            <w:tcW w:w="1762" w:type="dxa"/>
            <w:vAlign w:val="bottom"/>
          </w:tcPr>
          <w:p w14:paraId="4A88F2F6"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88.963 €</w:t>
            </w:r>
          </w:p>
        </w:tc>
      </w:tr>
      <w:tr w:rsidR="00F410D1" w14:paraId="2DCCA014" w14:textId="77777777">
        <w:trPr>
          <w:trHeight w:val="215"/>
        </w:trPr>
        <w:tc>
          <w:tcPr>
            <w:tcW w:w="1833" w:type="dxa"/>
            <w:shd w:val="clear" w:color="auto" w:fill="auto"/>
            <w:vAlign w:val="bottom"/>
          </w:tcPr>
          <w:p w14:paraId="0B02A57E"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Cataluña</w:t>
            </w:r>
          </w:p>
        </w:tc>
        <w:tc>
          <w:tcPr>
            <w:tcW w:w="1843" w:type="dxa"/>
            <w:vAlign w:val="bottom"/>
          </w:tcPr>
          <w:p w14:paraId="7F93773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298.000 €</w:t>
            </w:r>
          </w:p>
        </w:tc>
        <w:tc>
          <w:tcPr>
            <w:tcW w:w="1843" w:type="dxa"/>
            <w:shd w:val="clear" w:color="auto" w:fill="auto"/>
            <w:vAlign w:val="bottom"/>
          </w:tcPr>
          <w:p w14:paraId="575067E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217.035 €</w:t>
            </w:r>
          </w:p>
        </w:tc>
        <w:tc>
          <w:tcPr>
            <w:tcW w:w="1701" w:type="dxa"/>
            <w:shd w:val="clear" w:color="auto" w:fill="auto"/>
            <w:vAlign w:val="bottom"/>
          </w:tcPr>
          <w:p w14:paraId="42AF2D8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167.240 €</w:t>
            </w:r>
          </w:p>
        </w:tc>
        <w:tc>
          <w:tcPr>
            <w:tcW w:w="1762" w:type="dxa"/>
            <w:vAlign w:val="bottom"/>
          </w:tcPr>
          <w:p w14:paraId="5572BD15"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203.530 €</w:t>
            </w:r>
          </w:p>
        </w:tc>
      </w:tr>
      <w:tr w:rsidR="00F410D1" w14:paraId="3AF4EAAB" w14:textId="77777777">
        <w:trPr>
          <w:trHeight w:val="215"/>
        </w:trPr>
        <w:tc>
          <w:tcPr>
            <w:tcW w:w="1833" w:type="dxa"/>
            <w:shd w:val="clear" w:color="auto" w:fill="auto"/>
            <w:vAlign w:val="bottom"/>
          </w:tcPr>
          <w:p w14:paraId="1E25E3C1" w14:textId="77777777" w:rsidR="00F410D1" w:rsidRDefault="007C5140">
            <w:pPr>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Comunitat</w:t>
            </w:r>
            <w:proofErr w:type="spellEnd"/>
            <w:r>
              <w:rPr>
                <w:rFonts w:ascii="Open Sans" w:eastAsia="Open Sans" w:hAnsi="Open Sans" w:cs="Open Sans"/>
                <w:color w:val="000000"/>
                <w:sz w:val="22"/>
                <w:szCs w:val="22"/>
              </w:rPr>
              <w:t xml:space="preserve"> Valenciana</w:t>
            </w:r>
          </w:p>
        </w:tc>
        <w:tc>
          <w:tcPr>
            <w:tcW w:w="1843" w:type="dxa"/>
            <w:vAlign w:val="bottom"/>
          </w:tcPr>
          <w:p w14:paraId="2E9F1757"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191.760 €</w:t>
            </w:r>
          </w:p>
        </w:tc>
        <w:tc>
          <w:tcPr>
            <w:tcW w:w="1843" w:type="dxa"/>
            <w:shd w:val="clear" w:color="auto" w:fill="auto"/>
            <w:vAlign w:val="bottom"/>
          </w:tcPr>
          <w:p w14:paraId="284F2F3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133.988 €</w:t>
            </w:r>
          </w:p>
        </w:tc>
        <w:tc>
          <w:tcPr>
            <w:tcW w:w="1701" w:type="dxa"/>
            <w:shd w:val="clear" w:color="auto" w:fill="auto"/>
            <w:vAlign w:val="bottom"/>
          </w:tcPr>
          <w:p w14:paraId="00D3E75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102.928 €</w:t>
            </w:r>
          </w:p>
        </w:tc>
        <w:tc>
          <w:tcPr>
            <w:tcW w:w="1762" w:type="dxa"/>
            <w:vAlign w:val="bottom"/>
          </w:tcPr>
          <w:p w14:paraId="5C5EC693"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115.805 €</w:t>
            </w:r>
          </w:p>
        </w:tc>
      </w:tr>
      <w:tr w:rsidR="00F410D1" w14:paraId="261C5A85" w14:textId="77777777">
        <w:trPr>
          <w:trHeight w:val="215"/>
        </w:trPr>
        <w:tc>
          <w:tcPr>
            <w:tcW w:w="1833" w:type="dxa"/>
            <w:shd w:val="clear" w:color="auto" w:fill="auto"/>
            <w:vAlign w:val="bottom"/>
          </w:tcPr>
          <w:p w14:paraId="60DB6B53"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Extremadura</w:t>
            </w:r>
          </w:p>
        </w:tc>
        <w:tc>
          <w:tcPr>
            <w:tcW w:w="1843" w:type="dxa"/>
            <w:vAlign w:val="bottom"/>
          </w:tcPr>
          <w:p w14:paraId="5CB13ABF"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134.240 €</w:t>
            </w:r>
          </w:p>
        </w:tc>
        <w:tc>
          <w:tcPr>
            <w:tcW w:w="1843" w:type="dxa"/>
            <w:shd w:val="clear" w:color="auto" w:fill="auto"/>
            <w:vAlign w:val="bottom"/>
          </w:tcPr>
          <w:p w14:paraId="1627AB4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118.841 €</w:t>
            </w:r>
          </w:p>
        </w:tc>
        <w:tc>
          <w:tcPr>
            <w:tcW w:w="1701" w:type="dxa"/>
            <w:shd w:val="clear" w:color="auto" w:fill="auto"/>
            <w:vAlign w:val="bottom"/>
          </w:tcPr>
          <w:p w14:paraId="0AE34A6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87.263 €</w:t>
            </w:r>
          </w:p>
        </w:tc>
        <w:tc>
          <w:tcPr>
            <w:tcW w:w="1762" w:type="dxa"/>
            <w:vAlign w:val="bottom"/>
          </w:tcPr>
          <w:p w14:paraId="4CA9B89E"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91.325 €</w:t>
            </w:r>
          </w:p>
        </w:tc>
      </w:tr>
      <w:tr w:rsidR="00F410D1" w14:paraId="3E8F9B79" w14:textId="77777777">
        <w:trPr>
          <w:trHeight w:val="215"/>
        </w:trPr>
        <w:tc>
          <w:tcPr>
            <w:tcW w:w="1833" w:type="dxa"/>
            <w:shd w:val="clear" w:color="auto" w:fill="auto"/>
            <w:vAlign w:val="bottom"/>
          </w:tcPr>
          <w:p w14:paraId="28C960FB"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Galicia</w:t>
            </w:r>
          </w:p>
        </w:tc>
        <w:tc>
          <w:tcPr>
            <w:tcW w:w="1843" w:type="dxa"/>
            <w:vAlign w:val="bottom"/>
          </w:tcPr>
          <w:p w14:paraId="509A4DA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181.520 €</w:t>
            </w:r>
          </w:p>
        </w:tc>
        <w:tc>
          <w:tcPr>
            <w:tcW w:w="1843" w:type="dxa"/>
            <w:shd w:val="clear" w:color="auto" w:fill="auto"/>
            <w:vAlign w:val="bottom"/>
          </w:tcPr>
          <w:p w14:paraId="4AA2030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153.834 €</w:t>
            </w:r>
          </w:p>
        </w:tc>
        <w:tc>
          <w:tcPr>
            <w:tcW w:w="1701" w:type="dxa"/>
            <w:shd w:val="clear" w:color="auto" w:fill="auto"/>
            <w:vAlign w:val="bottom"/>
          </w:tcPr>
          <w:p w14:paraId="445A9A4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128.218 €</w:t>
            </w:r>
          </w:p>
        </w:tc>
        <w:tc>
          <w:tcPr>
            <w:tcW w:w="1762" w:type="dxa"/>
            <w:vAlign w:val="bottom"/>
          </w:tcPr>
          <w:p w14:paraId="62DC755F"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130.313 €</w:t>
            </w:r>
          </w:p>
        </w:tc>
      </w:tr>
      <w:tr w:rsidR="00F410D1" w14:paraId="3E09389B" w14:textId="77777777">
        <w:trPr>
          <w:trHeight w:val="215"/>
        </w:trPr>
        <w:tc>
          <w:tcPr>
            <w:tcW w:w="1833" w:type="dxa"/>
            <w:shd w:val="clear" w:color="auto" w:fill="auto"/>
            <w:vAlign w:val="bottom"/>
          </w:tcPr>
          <w:p w14:paraId="264C4242"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La Rioja</w:t>
            </w:r>
          </w:p>
        </w:tc>
        <w:tc>
          <w:tcPr>
            <w:tcW w:w="1843" w:type="dxa"/>
            <w:vAlign w:val="bottom"/>
          </w:tcPr>
          <w:p w14:paraId="5696948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203.200 €</w:t>
            </w:r>
          </w:p>
        </w:tc>
        <w:tc>
          <w:tcPr>
            <w:tcW w:w="1843" w:type="dxa"/>
            <w:shd w:val="clear" w:color="auto" w:fill="auto"/>
            <w:vAlign w:val="bottom"/>
          </w:tcPr>
          <w:p w14:paraId="69CCBB8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153.789 €</w:t>
            </w:r>
          </w:p>
        </w:tc>
        <w:tc>
          <w:tcPr>
            <w:tcW w:w="1701" w:type="dxa"/>
            <w:shd w:val="clear" w:color="auto" w:fill="auto"/>
            <w:vAlign w:val="bottom"/>
          </w:tcPr>
          <w:p w14:paraId="6E425A77"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99.587 €</w:t>
            </w:r>
          </w:p>
        </w:tc>
        <w:tc>
          <w:tcPr>
            <w:tcW w:w="1762" w:type="dxa"/>
            <w:vAlign w:val="bottom"/>
          </w:tcPr>
          <w:p w14:paraId="02958B2F"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118.603 €</w:t>
            </w:r>
          </w:p>
        </w:tc>
      </w:tr>
      <w:tr w:rsidR="00F410D1" w14:paraId="08F7538A" w14:textId="77777777">
        <w:trPr>
          <w:trHeight w:val="215"/>
        </w:trPr>
        <w:tc>
          <w:tcPr>
            <w:tcW w:w="1833" w:type="dxa"/>
            <w:shd w:val="clear" w:color="auto" w:fill="auto"/>
            <w:vAlign w:val="bottom"/>
          </w:tcPr>
          <w:p w14:paraId="02CD6470"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Madrid</w:t>
            </w:r>
          </w:p>
        </w:tc>
        <w:tc>
          <w:tcPr>
            <w:tcW w:w="1843" w:type="dxa"/>
            <w:vAlign w:val="bottom"/>
          </w:tcPr>
          <w:p w14:paraId="1C92C3C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295.120 €</w:t>
            </w:r>
          </w:p>
        </w:tc>
        <w:tc>
          <w:tcPr>
            <w:tcW w:w="1843" w:type="dxa"/>
            <w:shd w:val="clear" w:color="auto" w:fill="auto"/>
            <w:vAlign w:val="bottom"/>
          </w:tcPr>
          <w:p w14:paraId="456E624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226.020 €</w:t>
            </w:r>
          </w:p>
        </w:tc>
        <w:tc>
          <w:tcPr>
            <w:tcW w:w="1701" w:type="dxa"/>
            <w:shd w:val="clear" w:color="auto" w:fill="auto"/>
            <w:vAlign w:val="bottom"/>
          </w:tcPr>
          <w:p w14:paraId="36BCD6E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180.408 €</w:t>
            </w:r>
          </w:p>
        </w:tc>
        <w:tc>
          <w:tcPr>
            <w:tcW w:w="1762" w:type="dxa"/>
            <w:vAlign w:val="bottom"/>
          </w:tcPr>
          <w:p w14:paraId="058CE344"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249.821 €</w:t>
            </w:r>
          </w:p>
        </w:tc>
      </w:tr>
      <w:tr w:rsidR="00F410D1" w14:paraId="5F3E93C3" w14:textId="77777777">
        <w:trPr>
          <w:trHeight w:val="215"/>
        </w:trPr>
        <w:tc>
          <w:tcPr>
            <w:tcW w:w="1833" w:type="dxa"/>
            <w:shd w:val="clear" w:color="auto" w:fill="auto"/>
            <w:vAlign w:val="bottom"/>
          </w:tcPr>
          <w:p w14:paraId="134C9294"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Navarra</w:t>
            </w:r>
          </w:p>
        </w:tc>
        <w:tc>
          <w:tcPr>
            <w:tcW w:w="1843" w:type="dxa"/>
            <w:vAlign w:val="bottom"/>
          </w:tcPr>
          <w:p w14:paraId="7B9FE92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267.520 €</w:t>
            </w:r>
          </w:p>
        </w:tc>
        <w:tc>
          <w:tcPr>
            <w:tcW w:w="1843" w:type="dxa"/>
            <w:shd w:val="clear" w:color="auto" w:fill="auto"/>
            <w:vAlign w:val="bottom"/>
          </w:tcPr>
          <w:p w14:paraId="40BFFED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185.343 €</w:t>
            </w:r>
          </w:p>
        </w:tc>
        <w:tc>
          <w:tcPr>
            <w:tcW w:w="1701" w:type="dxa"/>
            <w:shd w:val="clear" w:color="auto" w:fill="auto"/>
            <w:vAlign w:val="bottom"/>
          </w:tcPr>
          <w:p w14:paraId="209F71C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127.640 €</w:t>
            </w:r>
          </w:p>
        </w:tc>
        <w:tc>
          <w:tcPr>
            <w:tcW w:w="1762" w:type="dxa"/>
            <w:vAlign w:val="bottom"/>
          </w:tcPr>
          <w:p w14:paraId="1FDC3DE1"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128.625 €</w:t>
            </w:r>
          </w:p>
        </w:tc>
      </w:tr>
      <w:tr w:rsidR="00F410D1" w14:paraId="46BF00E5" w14:textId="77777777">
        <w:trPr>
          <w:trHeight w:val="215"/>
        </w:trPr>
        <w:tc>
          <w:tcPr>
            <w:tcW w:w="1833" w:type="dxa"/>
            <w:shd w:val="clear" w:color="auto" w:fill="auto"/>
            <w:vAlign w:val="bottom"/>
          </w:tcPr>
          <w:p w14:paraId="7EB7946D"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País Vasco</w:t>
            </w:r>
          </w:p>
        </w:tc>
        <w:tc>
          <w:tcPr>
            <w:tcW w:w="1843" w:type="dxa"/>
            <w:vAlign w:val="bottom"/>
          </w:tcPr>
          <w:p w14:paraId="63C60BB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345.520 €</w:t>
            </w:r>
          </w:p>
        </w:tc>
        <w:tc>
          <w:tcPr>
            <w:tcW w:w="1843" w:type="dxa"/>
            <w:shd w:val="clear" w:color="auto" w:fill="auto"/>
            <w:vAlign w:val="bottom"/>
          </w:tcPr>
          <w:p w14:paraId="3FBC378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287.585 €</w:t>
            </w:r>
          </w:p>
        </w:tc>
        <w:tc>
          <w:tcPr>
            <w:tcW w:w="1701" w:type="dxa"/>
            <w:shd w:val="clear" w:color="auto" w:fill="auto"/>
            <w:vAlign w:val="bottom"/>
          </w:tcPr>
          <w:p w14:paraId="32AB444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215.940 €</w:t>
            </w:r>
          </w:p>
        </w:tc>
        <w:tc>
          <w:tcPr>
            <w:tcW w:w="1762" w:type="dxa"/>
            <w:vAlign w:val="bottom"/>
          </w:tcPr>
          <w:p w14:paraId="6F66685F"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230.566 €</w:t>
            </w:r>
          </w:p>
        </w:tc>
      </w:tr>
      <w:tr w:rsidR="00F410D1" w14:paraId="0A3FE63E" w14:textId="77777777">
        <w:trPr>
          <w:trHeight w:val="215"/>
        </w:trPr>
        <w:tc>
          <w:tcPr>
            <w:tcW w:w="1833" w:type="dxa"/>
            <w:shd w:val="clear" w:color="auto" w:fill="auto"/>
            <w:vAlign w:val="bottom"/>
          </w:tcPr>
          <w:p w14:paraId="289218C0"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Región de Murcia</w:t>
            </w:r>
          </w:p>
        </w:tc>
        <w:tc>
          <w:tcPr>
            <w:tcW w:w="1843" w:type="dxa"/>
            <w:vAlign w:val="bottom"/>
          </w:tcPr>
          <w:p w14:paraId="07CC432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171.440 €</w:t>
            </w:r>
          </w:p>
        </w:tc>
        <w:tc>
          <w:tcPr>
            <w:tcW w:w="1843" w:type="dxa"/>
            <w:shd w:val="clear" w:color="auto" w:fill="auto"/>
            <w:vAlign w:val="bottom"/>
          </w:tcPr>
          <w:p w14:paraId="423850D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123.896 €</w:t>
            </w:r>
          </w:p>
        </w:tc>
        <w:tc>
          <w:tcPr>
            <w:tcW w:w="1701" w:type="dxa"/>
            <w:shd w:val="clear" w:color="auto" w:fill="auto"/>
            <w:vAlign w:val="bottom"/>
          </w:tcPr>
          <w:p w14:paraId="0581E14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91.587 €</w:t>
            </w:r>
          </w:p>
        </w:tc>
        <w:tc>
          <w:tcPr>
            <w:tcW w:w="1762" w:type="dxa"/>
            <w:vAlign w:val="bottom"/>
          </w:tcPr>
          <w:p w14:paraId="62AC6231" w14:textId="77777777" w:rsidR="00F410D1" w:rsidRDefault="007C5140">
            <w:pPr>
              <w:jc w:val="center"/>
              <w:rPr>
                <w:rFonts w:ascii="Open Sans" w:eastAsia="Open Sans" w:hAnsi="Open Sans" w:cs="Open Sans"/>
                <w:color w:val="FF0000"/>
                <w:sz w:val="22"/>
                <w:szCs w:val="22"/>
              </w:rPr>
            </w:pPr>
            <w:r>
              <w:rPr>
                <w:rFonts w:ascii="Open Sans" w:eastAsia="Open Sans" w:hAnsi="Open Sans" w:cs="Open Sans"/>
                <w:color w:val="000000"/>
                <w:sz w:val="22"/>
                <w:szCs w:val="22"/>
              </w:rPr>
              <w:t>91.583 €</w:t>
            </w:r>
          </w:p>
        </w:tc>
      </w:tr>
      <w:tr w:rsidR="00F410D1" w14:paraId="2B8361D6" w14:textId="77777777">
        <w:trPr>
          <w:trHeight w:val="215"/>
        </w:trPr>
        <w:tc>
          <w:tcPr>
            <w:tcW w:w="1833" w:type="dxa"/>
            <w:shd w:val="clear" w:color="auto" w:fill="ACB9CA"/>
            <w:vAlign w:val="bottom"/>
          </w:tcPr>
          <w:p w14:paraId="50709657" w14:textId="77777777" w:rsidR="00F410D1" w:rsidRDefault="007C5140">
            <w:pPr>
              <w:rPr>
                <w:rFonts w:ascii="Open Sans" w:eastAsia="Open Sans" w:hAnsi="Open Sans" w:cs="Open Sans"/>
                <w:b/>
                <w:color w:val="000000"/>
                <w:sz w:val="22"/>
                <w:szCs w:val="22"/>
              </w:rPr>
            </w:pPr>
            <w:r>
              <w:rPr>
                <w:rFonts w:ascii="Open Sans" w:eastAsia="Open Sans" w:hAnsi="Open Sans" w:cs="Open Sans"/>
                <w:b/>
                <w:color w:val="000000"/>
                <w:sz w:val="22"/>
                <w:szCs w:val="22"/>
              </w:rPr>
              <w:t>España</w:t>
            </w:r>
          </w:p>
        </w:tc>
        <w:tc>
          <w:tcPr>
            <w:tcW w:w="1843" w:type="dxa"/>
            <w:shd w:val="clear" w:color="auto" w:fill="ACB9CA"/>
            <w:vAlign w:val="bottom"/>
          </w:tcPr>
          <w:p w14:paraId="0A445BD4" w14:textId="77777777" w:rsidR="00F410D1" w:rsidRDefault="007C514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231.396 €</w:t>
            </w:r>
          </w:p>
        </w:tc>
        <w:tc>
          <w:tcPr>
            <w:tcW w:w="1843" w:type="dxa"/>
            <w:shd w:val="clear" w:color="auto" w:fill="ACB9CA"/>
            <w:vAlign w:val="bottom"/>
          </w:tcPr>
          <w:p w14:paraId="7B838DC8" w14:textId="77777777" w:rsidR="00F410D1" w:rsidRDefault="007C514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168.969 €</w:t>
            </w:r>
          </w:p>
        </w:tc>
        <w:tc>
          <w:tcPr>
            <w:tcW w:w="1701" w:type="dxa"/>
            <w:shd w:val="clear" w:color="auto" w:fill="ACB9CA"/>
            <w:vAlign w:val="bottom"/>
          </w:tcPr>
          <w:p w14:paraId="00E33396" w14:textId="77777777" w:rsidR="00F410D1" w:rsidRDefault="007C514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131.950 €</w:t>
            </w:r>
          </w:p>
        </w:tc>
        <w:tc>
          <w:tcPr>
            <w:tcW w:w="1762" w:type="dxa"/>
            <w:shd w:val="clear" w:color="auto" w:fill="ACB9CA"/>
            <w:vAlign w:val="bottom"/>
          </w:tcPr>
          <w:p w14:paraId="273EB3C5" w14:textId="77777777" w:rsidR="00F410D1" w:rsidRDefault="007C5140">
            <w:pPr>
              <w:jc w:val="center"/>
              <w:rPr>
                <w:rFonts w:ascii="Open Sans" w:eastAsia="Open Sans" w:hAnsi="Open Sans" w:cs="Open Sans"/>
                <w:b/>
                <w:color w:val="FF0000"/>
                <w:sz w:val="22"/>
                <w:szCs w:val="22"/>
              </w:rPr>
            </w:pPr>
            <w:r>
              <w:rPr>
                <w:rFonts w:ascii="Open Sans" w:eastAsia="Open Sans" w:hAnsi="Open Sans" w:cs="Open Sans"/>
                <w:color w:val="000000"/>
                <w:sz w:val="22"/>
                <w:szCs w:val="22"/>
              </w:rPr>
              <w:t>152.579 €</w:t>
            </w:r>
          </w:p>
        </w:tc>
      </w:tr>
    </w:tbl>
    <w:p w14:paraId="2D24BD59" w14:textId="77777777" w:rsidR="00F410D1" w:rsidRDefault="007C514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lastRenderedPageBreak/>
        <w:t>Los baleares son los más afectados por el incremento de la venta</w:t>
      </w:r>
    </w:p>
    <w:p w14:paraId="7580DD70" w14:textId="77777777" w:rsidR="00F410D1" w:rsidRDefault="007C514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cuanto a las comunidades autónomas que han visto incrementar el acumulativo del precio de la vivienda en venta en los últimos 5 años, dos de ellas superan la subida del 30%, según el estudio de </w:t>
      </w:r>
      <w:hyperlink r:id="rId14">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r>
        <w:rPr>
          <w:rFonts w:ascii="Open Sans" w:eastAsia="Open Sans" w:hAnsi="Open Sans" w:cs="Open Sans"/>
          <w:color w:val="FF0000"/>
          <w:sz w:val="22"/>
          <w:szCs w:val="22"/>
        </w:rPr>
        <w:t xml:space="preserve"> </w:t>
      </w:r>
      <w:r>
        <w:rPr>
          <w:rFonts w:ascii="Open Sans" w:eastAsia="Open Sans" w:hAnsi="Open Sans" w:cs="Open Sans"/>
          <w:color w:val="000000"/>
          <w:sz w:val="22"/>
          <w:szCs w:val="22"/>
        </w:rPr>
        <w:t xml:space="preserve">Así, los compradores de Baleares (45%) y Madrid (38%) son los que más han pagado por la compra de una vivienda en 2021. </w:t>
      </w:r>
    </w:p>
    <w:p w14:paraId="6BBC1748" w14:textId="77777777" w:rsidR="00F410D1" w:rsidRDefault="007C514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Si analizamos los que se paga por una vivienda en venta en Baleares, vemos que </w:t>
      </w:r>
      <w:r>
        <w:rPr>
          <w:rFonts w:ascii="Open Sans" w:eastAsia="Open Sans" w:hAnsi="Open Sans" w:cs="Open Sans"/>
          <w:b/>
          <w:color w:val="000000"/>
          <w:sz w:val="22"/>
          <w:szCs w:val="22"/>
        </w:rPr>
        <w:t>el precio medio del metro cuadrado se situaba en 1.996 €/m</w:t>
      </w:r>
      <w:r>
        <w:rPr>
          <w:rFonts w:ascii="Open Sans" w:eastAsia="Open Sans" w:hAnsi="Open Sans" w:cs="Open Sans"/>
          <w:b/>
          <w:color w:val="000000"/>
          <w:sz w:val="22"/>
          <w:szCs w:val="22"/>
          <w:vertAlign w:val="superscript"/>
        </w:rPr>
        <w:t>2</w:t>
      </w:r>
      <w:r>
        <w:rPr>
          <w:rFonts w:ascii="Open Sans" w:eastAsia="Open Sans" w:hAnsi="Open Sans" w:cs="Open Sans"/>
          <w:b/>
          <w:color w:val="000000"/>
          <w:sz w:val="22"/>
          <w:szCs w:val="22"/>
        </w:rPr>
        <w:t xml:space="preserve"> en diciembre de 2016 frente a los 2.890 €/m</w:t>
      </w:r>
      <w:r>
        <w:rPr>
          <w:rFonts w:ascii="Open Sans" w:eastAsia="Open Sans" w:hAnsi="Open Sans" w:cs="Open Sans"/>
          <w:b/>
          <w:color w:val="000000"/>
          <w:sz w:val="22"/>
          <w:szCs w:val="22"/>
          <w:vertAlign w:val="superscript"/>
        </w:rPr>
        <w:t>2</w:t>
      </w:r>
      <w:r>
        <w:rPr>
          <w:rFonts w:ascii="Open Sans" w:eastAsia="Open Sans" w:hAnsi="Open Sans" w:cs="Open Sans"/>
          <w:b/>
          <w:color w:val="000000"/>
          <w:sz w:val="22"/>
          <w:szCs w:val="22"/>
        </w:rPr>
        <w:t xml:space="preserve"> de diciembre de 2021, </w:t>
      </w:r>
      <w:r>
        <w:rPr>
          <w:rFonts w:ascii="Open Sans" w:eastAsia="Open Sans" w:hAnsi="Open Sans" w:cs="Open Sans"/>
          <w:color w:val="000000"/>
          <w:sz w:val="22"/>
          <w:szCs w:val="22"/>
        </w:rPr>
        <w:t xml:space="preserve">es decir, un encarecimiento de un 45% en apenas 5 años. </w:t>
      </w:r>
    </w:p>
    <w:p w14:paraId="29D62044" w14:textId="7DDB6BA9" w:rsidR="00F410D1" w:rsidRDefault="007C514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dos comunidades autónomas no han presentado aumentos acumulativos en los últimos 16 años de toda la serie histórica del Índice Inmobiliario Fotocasa y son: Asturias (-1%) y Murcia (-0,005%) en 2016.  </w:t>
      </w:r>
    </w:p>
    <w:p w14:paraId="65BE35AB" w14:textId="77777777" w:rsidR="002B1D59" w:rsidRDefault="002B1D59">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680B2CE8" w14:textId="77777777" w:rsidR="00F410D1" w:rsidRPr="00D90F30" w:rsidRDefault="007C514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32"/>
          <w:szCs w:val="32"/>
        </w:rPr>
      </w:pPr>
      <w:r w:rsidRPr="00D90F30">
        <w:rPr>
          <w:rFonts w:ascii="National" w:eastAsia="National" w:hAnsi="National" w:cs="National"/>
          <w:b/>
          <w:color w:val="303AB2"/>
          <w:sz w:val="32"/>
          <w:szCs w:val="32"/>
        </w:rPr>
        <w:t>Comparativa del acumulativo de la vivienda en venta en España</w:t>
      </w:r>
    </w:p>
    <w:p w14:paraId="0FC6A6A3" w14:textId="77777777" w:rsidR="00F410D1" w:rsidRDefault="007C514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03C318D2" wp14:editId="6E9BE45D">
            <wp:extent cx="5428400" cy="230995"/>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428400" cy="230995"/>
                    </a:xfrm>
                    <a:prstGeom prst="rect">
                      <a:avLst/>
                    </a:prstGeom>
                    <a:ln/>
                  </pic:spPr>
                </pic:pic>
              </a:graphicData>
            </a:graphic>
          </wp:inline>
        </w:drawing>
      </w:r>
    </w:p>
    <w:p w14:paraId="52F37356" w14:textId="77777777" w:rsidR="00F410D1" w:rsidRDefault="007C514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National" w:eastAsia="National" w:hAnsi="National" w:cs="National"/>
          <w:b/>
          <w:noProof/>
          <w:color w:val="303AB2"/>
          <w:sz w:val="30"/>
          <w:szCs w:val="30"/>
        </w:rPr>
        <w:drawing>
          <wp:inline distT="0" distB="0" distL="0" distR="0" wp14:anchorId="6D94A6D7" wp14:editId="7AD16509">
            <wp:extent cx="5396230" cy="2313892"/>
            <wp:effectExtent l="0" t="0" r="0" b="0"/>
            <wp:docPr id="18" name="image2.png" descr="Un dibujo de una person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Un dibujo de una persona&#10;&#10;Descripción generada automáticamente con confianza baja"/>
                    <pic:cNvPicPr preferRelativeResize="0"/>
                  </pic:nvPicPr>
                  <pic:blipFill>
                    <a:blip r:embed="rId16"/>
                    <a:srcRect/>
                    <a:stretch>
                      <a:fillRect/>
                    </a:stretch>
                  </pic:blipFill>
                  <pic:spPr>
                    <a:xfrm>
                      <a:off x="0" y="0"/>
                      <a:ext cx="5396230" cy="2313892"/>
                    </a:xfrm>
                    <a:prstGeom prst="rect">
                      <a:avLst/>
                    </a:prstGeom>
                    <a:ln/>
                  </pic:spPr>
                </pic:pic>
              </a:graphicData>
            </a:graphic>
          </wp:inline>
        </w:drawing>
      </w:r>
    </w:p>
    <w:p w14:paraId="6FCBC811" w14:textId="1D28846E" w:rsidR="00F410D1" w:rsidRPr="00D90F30" w:rsidRDefault="007C5140" w:rsidP="00D90F3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14:anchorId="4E1E0FDE" wp14:editId="72538C64">
            <wp:extent cx="6020170" cy="2683695"/>
            <wp:effectExtent l="0" t="0" r="0" b="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6020170" cy="2683695"/>
                    </a:xfrm>
                    <a:prstGeom prst="rect">
                      <a:avLst/>
                    </a:prstGeom>
                    <a:ln/>
                  </pic:spPr>
                </pic:pic>
              </a:graphicData>
            </a:graphic>
          </wp:inline>
        </w:drawing>
      </w:r>
    </w:p>
    <w:p w14:paraId="2C2F0D3B" w14:textId="179B8755" w:rsidR="00F410D1" w:rsidRDefault="007C5140" w:rsidP="00D90F3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30"/>
          <w:szCs w:val="30"/>
        </w:rPr>
      </w:pPr>
      <w:r>
        <w:rPr>
          <w:rFonts w:ascii="Times New Roman" w:eastAsia="Times New Roman" w:hAnsi="Times New Roman" w:cs="Times New Roman"/>
          <w:noProof/>
          <w:color w:val="000000"/>
        </w:rPr>
        <w:drawing>
          <wp:inline distT="0" distB="0" distL="0" distR="0" wp14:anchorId="0A3DC2E1" wp14:editId="7E69F09A">
            <wp:extent cx="4599661" cy="19573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599661" cy="195730"/>
                    </a:xfrm>
                    <a:prstGeom prst="rect">
                      <a:avLst/>
                    </a:prstGeom>
                    <a:ln/>
                  </pic:spPr>
                </pic:pic>
              </a:graphicData>
            </a:graphic>
          </wp:inline>
        </w:drawing>
      </w:r>
    </w:p>
    <w:p w14:paraId="44A37E47" w14:textId="77777777" w:rsidR="00D90F30" w:rsidRDefault="00D90F30" w:rsidP="00D90F3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30"/>
          <w:szCs w:val="30"/>
        </w:rPr>
      </w:pPr>
    </w:p>
    <w:p w14:paraId="241B5EE3" w14:textId="77777777" w:rsidR="00F410D1" w:rsidRDefault="007C514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color w:val="303AB2"/>
          <w:sz w:val="30"/>
          <w:szCs w:val="30"/>
        </w:rPr>
        <w:t>Por capitales de provincia</w:t>
      </w:r>
    </w:p>
    <w:p w14:paraId="4913E4C2" w14:textId="77777777" w:rsidR="00F410D1" w:rsidRDefault="007C514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Palma de Mallorca y Málaga capital son las únicas ciudades de España cuyo incremento acumulativo de la vivienda en venta es superior al 40%. Por un lado, la vivienda en Palma de Mallorca incrementa su valor un 48% desde 2016 y, por otro lado, la ciudad de Málaga lo hace un 46%, según el estudio de </w:t>
      </w:r>
      <w:hyperlink r:id="rId18">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w:t>
      </w:r>
    </w:p>
    <w:p w14:paraId="1B3BCC75" w14:textId="77777777" w:rsidR="00F410D1" w:rsidRDefault="007C514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una vivienda de 80 metros cuadrados en régimen de venta en Palma de Mallorca se pagaba 168.878 euros hace 5 años (2.111 €/m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2016), mientras que en 2021 se ha pagado 249.138 euros (3.114 €/m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2021).</w:t>
      </w:r>
    </w:p>
    <w:p w14:paraId="601F6025" w14:textId="77777777" w:rsidR="00F410D1" w:rsidRDefault="007C514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Las diez ciudades con mayor incremento acumulativo de venta en España los últimos 5 años (desde 2016) son: Palma de Mallorca (48%), Málaga capital (46%), Madrid capital (39%), Girona capital (37%), Valencia capital (32%), Vitoria – Gasteiz (30%), Donostia - San Sebastián (29%), Las Palmas de Gran Canaria (29%), Pamplona / Iruña (27%) y Cádiz capital (24%).</w:t>
      </w:r>
    </w:p>
    <w:p w14:paraId="2EB85BC3" w14:textId="4D1DC3F3" w:rsidR="00F410D1" w:rsidRDefault="007C514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las ciudades con descensos acumulativos en el precio de la vivienda en venta desde 2016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Teruel capital (-8,2%), Jaén capital (-5,7%), Zamora capital (-5,5%), Soria capital (-4,9%), Ávila capital (-1,1%) y Ciudad Real capital (-0,3%).</w:t>
      </w:r>
    </w:p>
    <w:p w14:paraId="09F33186" w14:textId="4F303EB0" w:rsidR="002B1D59" w:rsidRDefault="002B1D59">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08E1B810" w14:textId="77777777" w:rsidR="00D90F30" w:rsidRDefault="00D90F3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71A50607" w14:textId="77777777" w:rsidR="00F410D1" w:rsidRDefault="007C514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Capitales con porcentaje (%) acumulativo</w:t>
      </w:r>
      <w:r>
        <w:rPr>
          <w:rFonts w:ascii="National" w:eastAsia="National" w:hAnsi="National" w:cs="National"/>
          <w:b/>
          <w:color w:val="FF0000"/>
          <w:sz w:val="28"/>
          <w:szCs w:val="28"/>
        </w:rPr>
        <w:t xml:space="preserve"> </w:t>
      </w:r>
    </w:p>
    <w:p w14:paraId="62E5319A" w14:textId="77777777" w:rsidR="00F410D1" w:rsidRDefault="00F410D1">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1"/>
        <w:tblW w:w="9034"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117"/>
        <w:gridCol w:w="1701"/>
        <w:gridCol w:w="1701"/>
        <w:gridCol w:w="1701"/>
        <w:gridCol w:w="1814"/>
      </w:tblGrid>
      <w:tr w:rsidR="00F410D1" w14:paraId="6DAEA4F5" w14:textId="77777777">
        <w:trPr>
          <w:trHeight w:val="772"/>
        </w:trPr>
        <w:tc>
          <w:tcPr>
            <w:tcW w:w="2117" w:type="dxa"/>
            <w:shd w:val="clear" w:color="auto" w:fill="ACB9CA"/>
            <w:vAlign w:val="center"/>
          </w:tcPr>
          <w:p w14:paraId="0DACD2EA" w14:textId="77777777" w:rsidR="00F410D1" w:rsidRDefault="007C5140">
            <w:pPr>
              <w:rPr>
                <w:rFonts w:ascii="Open Sans" w:eastAsia="Open Sans" w:hAnsi="Open Sans" w:cs="Open Sans"/>
                <w:b/>
                <w:color w:val="0D0D0D"/>
                <w:sz w:val="20"/>
                <w:szCs w:val="20"/>
              </w:rPr>
            </w:pPr>
            <w:r>
              <w:rPr>
                <w:rFonts w:ascii="Open Sans" w:eastAsia="Open Sans" w:hAnsi="Open Sans" w:cs="Open Sans"/>
                <w:color w:val="0D0D0D"/>
                <w:sz w:val="20"/>
                <w:szCs w:val="20"/>
              </w:rPr>
              <w:t>Ciudad</w:t>
            </w:r>
          </w:p>
        </w:tc>
        <w:tc>
          <w:tcPr>
            <w:tcW w:w="1701" w:type="dxa"/>
            <w:shd w:val="clear" w:color="auto" w:fill="ACB9CA"/>
          </w:tcPr>
          <w:p w14:paraId="3A24190D" w14:textId="77777777" w:rsidR="00F410D1" w:rsidRDefault="007C5140">
            <w:pPr>
              <w:jc w:val="center"/>
              <w:rPr>
                <w:rFonts w:ascii="Open Sans" w:eastAsia="Open Sans" w:hAnsi="Open Sans" w:cs="Open Sans"/>
                <w:b/>
                <w:color w:val="0D0D0D"/>
                <w:sz w:val="20"/>
                <w:szCs w:val="20"/>
              </w:rPr>
            </w:pPr>
            <w:r>
              <w:rPr>
                <w:rFonts w:ascii="Open Sans" w:eastAsia="Open Sans" w:hAnsi="Open Sans" w:cs="Open Sans"/>
                <w:color w:val="0D0D0D"/>
                <w:sz w:val="20"/>
                <w:szCs w:val="20"/>
              </w:rPr>
              <w:t xml:space="preserve">(%) Acumulativo      15 años          </w:t>
            </w:r>
            <w:proofErr w:type="gramStart"/>
            <w:r>
              <w:rPr>
                <w:rFonts w:ascii="Open Sans" w:eastAsia="Open Sans" w:hAnsi="Open Sans" w:cs="Open Sans"/>
                <w:color w:val="0D0D0D"/>
                <w:sz w:val="20"/>
                <w:szCs w:val="20"/>
              </w:rPr>
              <w:t xml:space="preserve">   (</w:t>
            </w:r>
            <w:proofErr w:type="gramEnd"/>
            <w:r>
              <w:rPr>
                <w:rFonts w:ascii="Open Sans" w:eastAsia="Open Sans" w:hAnsi="Open Sans" w:cs="Open Sans"/>
                <w:color w:val="0D0D0D"/>
                <w:sz w:val="20"/>
                <w:szCs w:val="20"/>
              </w:rPr>
              <w:t>2021 vs 2006)</w:t>
            </w:r>
          </w:p>
        </w:tc>
        <w:tc>
          <w:tcPr>
            <w:tcW w:w="1701" w:type="dxa"/>
            <w:shd w:val="clear" w:color="auto" w:fill="ACB9CA"/>
            <w:vAlign w:val="center"/>
          </w:tcPr>
          <w:p w14:paraId="15E1CA7D" w14:textId="77777777" w:rsidR="00F410D1" w:rsidRDefault="007C5140">
            <w:pPr>
              <w:jc w:val="center"/>
              <w:rPr>
                <w:rFonts w:ascii="Open Sans" w:eastAsia="Open Sans" w:hAnsi="Open Sans" w:cs="Open Sans"/>
                <w:b/>
                <w:color w:val="0D0D0D"/>
                <w:sz w:val="20"/>
                <w:szCs w:val="20"/>
              </w:rPr>
            </w:pPr>
            <w:r>
              <w:rPr>
                <w:rFonts w:ascii="Open Sans" w:eastAsia="Open Sans" w:hAnsi="Open Sans" w:cs="Open Sans"/>
                <w:color w:val="0D0D0D"/>
                <w:sz w:val="20"/>
                <w:szCs w:val="20"/>
              </w:rPr>
              <w:t xml:space="preserve">(%) Acumulativo      10 años          </w:t>
            </w:r>
            <w:proofErr w:type="gramStart"/>
            <w:r>
              <w:rPr>
                <w:rFonts w:ascii="Open Sans" w:eastAsia="Open Sans" w:hAnsi="Open Sans" w:cs="Open Sans"/>
                <w:color w:val="0D0D0D"/>
                <w:sz w:val="20"/>
                <w:szCs w:val="20"/>
              </w:rPr>
              <w:t xml:space="preserve">   (</w:t>
            </w:r>
            <w:proofErr w:type="gramEnd"/>
            <w:r>
              <w:rPr>
                <w:rFonts w:ascii="Open Sans" w:eastAsia="Open Sans" w:hAnsi="Open Sans" w:cs="Open Sans"/>
                <w:color w:val="0D0D0D"/>
                <w:sz w:val="20"/>
                <w:szCs w:val="20"/>
              </w:rPr>
              <w:t>2021 vs 2011)</w:t>
            </w:r>
          </w:p>
        </w:tc>
        <w:tc>
          <w:tcPr>
            <w:tcW w:w="1701" w:type="dxa"/>
            <w:shd w:val="clear" w:color="auto" w:fill="ACB9CA"/>
            <w:vAlign w:val="center"/>
          </w:tcPr>
          <w:p w14:paraId="1221CAD2" w14:textId="77777777" w:rsidR="00F410D1" w:rsidRDefault="007C5140">
            <w:pPr>
              <w:jc w:val="center"/>
              <w:rPr>
                <w:rFonts w:ascii="Open Sans" w:eastAsia="Open Sans" w:hAnsi="Open Sans" w:cs="Open Sans"/>
                <w:b/>
                <w:color w:val="0D0D0D"/>
                <w:sz w:val="20"/>
                <w:szCs w:val="20"/>
              </w:rPr>
            </w:pPr>
            <w:r>
              <w:rPr>
                <w:rFonts w:ascii="Open Sans" w:eastAsia="Open Sans" w:hAnsi="Open Sans" w:cs="Open Sans"/>
                <w:color w:val="0D0D0D"/>
                <w:sz w:val="20"/>
                <w:szCs w:val="20"/>
              </w:rPr>
              <w:t xml:space="preserve">(%) Acumulativo      5 años          </w:t>
            </w:r>
            <w:proofErr w:type="gramStart"/>
            <w:r>
              <w:rPr>
                <w:rFonts w:ascii="Open Sans" w:eastAsia="Open Sans" w:hAnsi="Open Sans" w:cs="Open Sans"/>
                <w:color w:val="0D0D0D"/>
                <w:sz w:val="20"/>
                <w:szCs w:val="20"/>
              </w:rPr>
              <w:t xml:space="preserve">   (</w:t>
            </w:r>
            <w:proofErr w:type="gramEnd"/>
            <w:r>
              <w:rPr>
                <w:rFonts w:ascii="Open Sans" w:eastAsia="Open Sans" w:hAnsi="Open Sans" w:cs="Open Sans"/>
                <w:color w:val="0D0D0D"/>
                <w:sz w:val="20"/>
                <w:szCs w:val="20"/>
              </w:rPr>
              <w:t>2021 vs 2016)</w:t>
            </w:r>
          </w:p>
        </w:tc>
        <w:tc>
          <w:tcPr>
            <w:tcW w:w="1814" w:type="dxa"/>
            <w:shd w:val="clear" w:color="auto" w:fill="ACB9CA"/>
            <w:vAlign w:val="center"/>
          </w:tcPr>
          <w:p w14:paraId="356E909D" w14:textId="77777777" w:rsidR="00F410D1" w:rsidRDefault="007C5140">
            <w:pPr>
              <w:jc w:val="center"/>
              <w:rPr>
                <w:rFonts w:ascii="Open Sans" w:eastAsia="Open Sans" w:hAnsi="Open Sans" w:cs="Open Sans"/>
                <w:b/>
                <w:color w:val="0D0D0D"/>
                <w:sz w:val="20"/>
                <w:szCs w:val="20"/>
              </w:rPr>
            </w:pPr>
            <w:r>
              <w:rPr>
                <w:rFonts w:ascii="Open Sans" w:eastAsia="Open Sans" w:hAnsi="Open Sans" w:cs="Open Sans"/>
                <w:color w:val="0D0D0D"/>
                <w:sz w:val="20"/>
                <w:szCs w:val="20"/>
              </w:rPr>
              <w:t xml:space="preserve">(%) Acumulativo      1 año         </w:t>
            </w:r>
            <w:proofErr w:type="gramStart"/>
            <w:r>
              <w:rPr>
                <w:rFonts w:ascii="Open Sans" w:eastAsia="Open Sans" w:hAnsi="Open Sans" w:cs="Open Sans"/>
                <w:color w:val="0D0D0D"/>
                <w:sz w:val="20"/>
                <w:szCs w:val="20"/>
              </w:rPr>
              <w:t xml:space="preserve">   (</w:t>
            </w:r>
            <w:proofErr w:type="gramEnd"/>
            <w:r>
              <w:rPr>
                <w:rFonts w:ascii="Open Sans" w:eastAsia="Open Sans" w:hAnsi="Open Sans" w:cs="Open Sans"/>
                <w:color w:val="0D0D0D"/>
                <w:sz w:val="20"/>
                <w:szCs w:val="20"/>
              </w:rPr>
              <w:t>2021 vs 2021)</w:t>
            </w:r>
          </w:p>
        </w:tc>
      </w:tr>
      <w:tr w:rsidR="00F410D1" w14:paraId="4AB5CCEE" w14:textId="77777777">
        <w:trPr>
          <w:trHeight w:val="226"/>
        </w:trPr>
        <w:tc>
          <w:tcPr>
            <w:tcW w:w="2117" w:type="dxa"/>
            <w:shd w:val="clear" w:color="auto" w:fill="auto"/>
            <w:vAlign w:val="bottom"/>
          </w:tcPr>
          <w:p w14:paraId="5FFB479C"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1701" w:type="dxa"/>
            <w:vAlign w:val="bottom"/>
          </w:tcPr>
          <w:p w14:paraId="45F7083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-9%</w:t>
            </w:r>
          </w:p>
        </w:tc>
        <w:tc>
          <w:tcPr>
            <w:tcW w:w="1701" w:type="dxa"/>
            <w:vAlign w:val="bottom"/>
          </w:tcPr>
          <w:p w14:paraId="3102BF9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701" w:type="dxa"/>
            <w:shd w:val="clear" w:color="auto" w:fill="auto"/>
            <w:vAlign w:val="bottom"/>
          </w:tcPr>
          <w:p w14:paraId="517D7BC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814" w:type="dxa"/>
            <w:vAlign w:val="bottom"/>
          </w:tcPr>
          <w:p w14:paraId="5602F675"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5,0%</w:t>
            </w:r>
          </w:p>
        </w:tc>
      </w:tr>
      <w:tr w:rsidR="00F410D1" w14:paraId="77306AC9" w14:textId="77777777">
        <w:trPr>
          <w:trHeight w:val="226"/>
        </w:trPr>
        <w:tc>
          <w:tcPr>
            <w:tcW w:w="2117" w:type="dxa"/>
            <w:shd w:val="clear" w:color="auto" w:fill="auto"/>
            <w:vAlign w:val="bottom"/>
          </w:tcPr>
          <w:p w14:paraId="3B83ABEA"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Cádiz capital</w:t>
            </w:r>
          </w:p>
        </w:tc>
        <w:tc>
          <w:tcPr>
            <w:tcW w:w="1701" w:type="dxa"/>
            <w:vAlign w:val="bottom"/>
          </w:tcPr>
          <w:p w14:paraId="4567079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1701" w:type="dxa"/>
            <w:vAlign w:val="bottom"/>
          </w:tcPr>
          <w:p w14:paraId="1C9B5F6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-2,5%</w:t>
            </w:r>
          </w:p>
        </w:tc>
        <w:tc>
          <w:tcPr>
            <w:tcW w:w="1701" w:type="dxa"/>
            <w:shd w:val="clear" w:color="auto" w:fill="auto"/>
            <w:vAlign w:val="bottom"/>
          </w:tcPr>
          <w:p w14:paraId="0FA7148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1814" w:type="dxa"/>
            <w:vAlign w:val="bottom"/>
          </w:tcPr>
          <w:p w14:paraId="17CB8EC2"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5,3%</w:t>
            </w:r>
          </w:p>
        </w:tc>
      </w:tr>
      <w:tr w:rsidR="00F410D1" w14:paraId="0212E1A9" w14:textId="77777777">
        <w:trPr>
          <w:trHeight w:val="226"/>
        </w:trPr>
        <w:tc>
          <w:tcPr>
            <w:tcW w:w="2117" w:type="dxa"/>
            <w:shd w:val="clear" w:color="auto" w:fill="auto"/>
            <w:vAlign w:val="bottom"/>
          </w:tcPr>
          <w:p w14:paraId="177D97B5"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1701" w:type="dxa"/>
            <w:vAlign w:val="bottom"/>
          </w:tcPr>
          <w:p w14:paraId="4831C9C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-24%</w:t>
            </w:r>
          </w:p>
        </w:tc>
        <w:tc>
          <w:tcPr>
            <w:tcW w:w="1701" w:type="dxa"/>
            <w:vAlign w:val="bottom"/>
          </w:tcPr>
          <w:p w14:paraId="3917AF8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-9,1%</w:t>
            </w:r>
          </w:p>
        </w:tc>
        <w:tc>
          <w:tcPr>
            <w:tcW w:w="1701" w:type="dxa"/>
            <w:shd w:val="clear" w:color="auto" w:fill="auto"/>
            <w:vAlign w:val="bottom"/>
          </w:tcPr>
          <w:p w14:paraId="5CB51FF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1814" w:type="dxa"/>
            <w:vAlign w:val="bottom"/>
          </w:tcPr>
          <w:p w14:paraId="2B98055F"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0,6%</w:t>
            </w:r>
          </w:p>
        </w:tc>
      </w:tr>
      <w:tr w:rsidR="00F410D1" w14:paraId="0FC1E28D" w14:textId="77777777">
        <w:trPr>
          <w:trHeight w:val="226"/>
        </w:trPr>
        <w:tc>
          <w:tcPr>
            <w:tcW w:w="2117" w:type="dxa"/>
            <w:shd w:val="clear" w:color="auto" w:fill="auto"/>
            <w:vAlign w:val="bottom"/>
          </w:tcPr>
          <w:p w14:paraId="2967C333"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1701" w:type="dxa"/>
            <w:vAlign w:val="bottom"/>
          </w:tcPr>
          <w:p w14:paraId="0CB834D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-31%</w:t>
            </w:r>
          </w:p>
        </w:tc>
        <w:tc>
          <w:tcPr>
            <w:tcW w:w="1701" w:type="dxa"/>
            <w:vAlign w:val="bottom"/>
          </w:tcPr>
          <w:p w14:paraId="11D057F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-9,4%</w:t>
            </w:r>
          </w:p>
        </w:tc>
        <w:tc>
          <w:tcPr>
            <w:tcW w:w="1701" w:type="dxa"/>
            <w:shd w:val="clear" w:color="auto" w:fill="auto"/>
            <w:vAlign w:val="bottom"/>
          </w:tcPr>
          <w:p w14:paraId="00CAED6F"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814" w:type="dxa"/>
            <w:vAlign w:val="bottom"/>
          </w:tcPr>
          <w:p w14:paraId="04035ADF"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1,3%</w:t>
            </w:r>
          </w:p>
        </w:tc>
      </w:tr>
      <w:tr w:rsidR="00F410D1" w14:paraId="60AA9504" w14:textId="77777777">
        <w:trPr>
          <w:trHeight w:val="226"/>
        </w:trPr>
        <w:tc>
          <w:tcPr>
            <w:tcW w:w="2117" w:type="dxa"/>
            <w:shd w:val="clear" w:color="auto" w:fill="auto"/>
            <w:vAlign w:val="bottom"/>
          </w:tcPr>
          <w:p w14:paraId="1C1CE96A"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Huelva capital</w:t>
            </w:r>
          </w:p>
        </w:tc>
        <w:tc>
          <w:tcPr>
            <w:tcW w:w="1701" w:type="dxa"/>
            <w:vAlign w:val="bottom"/>
          </w:tcPr>
          <w:p w14:paraId="1C3345D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-40%</w:t>
            </w:r>
          </w:p>
        </w:tc>
        <w:tc>
          <w:tcPr>
            <w:tcW w:w="1701" w:type="dxa"/>
            <w:vAlign w:val="bottom"/>
          </w:tcPr>
          <w:p w14:paraId="760ABC8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-24%</w:t>
            </w:r>
          </w:p>
        </w:tc>
        <w:tc>
          <w:tcPr>
            <w:tcW w:w="1701" w:type="dxa"/>
            <w:shd w:val="clear" w:color="auto" w:fill="auto"/>
            <w:vAlign w:val="bottom"/>
          </w:tcPr>
          <w:p w14:paraId="14EF006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814" w:type="dxa"/>
            <w:vAlign w:val="bottom"/>
          </w:tcPr>
          <w:p w14:paraId="2FEE366C"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-2,8%</w:t>
            </w:r>
          </w:p>
        </w:tc>
      </w:tr>
      <w:tr w:rsidR="00F410D1" w14:paraId="44D94DC4" w14:textId="77777777">
        <w:trPr>
          <w:trHeight w:val="226"/>
        </w:trPr>
        <w:tc>
          <w:tcPr>
            <w:tcW w:w="2117" w:type="dxa"/>
            <w:shd w:val="clear" w:color="auto" w:fill="auto"/>
            <w:vAlign w:val="bottom"/>
          </w:tcPr>
          <w:p w14:paraId="0B2394BF"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1701" w:type="dxa"/>
            <w:vAlign w:val="bottom"/>
          </w:tcPr>
          <w:p w14:paraId="6F0E122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-42%</w:t>
            </w:r>
          </w:p>
        </w:tc>
        <w:tc>
          <w:tcPr>
            <w:tcW w:w="1701" w:type="dxa"/>
            <w:vAlign w:val="bottom"/>
          </w:tcPr>
          <w:p w14:paraId="09DAD61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1701" w:type="dxa"/>
            <w:shd w:val="clear" w:color="auto" w:fill="auto"/>
            <w:vAlign w:val="bottom"/>
          </w:tcPr>
          <w:p w14:paraId="2B549A5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814" w:type="dxa"/>
            <w:vAlign w:val="bottom"/>
          </w:tcPr>
          <w:p w14:paraId="67B27903"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2,2%</w:t>
            </w:r>
          </w:p>
        </w:tc>
      </w:tr>
      <w:tr w:rsidR="00F410D1" w14:paraId="4A1350C3" w14:textId="77777777">
        <w:trPr>
          <w:trHeight w:val="226"/>
        </w:trPr>
        <w:tc>
          <w:tcPr>
            <w:tcW w:w="2117" w:type="dxa"/>
            <w:shd w:val="clear" w:color="auto" w:fill="auto"/>
            <w:vAlign w:val="bottom"/>
          </w:tcPr>
          <w:p w14:paraId="5F8944B3"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Almería capital</w:t>
            </w:r>
          </w:p>
        </w:tc>
        <w:tc>
          <w:tcPr>
            <w:tcW w:w="1701" w:type="dxa"/>
            <w:vAlign w:val="bottom"/>
          </w:tcPr>
          <w:p w14:paraId="301D617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-48%</w:t>
            </w:r>
          </w:p>
        </w:tc>
        <w:tc>
          <w:tcPr>
            <w:tcW w:w="1701" w:type="dxa"/>
            <w:vAlign w:val="bottom"/>
          </w:tcPr>
          <w:p w14:paraId="7230F54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1701" w:type="dxa"/>
            <w:shd w:val="clear" w:color="auto" w:fill="auto"/>
            <w:vAlign w:val="bottom"/>
          </w:tcPr>
          <w:p w14:paraId="5B3ED04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1814" w:type="dxa"/>
            <w:vAlign w:val="bottom"/>
          </w:tcPr>
          <w:p w14:paraId="13CA11A3"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0,4%</w:t>
            </w:r>
          </w:p>
        </w:tc>
      </w:tr>
      <w:tr w:rsidR="00F410D1" w14:paraId="361D34DD" w14:textId="77777777">
        <w:trPr>
          <w:trHeight w:val="226"/>
        </w:trPr>
        <w:tc>
          <w:tcPr>
            <w:tcW w:w="2117" w:type="dxa"/>
            <w:shd w:val="clear" w:color="auto" w:fill="auto"/>
            <w:vAlign w:val="bottom"/>
          </w:tcPr>
          <w:p w14:paraId="620E2BAB"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Jaén capital</w:t>
            </w:r>
          </w:p>
        </w:tc>
        <w:tc>
          <w:tcPr>
            <w:tcW w:w="1701" w:type="dxa"/>
            <w:vAlign w:val="bottom"/>
          </w:tcPr>
          <w:p w14:paraId="54AE2F5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-47%</w:t>
            </w:r>
          </w:p>
        </w:tc>
        <w:tc>
          <w:tcPr>
            <w:tcW w:w="1701" w:type="dxa"/>
            <w:vAlign w:val="bottom"/>
          </w:tcPr>
          <w:p w14:paraId="395BE05F"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-33%</w:t>
            </w:r>
          </w:p>
        </w:tc>
        <w:tc>
          <w:tcPr>
            <w:tcW w:w="1701" w:type="dxa"/>
            <w:shd w:val="clear" w:color="auto" w:fill="auto"/>
            <w:vAlign w:val="bottom"/>
          </w:tcPr>
          <w:p w14:paraId="14BB715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-5,7%</w:t>
            </w:r>
          </w:p>
        </w:tc>
        <w:tc>
          <w:tcPr>
            <w:tcW w:w="1814" w:type="dxa"/>
            <w:vAlign w:val="bottom"/>
          </w:tcPr>
          <w:p w14:paraId="75F79507"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-5,7%</w:t>
            </w:r>
          </w:p>
        </w:tc>
      </w:tr>
      <w:tr w:rsidR="00F410D1" w14:paraId="5F928462" w14:textId="77777777">
        <w:trPr>
          <w:trHeight w:val="226"/>
        </w:trPr>
        <w:tc>
          <w:tcPr>
            <w:tcW w:w="2117" w:type="dxa"/>
            <w:shd w:val="clear" w:color="auto" w:fill="auto"/>
            <w:vAlign w:val="bottom"/>
          </w:tcPr>
          <w:p w14:paraId="1981DDED"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Huesca capital</w:t>
            </w:r>
          </w:p>
        </w:tc>
        <w:tc>
          <w:tcPr>
            <w:tcW w:w="1701" w:type="dxa"/>
            <w:vAlign w:val="bottom"/>
          </w:tcPr>
          <w:p w14:paraId="262B863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-36%</w:t>
            </w:r>
          </w:p>
        </w:tc>
        <w:tc>
          <w:tcPr>
            <w:tcW w:w="1701" w:type="dxa"/>
            <w:vAlign w:val="bottom"/>
          </w:tcPr>
          <w:p w14:paraId="6EC7EF5F"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701" w:type="dxa"/>
            <w:shd w:val="clear" w:color="auto" w:fill="auto"/>
            <w:vAlign w:val="bottom"/>
          </w:tcPr>
          <w:p w14:paraId="07370D1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1814" w:type="dxa"/>
            <w:vAlign w:val="bottom"/>
          </w:tcPr>
          <w:p w14:paraId="65FE15AD"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17%</w:t>
            </w:r>
          </w:p>
        </w:tc>
      </w:tr>
      <w:tr w:rsidR="00F410D1" w14:paraId="37D9A397" w14:textId="77777777">
        <w:trPr>
          <w:trHeight w:val="226"/>
        </w:trPr>
        <w:tc>
          <w:tcPr>
            <w:tcW w:w="2117" w:type="dxa"/>
            <w:shd w:val="clear" w:color="auto" w:fill="auto"/>
            <w:vAlign w:val="bottom"/>
          </w:tcPr>
          <w:p w14:paraId="12ED8B15"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1701" w:type="dxa"/>
            <w:vAlign w:val="bottom"/>
          </w:tcPr>
          <w:p w14:paraId="3DFD523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-47%</w:t>
            </w:r>
          </w:p>
        </w:tc>
        <w:tc>
          <w:tcPr>
            <w:tcW w:w="1701" w:type="dxa"/>
            <w:vAlign w:val="bottom"/>
          </w:tcPr>
          <w:p w14:paraId="3A46BFB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1701" w:type="dxa"/>
            <w:shd w:val="clear" w:color="auto" w:fill="auto"/>
            <w:vAlign w:val="bottom"/>
          </w:tcPr>
          <w:p w14:paraId="4734FBB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814" w:type="dxa"/>
            <w:vAlign w:val="bottom"/>
          </w:tcPr>
          <w:p w14:paraId="56A94C1C"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3,1%</w:t>
            </w:r>
          </w:p>
        </w:tc>
      </w:tr>
      <w:tr w:rsidR="00F410D1" w14:paraId="485D976D" w14:textId="77777777">
        <w:trPr>
          <w:trHeight w:val="226"/>
        </w:trPr>
        <w:tc>
          <w:tcPr>
            <w:tcW w:w="2117" w:type="dxa"/>
            <w:shd w:val="clear" w:color="auto" w:fill="auto"/>
            <w:vAlign w:val="bottom"/>
          </w:tcPr>
          <w:p w14:paraId="3365B465"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Teruel capital</w:t>
            </w:r>
          </w:p>
        </w:tc>
        <w:tc>
          <w:tcPr>
            <w:tcW w:w="1701" w:type="dxa"/>
          </w:tcPr>
          <w:p w14:paraId="5FC646A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tcPr>
          <w:p w14:paraId="54925FB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0E6E0B6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-8,2%</w:t>
            </w:r>
          </w:p>
        </w:tc>
        <w:tc>
          <w:tcPr>
            <w:tcW w:w="1814" w:type="dxa"/>
            <w:vAlign w:val="bottom"/>
          </w:tcPr>
          <w:p w14:paraId="2EB7484E"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1,5%</w:t>
            </w:r>
          </w:p>
        </w:tc>
      </w:tr>
      <w:tr w:rsidR="00F410D1" w14:paraId="272F0780" w14:textId="77777777">
        <w:trPr>
          <w:trHeight w:val="226"/>
        </w:trPr>
        <w:tc>
          <w:tcPr>
            <w:tcW w:w="2117" w:type="dxa"/>
            <w:shd w:val="clear" w:color="auto" w:fill="auto"/>
            <w:vAlign w:val="bottom"/>
          </w:tcPr>
          <w:p w14:paraId="49870830"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1701" w:type="dxa"/>
            <w:vAlign w:val="bottom"/>
          </w:tcPr>
          <w:p w14:paraId="5C52003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-40%</w:t>
            </w:r>
          </w:p>
        </w:tc>
        <w:tc>
          <w:tcPr>
            <w:tcW w:w="1701" w:type="dxa"/>
            <w:vAlign w:val="bottom"/>
          </w:tcPr>
          <w:p w14:paraId="50E00617"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-22%</w:t>
            </w:r>
          </w:p>
        </w:tc>
        <w:tc>
          <w:tcPr>
            <w:tcW w:w="1701" w:type="dxa"/>
            <w:shd w:val="clear" w:color="auto" w:fill="auto"/>
            <w:vAlign w:val="bottom"/>
          </w:tcPr>
          <w:p w14:paraId="3D5689B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814" w:type="dxa"/>
            <w:vAlign w:val="bottom"/>
          </w:tcPr>
          <w:p w14:paraId="3BEDA711"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3,3%</w:t>
            </w:r>
          </w:p>
        </w:tc>
      </w:tr>
      <w:tr w:rsidR="00F410D1" w14:paraId="35079E05" w14:textId="77777777">
        <w:trPr>
          <w:trHeight w:val="226"/>
        </w:trPr>
        <w:tc>
          <w:tcPr>
            <w:tcW w:w="2117" w:type="dxa"/>
            <w:shd w:val="clear" w:color="auto" w:fill="auto"/>
            <w:vAlign w:val="bottom"/>
          </w:tcPr>
          <w:p w14:paraId="523F888C"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1701" w:type="dxa"/>
            <w:vAlign w:val="bottom"/>
          </w:tcPr>
          <w:p w14:paraId="6A6654E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701" w:type="dxa"/>
            <w:vAlign w:val="bottom"/>
          </w:tcPr>
          <w:p w14:paraId="72D3E6E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701" w:type="dxa"/>
            <w:shd w:val="clear" w:color="auto" w:fill="auto"/>
            <w:vAlign w:val="bottom"/>
          </w:tcPr>
          <w:p w14:paraId="464EF71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814" w:type="dxa"/>
            <w:vAlign w:val="bottom"/>
          </w:tcPr>
          <w:p w14:paraId="5E6A7497"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4,0%</w:t>
            </w:r>
          </w:p>
        </w:tc>
      </w:tr>
      <w:tr w:rsidR="00F410D1" w14:paraId="1A7FEEBE" w14:textId="77777777">
        <w:trPr>
          <w:trHeight w:val="226"/>
        </w:trPr>
        <w:tc>
          <w:tcPr>
            <w:tcW w:w="2117" w:type="dxa"/>
            <w:shd w:val="clear" w:color="auto" w:fill="auto"/>
            <w:vAlign w:val="bottom"/>
          </w:tcPr>
          <w:p w14:paraId="00460581"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1701" w:type="dxa"/>
            <w:vAlign w:val="bottom"/>
          </w:tcPr>
          <w:p w14:paraId="194DD79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701" w:type="dxa"/>
            <w:vAlign w:val="bottom"/>
          </w:tcPr>
          <w:p w14:paraId="5A55934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701" w:type="dxa"/>
            <w:shd w:val="clear" w:color="auto" w:fill="auto"/>
            <w:vAlign w:val="bottom"/>
          </w:tcPr>
          <w:p w14:paraId="1FFEF81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814" w:type="dxa"/>
            <w:vAlign w:val="bottom"/>
          </w:tcPr>
          <w:p w14:paraId="137F6CDC"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-2,0%</w:t>
            </w:r>
          </w:p>
        </w:tc>
      </w:tr>
      <w:tr w:rsidR="00F410D1" w14:paraId="28CFE447" w14:textId="77777777">
        <w:trPr>
          <w:trHeight w:val="226"/>
        </w:trPr>
        <w:tc>
          <w:tcPr>
            <w:tcW w:w="2117" w:type="dxa"/>
            <w:shd w:val="clear" w:color="auto" w:fill="auto"/>
            <w:vAlign w:val="bottom"/>
          </w:tcPr>
          <w:p w14:paraId="38F6B90E"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 capital</w:t>
            </w:r>
          </w:p>
        </w:tc>
        <w:tc>
          <w:tcPr>
            <w:tcW w:w="1701" w:type="dxa"/>
            <w:vAlign w:val="bottom"/>
          </w:tcPr>
          <w:p w14:paraId="6C26133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-27%</w:t>
            </w:r>
          </w:p>
        </w:tc>
        <w:tc>
          <w:tcPr>
            <w:tcW w:w="1701" w:type="dxa"/>
            <w:vAlign w:val="bottom"/>
          </w:tcPr>
          <w:p w14:paraId="0BBD247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1701" w:type="dxa"/>
            <w:shd w:val="clear" w:color="auto" w:fill="auto"/>
            <w:vAlign w:val="bottom"/>
          </w:tcPr>
          <w:p w14:paraId="722CB54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10,6%</w:t>
            </w:r>
          </w:p>
        </w:tc>
        <w:tc>
          <w:tcPr>
            <w:tcW w:w="1814" w:type="dxa"/>
            <w:vAlign w:val="bottom"/>
          </w:tcPr>
          <w:p w14:paraId="38337302"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-2,5%</w:t>
            </w:r>
          </w:p>
        </w:tc>
      </w:tr>
      <w:tr w:rsidR="00F410D1" w14:paraId="736EF866" w14:textId="77777777">
        <w:trPr>
          <w:trHeight w:val="226"/>
        </w:trPr>
        <w:tc>
          <w:tcPr>
            <w:tcW w:w="2117" w:type="dxa"/>
            <w:shd w:val="clear" w:color="auto" w:fill="auto"/>
            <w:vAlign w:val="bottom"/>
          </w:tcPr>
          <w:p w14:paraId="4A753562"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1701" w:type="dxa"/>
            <w:vAlign w:val="bottom"/>
          </w:tcPr>
          <w:p w14:paraId="0D8DD64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-31%</w:t>
            </w:r>
          </w:p>
        </w:tc>
        <w:tc>
          <w:tcPr>
            <w:tcW w:w="1701" w:type="dxa"/>
            <w:vAlign w:val="bottom"/>
          </w:tcPr>
          <w:p w14:paraId="15624E4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1701" w:type="dxa"/>
            <w:shd w:val="clear" w:color="auto" w:fill="auto"/>
            <w:vAlign w:val="bottom"/>
          </w:tcPr>
          <w:p w14:paraId="7762475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814" w:type="dxa"/>
            <w:vAlign w:val="bottom"/>
          </w:tcPr>
          <w:p w14:paraId="1056F7D9"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4,0%</w:t>
            </w:r>
          </w:p>
        </w:tc>
      </w:tr>
      <w:tr w:rsidR="00F410D1" w14:paraId="7099B0A2" w14:textId="77777777">
        <w:trPr>
          <w:trHeight w:val="226"/>
        </w:trPr>
        <w:tc>
          <w:tcPr>
            <w:tcW w:w="2117" w:type="dxa"/>
            <w:shd w:val="clear" w:color="auto" w:fill="auto"/>
            <w:vAlign w:val="bottom"/>
          </w:tcPr>
          <w:p w14:paraId="033C6695"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1701" w:type="dxa"/>
            <w:vAlign w:val="bottom"/>
          </w:tcPr>
          <w:p w14:paraId="3F38099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-33%</w:t>
            </w:r>
          </w:p>
        </w:tc>
        <w:tc>
          <w:tcPr>
            <w:tcW w:w="1701" w:type="dxa"/>
            <w:vAlign w:val="bottom"/>
          </w:tcPr>
          <w:p w14:paraId="63D5C1A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1701" w:type="dxa"/>
            <w:shd w:val="clear" w:color="auto" w:fill="auto"/>
            <w:vAlign w:val="bottom"/>
          </w:tcPr>
          <w:p w14:paraId="1A73DB1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w:t>
            </w:r>
          </w:p>
        </w:tc>
        <w:tc>
          <w:tcPr>
            <w:tcW w:w="1814" w:type="dxa"/>
            <w:vAlign w:val="bottom"/>
          </w:tcPr>
          <w:p w14:paraId="69A8177B"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3,3%</w:t>
            </w:r>
          </w:p>
        </w:tc>
      </w:tr>
      <w:tr w:rsidR="00F410D1" w14:paraId="661F12BA" w14:textId="77777777">
        <w:trPr>
          <w:trHeight w:val="226"/>
        </w:trPr>
        <w:tc>
          <w:tcPr>
            <w:tcW w:w="2117" w:type="dxa"/>
            <w:shd w:val="clear" w:color="auto" w:fill="auto"/>
            <w:vAlign w:val="bottom"/>
          </w:tcPr>
          <w:p w14:paraId="531A26B8"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Burgos capital</w:t>
            </w:r>
          </w:p>
        </w:tc>
        <w:tc>
          <w:tcPr>
            <w:tcW w:w="1701" w:type="dxa"/>
            <w:vAlign w:val="bottom"/>
          </w:tcPr>
          <w:p w14:paraId="2D4C4207"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-35%</w:t>
            </w:r>
          </w:p>
        </w:tc>
        <w:tc>
          <w:tcPr>
            <w:tcW w:w="1701" w:type="dxa"/>
            <w:vAlign w:val="bottom"/>
          </w:tcPr>
          <w:p w14:paraId="618DD09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1701" w:type="dxa"/>
            <w:shd w:val="clear" w:color="auto" w:fill="auto"/>
            <w:vAlign w:val="bottom"/>
          </w:tcPr>
          <w:p w14:paraId="18875C9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8,4%</w:t>
            </w:r>
          </w:p>
        </w:tc>
        <w:tc>
          <w:tcPr>
            <w:tcW w:w="1814" w:type="dxa"/>
            <w:vAlign w:val="bottom"/>
          </w:tcPr>
          <w:p w14:paraId="1BF6CCE4"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3,2%</w:t>
            </w:r>
          </w:p>
        </w:tc>
      </w:tr>
      <w:tr w:rsidR="00F410D1" w14:paraId="3F2B8C37" w14:textId="77777777">
        <w:trPr>
          <w:trHeight w:val="226"/>
        </w:trPr>
        <w:tc>
          <w:tcPr>
            <w:tcW w:w="2117" w:type="dxa"/>
            <w:shd w:val="clear" w:color="auto" w:fill="auto"/>
            <w:vAlign w:val="bottom"/>
          </w:tcPr>
          <w:p w14:paraId="511E69D9"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Segovia capital</w:t>
            </w:r>
          </w:p>
        </w:tc>
        <w:tc>
          <w:tcPr>
            <w:tcW w:w="1701" w:type="dxa"/>
            <w:vAlign w:val="bottom"/>
          </w:tcPr>
          <w:p w14:paraId="16CF827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31CD313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1701" w:type="dxa"/>
            <w:shd w:val="clear" w:color="auto" w:fill="auto"/>
            <w:vAlign w:val="bottom"/>
          </w:tcPr>
          <w:p w14:paraId="27E64CA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8,0%</w:t>
            </w:r>
          </w:p>
        </w:tc>
        <w:tc>
          <w:tcPr>
            <w:tcW w:w="1814" w:type="dxa"/>
            <w:vAlign w:val="bottom"/>
          </w:tcPr>
          <w:p w14:paraId="49182AB7"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4,4%</w:t>
            </w:r>
          </w:p>
        </w:tc>
      </w:tr>
      <w:tr w:rsidR="00F410D1" w14:paraId="60A9E03B" w14:textId="77777777">
        <w:trPr>
          <w:trHeight w:val="226"/>
        </w:trPr>
        <w:tc>
          <w:tcPr>
            <w:tcW w:w="2117" w:type="dxa"/>
            <w:shd w:val="clear" w:color="auto" w:fill="auto"/>
            <w:vAlign w:val="bottom"/>
          </w:tcPr>
          <w:p w14:paraId="04AEFCBD"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Palencia capital</w:t>
            </w:r>
          </w:p>
        </w:tc>
        <w:tc>
          <w:tcPr>
            <w:tcW w:w="1701" w:type="dxa"/>
            <w:vAlign w:val="bottom"/>
          </w:tcPr>
          <w:p w14:paraId="4822A19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1701" w:type="dxa"/>
            <w:vAlign w:val="bottom"/>
          </w:tcPr>
          <w:p w14:paraId="739D3FB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1701" w:type="dxa"/>
            <w:shd w:val="clear" w:color="auto" w:fill="auto"/>
            <w:vAlign w:val="bottom"/>
          </w:tcPr>
          <w:p w14:paraId="72A356D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814" w:type="dxa"/>
            <w:vAlign w:val="bottom"/>
          </w:tcPr>
          <w:p w14:paraId="7F46F820"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-2,6%</w:t>
            </w:r>
          </w:p>
        </w:tc>
      </w:tr>
      <w:tr w:rsidR="00F410D1" w14:paraId="2DCB23AA" w14:textId="77777777">
        <w:trPr>
          <w:trHeight w:val="226"/>
        </w:trPr>
        <w:tc>
          <w:tcPr>
            <w:tcW w:w="2117" w:type="dxa"/>
            <w:shd w:val="clear" w:color="auto" w:fill="auto"/>
            <w:vAlign w:val="bottom"/>
          </w:tcPr>
          <w:p w14:paraId="700C13F8"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León capital</w:t>
            </w:r>
          </w:p>
        </w:tc>
        <w:tc>
          <w:tcPr>
            <w:tcW w:w="1701" w:type="dxa"/>
            <w:vAlign w:val="bottom"/>
          </w:tcPr>
          <w:p w14:paraId="1A66F77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1701" w:type="dxa"/>
            <w:vAlign w:val="bottom"/>
          </w:tcPr>
          <w:p w14:paraId="7B2FAF0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-24%</w:t>
            </w:r>
          </w:p>
        </w:tc>
        <w:tc>
          <w:tcPr>
            <w:tcW w:w="1701" w:type="dxa"/>
            <w:shd w:val="clear" w:color="auto" w:fill="auto"/>
            <w:vAlign w:val="bottom"/>
          </w:tcPr>
          <w:p w14:paraId="6F5B490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814" w:type="dxa"/>
            <w:vAlign w:val="bottom"/>
          </w:tcPr>
          <w:p w14:paraId="1C0CB010"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-1,6%</w:t>
            </w:r>
          </w:p>
        </w:tc>
      </w:tr>
      <w:tr w:rsidR="00F410D1" w14:paraId="242D5DD9" w14:textId="77777777">
        <w:trPr>
          <w:trHeight w:val="226"/>
        </w:trPr>
        <w:tc>
          <w:tcPr>
            <w:tcW w:w="2117" w:type="dxa"/>
            <w:shd w:val="clear" w:color="auto" w:fill="auto"/>
            <w:vAlign w:val="bottom"/>
          </w:tcPr>
          <w:p w14:paraId="65240008"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1701" w:type="dxa"/>
            <w:vAlign w:val="bottom"/>
          </w:tcPr>
          <w:p w14:paraId="3122137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-35%</w:t>
            </w:r>
          </w:p>
        </w:tc>
        <w:tc>
          <w:tcPr>
            <w:tcW w:w="1701" w:type="dxa"/>
            <w:vAlign w:val="bottom"/>
          </w:tcPr>
          <w:p w14:paraId="0352816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1701" w:type="dxa"/>
            <w:shd w:val="clear" w:color="auto" w:fill="auto"/>
            <w:vAlign w:val="bottom"/>
          </w:tcPr>
          <w:p w14:paraId="0F3BCC0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814" w:type="dxa"/>
            <w:vAlign w:val="bottom"/>
          </w:tcPr>
          <w:p w14:paraId="040DE596"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1,4%</w:t>
            </w:r>
          </w:p>
        </w:tc>
      </w:tr>
      <w:tr w:rsidR="00F410D1" w14:paraId="46EA9672" w14:textId="77777777">
        <w:trPr>
          <w:trHeight w:val="226"/>
        </w:trPr>
        <w:tc>
          <w:tcPr>
            <w:tcW w:w="2117" w:type="dxa"/>
            <w:shd w:val="clear" w:color="auto" w:fill="auto"/>
            <w:vAlign w:val="bottom"/>
          </w:tcPr>
          <w:p w14:paraId="7B7603B4"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Ávila capital</w:t>
            </w:r>
          </w:p>
        </w:tc>
        <w:tc>
          <w:tcPr>
            <w:tcW w:w="1701" w:type="dxa"/>
          </w:tcPr>
          <w:p w14:paraId="7979013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3231238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1701" w:type="dxa"/>
            <w:shd w:val="clear" w:color="auto" w:fill="auto"/>
            <w:vAlign w:val="bottom"/>
          </w:tcPr>
          <w:p w14:paraId="222DC07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814" w:type="dxa"/>
            <w:vAlign w:val="bottom"/>
          </w:tcPr>
          <w:p w14:paraId="503CC8A7"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1,4%</w:t>
            </w:r>
          </w:p>
        </w:tc>
      </w:tr>
      <w:tr w:rsidR="00F410D1" w14:paraId="1844798B" w14:textId="77777777">
        <w:trPr>
          <w:trHeight w:val="226"/>
        </w:trPr>
        <w:tc>
          <w:tcPr>
            <w:tcW w:w="2117" w:type="dxa"/>
            <w:shd w:val="clear" w:color="auto" w:fill="auto"/>
            <w:vAlign w:val="bottom"/>
          </w:tcPr>
          <w:p w14:paraId="309A5CD8"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Soria capital</w:t>
            </w:r>
          </w:p>
        </w:tc>
        <w:tc>
          <w:tcPr>
            <w:tcW w:w="1701" w:type="dxa"/>
          </w:tcPr>
          <w:p w14:paraId="2CE8A49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73FFBBD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-30%</w:t>
            </w:r>
          </w:p>
        </w:tc>
        <w:tc>
          <w:tcPr>
            <w:tcW w:w="1701" w:type="dxa"/>
            <w:shd w:val="clear" w:color="auto" w:fill="auto"/>
            <w:vAlign w:val="bottom"/>
          </w:tcPr>
          <w:p w14:paraId="34D68977"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-4,9%</w:t>
            </w:r>
          </w:p>
        </w:tc>
        <w:tc>
          <w:tcPr>
            <w:tcW w:w="1814" w:type="dxa"/>
            <w:vAlign w:val="bottom"/>
          </w:tcPr>
          <w:p w14:paraId="25646A08"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3,5%</w:t>
            </w:r>
          </w:p>
        </w:tc>
      </w:tr>
      <w:tr w:rsidR="00F410D1" w14:paraId="0BCABD31" w14:textId="77777777">
        <w:trPr>
          <w:trHeight w:val="226"/>
        </w:trPr>
        <w:tc>
          <w:tcPr>
            <w:tcW w:w="2117" w:type="dxa"/>
            <w:shd w:val="clear" w:color="auto" w:fill="auto"/>
            <w:vAlign w:val="bottom"/>
          </w:tcPr>
          <w:p w14:paraId="15F78BA9"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Zamora capital</w:t>
            </w:r>
          </w:p>
        </w:tc>
        <w:tc>
          <w:tcPr>
            <w:tcW w:w="1701" w:type="dxa"/>
            <w:vAlign w:val="bottom"/>
          </w:tcPr>
          <w:p w14:paraId="54B594C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1701" w:type="dxa"/>
            <w:vAlign w:val="bottom"/>
          </w:tcPr>
          <w:p w14:paraId="551993F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1701" w:type="dxa"/>
            <w:shd w:val="clear" w:color="auto" w:fill="auto"/>
            <w:vAlign w:val="bottom"/>
          </w:tcPr>
          <w:p w14:paraId="514D9C3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-5,5%</w:t>
            </w:r>
          </w:p>
        </w:tc>
        <w:tc>
          <w:tcPr>
            <w:tcW w:w="1814" w:type="dxa"/>
            <w:vAlign w:val="bottom"/>
          </w:tcPr>
          <w:p w14:paraId="296E694F"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-2,6%</w:t>
            </w:r>
          </w:p>
        </w:tc>
      </w:tr>
      <w:tr w:rsidR="00F410D1" w14:paraId="477C1086" w14:textId="77777777">
        <w:trPr>
          <w:trHeight w:val="226"/>
        </w:trPr>
        <w:tc>
          <w:tcPr>
            <w:tcW w:w="2117" w:type="dxa"/>
            <w:shd w:val="clear" w:color="auto" w:fill="auto"/>
            <w:vAlign w:val="bottom"/>
          </w:tcPr>
          <w:p w14:paraId="7BC8AAD5"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Cuenca capital</w:t>
            </w:r>
          </w:p>
        </w:tc>
        <w:tc>
          <w:tcPr>
            <w:tcW w:w="1701" w:type="dxa"/>
            <w:vAlign w:val="bottom"/>
          </w:tcPr>
          <w:p w14:paraId="5C4EA9C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50D3656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701" w:type="dxa"/>
            <w:shd w:val="clear" w:color="auto" w:fill="auto"/>
            <w:vAlign w:val="bottom"/>
          </w:tcPr>
          <w:p w14:paraId="58E5BF7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1814" w:type="dxa"/>
            <w:vAlign w:val="bottom"/>
          </w:tcPr>
          <w:p w14:paraId="00EE0D2C"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8%</w:t>
            </w:r>
          </w:p>
        </w:tc>
      </w:tr>
      <w:tr w:rsidR="00F410D1" w14:paraId="28C9B098" w14:textId="77777777">
        <w:trPr>
          <w:trHeight w:val="226"/>
        </w:trPr>
        <w:tc>
          <w:tcPr>
            <w:tcW w:w="2117" w:type="dxa"/>
            <w:shd w:val="clear" w:color="auto" w:fill="auto"/>
            <w:vAlign w:val="bottom"/>
          </w:tcPr>
          <w:p w14:paraId="7D92BFB7"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Toledo capital</w:t>
            </w:r>
          </w:p>
        </w:tc>
        <w:tc>
          <w:tcPr>
            <w:tcW w:w="1701" w:type="dxa"/>
            <w:vAlign w:val="bottom"/>
          </w:tcPr>
          <w:p w14:paraId="01D1CF6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-42%</w:t>
            </w:r>
          </w:p>
        </w:tc>
        <w:tc>
          <w:tcPr>
            <w:tcW w:w="1701" w:type="dxa"/>
            <w:vAlign w:val="bottom"/>
          </w:tcPr>
          <w:p w14:paraId="690DBED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1701" w:type="dxa"/>
            <w:shd w:val="clear" w:color="auto" w:fill="auto"/>
            <w:vAlign w:val="bottom"/>
          </w:tcPr>
          <w:p w14:paraId="4F5F089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814" w:type="dxa"/>
            <w:vAlign w:val="bottom"/>
          </w:tcPr>
          <w:p w14:paraId="0BD9421B"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14%</w:t>
            </w:r>
          </w:p>
        </w:tc>
      </w:tr>
      <w:tr w:rsidR="00F410D1" w14:paraId="37975E75" w14:textId="77777777">
        <w:trPr>
          <w:trHeight w:val="226"/>
        </w:trPr>
        <w:tc>
          <w:tcPr>
            <w:tcW w:w="2117" w:type="dxa"/>
            <w:shd w:val="clear" w:color="auto" w:fill="auto"/>
            <w:vAlign w:val="bottom"/>
          </w:tcPr>
          <w:p w14:paraId="5C888631"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Guadalajara capital</w:t>
            </w:r>
          </w:p>
        </w:tc>
        <w:tc>
          <w:tcPr>
            <w:tcW w:w="1701" w:type="dxa"/>
            <w:vAlign w:val="bottom"/>
          </w:tcPr>
          <w:p w14:paraId="7C90F0DF"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-50%</w:t>
            </w:r>
          </w:p>
        </w:tc>
        <w:tc>
          <w:tcPr>
            <w:tcW w:w="1701" w:type="dxa"/>
            <w:vAlign w:val="bottom"/>
          </w:tcPr>
          <w:p w14:paraId="5F758A8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1701" w:type="dxa"/>
            <w:shd w:val="clear" w:color="auto" w:fill="auto"/>
            <w:vAlign w:val="bottom"/>
          </w:tcPr>
          <w:p w14:paraId="3B4F5B7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9,9%</w:t>
            </w:r>
          </w:p>
        </w:tc>
        <w:tc>
          <w:tcPr>
            <w:tcW w:w="1814" w:type="dxa"/>
            <w:vAlign w:val="bottom"/>
          </w:tcPr>
          <w:p w14:paraId="6E75C870"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3,0%</w:t>
            </w:r>
          </w:p>
        </w:tc>
      </w:tr>
      <w:tr w:rsidR="00F410D1" w14:paraId="7FF7B7A1" w14:textId="77777777">
        <w:trPr>
          <w:trHeight w:val="226"/>
        </w:trPr>
        <w:tc>
          <w:tcPr>
            <w:tcW w:w="2117" w:type="dxa"/>
            <w:shd w:val="clear" w:color="auto" w:fill="auto"/>
            <w:vAlign w:val="bottom"/>
          </w:tcPr>
          <w:p w14:paraId="450F8C64"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1701" w:type="dxa"/>
            <w:vAlign w:val="bottom"/>
          </w:tcPr>
          <w:p w14:paraId="0089A2A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3B31E81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-25%</w:t>
            </w:r>
          </w:p>
        </w:tc>
        <w:tc>
          <w:tcPr>
            <w:tcW w:w="1701" w:type="dxa"/>
            <w:shd w:val="clear" w:color="auto" w:fill="auto"/>
            <w:vAlign w:val="bottom"/>
          </w:tcPr>
          <w:p w14:paraId="04A0904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8,2%</w:t>
            </w:r>
          </w:p>
        </w:tc>
        <w:tc>
          <w:tcPr>
            <w:tcW w:w="1814" w:type="dxa"/>
            <w:vAlign w:val="bottom"/>
          </w:tcPr>
          <w:p w14:paraId="1ECB7FEF"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1,6%</w:t>
            </w:r>
          </w:p>
        </w:tc>
      </w:tr>
      <w:tr w:rsidR="00F410D1" w14:paraId="799D906F" w14:textId="77777777">
        <w:trPr>
          <w:trHeight w:val="226"/>
        </w:trPr>
        <w:tc>
          <w:tcPr>
            <w:tcW w:w="2117" w:type="dxa"/>
            <w:shd w:val="clear" w:color="auto" w:fill="auto"/>
            <w:vAlign w:val="bottom"/>
          </w:tcPr>
          <w:p w14:paraId="5D4CAA73"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Ciudad Real capital</w:t>
            </w:r>
          </w:p>
        </w:tc>
        <w:tc>
          <w:tcPr>
            <w:tcW w:w="1701" w:type="dxa"/>
            <w:vAlign w:val="bottom"/>
          </w:tcPr>
          <w:p w14:paraId="6133ED7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-47%</w:t>
            </w:r>
          </w:p>
        </w:tc>
        <w:tc>
          <w:tcPr>
            <w:tcW w:w="1701" w:type="dxa"/>
            <w:vAlign w:val="bottom"/>
          </w:tcPr>
          <w:p w14:paraId="202AF44F"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-33%</w:t>
            </w:r>
          </w:p>
        </w:tc>
        <w:tc>
          <w:tcPr>
            <w:tcW w:w="1701" w:type="dxa"/>
            <w:shd w:val="clear" w:color="auto" w:fill="auto"/>
            <w:vAlign w:val="bottom"/>
          </w:tcPr>
          <w:p w14:paraId="2AEB460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1814" w:type="dxa"/>
            <w:vAlign w:val="bottom"/>
          </w:tcPr>
          <w:p w14:paraId="1EE95CE5"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0,4%</w:t>
            </w:r>
          </w:p>
        </w:tc>
      </w:tr>
      <w:tr w:rsidR="00F410D1" w14:paraId="2C34E92D" w14:textId="77777777">
        <w:trPr>
          <w:trHeight w:val="226"/>
        </w:trPr>
        <w:tc>
          <w:tcPr>
            <w:tcW w:w="2117" w:type="dxa"/>
            <w:shd w:val="clear" w:color="auto" w:fill="auto"/>
            <w:vAlign w:val="bottom"/>
          </w:tcPr>
          <w:p w14:paraId="2CBAEAF6"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Girona capital</w:t>
            </w:r>
          </w:p>
        </w:tc>
        <w:tc>
          <w:tcPr>
            <w:tcW w:w="1701" w:type="dxa"/>
            <w:vAlign w:val="bottom"/>
          </w:tcPr>
          <w:p w14:paraId="19D4A3E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-32%</w:t>
            </w:r>
          </w:p>
        </w:tc>
        <w:tc>
          <w:tcPr>
            <w:tcW w:w="1701" w:type="dxa"/>
            <w:vAlign w:val="bottom"/>
          </w:tcPr>
          <w:p w14:paraId="0DA19CA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1701" w:type="dxa"/>
            <w:shd w:val="clear" w:color="auto" w:fill="auto"/>
            <w:vAlign w:val="bottom"/>
          </w:tcPr>
          <w:p w14:paraId="0C039F8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1814" w:type="dxa"/>
            <w:vAlign w:val="bottom"/>
          </w:tcPr>
          <w:p w14:paraId="020C480E"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5,2%</w:t>
            </w:r>
          </w:p>
        </w:tc>
      </w:tr>
      <w:tr w:rsidR="00F410D1" w14:paraId="1F5D62E0" w14:textId="77777777">
        <w:trPr>
          <w:trHeight w:val="226"/>
        </w:trPr>
        <w:tc>
          <w:tcPr>
            <w:tcW w:w="2117" w:type="dxa"/>
            <w:shd w:val="clear" w:color="auto" w:fill="auto"/>
            <w:vAlign w:val="bottom"/>
          </w:tcPr>
          <w:p w14:paraId="04E21DA6"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1701" w:type="dxa"/>
            <w:vAlign w:val="bottom"/>
          </w:tcPr>
          <w:p w14:paraId="7198198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701" w:type="dxa"/>
            <w:vAlign w:val="bottom"/>
          </w:tcPr>
          <w:p w14:paraId="73195BE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701" w:type="dxa"/>
            <w:shd w:val="clear" w:color="auto" w:fill="auto"/>
            <w:vAlign w:val="bottom"/>
          </w:tcPr>
          <w:p w14:paraId="2EE704AF"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1814" w:type="dxa"/>
            <w:vAlign w:val="bottom"/>
          </w:tcPr>
          <w:p w14:paraId="6FAB72BB"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-1,7%</w:t>
            </w:r>
          </w:p>
        </w:tc>
      </w:tr>
      <w:tr w:rsidR="00F410D1" w14:paraId="44B21623" w14:textId="77777777">
        <w:trPr>
          <w:trHeight w:val="226"/>
        </w:trPr>
        <w:tc>
          <w:tcPr>
            <w:tcW w:w="2117" w:type="dxa"/>
            <w:shd w:val="clear" w:color="auto" w:fill="auto"/>
            <w:vAlign w:val="bottom"/>
          </w:tcPr>
          <w:p w14:paraId="5CA6F76D"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1701" w:type="dxa"/>
            <w:vAlign w:val="bottom"/>
          </w:tcPr>
          <w:p w14:paraId="0C6EF87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-43%</w:t>
            </w:r>
          </w:p>
        </w:tc>
        <w:tc>
          <w:tcPr>
            <w:tcW w:w="1701" w:type="dxa"/>
            <w:vAlign w:val="bottom"/>
          </w:tcPr>
          <w:p w14:paraId="183E242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1701" w:type="dxa"/>
            <w:shd w:val="clear" w:color="auto" w:fill="auto"/>
            <w:vAlign w:val="bottom"/>
          </w:tcPr>
          <w:p w14:paraId="22FEA85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7,4%</w:t>
            </w:r>
          </w:p>
        </w:tc>
        <w:tc>
          <w:tcPr>
            <w:tcW w:w="1814" w:type="dxa"/>
            <w:vAlign w:val="bottom"/>
          </w:tcPr>
          <w:p w14:paraId="1E8DE5B5"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-1,3%</w:t>
            </w:r>
          </w:p>
        </w:tc>
      </w:tr>
      <w:tr w:rsidR="00F410D1" w14:paraId="11F230D1" w14:textId="77777777">
        <w:trPr>
          <w:trHeight w:val="226"/>
        </w:trPr>
        <w:tc>
          <w:tcPr>
            <w:tcW w:w="2117" w:type="dxa"/>
            <w:shd w:val="clear" w:color="auto" w:fill="auto"/>
            <w:vAlign w:val="bottom"/>
          </w:tcPr>
          <w:p w14:paraId="7F081E31"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1701" w:type="dxa"/>
            <w:vAlign w:val="bottom"/>
          </w:tcPr>
          <w:p w14:paraId="757B4A1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-43%</w:t>
            </w:r>
          </w:p>
        </w:tc>
        <w:tc>
          <w:tcPr>
            <w:tcW w:w="1701" w:type="dxa"/>
            <w:vAlign w:val="bottom"/>
          </w:tcPr>
          <w:p w14:paraId="15D54937"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1701" w:type="dxa"/>
            <w:shd w:val="clear" w:color="auto" w:fill="auto"/>
            <w:vAlign w:val="bottom"/>
          </w:tcPr>
          <w:p w14:paraId="3266912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814" w:type="dxa"/>
            <w:vAlign w:val="bottom"/>
          </w:tcPr>
          <w:p w14:paraId="23DA8A23"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2,6%</w:t>
            </w:r>
          </w:p>
        </w:tc>
      </w:tr>
      <w:tr w:rsidR="00F410D1" w14:paraId="4F4A8C08" w14:textId="77777777">
        <w:trPr>
          <w:trHeight w:val="226"/>
        </w:trPr>
        <w:tc>
          <w:tcPr>
            <w:tcW w:w="2117" w:type="dxa"/>
            <w:shd w:val="clear" w:color="auto" w:fill="auto"/>
            <w:vAlign w:val="bottom"/>
          </w:tcPr>
          <w:p w14:paraId="13477C13"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1701" w:type="dxa"/>
            <w:vAlign w:val="bottom"/>
          </w:tcPr>
          <w:p w14:paraId="386F969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1701" w:type="dxa"/>
            <w:vAlign w:val="bottom"/>
          </w:tcPr>
          <w:p w14:paraId="2BF0960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701" w:type="dxa"/>
            <w:shd w:val="clear" w:color="auto" w:fill="auto"/>
            <w:vAlign w:val="bottom"/>
          </w:tcPr>
          <w:p w14:paraId="47B7E0A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1814" w:type="dxa"/>
            <w:vAlign w:val="bottom"/>
          </w:tcPr>
          <w:p w14:paraId="743278A0"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3,3%</w:t>
            </w:r>
          </w:p>
        </w:tc>
      </w:tr>
      <w:tr w:rsidR="00F410D1" w14:paraId="62D368C9" w14:textId="77777777">
        <w:trPr>
          <w:trHeight w:val="226"/>
        </w:trPr>
        <w:tc>
          <w:tcPr>
            <w:tcW w:w="2117" w:type="dxa"/>
            <w:shd w:val="clear" w:color="auto" w:fill="auto"/>
            <w:vAlign w:val="bottom"/>
          </w:tcPr>
          <w:p w14:paraId="79EAFD1F"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1701" w:type="dxa"/>
            <w:vAlign w:val="bottom"/>
          </w:tcPr>
          <w:p w14:paraId="46FD95E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-25%</w:t>
            </w:r>
          </w:p>
        </w:tc>
        <w:tc>
          <w:tcPr>
            <w:tcW w:w="1701" w:type="dxa"/>
            <w:vAlign w:val="bottom"/>
          </w:tcPr>
          <w:p w14:paraId="096BD04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-9,0%</w:t>
            </w:r>
          </w:p>
        </w:tc>
        <w:tc>
          <w:tcPr>
            <w:tcW w:w="1701" w:type="dxa"/>
            <w:shd w:val="clear" w:color="auto" w:fill="auto"/>
            <w:vAlign w:val="bottom"/>
          </w:tcPr>
          <w:p w14:paraId="0820F63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814" w:type="dxa"/>
            <w:vAlign w:val="bottom"/>
          </w:tcPr>
          <w:p w14:paraId="7392D3C7"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2,4%</w:t>
            </w:r>
          </w:p>
        </w:tc>
      </w:tr>
      <w:tr w:rsidR="00F410D1" w14:paraId="4118B347" w14:textId="77777777">
        <w:trPr>
          <w:trHeight w:val="226"/>
        </w:trPr>
        <w:tc>
          <w:tcPr>
            <w:tcW w:w="2117" w:type="dxa"/>
            <w:shd w:val="clear" w:color="auto" w:fill="auto"/>
            <w:vAlign w:val="bottom"/>
          </w:tcPr>
          <w:p w14:paraId="6367CBA5"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Castellón de la Plana / Castelló de la Plana</w:t>
            </w:r>
          </w:p>
        </w:tc>
        <w:tc>
          <w:tcPr>
            <w:tcW w:w="1701" w:type="dxa"/>
            <w:vAlign w:val="bottom"/>
          </w:tcPr>
          <w:p w14:paraId="1FFC76F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-48%</w:t>
            </w:r>
          </w:p>
        </w:tc>
        <w:tc>
          <w:tcPr>
            <w:tcW w:w="1701" w:type="dxa"/>
            <w:vAlign w:val="bottom"/>
          </w:tcPr>
          <w:p w14:paraId="336CF5D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1701" w:type="dxa"/>
            <w:shd w:val="clear" w:color="auto" w:fill="auto"/>
            <w:vAlign w:val="bottom"/>
          </w:tcPr>
          <w:p w14:paraId="7620FD1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1814" w:type="dxa"/>
            <w:vAlign w:val="bottom"/>
          </w:tcPr>
          <w:p w14:paraId="6A9A6B71"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6,7%</w:t>
            </w:r>
          </w:p>
        </w:tc>
      </w:tr>
      <w:tr w:rsidR="00F410D1" w14:paraId="10B71545" w14:textId="77777777">
        <w:trPr>
          <w:trHeight w:val="226"/>
        </w:trPr>
        <w:tc>
          <w:tcPr>
            <w:tcW w:w="2117" w:type="dxa"/>
            <w:shd w:val="clear" w:color="auto" w:fill="auto"/>
            <w:vAlign w:val="bottom"/>
          </w:tcPr>
          <w:p w14:paraId="6BA293D7"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1701" w:type="dxa"/>
            <w:vAlign w:val="bottom"/>
          </w:tcPr>
          <w:p w14:paraId="570E924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650E41F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701" w:type="dxa"/>
            <w:shd w:val="clear" w:color="auto" w:fill="auto"/>
            <w:vAlign w:val="bottom"/>
          </w:tcPr>
          <w:p w14:paraId="6F04DBC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814" w:type="dxa"/>
            <w:vAlign w:val="bottom"/>
          </w:tcPr>
          <w:p w14:paraId="2870F6C1"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3,7%</w:t>
            </w:r>
          </w:p>
        </w:tc>
      </w:tr>
      <w:tr w:rsidR="00F410D1" w14:paraId="7CCCACCC" w14:textId="77777777">
        <w:trPr>
          <w:trHeight w:val="226"/>
        </w:trPr>
        <w:tc>
          <w:tcPr>
            <w:tcW w:w="2117" w:type="dxa"/>
            <w:shd w:val="clear" w:color="auto" w:fill="auto"/>
            <w:vAlign w:val="bottom"/>
          </w:tcPr>
          <w:p w14:paraId="5AB7B2A9"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1701" w:type="dxa"/>
            <w:vAlign w:val="bottom"/>
          </w:tcPr>
          <w:p w14:paraId="544DD8E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-33%</w:t>
            </w:r>
          </w:p>
        </w:tc>
        <w:tc>
          <w:tcPr>
            <w:tcW w:w="1701" w:type="dxa"/>
            <w:vAlign w:val="bottom"/>
          </w:tcPr>
          <w:p w14:paraId="498627A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1701" w:type="dxa"/>
            <w:shd w:val="clear" w:color="auto" w:fill="auto"/>
            <w:vAlign w:val="bottom"/>
          </w:tcPr>
          <w:p w14:paraId="3AAAF09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8,0%</w:t>
            </w:r>
          </w:p>
        </w:tc>
        <w:tc>
          <w:tcPr>
            <w:tcW w:w="1814" w:type="dxa"/>
            <w:vAlign w:val="bottom"/>
          </w:tcPr>
          <w:p w14:paraId="4ADC343C"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2,3%</w:t>
            </w:r>
          </w:p>
        </w:tc>
      </w:tr>
      <w:tr w:rsidR="00F410D1" w14:paraId="61EB0C73" w14:textId="77777777">
        <w:trPr>
          <w:trHeight w:val="226"/>
        </w:trPr>
        <w:tc>
          <w:tcPr>
            <w:tcW w:w="2117" w:type="dxa"/>
            <w:shd w:val="clear" w:color="auto" w:fill="auto"/>
            <w:vAlign w:val="bottom"/>
          </w:tcPr>
          <w:p w14:paraId="530E077E"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Pontevedra capital</w:t>
            </w:r>
          </w:p>
        </w:tc>
        <w:tc>
          <w:tcPr>
            <w:tcW w:w="1701" w:type="dxa"/>
            <w:vAlign w:val="bottom"/>
          </w:tcPr>
          <w:p w14:paraId="5C425080" w14:textId="77777777" w:rsidR="00F410D1" w:rsidRDefault="007C514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-19%</w:t>
            </w:r>
          </w:p>
        </w:tc>
        <w:tc>
          <w:tcPr>
            <w:tcW w:w="1701" w:type="dxa"/>
            <w:vAlign w:val="bottom"/>
          </w:tcPr>
          <w:p w14:paraId="771735A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-3,1%</w:t>
            </w:r>
          </w:p>
        </w:tc>
        <w:tc>
          <w:tcPr>
            <w:tcW w:w="1701" w:type="dxa"/>
            <w:shd w:val="clear" w:color="auto" w:fill="auto"/>
            <w:vAlign w:val="bottom"/>
          </w:tcPr>
          <w:p w14:paraId="507180B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w:t>
            </w:r>
          </w:p>
        </w:tc>
        <w:tc>
          <w:tcPr>
            <w:tcW w:w="1814" w:type="dxa"/>
            <w:vAlign w:val="bottom"/>
          </w:tcPr>
          <w:p w14:paraId="2D639F82"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1,8%</w:t>
            </w:r>
          </w:p>
        </w:tc>
      </w:tr>
      <w:tr w:rsidR="00F410D1" w14:paraId="469AD9F7" w14:textId="77777777">
        <w:trPr>
          <w:trHeight w:val="226"/>
        </w:trPr>
        <w:tc>
          <w:tcPr>
            <w:tcW w:w="2117" w:type="dxa"/>
            <w:shd w:val="clear" w:color="auto" w:fill="auto"/>
            <w:vAlign w:val="bottom"/>
          </w:tcPr>
          <w:p w14:paraId="114989E5"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1701" w:type="dxa"/>
            <w:vAlign w:val="bottom"/>
          </w:tcPr>
          <w:p w14:paraId="4D3BE22B" w14:textId="77777777" w:rsidR="00F410D1" w:rsidRDefault="007C514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-15%</w:t>
            </w:r>
          </w:p>
        </w:tc>
        <w:tc>
          <w:tcPr>
            <w:tcW w:w="1701" w:type="dxa"/>
            <w:vAlign w:val="bottom"/>
          </w:tcPr>
          <w:p w14:paraId="0D606C8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-8,9%</w:t>
            </w:r>
          </w:p>
        </w:tc>
        <w:tc>
          <w:tcPr>
            <w:tcW w:w="1701" w:type="dxa"/>
            <w:shd w:val="clear" w:color="auto" w:fill="auto"/>
            <w:vAlign w:val="bottom"/>
          </w:tcPr>
          <w:p w14:paraId="472F656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1814" w:type="dxa"/>
            <w:vAlign w:val="bottom"/>
          </w:tcPr>
          <w:p w14:paraId="00513640"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2,4%</w:t>
            </w:r>
          </w:p>
        </w:tc>
      </w:tr>
      <w:tr w:rsidR="00F410D1" w14:paraId="50568AD4" w14:textId="77777777">
        <w:trPr>
          <w:trHeight w:val="226"/>
        </w:trPr>
        <w:tc>
          <w:tcPr>
            <w:tcW w:w="2117" w:type="dxa"/>
            <w:shd w:val="clear" w:color="auto" w:fill="auto"/>
            <w:vAlign w:val="bottom"/>
          </w:tcPr>
          <w:p w14:paraId="3DA8B2B9"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Lugo capital</w:t>
            </w:r>
          </w:p>
        </w:tc>
        <w:tc>
          <w:tcPr>
            <w:tcW w:w="1701" w:type="dxa"/>
            <w:vAlign w:val="bottom"/>
          </w:tcPr>
          <w:p w14:paraId="0BDD2AD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3EC1467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1701" w:type="dxa"/>
            <w:shd w:val="clear" w:color="auto" w:fill="auto"/>
            <w:vAlign w:val="bottom"/>
          </w:tcPr>
          <w:p w14:paraId="17B8D3D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9,6%</w:t>
            </w:r>
          </w:p>
        </w:tc>
        <w:tc>
          <w:tcPr>
            <w:tcW w:w="1814" w:type="dxa"/>
            <w:vAlign w:val="bottom"/>
          </w:tcPr>
          <w:p w14:paraId="28A4AB90"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2,4%</w:t>
            </w:r>
          </w:p>
        </w:tc>
      </w:tr>
      <w:tr w:rsidR="00F410D1" w14:paraId="58B63C44" w14:textId="77777777">
        <w:trPr>
          <w:trHeight w:val="226"/>
        </w:trPr>
        <w:tc>
          <w:tcPr>
            <w:tcW w:w="2117" w:type="dxa"/>
            <w:shd w:val="clear" w:color="auto" w:fill="auto"/>
            <w:vAlign w:val="bottom"/>
          </w:tcPr>
          <w:p w14:paraId="2318C6DA"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1701" w:type="dxa"/>
            <w:vAlign w:val="bottom"/>
          </w:tcPr>
          <w:p w14:paraId="089158E3" w14:textId="77777777" w:rsidR="00F410D1" w:rsidRDefault="007C514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-21%</w:t>
            </w:r>
          </w:p>
        </w:tc>
        <w:tc>
          <w:tcPr>
            <w:tcW w:w="1701" w:type="dxa"/>
            <w:vAlign w:val="bottom"/>
          </w:tcPr>
          <w:p w14:paraId="4B0BBF1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1701" w:type="dxa"/>
            <w:shd w:val="clear" w:color="auto" w:fill="auto"/>
            <w:vAlign w:val="bottom"/>
          </w:tcPr>
          <w:p w14:paraId="1CAE281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1814" w:type="dxa"/>
            <w:vAlign w:val="bottom"/>
          </w:tcPr>
          <w:p w14:paraId="60452C02"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0,6%</w:t>
            </w:r>
          </w:p>
        </w:tc>
      </w:tr>
      <w:tr w:rsidR="00F410D1" w14:paraId="3BD4AD63" w14:textId="77777777">
        <w:trPr>
          <w:trHeight w:val="226"/>
        </w:trPr>
        <w:tc>
          <w:tcPr>
            <w:tcW w:w="2117" w:type="dxa"/>
            <w:shd w:val="clear" w:color="auto" w:fill="auto"/>
            <w:vAlign w:val="bottom"/>
          </w:tcPr>
          <w:p w14:paraId="6232D9FD"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1701" w:type="dxa"/>
            <w:vAlign w:val="bottom"/>
          </w:tcPr>
          <w:p w14:paraId="53E19E3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-40%</w:t>
            </w:r>
          </w:p>
        </w:tc>
        <w:tc>
          <w:tcPr>
            <w:tcW w:w="1701" w:type="dxa"/>
            <w:vAlign w:val="bottom"/>
          </w:tcPr>
          <w:p w14:paraId="117FA5F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1701" w:type="dxa"/>
            <w:shd w:val="clear" w:color="auto" w:fill="auto"/>
            <w:vAlign w:val="bottom"/>
          </w:tcPr>
          <w:p w14:paraId="690F6DA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23%</w:t>
            </w:r>
          </w:p>
        </w:tc>
        <w:tc>
          <w:tcPr>
            <w:tcW w:w="1814" w:type="dxa"/>
            <w:vAlign w:val="bottom"/>
          </w:tcPr>
          <w:p w14:paraId="0FEE1628"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2,8%</w:t>
            </w:r>
          </w:p>
        </w:tc>
      </w:tr>
      <w:tr w:rsidR="00F410D1" w14:paraId="07CD930A" w14:textId="77777777">
        <w:trPr>
          <w:trHeight w:val="226"/>
        </w:trPr>
        <w:tc>
          <w:tcPr>
            <w:tcW w:w="2117" w:type="dxa"/>
            <w:shd w:val="clear" w:color="auto" w:fill="auto"/>
            <w:vAlign w:val="bottom"/>
          </w:tcPr>
          <w:p w14:paraId="690C72EC"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1701" w:type="dxa"/>
            <w:vAlign w:val="bottom"/>
          </w:tcPr>
          <w:p w14:paraId="1DA1BE4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701" w:type="dxa"/>
            <w:vAlign w:val="bottom"/>
          </w:tcPr>
          <w:p w14:paraId="610D448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1701" w:type="dxa"/>
            <w:shd w:val="clear" w:color="auto" w:fill="auto"/>
            <w:vAlign w:val="bottom"/>
          </w:tcPr>
          <w:p w14:paraId="550B5C6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814" w:type="dxa"/>
            <w:vAlign w:val="bottom"/>
          </w:tcPr>
          <w:p w14:paraId="2FE53922"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1,7%</w:t>
            </w:r>
          </w:p>
        </w:tc>
      </w:tr>
      <w:tr w:rsidR="00F410D1" w14:paraId="1A67427C" w14:textId="77777777">
        <w:trPr>
          <w:trHeight w:val="226"/>
        </w:trPr>
        <w:tc>
          <w:tcPr>
            <w:tcW w:w="2117" w:type="dxa"/>
            <w:shd w:val="clear" w:color="auto" w:fill="auto"/>
            <w:vAlign w:val="bottom"/>
          </w:tcPr>
          <w:p w14:paraId="748E9742"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1701" w:type="dxa"/>
            <w:vAlign w:val="bottom"/>
          </w:tcPr>
          <w:p w14:paraId="1D4DBAC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-31%</w:t>
            </w:r>
          </w:p>
        </w:tc>
        <w:tc>
          <w:tcPr>
            <w:tcW w:w="1701" w:type="dxa"/>
            <w:vAlign w:val="bottom"/>
          </w:tcPr>
          <w:p w14:paraId="4A02810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-7,6%</w:t>
            </w:r>
          </w:p>
        </w:tc>
        <w:tc>
          <w:tcPr>
            <w:tcW w:w="1701" w:type="dxa"/>
            <w:shd w:val="clear" w:color="auto" w:fill="auto"/>
            <w:vAlign w:val="bottom"/>
          </w:tcPr>
          <w:p w14:paraId="5D1C367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27%</w:t>
            </w:r>
          </w:p>
        </w:tc>
        <w:tc>
          <w:tcPr>
            <w:tcW w:w="1814" w:type="dxa"/>
            <w:vAlign w:val="bottom"/>
          </w:tcPr>
          <w:p w14:paraId="1E616B8A"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7,3%</w:t>
            </w:r>
          </w:p>
        </w:tc>
      </w:tr>
      <w:tr w:rsidR="00F410D1" w14:paraId="0A79DB58" w14:textId="77777777">
        <w:trPr>
          <w:trHeight w:val="226"/>
        </w:trPr>
        <w:tc>
          <w:tcPr>
            <w:tcW w:w="2117" w:type="dxa"/>
            <w:shd w:val="clear" w:color="auto" w:fill="auto"/>
            <w:vAlign w:val="bottom"/>
          </w:tcPr>
          <w:p w14:paraId="066E4F1D"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Vitoria - Gasteiz</w:t>
            </w:r>
          </w:p>
        </w:tc>
        <w:tc>
          <w:tcPr>
            <w:tcW w:w="1701" w:type="dxa"/>
            <w:vAlign w:val="bottom"/>
          </w:tcPr>
          <w:p w14:paraId="50DDCAA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-29%</w:t>
            </w:r>
          </w:p>
        </w:tc>
        <w:tc>
          <w:tcPr>
            <w:tcW w:w="1701" w:type="dxa"/>
            <w:vAlign w:val="bottom"/>
          </w:tcPr>
          <w:p w14:paraId="67B333B7"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1701" w:type="dxa"/>
            <w:shd w:val="clear" w:color="auto" w:fill="auto"/>
            <w:vAlign w:val="bottom"/>
          </w:tcPr>
          <w:p w14:paraId="60D3DA4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1814" w:type="dxa"/>
            <w:vAlign w:val="bottom"/>
          </w:tcPr>
          <w:p w14:paraId="3A69DE17"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3,8%</w:t>
            </w:r>
          </w:p>
        </w:tc>
      </w:tr>
      <w:tr w:rsidR="00F410D1" w14:paraId="4EC56005" w14:textId="77777777">
        <w:trPr>
          <w:trHeight w:val="226"/>
        </w:trPr>
        <w:tc>
          <w:tcPr>
            <w:tcW w:w="2117" w:type="dxa"/>
            <w:shd w:val="clear" w:color="auto" w:fill="auto"/>
            <w:vAlign w:val="bottom"/>
          </w:tcPr>
          <w:p w14:paraId="7FE08147"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1701" w:type="dxa"/>
            <w:vAlign w:val="bottom"/>
          </w:tcPr>
          <w:p w14:paraId="62CC777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-1%</w:t>
            </w:r>
          </w:p>
        </w:tc>
        <w:tc>
          <w:tcPr>
            <w:tcW w:w="1701" w:type="dxa"/>
            <w:vAlign w:val="bottom"/>
          </w:tcPr>
          <w:p w14:paraId="591078B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701" w:type="dxa"/>
            <w:shd w:val="clear" w:color="auto" w:fill="auto"/>
            <w:vAlign w:val="bottom"/>
          </w:tcPr>
          <w:p w14:paraId="67F48FF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814" w:type="dxa"/>
            <w:vAlign w:val="bottom"/>
          </w:tcPr>
          <w:p w14:paraId="2C442ED5"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9C0006"/>
                <w:sz w:val="22"/>
                <w:szCs w:val="22"/>
              </w:rPr>
              <w:t>-1,0%</w:t>
            </w:r>
          </w:p>
        </w:tc>
      </w:tr>
      <w:tr w:rsidR="00F410D1" w14:paraId="6EE518A5" w14:textId="77777777">
        <w:trPr>
          <w:trHeight w:val="226"/>
        </w:trPr>
        <w:tc>
          <w:tcPr>
            <w:tcW w:w="2117" w:type="dxa"/>
            <w:shd w:val="clear" w:color="auto" w:fill="auto"/>
            <w:vAlign w:val="bottom"/>
          </w:tcPr>
          <w:p w14:paraId="050173F7" w14:textId="77777777" w:rsidR="00F410D1" w:rsidRDefault="007C5140">
            <w:pPr>
              <w:rPr>
                <w:rFonts w:ascii="Open Sans" w:eastAsia="Open Sans" w:hAnsi="Open Sans" w:cs="Open Sans"/>
                <w:sz w:val="22"/>
                <w:szCs w:val="22"/>
              </w:rPr>
            </w:pPr>
            <w:r>
              <w:rPr>
                <w:rFonts w:ascii="Open Sans" w:eastAsia="Open Sans" w:hAnsi="Open Sans" w:cs="Open Sans"/>
                <w:color w:val="000000"/>
                <w:sz w:val="22"/>
                <w:szCs w:val="22"/>
              </w:rPr>
              <w:t>Bilbao</w:t>
            </w:r>
          </w:p>
        </w:tc>
        <w:tc>
          <w:tcPr>
            <w:tcW w:w="1701" w:type="dxa"/>
            <w:vAlign w:val="bottom"/>
          </w:tcPr>
          <w:p w14:paraId="23CA7D8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-21%</w:t>
            </w:r>
          </w:p>
        </w:tc>
        <w:tc>
          <w:tcPr>
            <w:tcW w:w="1701" w:type="dxa"/>
            <w:vAlign w:val="bottom"/>
          </w:tcPr>
          <w:p w14:paraId="2A3EAA17" w14:textId="77777777" w:rsidR="00F410D1" w:rsidRDefault="007C514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-11%</w:t>
            </w:r>
          </w:p>
        </w:tc>
        <w:tc>
          <w:tcPr>
            <w:tcW w:w="1701" w:type="dxa"/>
            <w:shd w:val="clear" w:color="auto" w:fill="auto"/>
            <w:vAlign w:val="bottom"/>
          </w:tcPr>
          <w:p w14:paraId="41100C79" w14:textId="77777777" w:rsidR="00F410D1" w:rsidRDefault="007C514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17%</w:t>
            </w:r>
          </w:p>
        </w:tc>
        <w:tc>
          <w:tcPr>
            <w:tcW w:w="1814" w:type="dxa"/>
            <w:vAlign w:val="bottom"/>
          </w:tcPr>
          <w:p w14:paraId="1FBB48D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w:t>
            </w:r>
          </w:p>
        </w:tc>
      </w:tr>
      <w:tr w:rsidR="00F410D1" w14:paraId="38C813E4" w14:textId="77777777">
        <w:trPr>
          <w:trHeight w:val="226"/>
        </w:trPr>
        <w:tc>
          <w:tcPr>
            <w:tcW w:w="2117" w:type="dxa"/>
            <w:shd w:val="clear" w:color="auto" w:fill="auto"/>
            <w:vAlign w:val="bottom"/>
          </w:tcPr>
          <w:p w14:paraId="65EF5DE9" w14:textId="77777777" w:rsidR="00F410D1" w:rsidRDefault="007C5140">
            <w:pPr>
              <w:rPr>
                <w:rFonts w:ascii="Open Sans" w:eastAsia="Open Sans" w:hAnsi="Open Sans" w:cs="Open Sans"/>
                <w:sz w:val="22"/>
                <w:szCs w:val="22"/>
              </w:rPr>
            </w:pPr>
            <w:r>
              <w:rPr>
                <w:rFonts w:ascii="Open Sans" w:eastAsia="Open Sans" w:hAnsi="Open Sans" w:cs="Open Sans"/>
                <w:color w:val="000000"/>
                <w:sz w:val="22"/>
                <w:szCs w:val="22"/>
              </w:rPr>
              <w:t>Murcia capital</w:t>
            </w:r>
          </w:p>
        </w:tc>
        <w:tc>
          <w:tcPr>
            <w:tcW w:w="1701" w:type="dxa"/>
            <w:vAlign w:val="bottom"/>
          </w:tcPr>
          <w:p w14:paraId="2AF2AA1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9C0006"/>
                <w:sz w:val="22"/>
                <w:szCs w:val="22"/>
              </w:rPr>
              <w:t>-44%</w:t>
            </w:r>
          </w:p>
        </w:tc>
        <w:tc>
          <w:tcPr>
            <w:tcW w:w="1701" w:type="dxa"/>
            <w:vAlign w:val="bottom"/>
          </w:tcPr>
          <w:p w14:paraId="3A74AE51" w14:textId="77777777" w:rsidR="00F410D1" w:rsidRDefault="007C5140">
            <w:pPr>
              <w:jc w:val="center"/>
              <w:rPr>
                <w:rFonts w:ascii="Open Sans" w:eastAsia="Open Sans" w:hAnsi="Open Sans" w:cs="Open Sans"/>
                <w:color w:val="9C0006"/>
                <w:sz w:val="22"/>
                <w:szCs w:val="22"/>
              </w:rPr>
            </w:pPr>
            <w:r>
              <w:rPr>
                <w:rFonts w:ascii="Open Sans" w:eastAsia="Open Sans" w:hAnsi="Open Sans" w:cs="Open Sans"/>
                <w:color w:val="9C0006"/>
                <w:sz w:val="22"/>
                <w:szCs w:val="22"/>
              </w:rPr>
              <w:t>-20%</w:t>
            </w:r>
          </w:p>
        </w:tc>
        <w:tc>
          <w:tcPr>
            <w:tcW w:w="1701" w:type="dxa"/>
            <w:shd w:val="clear" w:color="auto" w:fill="auto"/>
            <w:vAlign w:val="bottom"/>
          </w:tcPr>
          <w:p w14:paraId="29503178" w14:textId="77777777" w:rsidR="00F410D1" w:rsidRDefault="007C514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4,6%</w:t>
            </w:r>
          </w:p>
        </w:tc>
        <w:tc>
          <w:tcPr>
            <w:tcW w:w="1814" w:type="dxa"/>
            <w:vAlign w:val="bottom"/>
          </w:tcPr>
          <w:p w14:paraId="04868C7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0,5%</w:t>
            </w:r>
          </w:p>
        </w:tc>
      </w:tr>
    </w:tbl>
    <w:p w14:paraId="6EAFD70F" w14:textId="77777777" w:rsidR="00F410D1" w:rsidRDefault="00F410D1">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6ADA545B" w14:textId="77777777" w:rsidR="00F410D1" w:rsidRDefault="007C514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Precio medio de una vivienda de 80 m</w:t>
      </w:r>
      <w:r>
        <w:rPr>
          <w:rFonts w:ascii="National" w:eastAsia="National" w:hAnsi="National" w:cs="National"/>
          <w:b/>
          <w:color w:val="303AB2"/>
          <w:sz w:val="28"/>
          <w:szCs w:val="28"/>
          <w:vertAlign w:val="superscript"/>
        </w:rPr>
        <w:t>2</w:t>
      </w:r>
      <w:r>
        <w:rPr>
          <w:rFonts w:ascii="National" w:eastAsia="National" w:hAnsi="National" w:cs="National"/>
          <w:b/>
          <w:color w:val="303AB2"/>
          <w:sz w:val="28"/>
          <w:szCs w:val="28"/>
        </w:rPr>
        <w:t xml:space="preserve"> por ciudades</w:t>
      </w:r>
    </w:p>
    <w:p w14:paraId="54E31547" w14:textId="77777777" w:rsidR="00F410D1" w:rsidRDefault="00F410D1">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2"/>
        <w:tblW w:w="9034" w:type="dxa"/>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Layout w:type="fixed"/>
        <w:tblLook w:val="0400" w:firstRow="0" w:lastRow="0" w:firstColumn="0" w:lastColumn="0" w:noHBand="0" w:noVBand="1"/>
      </w:tblPr>
      <w:tblGrid>
        <w:gridCol w:w="2117"/>
        <w:gridCol w:w="1701"/>
        <w:gridCol w:w="1701"/>
        <w:gridCol w:w="1701"/>
        <w:gridCol w:w="1814"/>
      </w:tblGrid>
      <w:tr w:rsidR="00F410D1" w14:paraId="34A96BB4" w14:textId="77777777">
        <w:trPr>
          <w:trHeight w:val="772"/>
        </w:trPr>
        <w:tc>
          <w:tcPr>
            <w:tcW w:w="2117" w:type="dxa"/>
            <w:shd w:val="clear" w:color="auto" w:fill="ACB9CA"/>
            <w:vAlign w:val="center"/>
          </w:tcPr>
          <w:p w14:paraId="26B42620" w14:textId="77777777" w:rsidR="00F410D1" w:rsidRDefault="007C5140">
            <w:pPr>
              <w:rPr>
                <w:rFonts w:ascii="Open Sans" w:eastAsia="Open Sans" w:hAnsi="Open Sans" w:cs="Open Sans"/>
                <w:color w:val="0D0D0D"/>
                <w:sz w:val="20"/>
                <w:szCs w:val="20"/>
              </w:rPr>
            </w:pPr>
            <w:r>
              <w:rPr>
                <w:rFonts w:ascii="Open Sans" w:eastAsia="Open Sans" w:hAnsi="Open Sans" w:cs="Open Sans"/>
                <w:color w:val="0D0D0D"/>
                <w:sz w:val="20"/>
                <w:szCs w:val="20"/>
              </w:rPr>
              <w:t>Ciudad</w:t>
            </w:r>
          </w:p>
        </w:tc>
        <w:tc>
          <w:tcPr>
            <w:tcW w:w="1701" w:type="dxa"/>
            <w:shd w:val="clear" w:color="auto" w:fill="ACB9CA"/>
          </w:tcPr>
          <w:p w14:paraId="68277197" w14:textId="77777777" w:rsidR="00F410D1" w:rsidRDefault="007C5140">
            <w:pPr>
              <w:jc w:val="center"/>
              <w:rPr>
                <w:rFonts w:ascii="Open Sans" w:eastAsia="Open Sans" w:hAnsi="Open Sans" w:cs="Open Sans"/>
                <w:color w:val="0D0D0D"/>
                <w:sz w:val="20"/>
                <w:szCs w:val="20"/>
              </w:rPr>
            </w:pPr>
            <w:r>
              <w:rPr>
                <w:rFonts w:ascii="Open Sans" w:eastAsia="Open Sans" w:hAnsi="Open Sans" w:cs="Open Sans"/>
                <w:color w:val="0D0D0D"/>
                <w:sz w:val="18"/>
                <w:szCs w:val="18"/>
              </w:rPr>
              <w:t>Precio de una vivienda de 80 m</w:t>
            </w:r>
            <w:r>
              <w:rPr>
                <w:rFonts w:ascii="Open Sans" w:eastAsia="Open Sans" w:hAnsi="Open Sans" w:cs="Open Sans"/>
                <w:color w:val="0D0D0D"/>
                <w:sz w:val="18"/>
                <w:szCs w:val="18"/>
                <w:vertAlign w:val="superscript"/>
              </w:rPr>
              <w:t>2</w:t>
            </w:r>
            <w:r>
              <w:rPr>
                <w:rFonts w:ascii="Open Sans" w:eastAsia="Open Sans" w:hAnsi="Open Sans" w:cs="Open Sans"/>
                <w:color w:val="0D0D0D"/>
                <w:sz w:val="18"/>
                <w:szCs w:val="18"/>
              </w:rPr>
              <w:t xml:space="preserve"> en 2006</w:t>
            </w:r>
          </w:p>
        </w:tc>
        <w:tc>
          <w:tcPr>
            <w:tcW w:w="1701" w:type="dxa"/>
            <w:shd w:val="clear" w:color="auto" w:fill="ACB9CA"/>
            <w:vAlign w:val="center"/>
          </w:tcPr>
          <w:p w14:paraId="4C3D9123" w14:textId="77777777" w:rsidR="00F410D1" w:rsidRDefault="007C5140">
            <w:pPr>
              <w:jc w:val="center"/>
              <w:rPr>
                <w:rFonts w:ascii="Open Sans" w:eastAsia="Open Sans" w:hAnsi="Open Sans" w:cs="Open Sans"/>
                <w:color w:val="0D0D0D"/>
                <w:sz w:val="20"/>
                <w:szCs w:val="20"/>
              </w:rPr>
            </w:pPr>
            <w:r>
              <w:rPr>
                <w:rFonts w:ascii="Open Sans" w:eastAsia="Open Sans" w:hAnsi="Open Sans" w:cs="Open Sans"/>
                <w:color w:val="0D0D0D"/>
                <w:sz w:val="18"/>
                <w:szCs w:val="18"/>
              </w:rPr>
              <w:t>Precio de una vivienda de 80 m</w:t>
            </w:r>
            <w:r>
              <w:rPr>
                <w:rFonts w:ascii="Open Sans" w:eastAsia="Open Sans" w:hAnsi="Open Sans" w:cs="Open Sans"/>
                <w:color w:val="0D0D0D"/>
                <w:sz w:val="18"/>
                <w:szCs w:val="18"/>
                <w:vertAlign w:val="superscript"/>
              </w:rPr>
              <w:t>2</w:t>
            </w:r>
            <w:r>
              <w:rPr>
                <w:rFonts w:ascii="Open Sans" w:eastAsia="Open Sans" w:hAnsi="Open Sans" w:cs="Open Sans"/>
                <w:color w:val="0D0D0D"/>
                <w:sz w:val="18"/>
                <w:szCs w:val="18"/>
              </w:rPr>
              <w:t xml:space="preserve"> en 2011</w:t>
            </w:r>
          </w:p>
        </w:tc>
        <w:tc>
          <w:tcPr>
            <w:tcW w:w="1701" w:type="dxa"/>
            <w:shd w:val="clear" w:color="auto" w:fill="ACB9CA"/>
          </w:tcPr>
          <w:p w14:paraId="70F5B90A" w14:textId="77777777" w:rsidR="00F410D1" w:rsidRDefault="007C5140">
            <w:pPr>
              <w:jc w:val="center"/>
              <w:rPr>
                <w:rFonts w:ascii="Open Sans" w:eastAsia="Open Sans" w:hAnsi="Open Sans" w:cs="Open Sans"/>
                <w:color w:val="0D0D0D"/>
                <w:sz w:val="20"/>
                <w:szCs w:val="20"/>
              </w:rPr>
            </w:pPr>
            <w:r>
              <w:rPr>
                <w:rFonts w:ascii="Open Sans" w:eastAsia="Open Sans" w:hAnsi="Open Sans" w:cs="Open Sans"/>
                <w:color w:val="0D0D0D"/>
                <w:sz w:val="18"/>
                <w:szCs w:val="18"/>
              </w:rPr>
              <w:t>Precio de una vivienda de 80 m</w:t>
            </w:r>
            <w:r>
              <w:rPr>
                <w:rFonts w:ascii="Open Sans" w:eastAsia="Open Sans" w:hAnsi="Open Sans" w:cs="Open Sans"/>
                <w:color w:val="0D0D0D"/>
                <w:sz w:val="18"/>
                <w:szCs w:val="18"/>
                <w:vertAlign w:val="superscript"/>
              </w:rPr>
              <w:t>2</w:t>
            </w:r>
            <w:r>
              <w:rPr>
                <w:rFonts w:ascii="Open Sans" w:eastAsia="Open Sans" w:hAnsi="Open Sans" w:cs="Open Sans"/>
                <w:color w:val="0D0D0D"/>
                <w:sz w:val="18"/>
                <w:szCs w:val="18"/>
              </w:rPr>
              <w:t xml:space="preserve"> en 2016</w:t>
            </w:r>
          </w:p>
        </w:tc>
        <w:tc>
          <w:tcPr>
            <w:tcW w:w="1814" w:type="dxa"/>
            <w:shd w:val="clear" w:color="auto" w:fill="ACB9CA"/>
          </w:tcPr>
          <w:p w14:paraId="1DC89FDC" w14:textId="77777777" w:rsidR="00F410D1" w:rsidRDefault="007C5140">
            <w:pPr>
              <w:jc w:val="center"/>
              <w:rPr>
                <w:rFonts w:ascii="Open Sans" w:eastAsia="Open Sans" w:hAnsi="Open Sans" w:cs="Open Sans"/>
                <w:color w:val="0D0D0D"/>
                <w:sz w:val="20"/>
                <w:szCs w:val="20"/>
              </w:rPr>
            </w:pPr>
            <w:r>
              <w:rPr>
                <w:rFonts w:ascii="Open Sans" w:eastAsia="Open Sans" w:hAnsi="Open Sans" w:cs="Open Sans"/>
                <w:color w:val="0D0D0D"/>
                <w:sz w:val="18"/>
                <w:szCs w:val="18"/>
              </w:rPr>
              <w:t>Precio de una vivienda de 80 m</w:t>
            </w:r>
            <w:r>
              <w:rPr>
                <w:rFonts w:ascii="Open Sans" w:eastAsia="Open Sans" w:hAnsi="Open Sans" w:cs="Open Sans"/>
                <w:color w:val="0D0D0D"/>
                <w:sz w:val="18"/>
                <w:szCs w:val="18"/>
                <w:vertAlign w:val="superscript"/>
              </w:rPr>
              <w:t>2</w:t>
            </w:r>
            <w:r>
              <w:rPr>
                <w:rFonts w:ascii="Open Sans" w:eastAsia="Open Sans" w:hAnsi="Open Sans" w:cs="Open Sans"/>
                <w:color w:val="0D0D0D"/>
                <w:sz w:val="18"/>
                <w:szCs w:val="18"/>
              </w:rPr>
              <w:t xml:space="preserve"> en 2021</w:t>
            </w:r>
          </w:p>
        </w:tc>
      </w:tr>
      <w:tr w:rsidR="00F410D1" w14:paraId="4E24AACC" w14:textId="77777777">
        <w:trPr>
          <w:trHeight w:val="226"/>
        </w:trPr>
        <w:tc>
          <w:tcPr>
            <w:tcW w:w="2117" w:type="dxa"/>
            <w:shd w:val="clear" w:color="auto" w:fill="auto"/>
            <w:vAlign w:val="bottom"/>
          </w:tcPr>
          <w:p w14:paraId="62959561"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Cádiz capital</w:t>
            </w:r>
          </w:p>
        </w:tc>
        <w:tc>
          <w:tcPr>
            <w:tcW w:w="1701" w:type="dxa"/>
            <w:vAlign w:val="bottom"/>
          </w:tcPr>
          <w:p w14:paraId="1F90A4E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283.967 €</w:t>
            </w:r>
          </w:p>
        </w:tc>
        <w:tc>
          <w:tcPr>
            <w:tcW w:w="1701" w:type="dxa"/>
            <w:vAlign w:val="bottom"/>
          </w:tcPr>
          <w:p w14:paraId="0B12CC4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210.680 €</w:t>
            </w:r>
          </w:p>
        </w:tc>
        <w:tc>
          <w:tcPr>
            <w:tcW w:w="1701" w:type="dxa"/>
            <w:shd w:val="clear" w:color="auto" w:fill="auto"/>
            <w:vAlign w:val="bottom"/>
          </w:tcPr>
          <w:p w14:paraId="6B3430AF"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165.712 €</w:t>
            </w:r>
          </w:p>
        </w:tc>
        <w:tc>
          <w:tcPr>
            <w:tcW w:w="1814" w:type="dxa"/>
            <w:vAlign w:val="bottom"/>
          </w:tcPr>
          <w:p w14:paraId="4C3CA8CD"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205.382 €</w:t>
            </w:r>
          </w:p>
        </w:tc>
      </w:tr>
      <w:tr w:rsidR="00F410D1" w14:paraId="3F788C3E" w14:textId="77777777">
        <w:trPr>
          <w:trHeight w:val="226"/>
        </w:trPr>
        <w:tc>
          <w:tcPr>
            <w:tcW w:w="2117" w:type="dxa"/>
            <w:shd w:val="clear" w:color="auto" w:fill="auto"/>
            <w:vAlign w:val="bottom"/>
          </w:tcPr>
          <w:p w14:paraId="6FB92448"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Málaga capital</w:t>
            </w:r>
          </w:p>
        </w:tc>
        <w:tc>
          <w:tcPr>
            <w:tcW w:w="1701" w:type="dxa"/>
            <w:vAlign w:val="bottom"/>
          </w:tcPr>
          <w:p w14:paraId="2CB1C5A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216.220 €</w:t>
            </w:r>
          </w:p>
        </w:tc>
        <w:tc>
          <w:tcPr>
            <w:tcW w:w="1701" w:type="dxa"/>
            <w:vAlign w:val="bottom"/>
          </w:tcPr>
          <w:p w14:paraId="3AF7ABD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164.241 €</w:t>
            </w:r>
          </w:p>
        </w:tc>
        <w:tc>
          <w:tcPr>
            <w:tcW w:w="1701" w:type="dxa"/>
            <w:shd w:val="clear" w:color="auto" w:fill="auto"/>
            <w:vAlign w:val="bottom"/>
          </w:tcPr>
          <w:p w14:paraId="4A886F0F"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134.687 €</w:t>
            </w:r>
          </w:p>
        </w:tc>
        <w:tc>
          <w:tcPr>
            <w:tcW w:w="1814" w:type="dxa"/>
            <w:vAlign w:val="bottom"/>
          </w:tcPr>
          <w:p w14:paraId="6F197A5F"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195.987 €</w:t>
            </w:r>
          </w:p>
        </w:tc>
      </w:tr>
      <w:tr w:rsidR="00F410D1" w14:paraId="0232E149" w14:textId="77777777">
        <w:trPr>
          <w:trHeight w:val="226"/>
        </w:trPr>
        <w:tc>
          <w:tcPr>
            <w:tcW w:w="2117" w:type="dxa"/>
            <w:shd w:val="clear" w:color="auto" w:fill="auto"/>
            <w:vAlign w:val="bottom"/>
          </w:tcPr>
          <w:p w14:paraId="0EA8F893"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Sevilla capital</w:t>
            </w:r>
          </w:p>
        </w:tc>
        <w:tc>
          <w:tcPr>
            <w:tcW w:w="1701" w:type="dxa"/>
            <w:vAlign w:val="bottom"/>
          </w:tcPr>
          <w:p w14:paraId="0354CEE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222.587 €</w:t>
            </w:r>
          </w:p>
        </w:tc>
        <w:tc>
          <w:tcPr>
            <w:tcW w:w="1701" w:type="dxa"/>
            <w:vAlign w:val="bottom"/>
          </w:tcPr>
          <w:p w14:paraId="67927A4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186.524 €</w:t>
            </w:r>
          </w:p>
        </w:tc>
        <w:tc>
          <w:tcPr>
            <w:tcW w:w="1701" w:type="dxa"/>
            <w:shd w:val="clear" w:color="auto" w:fill="auto"/>
            <w:vAlign w:val="bottom"/>
          </w:tcPr>
          <w:p w14:paraId="7969505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143.660 €</w:t>
            </w:r>
          </w:p>
        </w:tc>
        <w:tc>
          <w:tcPr>
            <w:tcW w:w="1814" w:type="dxa"/>
            <w:vAlign w:val="bottom"/>
          </w:tcPr>
          <w:p w14:paraId="583B9E40"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169.482 €</w:t>
            </w:r>
          </w:p>
        </w:tc>
      </w:tr>
      <w:tr w:rsidR="00F410D1" w14:paraId="1C09FCD3" w14:textId="77777777">
        <w:trPr>
          <w:trHeight w:val="226"/>
        </w:trPr>
        <w:tc>
          <w:tcPr>
            <w:tcW w:w="2117" w:type="dxa"/>
            <w:shd w:val="clear" w:color="auto" w:fill="auto"/>
            <w:vAlign w:val="bottom"/>
          </w:tcPr>
          <w:p w14:paraId="74F94D70"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Granada capital</w:t>
            </w:r>
          </w:p>
        </w:tc>
        <w:tc>
          <w:tcPr>
            <w:tcW w:w="1701" w:type="dxa"/>
            <w:vAlign w:val="bottom"/>
          </w:tcPr>
          <w:p w14:paraId="1B1CAA1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222.935 €</w:t>
            </w:r>
          </w:p>
        </w:tc>
        <w:tc>
          <w:tcPr>
            <w:tcW w:w="1701" w:type="dxa"/>
            <w:vAlign w:val="bottom"/>
          </w:tcPr>
          <w:p w14:paraId="35B519A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170.611 €</w:t>
            </w:r>
          </w:p>
        </w:tc>
        <w:tc>
          <w:tcPr>
            <w:tcW w:w="1701" w:type="dxa"/>
            <w:shd w:val="clear" w:color="auto" w:fill="auto"/>
            <w:vAlign w:val="bottom"/>
          </w:tcPr>
          <w:p w14:paraId="7FA50BF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132.232 €</w:t>
            </w:r>
          </w:p>
        </w:tc>
        <w:tc>
          <w:tcPr>
            <w:tcW w:w="1814" w:type="dxa"/>
            <w:vAlign w:val="bottom"/>
          </w:tcPr>
          <w:p w14:paraId="79C88101"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154.527 €</w:t>
            </w:r>
          </w:p>
        </w:tc>
      </w:tr>
      <w:tr w:rsidR="00F410D1" w14:paraId="6369504D" w14:textId="77777777">
        <w:trPr>
          <w:trHeight w:val="226"/>
        </w:trPr>
        <w:tc>
          <w:tcPr>
            <w:tcW w:w="2117" w:type="dxa"/>
            <w:shd w:val="clear" w:color="auto" w:fill="auto"/>
            <w:vAlign w:val="bottom"/>
          </w:tcPr>
          <w:p w14:paraId="4634EF10"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Córdoba capital</w:t>
            </w:r>
          </w:p>
        </w:tc>
        <w:tc>
          <w:tcPr>
            <w:tcW w:w="1701" w:type="dxa"/>
            <w:vAlign w:val="bottom"/>
          </w:tcPr>
          <w:p w14:paraId="77C40C6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206.040 €</w:t>
            </w:r>
          </w:p>
        </w:tc>
        <w:tc>
          <w:tcPr>
            <w:tcW w:w="1701" w:type="dxa"/>
            <w:vAlign w:val="bottom"/>
          </w:tcPr>
          <w:p w14:paraId="371DCD1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155.694 €</w:t>
            </w:r>
          </w:p>
        </w:tc>
        <w:tc>
          <w:tcPr>
            <w:tcW w:w="1701" w:type="dxa"/>
            <w:shd w:val="clear" w:color="auto" w:fill="auto"/>
            <w:vAlign w:val="bottom"/>
          </w:tcPr>
          <w:p w14:paraId="0D51282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115.303 €</w:t>
            </w:r>
          </w:p>
        </w:tc>
        <w:tc>
          <w:tcPr>
            <w:tcW w:w="1814" w:type="dxa"/>
            <w:vAlign w:val="bottom"/>
          </w:tcPr>
          <w:p w14:paraId="7D7DEFE6"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120.057 €</w:t>
            </w:r>
          </w:p>
        </w:tc>
      </w:tr>
      <w:tr w:rsidR="00F410D1" w14:paraId="3908C39A" w14:textId="77777777">
        <w:trPr>
          <w:trHeight w:val="226"/>
        </w:trPr>
        <w:tc>
          <w:tcPr>
            <w:tcW w:w="2117" w:type="dxa"/>
            <w:shd w:val="clear" w:color="auto" w:fill="auto"/>
            <w:vAlign w:val="bottom"/>
          </w:tcPr>
          <w:p w14:paraId="5A3A7CA7"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Almería capital</w:t>
            </w:r>
          </w:p>
        </w:tc>
        <w:tc>
          <w:tcPr>
            <w:tcW w:w="1701" w:type="dxa"/>
            <w:vAlign w:val="bottom"/>
          </w:tcPr>
          <w:p w14:paraId="10CCF4F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206.160 €</w:t>
            </w:r>
          </w:p>
        </w:tc>
        <w:tc>
          <w:tcPr>
            <w:tcW w:w="1701" w:type="dxa"/>
            <w:vAlign w:val="bottom"/>
          </w:tcPr>
          <w:p w14:paraId="21DEDA4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148.994 €</w:t>
            </w:r>
          </w:p>
        </w:tc>
        <w:tc>
          <w:tcPr>
            <w:tcW w:w="1701" w:type="dxa"/>
            <w:shd w:val="clear" w:color="auto" w:fill="auto"/>
            <w:vAlign w:val="bottom"/>
          </w:tcPr>
          <w:p w14:paraId="7D68F69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103.364 €</w:t>
            </w:r>
          </w:p>
        </w:tc>
        <w:tc>
          <w:tcPr>
            <w:tcW w:w="1814" w:type="dxa"/>
            <w:vAlign w:val="bottom"/>
          </w:tcPr>
          <w:p w14:paraId="3EC8D10D"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107.063 €</w:t>
            </w:r>
          </w:p>
        </w:tc>
      </w:tr>
      <w:tr w:rsidR="00F410D1" w14:paraId="691EBC01" w14:textId="77777777">
        <w:trPr>
          <w:trHeight w:val="226"/>
        </w:trPr>
        <w:tc>
          <w:tcPr>
            <w:tcW w:w="2117" w:type="dxa"/>
            <w:shd w:val="clear" w:color="auto" w:fill="auto"/>
            <w:vAlign w:val="bottom"/>
          </w:tcPr>
          <w:p w14:paraId="2044C9A8"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Jaén capital</w:t>
            </w:r>
          </w:p>
        </w:tc>
        <w:tc>
          <w:tcPr>
            <w:tcW w:w="1701" w:type="dxa"/>
            <w:vAlign w:val="bottom"/>
          </w:tcPr>
          <w:p w14:paraId="09F8FC4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191.158 €</w:t>
            </w:r>
          </w:p>
        </w:tc>
        <w:tc>
          <w:tcPr>
            <w:tcW w:w="1701" w:type="dxa"/>
            <w:vAlign w:val="bottom"/>
          </w:tcPr>
          <w:p w14:paraId="2FF3569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150.391 €</w:t>
            </w:r>
          </w:p>
        </w:tc>
        <w:tc>
          <w:tcPr>
            <w:tcW w:w="1701" w:type="dxa"/>
            <w:shd w:val="clear" w:color="auto" w:fill="auto"/>
            <w:vAlign w:val="bottom"/>
          </w:tcPr>
          <w:p w14:paraId="254D78B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106.669 €</w:t>
            </w:r>
          </w:p>
        </w:tc>
        <w:tc>
          <w:tcPr>
            <w:tcW w:w="1814" w:type="dxa"/>
            <w:vAlign w:val="bottom"/>
          </w:tcPr>
          <w:p w14:paraId="281C84C8"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100.594 €</w:t>
            </w:r>
          </w:p>
        </w:tc>
      </w:tr>
      <w:tr w:rsidR="00F410D1" w14:paraId="75BD8505" w14:textId="77777777">
        <w:trPr>
          <w:trHeight w:val="226"/>
        </w:trPr>
        <w:tc>
          <w:tcPr>
            <w:tcW w:w="2117" w:type="dxa"/>
            <w:shd w:val="clear" w:color="auto" w:fill="auto"/>
            <w:vAlign w:val="bottom"/>
          </w:tcPr>
          <w:p w14:paraId="5B1F59EA"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Huelva capital</w:t>
            </w:r>
          </w:p>
        </w:tc>
        <w:tc>
          <w:tcPr>
            <w:tcW w:w="1701" w:type="dxa"/>
            <w:vAlign w:val="bottom"/>
          </w:tcPr>
          <w:p w14:paraId="5CC940E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164.994 €</w:t>
            </w:r>
          </w:p>
        </w:tc>
        <w:tc>
          <w:tcPr>
            <w:tcW w:w="1701" w:type="dxa"/>
            <w:vAlign w:val="bottom"/>
          </w:tcPr>
          <w:p w14:paraId="2FCB77B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129.773 €</w:t>
            </w:r>
          </w:p>
        </w:tc>
        <w:tc>
          <w:tcPr>
            <w:tcW w:w="1701" w:type="dxa"/>
            <w:shd w:val="clear" w:color="auto" w:fill="auto"/>
            <w:vAlign w:val="bottom"/>
          </w:tcPr>
          <w:p w14:paraId="2BBBADB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92.645 €</w:t>
            </w:r>
          </w:p>
        </w:tc>
        <w:tc>
          <w:tcPr>
            <w:tcW w:w="1814" w:type="dxa"/>
            <w:vAlign w:val="bottom"/>
          </w:tcPr>
          <w:p w14:paraId="5A0465AD"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98.193 €</w:t>
            </w:r>
          </w:p>
        </w:tc>
      </w:tr>
      <w:tr w:rsidR="00F410D1" w14:paraId="5DE1505C" w14:textId="77777777">
        <w:trPr>
          <w:trHeight w:val="226"/>
        </w:trPr>
        <w:tc>
          <w:tcPr>
            <w:tcW w:w="2117" w:type="dxa"/>
            <w:shd w:val="clear" w:color="auto" w:fill="auto"/>
            <w:vAlign w:val="bottom"/>
          </w:tcPr>
          <w:p w14:paraId="02A51598"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Zaragoza capital</w:t>
            </w:r>
          </w:p>
        </w:tc>
        <w:tc>
          <w:tcPr>
            <w:tcW w:w="1701" w:type="dxa"/>
            <w:vAlign w:val="bottom"/>
          </w:tcPr>
          <w:p w14:paraId="123A169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283.538 €</w:t>
            </w:r>
          </w:p>
        </w:tc>
        <w:tc>
          <w:tcPr>
            <w:tcW w:w="1701" w:type="dxa"/>
            <w:vAlign w:val="bottom"/>
          </w:tcPr>
          <w:p w14:paraId="5981D62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186.857 €</w:t>
            </w:r>
          </w:p>
        </w:tc>
        <w:tc>
          <w:tcPr>
            <w:tcW w:w="1701" w:type="dxa"/>
            <w:shd w:val="clear" w:color="auto" w:fill="auto"/>
            <w:vAlign w:val="bottom"/>
          </w:tcPr>
          <w:p w14:paraId="6500AC1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129.599 €</w:t>
            </w:r>
          </w:p>
        </w:tc>
        <w:tc>
          <w:tcPr>
            <w:tcW w:w="1814" w:type="dxa"/>
            <w:vAlign w:val="bottom"/>
          </w:tcPr>
          <w:p w14:paraId="65D60095"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149.738 €</w:t>
            </w:r>
          </w:p>
        </w:tc>
      </w:tr>
      <w:tr w:rsidR="00F410D1" w14:paraId="7C368C5B" w14:textId="77777777">
        <w:trPr>
          <w:trHeight w:val="226"/>
        </w:trPr>
        <w:tc>
          <w:tcPr>
            <w:tcW w:w="2117" w:type="dxa"/>
            <w:shd w:val="clear" w:color="auto" w:fill="auto"/>
            <w:vAlign w:val="bottom"/>
          </w:tcPr>
          <w:p w14:paraId="27D4B968"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Huesca capital</w:t>
            </w:r>
          </w:p>
        </w:tc>
        <w:tc>
          <w:tcPr>
            <w:tcW w:w="1701" w:type="dxa"/>
            <w:vAlign w:val="bottom"/>
          </w:tcPr>
          <w:p w14:paraId="26D9986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199.244 €</w:t>
            </w:r>
          </w:p>
        </w:tc>
        <w:tc>
          <w:tcPr>
            <w:tcW w:w="1701" w:type="dxa"/>
            <w:vAlign w:val="bottom"/>
          </w:tcPr>
          <w:p w14:paraId="04B8AE8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148.763 €</w:t>
            </w:r>
          </w:p>
        </w:tc>
        <w:tc>
          <w:tcPr>
            <w:tcW w:w="1701" w:type="dxa"/>
            <w:shd w:val="clear" w:color="auto" w:fill="auto"/>
            <w:vAlign w:val="bottom"/>
          </w:tcPr>
          <w:p w14:paraId="3C0BC48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107.991 €</w:t>
            </w:r>
          </w:p>
        </w:tc>
        <w:tc>
          <w:tcPr>
            <w:tcW w:w="1814" w:type="dxa"/>
            <w:vAlign w:val="bottom"/>
          </w:tcPr>
          <w:p w14:paraId="2A7F99A8"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126.967 €</w:t>
            </w:r>
          </w:p>
        </w:tc>
      </w:tr>
      <w:tr w:rsidR="00F410D1" w14:paraId="5B81E86B" w14:textId="77777777">
        <w:trPr>
          <w:trHeight w:val="226"/>
        </w:trPr>
        <w:tc>
          <w:tcPr>
            <w:tcW w:w="2117" w:type="dxa"/>
            <w:shd w:val="clear" w:color="auto" w:fill="auto"/>
            <w:vAlign w:val="bottom"/>
          </w:tcPr>
          <w:p w14:paraId="53B38674"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Teruel capital</w:t>
            </w:r>
          </w:p>
        </w:tc>
        <w:tc>
          <w:tcPr>
            <w:tcW w:w="1701" w:type="dxa"/>
          </w:tcPr>
          <w:p w14:paraId="2939F2A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tcPr>
          <w:p w14:paraId="2F1F84D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shd w:val="clear" w:color="auto" w:fill="auto"/>
            <w:vAlign w:val="bottom"/>
          </w:tcPr>
          <w:p w14:paraId="67388D4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110.536 €</w:t>
            </w:r>
          </w:p>
        </w:tc>
        <w:tc>
          <w:tcPr>
            <w:tcW w:w="1814" w:type="dxa"/>
            <w:vAlign w:val="bottom"/>
          </w:tcPr>
          <w:p w14:paraId="7F903D05"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101.418 €</w:t>
            </w:r>
          </w:p>
        </w:tc>
      </w:tr>
      <w:tr w:rsidR="00F410D1" w14:paraId="24301B68" w14:textId="77777777">
        <w:trPr>
          <w:trHeight w:val="226"/>
        </w:trPr>
        <w:tc>
          <w:tcPr>
            <w:tcW w:w="2117" w:type="dxa"/>
            <w:shd w:val="clear" w:color="auto" w:fill="auto"/>
            <w:vAlign w:val="bottom"/>
          </w:tcPr>
          <w:p w14:paraId="21BE379A"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Oviedo</w:t>
            </w:r>
          </w:p>
        </w:tc>
        <w:tc>
          <w:tcPr>
            <w:tcW w:w="1701" w:type="dxa"/>
            <w:vAlign w:val="bottom"/>
          </w:tcPr>
          <w:p w14:paraId="1967C38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228.146 €</w:t>
            </w:r>
          </w:p>
        </w:tc>
        <w:tc>
          <w:tcPr>
            <w:tcW w:w="1701" w:type="dxa"/>
            <w:vAlign w:val="bottom"/>
          </w:tcPr>
          <w:p w14:paraId="3CC598F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176.053 €</w:t>
            </w:r>
          </w:p>
        </w:tc>
        <w:tc>
          <w:tcPr>
            <w:tcW w:w="1701" w:type="dxa"/>
            <w:shd w:val="clear" w:color="auto" w:fill="auto"/>
            <w:vAlign w:val="bottom"/>
          </w:tcPr>
          <w:p w14:paraId="038A240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131.629 €</w:t>
            </w:r>
          </w:p>
        </w:tc>
        <w:tc>
          <w:tcPr>
            <w:tcW w:w="1814" w:type="dxa"/>
            <w:vAlign w:val="bottom"/>
          </w:tcPr>
          <w:p w14:paraId="65951AC0"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137.114 €</w:t>
            </w:r>
          </w:p>
        </w:tc>
      </w:tr>
      <w:tr w:rsidR="00F410D1" w14:paraId="35E0C43A" w14:textId="77777777">
        <w:trPr>
          <w:trHeight w:val="226"/>
        </w:trPr>
        <w:tc>
          <w:tcPr>
            <w:tcW w:w="2117" w:type="dxa"/>
            <w:shd w:val="clear" w:color="auto" w:fill="auto"/>
            <w:vAlign w:val="bottom"/>
          </w:tcPr>
          <w:p w14:paraId="64982E95"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1701" w:type="dxa"/>
            <w:vAlign w:val="bottom"/>
          </w:tcPr>
          <w:p w14:paraId="3D40071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217.693 €</w:t>
            </w:r>
          </w:p>
        </w:tc>
        <w:tc>
          <w:tcPr>
            <w:tcW w:w="1701" w:type="dxa"/>
            <w:vAlign w:val="bottom"/>
          </w:tcPr>
          <w:p w14:paraId="5C5D961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176.561 €</w:t>
            </w:r>
          </w:p>
        </w:tc>
        <w:tc>
          <w:tcPr>
            <w:tcW w:w="1701" w:type="dxa"/>
            <w:shd w:val="clear" w:color="auto" w:fill="auto"/>
            <w:vAlign w:val="bottom"/>
          </w:tcPr>
          <w:p w14:paraId="0D54A15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168.878 €</w:t>
            </w:r>
          </w:p>
        </w:tc>
        <w:tc>
          <w:tcPr>
            <w:tcW w:w="1814" w:type="dxa"/>
            <w:vAlign w:val="bottom"/>
          </w:tcPr>
          <w:p w14:paraId="02BD5E8C"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249.138 €</w:t>
            </w:r>
          </w:p>
        </w:tc>
      </w:tr>
      <w:tr w:rsidR="00F410D1" w14:paraId="087089B9" w14:textId="77777777">
        <w:trPr>
          <w:trHeight w:val="226"/>
        </w:trPr>
        <w:tc>
          <w:tcPr>
            <w:tcW w:w="2117" w:type="dxa"/>
            <w:shd w:val="clear" w:color="auto" w:fill="auto"/>
            <w:vAlign w:val="bottom"/>
          </w:tcPr>
          <w:p w14:paraId="0AD4B4BA"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Las Palmas de Gran Canaria</w:t>
            </w:r>
          </w:p>
        </w:tc>
        <w:tc>
          <w:tcPr>
            <w:tcW w:w="1701" w:type="dxa"/>
            <w:vAlign w:val="bottom"/>
          </w:tcPr>
          <w:p w14:paraId="1D25EAE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186.798 €</w:t>
            </w:r>
          </w:p>
        </w:tc>
        <w:tc>
          <w:tcPr>
            <w:tcW w:w="1701" w:type="dxa"/>
            <w:vAlign w:val="bottom"/>
          </w:tcPr>
          <w:p w14:paraId="52B1ADF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158.709 €</w:t>
            </w:r>
          </w:p>
        </w:tc>
        <w:tc>
          <w:tcPr>
            <w:tcW w:w="1701" w:type="dxa"/>
            <w:shd w:val="clear" w:color="auto" w:fill="auto"/>
            <w:vAlign w:val="bottom"/>
          </w:tcPr>
          <w:p w14:paraId="056C5F0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129.687 €</w:t>
            </w:r>
          </w:p>
        </w:tc>
        <w:tc>
          <w:tcPr>
            <w:tcW w:w="1814" w:type="dxa"/>
            <w:vAlign w:val="bottom"/>
          </w:tcPr>
          <w:p w14:paraId="2985ADFD"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167.130 €</w:t>
            </w:r>
          </w:p>
        </w:tc>
      </w:tr>
      <w:tr w:rsidR="00F410D1" w14:paraId="4F57AFC3" w14:textId="77777777">
        <w:trPr>
          <w:trHeight w:val="226"/>
        </w:trPr>
        <w:tc>
          <w:tcPr>
            <w:tcW w:w="2117" w:type="dxa"/>
            <w:shd w:val="clear" w:color="auto" w:fill="auto"/>
            <w:vAlign w:val="bottom"/>
          </w:tcPr>
          <w:p w14:paraId="60602445"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Santa Cruz de Tenerife capital</w:t>
            </w:r>
          </w:p>
        </w:tc>
        <w:tc>
          <w:tcPr>
            <w:tcW w:w="1701" w:type="dxa"/>
            <w:vAlign w:val="bottom"/>
          </w:tcPr>
          <w:p w14:paraId="635C4F6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174.871 €</w:t>
            </w:r>
          </w:p>
        </w:tc>
        <w:tc>
          <w:tcPr>
            <w:tcW w:w="1701" w:type="dxa"/>
            <w:vAlign w:val="bottom"/>
          </w:tcPr>
          <w:p w14:paraId="675EB7D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151.848 €</w:t>
            </w:r>
          </w:p>
        </w:tc>
        <w:tc>
          <w:tcPr>
            <w:tcW w:w="1701" w:type="dxa"/>
            <w:shd w:val="clear" w:color="auto" w:fill="auto"/>
            <w:vAlign w:val="bottom"/>
          </w:tcPr>
          <w:p w14:paraId="37BFD7B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115.049 €</w:t>
            </w:r>
          </w:p>
        </w:tc>
        <w:tc>
          <w:tcPr>
            <w:tcW w:w="1814" w:type="dxa"/>
            <w:vAlign w:val="bottom"/>
          </w:tcPr>
          <w:p w14:paraId="55C3B085"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127.222 €</w:t>
            </w:r>
          </w:p>
        </w:tc>
      </w:tr>
      <w:tr w:rsidR="00F410D1" w14:paraId="6804C30E" w14:textId="77777777">
        <w:trPr>
          <w:trHeight w:val="226"/>
        </w:trPr>
        <w:tc>
          <w:tcPr>
            <w:tcW w:w="2117" w:type="dxa"/>
            <w:shd w:val="clear" w:color="auto" w:fill="auto"/>
            <w:vAlign w:val="bottom"/>
          </w:tcPr>
          <w:p w14:paraId="71FEB6AF"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Santander</w:t>
            </w:r>
          </w:p>
        </w:tc>
        <w:tc>
          <w:tcPr>
            <w:tcW w:w="1701" w:type="dxa"/>
            <w:vAlign w:val="bottom"/>
          </w:tcPr>
          <w:p w14:paraId="53B3588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256.614 €</w:t>
            </w:r>
          </w:p>
        </w:tc>
        <w:tc>
          <w:tcPr>
            <w:tcW w:w="1701" w:type="dxa"/>
            <w:vAlign w:val="bottom"/>
          </w:tcPr>
          <w:p w14:paraId="2257FDC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209.770 €</w:t>
            </w:r>
          </w:p>
        </w:tc>
        <w:tc>
          <w:tcPr>
            <w:tcW w:w="1701" w:type="dxa"/>
            <w:shd w:val="clear" w:color="auto" w:fill="auto"/>
            <w:vAlign w:val="bottom"/>
          </w:tcPr>
          <w:p w14:paraId="24AE65E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158.247 €</w:t>
            </w:r>
          </w:p>
        </w:tc>
        <w:tc>
          <w:tcPr>
            <w:tcW w:w="1814" w:type="dxa"/>
            <w:vAlign w:val="bottom"/>
          </w:tcPr>
          <w:p w14:paraId="5187F668"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177.856 €</w:t>
            </w:r>
          </w:p>
        </w:tc>
      </w:tr>
      <w:tr w:rsidR="00F410D1" w14:paraId="788976FE" w14:textId="77777777">
        <w:trPr>
          <w:trHeight w:val="226"/>
        </w:trPr>
        <w:tc>
          <w:tcPr>
            <w:tcW w:w="2117" w:type="dxa"/>
            <w:shd w:val="clear" w:color="auto" w:fill="auto"/>
            <w:vAlign w:val="bottom"/>
          </w:tcPr>
          <w:p w14:paraId="19BBD0AC"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Salamanca capital</w:t>
            </w:r>
          </w:p>
        </w:tc>
        <w:tc>
          <w:tcPr>
            <w:tcW w:w="1701" w:type="dxa"/>
            <w:vAlign w:val="bottom"/>
          </w:tcPr>
          <w:p w14:paraId="55410F2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237.238 €</w:t>
            </w:r>
          </w:p>
        </w:tc>
        <w:tc>
          <w:tcPr>
            <w:tcW w:w="1701" w:type="dxa"/>
            <w:vAlign w:val="bottom"/>
          </w:tcPr>
          <w:p w14:paraId="3BEE4B1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198.705 €</w:t>
            </w:r>
          </w:p>
        </w:tc>
        <w:tc>
          <w:tcPr>
            <w:tcW w:w="1701" w:type="dxa"/>
            <w:shd w:val="clear" w:color="auto" w:fill="auto"/>
            <w:vAlign w:val="bottom"/>
          </w:tcPr>
          <w:p w14:paraId="3FC4877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148.349 €</w:t>
            </w:r>
          </w:p>
        </w:tc>
        <w:tc>
          <w:tcPr>
            <w:tcW w:w="1814" w:type="dxa"/>
            <w:vAlign w:val="bottom"/>
          </w:tcPr>
          <w:p w14:paraId="718E3B65"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153.575 €</w:t>
            </w:r>
          </w:p>
        </w:tc>
      </w:tr>
      <w:tr w:rsidR="00F410D1" w14:paraId="6C4CB786" w14:textId="77777777">
        <w:trPr>
          <w:trHeight w:val="226"/>
        </w:trPr>
        <w:tc>
          <w:tcPr>
            <w:tcW w:w="2117" w:type="dxa"/>
            <w:shd w:val="clear" w:color="auto" w:fill="auto"/>
            <w:vAlign w:val="bottom"/>
          </w:tcPr>
          <w:p w14:paraId="4CA6DE4A"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Valladolid capital</w:t>
            </w:r>
          </w:p>
        </w:tc>
        <w:tc>
          <w:tcPr>
            <w:tcW w:w="1701" w:type="dxa"/>
            <w:vAlign w:val="bottom"/>
          </w:tcPr>
          <w:p w14:paraId="38AAAC0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211.987 €</w:t>
            </w:r>
          </w:p>
        </w:tc>
        <w:tc>
          <w:tcPr>
            <w:tcW w:w="1701" w:type="dxa"/>
            <w:vAlign w:val="bottom"/>
          </w:tcPr>
          <w:p w14:paraId="06956427"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168.162 €</w:t>
            </w:r>
          </w:p>
        </w:tc>
        <w:tc>
          <w:tcPr>
            <w:tcW w:w="1701" w:type="dxa"/>
            <w:shd w:val="clear" w:color="auto" w:fill="auto"/>
            <w:vAlign w:val="bottom"/>
          </w:tcPr>
          <w:p w14:paraId="2C2FF21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123.039 €</w:t>
            </w:r>
          </w:p>
        </w:tc>
        <w:tc>
          <w:tcPr>
            <w:tcW w:w="1814" w:type="dxa"/>
            <w:vAlign w:val="bottom"/>
          </w:tcPr>
          <w:p w14:paraId="4666AECD"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140.990 €</w:t>
            </w:r>
          </w:p>
        </w:tc>
      </w:tr>
      <w:tr w:rsidR="00F410D1" w14:paraId="4EBD2432" w14:textId="77777777">
        <w:trPr>
          <w:trHeight w:val="226"/>
        </w:trPr>
        <w:tc>
          <w:tcPr>
            <w:tcW w:w="2117" w:type="dxa"/>
            <w:shd w:val="clear" w:color="auto" w:fill="auto"/>
            <w:vAlign w:val="bottom"/>
          </w:tcPr>
          <w:p w14:paraId="562993B4"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Burgos capital</w:t>
            </w:r>
          </w:p>
        </w:tc>
        <w:tc>
          <w:tcPr>
            <w:tcW w:w="1701" w:type="dxa"/>
            <w:vAlign w:val="bottom"/>
          </w:tcPr>
          <w:p w14:paraId="14143C5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210.526 €</w:t>
            </w:r>
          </w:p>
        </w:tc>
        <w:tc>
          <w:tcPr>
            <w:tcW w:w="1701" w:type="dxa"/>
            <w:vAlign w:val="bottom"/>
          </w:tcPr>
          <w:p w14:paraId="675B377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190.417 €</w:t>
            </w:r>
          </w:p>
        </w:tc>
        <w:tc>
          <w:tcPr>
            <w:tcW w:w="1701" w:type="dxa"/>
            <w:shd w:val="clear" w:color="auto" w:fill="auto"/>
            <w:vAlign w:val="bottom"/>
          </w:tcPr>
          <w:p w14:paraId="316C692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126.995 €</w:t>
            </w:r>
          </w:p>
        </w:tc>
        <w:tc>
          <w:tcPr>
            <w:tcW w:w="1814" w:type="dxa"/>
            <w:vAlign w:val="bottom"/>
          </w:tcPr>
          <w:p w14:paraId="270A3C6F"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137.720 €</w:t>
            </w:r>
          </w:p>
        </w:tc>
      </w:tr>
      <w:tr w:rsidR="00F410D1" w14:paraId="55DAEA35" w14:textId="77777777">
        <w:trPr>
          <w:trHeight w:val="226"/>
        </w:trPr>
        <w:tc>
          <w:tcPr>
            <w:tcW w:w="2117" w:type="dxa"/>
            <w:shd w:val="clear" w:color="auto" w:fill="auto"/>
            <w:vAlign w:val="bottom"/>
          </w:tcPr>
          <w:p w14:paraId="49228301"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Segovia capital</w:t>
            </w:r>
          </w:p>
        </w:tc>
        <w:tc>
          <w:tcPr>
            <w:tcW w:w="1701" w:type="dxa"/>
            <w:vAlign w:val="bottom"/>
          </w:tcPr>
          <w:p w14:paraId="4C08AC5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03C8131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177.908 €</w:t>
            </w:r>
          </w:p>
        </w:tc>
        <w:tc>
          <w:tcPr>
            <w:tcW w:w="1701" w:type="dxa"/>
            <w:shd w:val="clear" w:color="auto" w:fill="auto"/>
            <w:vAlign w:val="bottom"/>
          </w:tcPr>
          <w:p w14:paraId="2D914DDF"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126.440 €</w:t>
            </w:r>
          </w:p>
        </w:tc>
        <w:tc>
          <w:tcPr>
            <w:tcW w:w="1814" w:type="dxa"/>
            <w:vAlign w:val="bottom"/>
          </w:tcPr>
          <w:p w14:paraId="3A6528CC"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136.534 €</w:t>
            </w:r>
          </w:p>
        </w:tc>
      </w:tr>
      <w:tr w:rsidR="00F410D1" w14:paraId="551FB6E5" w14:textId="77777777">
        <w:trPr>
          <w:trHeight w:val="226"/>
        </w:trPr>
        <w:tc>
          <w:tcPr>
            <w:tcW w:w="2117" w:type="dxa"/>
            <w:shd w:val="clear" w:color="auto" w:fill="auto"/>
            <w:vAlign w:val="bottom"/>
          </w:tcPr>
          <w:p w14:paraId="4A57D3C3"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Palencia capital</w:t>
            </w:r>
          </w:p>
        </w:tc>
        <w:tc>
          <w:tcPr>
            <w:tcW w:w="1701" w:type="dxa"/>
            <w:vAlign w:val="bottom"/>
          </w:tcPr>
          <w:p w14:paraId="2663B7E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168.346 €</w:t>
            </w:r>
          </w:p>
        </w:tc>
        <w:tc>
          <w:tcPr>
            <w:tcW w:w="1701" w:type="dxa"/>
            <w:vAlign w:val="bottom"/>
          </w:tcPr>
          <w:p w14:paraId="5A921CF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156.211 €</w:t>
            </w:r>
          </w:p>
        </w:tc>
        <w:tc>
          <w:tcPr>
            <w:tcW w:w="1701" w:type="dxa"/>
            <w:shd w:val="clear" w:color="auto" w:fill="auto"/>
            <w:vAlign w:val="bottom"/>
          </w:tcPr>
          <w:p w14:paraId="326EDF1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114.708 €</w:t>
            </w:r>
          </w:p>
        </w:tc>
        <w:tc>
          <w:tcPr>
            <w:tcW w:w="1814" w:type="dxa"/>
            <w:vAlign w:val="bottom"/>
          </w:tcPr>
          <w:p w14:paraId="62724721"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120.050 €</w:t>
            </w:r>
          </w:p>
        </w:tc>
      </w:tr>
      <w:tr w:rsidR="00F410D1" w14:paraId="394D24ED" w14:textId="77777777">
        <w:trPr>
          <w:trHeight w:val="226"/>
        </w:trPr>
        <w:tc>
          <w:tcPr>
            <w:tcW w:w="2117" w:type="dxa"/>
            <w:shd w:val="clear" w:color="auto" w:fill="auto"/>
            <w:vAlign w:val="bottom"/>
          </w:tcPr>
          <w:p w14:paraId="3CB85D56"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León capital</w:t>
            </w:r>
          </w:p>
        </w:tc>
        <w:tc>
          <w:tcPr>
            <w:tcW w:w="1701" w:type="dxa"/>
            <w:vAlign w:val="bottom"/>
          </w:tcPr>
          <w:p w14:paraId="07E1868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168.284 €</w:t>
            </w:r>
          </w:p>
        </w:tc>
        <w:tc>
          <w:tcPr>
            <w:tcW w:w="1701" w:type="dxa"/>
            <w:vAlign w:val="bottom"/>
          </w:tcPr>
          <w:p w14:paraId="71F2E48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156.659 €</w:t>
            </w:r>
          </w:p>
        </w:tc>
        <w:tc>
          <w:tcPr>
            <w:tcW w:w="1701" w:type="dxa"/>
            <w:shd w:val="clear" w:color="auto" w:fill="auto"/>
            <w:vAlign w:val="bottom"/>
          </w:tcPr>
          <w:p w14:paraId="0E35CFB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113.989 €</w:t>
            </w:r>
          </w:p>
        </w:tc>
        <w:tc>
          <w:tcPr>
            <w:tcW w:w="1814" w:type="dxa"/>
            <w:vAlign w:val="bottom"/>
          </w:tcPr>
          <w:p w14:paraId="416E234D"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118.812 €</w:t>
            </w:r>
          </w:p>
        </w:tc>
      </w:tr>
      <w:tr w:rsidR="00F410D1" w14:paraId="6E6B654C" w14:textId="77777777">
        <w:trPr>
          <w:trHeight w:val="226"/>
        </w:trPr>
        <w:tc>
          <w:tcPr>
            <w:tcW w:w="2117" w:type="dxa"/>
            <w:shd w:val="clear" w:color="auto" w:fill="auto"/>
            <w:vAlign w:val="bottom"/>
          </w:tcPr>
          <w:p w14:paraId="5F8E7DC6"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Soria capital</w:t>
            </w:r>
          </w:p>
        </w:tc>
        <w:tc>
          <w:tcPr>
            <w:tcW w:w="1701" w:type="dxa"/>
            <w:vAlign w:val="bottom"/>
          </w:tcPr>
          <w:p w14:paraId="787C016C"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484F8D0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159.486 €</w:t>
            </w:r>
          </w:p>
        </w:tc>
        <w:tc>
          <w:tcPr>
            <w:tcW w:w="1701" w:type="dxa"/>
            <w:shd w:val="clear" w:color="auto" w:fill="auto"/>
            <w:vAlign w:val="bottom"/>
          </w:tcPr>
          <w:p w14:paraId="2EE27567"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117.714 €</w:t>
            </w:r>
          </w:p>
        </w:tc>
        <w:tc>
          <w:tcPr>
            <w:tcW w:w="1814" w:type="dxa"/>
            <w:vAlign w:val="bottom"/>
          </w:tcPr>
          <w:p w14:paraId="40BEAFCF"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111.980 €</w:t>
            </w:r>
          </w:p>
        </w:tc>
      </w:tr>
      <w:tr w:rsidR="00F410D1" w14:paraId="3C63B0F7" w14:textId="77777777">
        <w:trPr>
          <w:trHeight w:val="226"/>
        </w:trPr>
        <w:tc>
          <w:tcPr>
            <w:tcW w:w="2117" w:type="dxa"/>
            <w:shd w:val="clear" w:color="auto" w:fill="auto"/>
            <w:vAlign w:val="bottom"/>
          </w:tcPr>
          <w:p w14:paraId="291A114B"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Zamora capital</w:t>
            </w:r>
          </w:p>
        </w:tc>
        <w:tc>
          <w:tcPr>
            <w:tcW w:w="1701" w:type="dxa"/>
            <w:vAlign w:val="bottom"/>
          </w:tcPr>
          <w:p w14:paraId="6816274F"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143.809 €</w:t>
            </w:r>
          </w:p>
        </w:tc>
        <w:tc>
          <w:tcPr>
            <w:tcW w:w="1701" w:type="dxa"/>
            <w:vAlign w:val="bottom"/>
          </w:tcPr>
          <w:p w14:paraId="34EF035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143.281 €</w:t>
            </w:r>
          </w:p>
        </w:tc>
        <w:tc>
          <w:tcPr>
            <w:tcW w:w="1701" w:type="dxa"/>
            <w:shd w:val="clear" w:color="auto" w:fill="auto"/>
            <w:vAlign w:val="bottom"/>
          </w:tcPr>
          <w:p w14:paraId="505F6A2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109.838 €</w:t>
            </w:r>
          </w:p>
        </w:tc>
        <w:tc>
          <w:tcPr>
            <w:tcW w:w="1814" w:type="dxa"/>
            <w:vAlign w:val="bottom"/>
          </w:tcPr>
          <w:p w14:paraId="7777722A"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103.796 €</w:t>
            </w:r>
          </w:p>
        </w:tc>
      </w:tr>
      <w:tr w:rsidR="00F410D1" w14:paraId="52D6DA7B" w14:textId="77777777">
        <w:trPr>
          <w:trHeight w:val="226"/>
        </w:trPr>
        <w:tc>
          <w:tcPr>
            <w:tcW w:w="2117" w:type="dxa"/>
            <w:shd w:val="clear" w:color="auto" w:fill="auto"/>
            <w:vAlign w:val="bottom"/>
          </w:tcPr>
          <w:p w14:paraId="5788C95F"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Ávila capital</w:t>
            </w:r>
          </w:p>
        </w:tc>
        <w:tc>
          <w:tcPr>
            <w:tcW w:w="1701" w:type="dxa"/>
            <w:vAlign w:val="bottom"/>
          </w:tcPr>
          <w:p w14:paraId="35A232F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2A8994A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134.548 €</w:t>
            </w:r>
          </w:p>
        </w:tc>
        <w:tc>
          <w:tcPr>
            <w:tcW w:w="1701" w:type="dxa"/>
            <w:shd w:val="clear" w:color="auto" w:fill="auto"/>
            <w:vAlign w:val="bottom"/>
          </w:tcPr>
          <w:p w14:paraId="7B17C41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96.812 €</w:t>
            </w:r>
          </w:p>
        </w:tc>
        <w:tc>
          <w:tcPr>
            <w:tcW w:w="1814" w:type="dxa"/>
            <w:vAlign w:val="bottom"/>
          </w:tcPr>
          <w:p w14:paraId="59CAC43A"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95.772 €</w:t>
            </w:r>
          </w:p>
        </w:tc>
      </w:tr>
      <w:tr w:rsidR="00F410D1" w14:paraId="06CA35D8" w14:textId="77777777">
        <w:trPr>
          <w:trHeight w:val="226"/>
        </w:trPr>
        <w:tc>
          <w:tcPr>
            <w:tcW w:w="2117" w:type="dxa"/>
            <w:shd w:val="clear" w:color="auto" w:fill="auto"/>
            <w:vAlign w:val="bottom"/>
          </w:tcPr>
          <w:p w14:paraId="178892BA"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Toledo capital</w:t>
            </w:r>
          </w:p>
        </w:tc>
        <w:tc>
          <w:tcPr>
            <w:tcW w:w="1701" w:type="dxa"/>
            <w:vAlign w:val="bottom"/>
          </w:tcPr>
          <w:p w14:paraId="6D71AE9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215.184 €</w:t>
            </w:r>
          </w:p>
        </w:tc>
        <w:tc>
          <w:tcPr>
            <w:tcW w:w="1701" w:type="dxa"/>
            <w:vAlign w:val="bottom"/>
          </w:tcPr>
          <w:p w14:paraId="3D4348C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160.685 €</w:t>
            </w:r>
          </w:p>
        </w:tc>
        <w:tc>
          <w:tcPr>
            <w:tcW w:w="1701" w:type="dxa"/>
            <w:shd w:val="clear" w:color="auto" w:fill="auto"/>
            <w:vAlign w:val="bottom"/>
          </w:tcPr>
          <w:p w14:paraId="594B81B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106.453 €</w:t>
            </w:r>
          </w:p>
        </w:tc>
        <w:tc>
          <w:tcPr>
            <w:tcW w:w="1814" w:type="dxa"/>
            <w:vAlign w:val="bottom"/>
          </w:tcPr>
          <w:p w14:paraId="40BBFC48"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124.442 €</w:t>
            </w:r>
          </w:p>
        </w:tc>
      </w:tr>
      <w:tr w:rsidR="00F410D1" w14:paraId="40615424" w14:textId="77777777">
        <w:trPr>
          <w:trHeight w:val="226"/>
        </w:trPr>
        <w:tc>
          <w:tcPr>
            <w:tcW w:w="2117" w:type="dxa"/>
            <w:shd w:val="clear" w:color="auto" w:fill="auto"/>
            <w:vAlign w:val="bottom"/>
          </w:tcPr>
          <w:p w14:paraId="16805139"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Guadalajara capital</w:t>
            </w:r>
          </w:p>
        </w:tc>
        <w:tc>
          <w:tcPr>
            <w:tcW w:w="1701" w:type="dxa"/>
            <w:vAlign w:val="bottom"/>
          </w:tcPr>
          <w:p w14:paraId="53B8C28F"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234.681 €</w:t>
            </w:r>
          </w:p>
        </w:tc>
        <w:tc>
          <w:tcPr>
            <w:tcW w:w="1701" w:type="dxa"/>
            <w:vAlign w:val="bottom"/>
          </w:tcPr>
          <w:p w14:paraId="720CD36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166.281 €</w:t>
            </w:r>
          </w:p>
        </w:tc>
        <w:tc>
          <w:tcPr>
            <w:tcW w:w="1701" w:type="dxa"/>
            <w:shd w:val="clear" w:color="auto" w:fill="auto"/>
            <w:vAlign w:val="bottom"/>
          </w:tcPr>
          <w:p w14:paraId="7116B5A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107.485 €</w:t>
            </w:r>
          </w:p>
        </w:tc>
        <w:tc>
          <w:tcPr>
            <w:tcW w:w="1814" w:type="dxa"/>
            <w:vAlign w:val="bottom"/>
          </w:tcPr>
          <w:p w14:paraId="0F440ADC"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118.120 €</w:t>
            </w:r>
          </w:p>
        </w:tc>
      </w:tr>
      <w:tr w:rsidR="00F410D1" w14:paraId="4ACC554F" w14:textId="77777777">
        <w:trPr>
          <w:trHeight w:val="226"/>
        </w:trPr>
        <w:tc>
          <w:tcPr>
            <w:tcW w:w="2117" w:type="dxa"/>
            <w:shd w:val="clear" w:color="auto" w:fill="auto"/>
            <w:vAlign w:val="bottom"/>
          </w:tcPr>
          <w:p w14:paraId="70E5C816"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Albacete capital</w:t>
            </w:r>
          </w:p>
        </w:tc>
        <w:tc>
          <w:tcPr>
            <w:tcW w:w="1701" w:type="dxa"/>
          </w:tcPr>
          <w:p w14:paraId="3A39DA1F"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5871A0E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156.132 €</w:t>
            </w:r>
          </w:p>
        </w:tc>
        <w:tc>
          <w:tcPr>
            <w:tcW w:w="1701" w:type="dxa"/>
            <w:shd w:val="clear" w:color="auto" w:fill="auto"/>
            <w:vAlign w:val="bottom"/>
          </w:tcPr>
          <w:p w14:paraId="1A37200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108.605 €</w:t>
            </w:r>
          </w:p>
        </w:tc>
        <w:tc>
          <w:tcPr>
            <w:tcW w:w="1814" w:type="dxa"/>
            <w:vAlign w:val="bottom"/>
          </w:tcPr>
          <w:p w14:paraId="4FD573E7"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117.494 €</w:t>
            </w:r>
          </w:p>
        </w:tc>
      </w:tr>
      <w:tr w:rsidR="00F410D1" w14:paraId="56F2B7AE" w14:textId="77777777">
        <w:trPr>
          <w:trHeight w:val="226"/>
        </w:trPr>
        <w:tc>
          <w:tcPr>
            <w:tcW w:w="2117" w:type="dxa"/>
            <w:shd w:val="clear" w:color="auto" w:fill="auto"/>
            <w:vAlign w:val="bottom"/>
          </w:tcPr>
          <w:p w14:paraId="1BF1A339"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Cuenca capital</w:t>
            </w:r>
          </w:p>
        </w:tc>
        <w:tc>
          <w:tcPr>
            <w:tcW w:w="1701" w:type="dxa"/>
          </w:tcPr>
          <w:p w14:paraId="200F8E4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0FD2526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135.900 €</w:t>
            </w:r>
          </w:p>
        </w:tc>
        <w:tc>
          <w:tcPr>
            <w:tcW w:w="1701" w:type="dxa"/>
            <w:shd w:val="clear" w:color="auto" w:fill="auto"/>
            <w:vAlign w:val="bottom"/>
          </w:tcPr>
          <w:p w14:paraId="12B0D327"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94.616 €</w:t>
            </w:r>
          </w:p>
        </w:tc>
        <w:tc>
          <w:tcPr>
            <w:tcW w:w="1814" w:type="dxa"/>
            <w:vAlign w:val="bottom"/>
          </w:tcPr>
          <w:p w14:paraId="24A13172"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112.525 €</w:t>
            </w:r>
          </w:p>
        </w:tc>
      </w:tr>
      <w:tr w:rsidR="00F410D1" w14:paraId="284F713F" w14:textId="77777777">
        <w:trPr>
          <w:trHeight w:val="226"/>
        </w:trPr>
        <w:tc>
          <w:tcPr>
            <w:tcW w:w="2117" w:type="dxa"/>
            <w:shd w:val="clear" w:color="auto" w:fill="auto"/>
            <w:vAlign w:val="bottom"/>
          </w:tcPr>
          <w:p w14:paraId="387D832D"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Ciudad Real capital</w:t>
            </w:r>
          </w:p>
        </w:tc>
        <w:tc>
          <w:tcPr>
            <w:tcW w:w="1701" w:type="dxa"/>
            <w:vAlign w:val="bottom"/>
          </w:tcPr>
          <w:p w14:paraId="421E1D9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187.625 €</w:t>
            </w:r>
          </w:p>
        </w:tc>
        <w:tc>
          <w:tcPr>
            <w:tcW w:w="1701" w:type="dxa"/>
            <w:vAlign w:val="bottom"/>
          </w:tcPr>
          <w:p w14:paraId="1861948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147.073 €</w:t>
            </w:r>
          </w:p>
        </w:tc>
        <w:tc>
          <w:tcPr>
            <w:tcW w:w="1701" w:type="dxa"/>
            <w:shd w:val="clear" w:color="auto" w:fill="auto"/>
            <w:vAlign w:val="bottom"/>
          </w:tcPr>
          <w:p w14:paraId="728AD54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99.106 €</w:t>
            </w:r>
          </w:p>
        </w:tc>
        <w:tc>
          <w:tcPr>
            <w:tcW w:w="1814" w:type="dxa"/>
            <w:vAlign w:val="bottom"/>
          </w:tcPr>
          <w:p w14:paraId="532407E3"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98.818 €</w:t>
            </w:r>
          </w:p>
        </w:tc>
      </w:tr>
      <w:tr w:rsidR="00F410D1" w14:paraId="7544211A" w14:textId="77777777">
        <w:trPr>
          <w:trHeight w:val="226"/>
        </w:trPr>
        <w:tc>
          <w:tcPr>
            <w:tcW w:w="2117" w:type="dxa"/>
            <w:shd w:val="clear" w:color="auto" w:fill="auto"/>
            <w:vAlign w:val="bottom"/>
          </w:tcPr>
          <w:p w14:paraId="0AB8594E"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Barcelona capital</w:t>
            </w:r>
          </w:p>
        </w:tc>
        <w:tc>
          <w:tcPr>
            <w:tcW w:w="1701" w:type="dxa"/>
            <w:vAlign w:val="bottom"/>
          </w:tcPr>
          <w:p w14:paraId="5D46A98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417.808 €</w:t>
            </w:r>
          </w:p>
        </w:tc>
        <w:tc>
          <w:tcPr>
            <w:tcW w:w="1701" w:type="dxa"/>
            <w:vAlign w:val="bottom"/>
          </w:tcPr>
          <w:p w14:paraId="7AE26F9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298.524 €</w:t>
            </w:r>
          </w:p>
        </w:tc>
        <w:tc>
          <w:tcPr>
            <w:tcW w:w="1701" w:type="dxa"/>
            <w:shd w:val="clear" w:color="auto" w:fill="auto"/>
            <w:vAlign w:val="bottom"/>
          </w:tcPr>
          <w:p w14:paraId="5BE0D67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308.937 €</w:t>
            </w:r>
          </w:p>
        </w:tc>
        <w:tc>
          <w:tcPr>
            <w:tcW w:w="1814" w:type="dxa"/>
            <w:vAlign w:val="bottom"/>
          </w:tcPr>
          <w:p w14:paraId="5B916E5F"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346.080 €</w:t>
            </w:r>
          </w:p>
        </w:tc>
      </w:tr>
      <w:tr w:rsidR="00F410D1" w14:paraId="1CE4F2F9" w14:textId="77777777">
        <w:trPr>
          <w:trHeight w:val="226"/>
        </w:trPr>
        <w:tc>
          <w:tcPr>
            <w:tcW w:w="2117" w:type="dxa"/>
            <w:shd w:val="clear" w:color="auto" w:fill="auto"/>
            <w:vAlign w:val="bottom"/>
          </w:tcPr>
          <w:p w14:paraId="51B6E68B"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Girona capital</w:t>
            </w:r>
          </w:p>
        </w:tc>
        <w:tc>
          <w:tcPr>
            <w:tcW w:w="1701" w:type="dxa"/>
            <w:vAlign w:val="bottom"/>
          </w:tcPr>
          <w:p w14:paraId="70B7455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280.559 €</w:t>
            </w:r>
          </w:p>
        </w:tc>
        <w:tc>
          <w:tcPr>
            <w:tcW w:w="1701" w:type="dxa"/>
            <w:vAlign w:val="bottom"/>
          </w:tcPr>
          <w:p w14:paraId="41EB716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190.600 €</w:t>
            </w:r>
          </w:p>
        </w:tc>
        <w:tc>
          <w:tcPr>
            <w:tcW w:w="1701" w:type="dxa"/>
            <w:shd w:val="clear" w:color="auto" w:fill="auto"/>
            <w:vAlign w:val="bottom"/>
          </w:tcPr>
          <w:p w14:paraId="006A0D6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138.219 €</w:t>
            </w:r>
          </w:p>
        </w:tc>
        <w:tc>
          <w:tcPr>
            <w:tcW w:w="1814" w:type="dxa"/>
            <w:vAlign w:val="bottom"/>
          </w:tcPr>
          <w:p w14:paraId="7F91F159"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189.726 €</w:t>
            </w:r>
          </w:p>
        </w:tc>
      </w:tr>
      <w:tr w:rsidR="00F410D1" w14:paraId="790A6120" w14:textId="77777777">
        <w:trPr>
          <w:trHeight w:val="226"/>
        </w:trPr>
        <w:tc>
          <w:tcPr>
            <w:tcW w:w="2117" w:type="dxa"/>
            <w:shd w:val="clear" w:color="auto" w:fill="auto"/>
            <w:vAlign w:val="bottom"/>
          </w:tcPr>
          <w:p w14:paraId="164A0444"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Tarragona capital</w:t>
            </w:r>
          </w:p>
        </w:tc>
        <w:tc>
          <w:tcPr>
            <w:tcW w:w="1701" w:type="dxa"/>
            <w:vAlign w:val="bottom"/>
          </w:tcPr>
          <w:p w14:paraId="309254F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228.913 €</w:t>
            </w:r>
          </w:p>
        </w:tc>
        <w:tc>
          <w:tcPr>
            <w:tcW w:w="1701" w:type="dxa"/>
            <w:vAlign w:val="bottom"/>
          </w:tcPr>
          <w:p w14:paraId="78D213F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176.629 €</w:t>
            </w:r>
          </w:p>
        </w:tc>
        <w:tc>
          <w:tcPr>
            <w:tcW w:w="1701" w:type="dxa"/>
            <w:shd w:val="clear" w:color="auto" w:fill="auto"/>
            <w:vAlign w:val="bottom"/>
          </w:tcPr>
          <w:p w14:paraId="2E53F5B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122.347 €</w:t>
            </w:r>
          </w:p>
        </w:tc>
        <w:tc>
          <w:tcPr>
            <w:tcW w:w="1814" w:type="dxa"/>
            <w:vAlign w:val="bottom"/>
          </w:tcPr>
          <w:p w14:paraId="66056BED"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131.391 €</w:t>
            </w:r>
          </w:p>
        </w:tc>
      </w:tr>
      <w:tr w:rsidR="00F410D1" w14:paraId="76CD5DA7" w14:textId="77777777">
        <w:trPr>
          <w:trHeight w:val="226"/>
        </w:trPr>
        <w:tc>
          <w:tcPr>
            <w:tcW w:w="2117" w:type="dxa"/>
            <w:shd w:val="clear" w:color="auto" w:fill="auto"/>
            <w:vAlign w:val="bottom"/>
          </w:tcPr>
          <w:p w14:paraId="1E3CF666"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Lleida capital</w:t>
            </w:r>
          </w:p>
        </w:tc>
        <w:tc>
          <w:tcPr>
            <w:tcW w:w="1701" w:type="dxa"/>
            <w:vAlign w:val="bottom"/>
          </w:tcPr>
          <w:p w14:paraId="23C55E9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167.425 €</w:t>
            </w:r>
          </w:p>
        </w:tc>
        <w:tc>
          <w:tcPr>
            <w:tcW w:w="1701" w:type="dxa"/>
            <w:vAlign w:val="bottom"/>
          </w:tcPr>
          <w:p w14:paraId="65CA1E1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132.635 €</w:t>
            </w:r>
          </w:p>
        </w:tc>
        <w:tc>
          <w:tcPr>
            <w:tcW w:w="1701" w:type="dxa"/>
            <w:shd w:val="clear" w:color="auto" w:fill="auto"/>
            <w:vAlign w:val="bottom"/>
          </w:tcPr>
          <w:p w14:paraId="15F15FC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91.106 €</w:t>
            </w:r>
          </w:p>
        </w:tc>
        <w:tc>
          <w:tcPr>
            <w:tcW w:w="1814" w:type="dxa"/>
            <w:vAlign w:val="bottom"/>
          </w:tcPr>
          <w:p w14:paraId="67F32B34"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95.202 €</w:t>
            </w:r>
          </w:p>
        </w:tc>
      </w:tr>
      <w:tr w:rsidR="00F410D1" w14:paraId="1B194AF4" w14:textId="77777777">
        <w:trPr>
          <w:trHeight w:val="226"/>
        </w:trPr>
        <w:tc>
          <w:tcPr>
            <w:tcW w:w="2117" w:type="dxa"/>
            <w:shd w:val="clear" w:color="auto" w:fill="auto"/>
            <w:vAlign w:val="bottom"/>
          </w:tcPr>
          <w:p w14:paraId="3F8EC1DC"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Valencia capital</w:t>
            </w:r>
          </w:p>
        </w:tc>
        <w:tc>
          <w:tcPr>
            <w:tcW w:w="1701" w:type="dxa"/>
            <w:vAlign w:val="bottom"/>
          </w:tcPr>
          <w:p w14:paraId="62AFE7D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229.481 €</w:t>
            </w:r>
          </w:p>
        </w:tc>
        <w:tc>
          <w:tcPr>
            <w:tcW w:w="1701" w:type="dxa"/>
            <w:vAlign w:val="bottom"/>
          </w:tcPr>
          <w:p w14:paraId="115F0C6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162.795 €</w:t>
            </w:r>
          </w:p>
        </w:tc>
        <w:tc>
          <w:tcPr>
            <w:tcW w:w="1701" w:type="dxa"/>
            <w:shd w:val="clear" w:color="auto" w:fill="auto"/>
            <w:vAlign w:val="bottom"/>
          </w:tcPr>
          <w:p w14:paraId="066BED0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129.392 €</w:t>
            </w:r>
          </w:p>
        </w:tc>
        <w:tc>
          <w:tcPr>
            <w:tcW w:w="1814" w:type="dxa"/>
            <w:vAlign w:val="bottom"/>
          </w:tcPr>
          <w:p w14:paraId="75716AC0"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170.410 €</w:t>
            </w:r>
          </w:p>
        </w:tc>
      </w:tr>
      <w:tr w:rsidR="00F410D1" w14:paraId="1F70020D" w14:textId="77777777">
        <w:trPr>
          <w:trHeight w:val="226"/>
        </w:trPr>
        <w:tc>
          <w:tcPr>
            <w:tcW w:w="2117" w:type="dxa"/>
            <w:shd w:val="clear" w:color="auto" w:fill="auto"/>
            <w:vAlign w:val="bottom"/>
          </w:tcPr>
          <w:p w14:paraId="345D2837"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Alicante / Alacant</w:t>
            </w:r>
          </w:p>
        </w:tc>
        <w:tc>
          <w:tcPr>
            <w:tcW w:w="1701" w:type="dxa"/>
            <w:vAlign w:val="bottom"/>
          </w:tcPr>
          <w:p w14:paraId="74DC9AF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178.564 €</w:t>
            </w:r>
          </w:p>
        </w:tc>
        <w:tc>
          <w:tcPr>
            <w:tcW w:w="1701" w:type="dxa"/>
            <w:vAlign w:val="bottom"/>
          </w:tcPr>
          <w:p w14:paraId="4E31355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147.103 €</w:t>
            </w:r>
          </w:p>
        </w:tc>
        <w:tc>
          <w:tcPr>
            <w:tcW w:w="1701" w:type="dxa"/>
            <w:shd w:val="clear" w:color="auto" w:fill="auto"/>
            <w:vAlign w:val="bottom"/>
          </w:tcPr>
          <w:p w14:paraId="50D92FF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115.866 €</w:t>
            </w:r>
          </w:p>
        </w:tc>
        <w:tc>
          <w:tcPr>
            <w:tcW w:w="1814" w:type="dxa"/>
            <w:vAlign w:val="bottom"/>
          </w:tcPr>
          <w:p w14:paraId="3710ED65"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133.830 €</w:t>
            </w:r>
          </w:p>
        </w:tc>
      </w:tr>
      <w:tr w:rsidR="00F410D1" w14:paraId="5DD87A5E" w14:textId="77777777">
        <w:trPr>
          <w:trHeight w:val="226"/>
        </w:trPr>
        <w:tc>
          <w:tcPr>
            <w:tcW w:w="2117" w:type="dxa"/>
            <w:shd w:val="clear" w:color="auto" w:fill="auto"/>
            <w:vAlign w:val="bottom"/>
          </w:tcPr>
          <w:p w14:paraId="270B75B4"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Castellón de la Plana / Castelló de la Plana</w:t>
            </w:r>
          </w:p>
        </w:tc>
        <w:tc>
          <w:tcPr>
            <w:tcW w:w="1701" w:type="dxa"/>
            <w:vAlign w:val="bottom"/>
          </w:tcPr>
          <w:p w14:paraId="7DAF511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198.421 €</w:t>
            </w:r>
          </w:p>
        </w:tc>
        <w:tc>
          <w:tcPr>
            <w:tcW w:w="1701" w:type="dxa"/>
            <w:vAlign w:val="bottom"/>
          </w:tcPr>
          <w:p w14:paraId="49C67289"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131.229 €</w:t>
            </w:r>
          </w:p>
        </w:tc>
        <w:tc>
          <w:tcPr>
            <w:tcW w:w="1701" w:type="dxa"/>
            <w:shd w:val="clear" w:color="auto" w:fill="auto"/>
            <w:vAlign w:val="bottom"/>
          </w:tcPr>
          <w:p w14:paraId="5D24DEC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96.742 €</w:t>
            </w:r>
          </w:p>
        </w:tc>
        <w:tc>
          <w:tcPr>
            <w:tcW w:w="1814" w:type="dxa"/>
            <w:vAlign w:val="bottom"/>
          </w:tcPr>
          <w:p w14:paraId="6A83D03C"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103.502 €</w:t>
            </w:r>
          </w:p>
        </w:tc>
      </w:tr>
      <w:tr w:rsidR="00F410D1" w14:paraId="74A9118E" w14:textId="77777777">
        <w:trPr>
          <w:trHeight w:val="226"/>
        </w:trPr>
        <w:tc>
          <w:tcPr>
            <w:tcW w:w="2117" w:type="dxa"/>
            <w:shd w:val="clear" w:color="auto" w:fill="auto"/>
            <w:vAlign w:val="bottom"/>
          </w:tcPr>
          <w:p w14:paraId="54DB498E"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Badajoz capital</w:t>
            </w:r>
          </w:p>
        </w:tc>
        <w:tc>
          <w:tcPr>
            <w:tcW w:w="1701" w:type="dxa"/>
            <w:vAlign w:val="bottom"/>
          </w:tcPr>
          <w:p w14:paraId="7BA1AB8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701" w:type="dxa"/>
            <w:vAlign w:val="bottom"/>
          </w:tcPr>
          <w:p w14:paraId="043DEC7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138.399 €</w:t>
            </w:r>
          </w:p>
        </w:tc>
        <w:tc>
          <w:tcPr>
            <w:tcW w:w="1701" w:type="dxa"/>
            <w:shd w:val="clear" w:color="auto" w:fill="auto"/>
            <w:vAlign w:val="bottom"/>
          </w:tcPr>
          <w:p w14:paraId="56A5D22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99.240 €</w:t>
            </w:r>
          </w:p>
        </w:tc>
        <w:tc>
          <w:tcPr>
            <w:tcW w:w="1814" w:type="dxa"/>
            <w:vAlign w:val="bottom"/>
          </w:tcPr>
          <w:p w14:paraId="327CB142"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113.318 €</w:t>
            </w:r>
          </w:p>
        </w:tc>
      </w:tr>
      <w:tr w:rsidR="00F410D1" w14:paraId="58FF748E" w14:textId="77777777">
        <w:trPr>
          <w:trHeight w:val="226"/>
        </w:trPr>
        <w:tc>
          <w:tcPr>
            <w:tcW w:w="2117" w:type="dxa"/>
            <w:shd w:val="clear" w:color="auto" w:fill="auto"/>
            <w:vAlign w:val="bottom"/>
          </w:tcPr>
          <w:p w14:paraId="151379F6"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Cáceres capital</w:t>
            </w:r>
          </w:p>
        </w:tc>
        <w:tc>
          <w:tcPr>
            <w:tcW w:w="1701" w:type="dxa"/>
            <w:vAlign w:val="bottom"/>
          </w:tcPr>
          <w:p w14:paraId="273A922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155.751 €</w:t>
            </w:r>
          </w:p>
        </w:tc>
        <w:tc>
          <w:tcPr>
            <w:tcW w:w="1701" w:type="dxa"/>
            <w:vAlign w:val="bottom"/>
          </w:tcPr>
          <w:p w14:paraId="0D04EBEF"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141.274 €</w:t>
            </w:r>
          </w:p>
        </w:tc>
        <w:tc>
          <w:tcPr>
            <w:tcW w:w="1701" w:type="dxa"/>
            <w:shd w:val="clear" w:color="auto" w:fill="auto"/>
            <w:vAlign w:val="bottom"/>
          </w:tcPr>
          <w:p w14:paraId="10DBF18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96.139 €</w:t>
            </w:r>
          </w:p>
        </w:tc>
        <w:tc>
          <w:tcPr>
            <w:tcW w:w="1814" w:type="dxa"/>
            <w:vAlign w:val="bottom"/>
          </w:tcPr>
          <w:p w14:paraId="60CDFA12"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103.841 €</w:t>
            </w:r>
          </w:p>
        </w:tc>
      </w:tr>
      <w:tr w:rsidR="00F410D1" w14:paraId="7DD53D6F" w14:textId="77777777">
        <w:trPr>
          <w:trHeight w:val="226"/>
        </w:trPr>
        <w:tc>
          <w:tcPr>
            <w:tcW w:w="2117" w:type="dxa"/>
            <w:shd w:val="clear" w:color="auto" w:fill="auto"/>
            <w:vAlign w:val="bottom"/>
          </w:tcPr>
          <w:p w14:paraId="5B275AA1"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A Coruña capital</w:t>
            </w:r>
          </w:p>
        </w:tc>
        <w:tc>
          <w:tcPr>
            <w:tcW w:w="1701" w:type="dxa"/>
            <w:vAlign w:val="bottom"/>
          </w:tcPr>
          <w:p w14:paraId="0FCCB3AC" w14:textId="77777777" w:rsidR="00F410D1" w:rsidRDefault="007C514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225.112 €</w:t>
            </w:r>
          </w:p>
        </w:tc>
        <w:tc>
          <w:tcPr>
            <w:tcW w:w="1701" w:type="dxa"/>
            <w:vAlign w:val="bottom"/>
          </w:tcPr>
          <w:p w14:paraId="3B15978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210.164 €</w:t>
            </w:r>
          </w:p>
        </w:tc>
        <w:tc>
          <w:tcPr>
            <w:tcW w:w="1701" w:type="dxa"/>
            <w:shd w:val="clear" w:color="auto" w:fill="auto"/>
            <w:vAlign w:val="bottom"/>
          </w:tcPr>
          <w:p w14:paraId="4662681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168.507 €</w:t>
            </w:r>
          </w:p>
        </w:tc>
        <w:tc>
          <w:tcPr>
            <w:tcW w:w="1814" w:type="dxa"/>
            <w:vAlign w:val="bottom"/>
          </w:tcPr>
          <w:p w14:paraId="4840ED1D"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191.365 €</w:t>
            </w:r>
          </w:p>
        </w:tc>
      </w:tr>
      <w:tr w:rsidR="00F410D1" w14:paraId="01FE182C" w14:textId="77777777">
        <w:trPr>
          <w:trHeight w:val="226"/>
        </w:trPr>
        <w:tc>
          <w:tcPr>
            <w:tcW w:w="2117" w:type="dxa"/>
            <w:shd w:val="clear" w:color="auto" w:fill="auto"/>
            <w:vAlign w:val="bottom"/>
          </w:tcPr>
          <w:p w14:paraId="78A2CB99"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Pontevedra capital</w:t>
            </w:r>
          </w:p>
        </w:tc>
        <w:tc>
          <w:tcPr>
            <w:tcW w:w="1701" w:type="dxa"/>
            <w:vAlign w:val="bottom"/>
          </w:tcPr>
          <w:p w14:paraId="1869AB97" w14:textId="77777777" w:rsidR="00F410D1" w:rsidRDefault="007C514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180.240 €</w:t>
            </w:r>
          </w:p>
        </w:tc>
        <w:tc>
          <w:tcPr>
            <w:tcW w:w="1701" w:type="dxa"/>
            <w:vAlign w:val="bottom"/>
          </w:tcPr>
          <w:p w14:paraId="28E86ED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150.313 €</w:t>
            </w:r>
          </w:p>
        </w:tc>
        <w:tc>
          <w:tcPr>
            <w:tcW w:w="1701" w:type="dxa"/>
            <w:shd w:val="clear" w:color="auto" w:fill="auto"/>
            <w:vAlign w:val="bottom"/>
          </w:tcPr>
          <w:p w14:paraId="77F0DD4F"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125.976 €</w:t>
            </w:r>
          </w:p>
        </w:tc>
        <w:tc>
          <w:tcPr>
            <w:tcW w:w="1814" w:type="dxa"/>
            <w:vAlign w:val="bottom"/>
          </w:tcPr>
          <w:p w14:paraId="6E670A2B"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145.683 €</w:t>
            </w:r>
          </w:p>
        </w:tc>
      </w:tr>
      <w:tr w:rsidR="00F410D1" w14:paraId="6437703B" w14:textId="77777777">
        <w:trPr>
          <w:trHeight w:val="226"/>
        </w:trPr>
        <w:tc>
          <w:tcPr>
            <w:tcW w:w="2117" w:type="dxa"/>
            <w:shd w:val="clear" w:color="auto" w:fill="auto"/>
            <w:vAlign w:val="bottom"/>
          </w:tcPr>
          <w:p w14:paraId="0BF20FE7"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Ourense capital</w:t>
            </w:r>
          </w:p>
        </w:tc>
        <w:tc>
          <w:tcPr>
            <w:tcW w:w="1701" w:type="dxa"/>
            <w:vAlign w:val="bottom"/>
          </w:tcPr>
          <w:p w14:paraId="6058C21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157.174 €</w:t>
            </w:r>
          </w:p>
        </w:tc>
        <w:tc>
          <w:tcPr>
            <w:tcW w:w="1701" w:type="dxa"/>
            <w:vAlign w:val="bottom"/>
          </w:tcPr>
          <w:p w14:paraId="481A235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154.832 €</w:t>
            </w:r>
          </w:p>
        </w:tc>
        <w:tc>
          <w:tcPr>
            <w:tcW w:w="1701" w:type="dxa"/>
            <w:shd w:val="clear" w:color="auto" w:fill="auto"/>
            <w:vAlign w:val="bottom"/>
          </w:tcPr>
          <w:p w14:paraId="2DCB9ADA"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122.967 €</w:t>
            </w:r>
          </w:p>
        </w:tc>
        <w:tc>
          <w:tcPr>
            <w:tcW w:w="1814" w:type="dxa"/>
            <w:vAlign w:val="bottom"/>
          </w:tcPr>
          <w:p w14:paraId="77005E88"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123.695 €</w:t>
            </w:r>
          </w:p>
        </w:tc>
      </w:tr>
      <w:tr w:rsidR="00F410D1" w14:paraId="1E961933" w14:textId="77777777">
        <w:trPr>
          <w:trHeight w:val="226"/>
        </w:trPr>
        <w:tc>
          <w:tcPr>
            <w:tcW w:w="2117" w:type="dxa"/>
            <w:shd w:val="clear" w:color="auto" w:fill="auto"/>
            <w:vAlign w:val="bottom"/>
          </w:tcPr>
          <w:p w14:paraId="3DD965C5"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Lugo capital</w:t>
            </w:r>
          </w:p>
        </w:tc>
        <w:tc>
          <w:tcPr>
            <w:tcW w:w="1701" w:type="dxa"/>
            <w:vAlign w:val="bottom"/>
          </w:tcPr>
          <w:p w14:paraId="58220457" w14:textId="77777777" w:rsidR="00F410D1" w:rsidRDefault="007C514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w:t>
            </w:r>
          </w:p>
        </w:tc>
        <w:tc>
          <w:tcPr>
            <w:tcW w:w="1701" w:type="dxa"/>
            <w:vAlign w:val="bottom"/>
          </w:tcPr>
          <w:p w14:paraId="2C0D6C47"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133.636 €</w:t>
            </w:r>
          </w:p>
        </w:tc>
        <w:tc>
          <w:tcPr>
            <w:tcW w:w="1701" w:type="dxa"/>
            <w:shd w:val="clear" w:color="auto" w:fill="auto"/>
            <w:vAlign w:val="bottom"/>
          </w:tcPr>
          <w:p w14:paraId="19FF9E23"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102.884 €</w:t>
            </w:r>
          </w:p>
        </w:tc>
        <w:tc>
          <w:tcPr>
            <w:tcW w:w="1814" w:type="dxa"/>
            <w:vAlign w:val="bottom"/>
          </w:tcPr>
          <w:p w14:paraId="7E625CFC"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112.789 €</w:t>
            </w:r>
          </w:p>
        </w:tc>
      </w:tr>
      <w:tr w:rsidR="00F410D1" w14:paraId="4C4F539D" w14:textId="77777777">
        <w:trPr>
          <w:trHeight w:val="226"/>
        </w:trPr>
        <w:tc>
          <w:tcPr>
            <w:tcW w:w="2117" w:type="dxa"/>
            <w:shd w:val="clear" w:color="auto" w:fill="auto"/>
            <w:vAlign w:val="bottom"/>
          </w:tcPr>
          <w:p w14:paraId="7F51717F"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Logroño</w:t>
            </w:r>
          </w:p>
        </w:tc>
        <w:tc>
          <w:tcPr>
            <w:tcW w:w="1701" w:type="dxa"/>
            <w:vAlign w:val="bottom"/>
          </w:tcPr>
          <w:p w14:paraId="727C0946"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229.690 €</w:t>
            </w:r>
          </w:p>
        </w:tc>
        <w:tc>
          <w:tcPr>
            <w:tcW w:w="1701" w:type="dxa"/>
            <w:vAlign w:val="bottom"/>
          </w:tcPr>
          <w:p w14:paraId="1B7CB14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166.409 €</w:t>
            </w:r>
          </w:p>
        </w:tc>
        <w:tc>
          <w:tcPr>
            <w:tcW w:w="1701" w:type="dxa"/>
            <w:shd w:val="clear" w:color="auto" w:fill="auto"/>
            <w:vAlign w:val="bottom"/>
          </w:tcPr>
          <w:p w14:paraId="19A8B09B"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112.950 €</w:t>
            </w:r>
          </w:p>
        </w:tc>
        <w:tc>
          <w:tcPr>
            <w:tcW w:w="1814" w:type="dxa"/>
            <w:vAlign w:val="bottom"/>
          </w:tcPr>
          <w:p w14:paraId="778BE14E"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138.650 €</w:t>
            </w:r>
          </w:p>
        </w:tc>
      </w:tr>
      <w:tr w:rsidR="00F410D1" w14:paraId="77A1682F" w14:textId="77777777">
        <w:trPr>
          <w:trHeight w:val="226"/>
        </w:trPr>
        <w:tc>
          <w:tcPr>
            <w:tcW w:w="2117" w:type="dxa"/>
            <w:shd w:val="clear" w:color="auto" w:fill="auto"/>
            <w:vAlign w:val="bottom"/>
          </w:tcPr>
          <w:p w14:paraId="1A4785A1"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Madrid capital</w:t>
            </w:r>
          </w:p>
        </w:tc>
        <w:tc>
          <w:tcPr>
            <w:tcW w:w="1701" w:type="dxa"/>
            <w:vAlign w:val="bottom"/>
          </w:tcPr>
          <w:p w14:paraId="44DE31E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349.385 €</w:t>
            </w:r>
          </w:p>
        </w:tc>
        <w:tc>
          <w:tcPr>
            <w:tcW w:w="1701" w:type="dxa"/>
            <w:vAlign w:val="bottom"/>
          </w:tcPr>
          <w:p w14:paraId="1B2E330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265.851 €</w:t>
            </w:r>
          </w:p>
        </w:tc>
        <w:tc>
          <w:tcPr>
            <w:tcW w:w="1701" w:type="dxa"/>
            <w:shd w:val="clear" w:color="auto" w:fill="auto"/>
            <w:vAlign w:val="bottom"/>
          </w:tcPr>
          <w:p w14:paraId="56687CE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224.653 €</w:t>
            </w:r>
          </w:p>
        </w:tc>
        <w:tc>
          <w:tcPr>
            <w:tcW w:w="1814" w:type="dxa"/>
            <w:vAlign w:val="bottom"/>
          </w:tcPr>
          <w:p w14:paraId="018C1F82"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312.244 €</w:t>
            </w:r>
          </w:p>
        </w:tc>
      </w:tr>
      <w:tr w:rsidR="00F410D1" w14:paraId="7D947566" w14:textId="77777777">
        <w:trPr>
          <w:trHeight w:val="226"/>
        </w:trPr>
        <w:tc>
          <w:tcPr>
            <w:tcW w:w="2117" w:type="dxa"/>
            <w:shd w:val="clear" w:color="auto" w:fill="auto"/>
            <w:vAlign w:val="bottom"/>
          </w:tcPr>
          <w:p w14:paraId="0626C87E"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Pamplona / Iruña</w:t>
            </w:r>
          </w:p>
        </w:tc>
        <w:tc>
          <w:tcPr>
            <w:tcW w:w="1701" w:type="dxa"/>
            <w:vAlign w:val="bottom"/>
          </w:tcPr>
          <w:p w14:paraId="18E63AB4"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293.937 €</w:t>
            </w:r>
          </w:p>
        </w:tc>
        <w:tc>
          <w:tcPr>
            <w:tcW w:w="1701" w:type="dxa"/>
            <w:vAlign w:val="bottom"/>
          </w:tcPr>
          <w:p w14:paraId="5366D65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219.671 €</w:t>
            </w:r>
          </w:p>
        </w:tc>
        <w:tc>
          <w:tcPr>
            <w:tcW w:w="1701" w:type="dxa"/>
            <w:shd w:val="clear" w:color="auto" w:fill="auto"/>
            <w:vAlign w:val="bottom"/>
          </w:tcPr>
          <w:p w14:paraId="2B38D3D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159.559 €</w:t>
            </w:r>
          </w:p>
        </w:tc>
        <w:tc>
          <w:tcPr>
            <w:tcW w:w="1814" w:type="dxa"/>
            <w:vAlign w:val="bottom"/>
          </w:tcPr>
          <w:p w14:paraId="3E23C6F5"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203.000 €</w:t>
            </w:r>
          </w:p>
        </w:tc>
      </w:tr>
      <w:tr w:rsidR="00F410D1" w14:paraId="086457E2" w14:textId="77777777">
        <w:trPr>
          <w:trHeight w:val="226"/>
        </w:trPr>
        <w:tc>
          <w:tcPr>
            <w:tcW w:w="2117" w:type="dxa"/>
            <w:shd w:val="clear" w:color="auto" w:fill="auto"/>
            <w:vAlign w:val="bottom"/>
          </w:tcPr>
          <w:p w14:paraId="4368C670"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Donostia - San Sebastián</w:t>
            </w:r>
          </w:p>
        </w:tc>
        <w:tc>
          <w:tcPr>
            <w:tcW w:w="1701" w:type="dxa"/>
            <w:vAlign w:val="bottom"/>
          </w:tcPr>
          <w:p w14:paraId="25917E3F"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445.144 €</w:t>
            </w:r>
          </w:p>
        </w:tc>
        <w:tc>
          <w:tcPr>
            <w:tcW w:w="1701" w:type="dxa"/>
            <w:vAlign w:val="bottom"/>
          </w:tcPr>
          <w:p w14:paraId="59A4FC45"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417.477 €</w:t>
            </w:r>
          </w:p>
        </w:tc>
        <w:tc>
          <w:tcPr>
            <w:tcW w:w="1701" w:type="dxa"/>
            <w:shd w:val="clear" w:color="auto" w:fill="auto"/>
            <w:vAlign w:val="bottom"/>
          </w:tcPr>
          <w:p w14:paraId="296EC48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340.673 €</w:t>
            </w:r>
          </w:p>
        </w:tc>
        <w:tc>
          <w:tcPr>
            <w:tcW w:w="1814" w:type="dxa"/>
            <w:vAlign w:val="bottom"/>
          </w:tcPr>
          <w:p w14:paraId="197714C4"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440.859 €</w:t>
            </w:r>
          </w:p>
        </w:tc>
      </w:tr>
      <w:tr w:rsidR="00F410D1" w14:paraId="65BEE1B5" w14:textId="77777777">
        <w:trPr>
          <w:trHeight w:val="226"/>
        </w:trPr>
        <w:tc>
          <w:tcPr>
            <w:tcW w:w="2117" w:type="dxa"/>
            <w:shd w:val="clear" w:color="auto" w:fill="auto"/>
            <w:vAlign w:val="bottom"/>
          </w:tcPr>
          <w:p w14:paraId="0C8C20D1" w14:textId="77777777" w:rsidR="00F410D1" w:rsidRDefault="007C5140">
            <w:pPr>
              <w:rPr>
                <w:rFonts w:ascii="Open Sans" w:eastAsia="Open Sans" w:hAnsi="Open Sans" w:cs="Open Sans"/>
                <w:color w:val="000000"/>
                <w:sz w:val="22"/>
                <w:szCs w:val="22"/>
              </w:rPr>
            </w:pPr>
            <w:r>
              <w:rPr>
                <w:rFonts w:ascii="Open Sans" w:eastAsia="Open Sans" w:hAnsi="Open Sans" w:cs="Open Sans"/>
                <w:color w:val="000000"/>
                <w:sz w:val="22"/>
                <w:szCs w:val="22"/>
              </w:rPr>
              <w:t>Bilbao</w:t>
            </w:r>
          </w:p>
        </w:tc>
        <w:tc>
          <w:tcPr>
            <w:tcW w:w="1701" w:type="dxa"/>
            <w:vAlign w:val="bottom"/>
          </w:tcPr>
          <w:p w14:paraId="76D3AFBD"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347.807 €</w:t>
            </w:r>
          </w:p>
        </w:tc>
        <w:tc>
          <w:tcPr>
            <w:tcW w:w="1701" w:type="dxa"/>
            <w:vAlign w:val="bottom"/>
          </w:tcPr>
          <w:p w14:paraId="3209E03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308.693 €</w:t>
            </w:r>
          </w:p>
        </w:tc>
        <w:tc>
          <w:tcPr>
            <w:tcW w:w="1701" w:type="dxa"/>
            <w:shd w:val="clear" w:color="auto" w:fill="auto"/>
            <w:vAlign w:val="bottom"/>
          </w:tcPr>
          <w:p w14:paraId="3FEC8AA8"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233.816 €</w:t>
            </w:r>
          </w:p>
        </w:tc>
        <w:tc>
          <w:tcPr>
            <w:tcW w:w="1814" w:type="dxa"/>
            <w:vAlign w:val="bottom"/>
          </w:tcPr>
          <w:p w14:paraId="70902A97" w14:textId="77777777" w:rsidR="00F410D1" w:rsidRDefault="007C5140">
            <w:pPr>
              <w:jc w:val="center"/>
              <w:rPr>
                <w:rFonts w:ascii="Open Sans" w:eastAsia="Open Sans" w:hAnsi="Open Sans" w:cs="Open Sans"/>
                <w:b/>
                <w:color w:val="2E75B5"/>
                <w:sz w:val="22"/>
                <w:szCs w:val="22"/>
              </w:rPr>
            </w:pPr>
            <w:r>
              <w:rPr>
                <w:rFonts w:ascii="Open Sans" w:eastAsia="Open Sans" w:hAnsi="Open Sans" w:cs="Open Sans"/>
                <w:color w:val="000000"/>
                <w:sz w:val="22"/>
                <w:szCs w:val="22"/>
              </w:rPr>
              <w:t>274.724 €</w:t>
            </w:r>
          </w:p>
        </w:tc>
      </w:tr>
      <w:tr w:rsidR="00F410D1" w14:paraId="3FAF304D" w14:textId="77777777">
        <w:trPr>
          <w:trHeight w:val="226"/>
        </w:trPr>
        <w:tc>
          <w:tcPr>
            <w:tcW w:w="2117" w:type="dxa"/>
            <w:shd w:val="clear" w:color="auto" w:fill="auto"/>
            <w:vAlign w:val="bottom"/>
          </w:tcPr>
          <w:p w14:paraId="66E5CA86" w14:textId="77777777" w:rsidR="00F410D1" w:rsidRDefault="007C5140">
            <w:pPr>
              <w:rPr>
                <w:rFonts w:ascii="Open Sans" w:eastAsia="Open Sans" w:hAnsi="Open Sans" w:cs="Open Sans"/>
                <w:sz w:val="22"/>
                <w:szCs w:val="22"/>
              </w:rPr>
            </w:pPr>
            <w:r>
              <w:rPr>
                <w:rFonts w:ascii="Open Sans" w:eastAsia="Open Sans" w:hAnsi="Open Sans" w:cs="Open Sans"/>
                <w:color w:val="000000"/>
                <w:sz w:val="22"/>
                <w:szCs w:val="22"/>
              </w:rPr>
              <w:t>Vitoria - Gasteiz</w:t>
            </w:r>
          </w:p>
        </w:tc>
        <w:tc>
          <w:tcPr>
            <w:tcW w:w="1701" w:type="dxa"/>
            <w:vAlign w:val="bottom"/>
          </w:tcPr>
          <w:p w14:paraId="1897547E"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299.563 €</w:t>
            </w:r>
          </w:p>
        </w:tc>
        <w:tc>
          <w:tcPr>
            <w:tcW w:w="1701" w:type="dxa"/>
            <w:vAlign w:val="bottom"/>
          </w:tcPr>
          <w:p w14:paraId="00912923" w14:textId="77777777" w:rsidR="00F410D1" w:rsidRDefault="007C514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237.688 €</w:t>
            </w:r>
          </w:p>
        </w:tc>
        <w:tc>
          <w:tcPr>
            <w:tcW w:w="1701" w:type="dxa"/>
            <w:shd w:val="clear" w:color="auto" w:fill="auto"/>
            <w:vAlign w:val="bottom"/>
          </w:tcPr>
          <w:p w14:paraId="5BE3E281" w14:textId="77777777" w:rsidR="00F410D1" w:rsidRDefault="007C514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162.378 €</w:t>
            </w:r>
          </w:p>
        </w:tc>
        <w:tc>
          <w:tcPr>
            <w:tcW w:w="1814" w:type="dxa"/>
            <w:vAlign w:val="bottom"/>
          </w:tcPr>
          <w:p w14:paraId="507550F2"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211.718 €</w:t>
            </w:r>
          </w:p>
        </w:tc>
      </w:tr>
      <w:tr w:rsidR="00F410D1" w14:paraId="2321D559" w14:textId="77777777">
        <w:trPr>
          <w:trHeight w:val="226"/>
        </w:trPr>
        <w:tc>
          <w:tcPr>
            <w:tcW w:w="2117" w:type="dxa"/>
            <w:shd w:val="clear" w:color="auto" w:fill="auto"/>
            <w:vAlign w:val="bottom"/>
          </w:tcPr>
          <w:p w14:paraId="3EDCD263" w14:textId="77777777" w:rsidR="00F410D1" w:rsidRDefault="007C5140">
            <w:pPr>
              <w:rPr>
                <w:rFonts w:ascii="Open Sans" w:eastAsia="Open Sans" w:hAnsi="Open Sans" w:cs="Open Sans"/>
                <w:sz w:val="22"/>
                <w:szCs w:val="22"/>
              </w:rPr>
            </w:pPr>
            <w:r>
              <w:rPr>
                <w:rFonts w:ascii="Open Sans" w:eastAsia="Open Sans" w:hAnsi="Open Sans" w:cs="Open Sans"/>
                <w:color w:val="000000"/>
                <w:sz w:val="22"/>
                <w:szCs w:val="22"/>
              </w:rPr>
              <w:t>Murcia capital</w:t>
            </w:r>
          </w:p>
        </w:tc>
        <w:tc>
          <w:tcPr>
            <w:tcW w:w="1701" w:type="dxa"/>
            <w:vAlign w:val="bottom"/>
          </w:tcPr>
          <w:p w14:paraId="388006B1"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194.658 €</w:t>
            </w:r>
          </w:p>
        </w:tc>
        <w:tc>
          <w:tcPr>
            <w:tcW w:w="1701" w:type="dxa"/>
            <w:vAlign w:val="bottom"/>
          </w:tcPr>
          <w:p w14:paraId="228D8F44" w14:textId="77777777" w:rsidR="00F410D1" w:rsidRDefault="007C514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136.858 €</w:t>
            </w:r>
          </w:p>
        </w:tc>
        <w:tc>
          <w:tcPr>
            <w:tcW w:w="1701" w:type="dxa"/>
            <w:shd w:val="clear" w:color="auto" w:fill="auto"/>
            <w:vAlign w:val="bottom"/>
          </w:tcPr>
          <w:p w14:paraId="2BBDEAD0" w14:textId="77777777" w:rsidR="00F410D1" w:rsidRDefault="007C514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104.909 €</w:t>
            </w:r>
          </w:p>
        </w:tc>
        <w:tc>
          <w:tcPr>
            <w:tcW w:w="1814" w:type="dxa"/>
            <w:vAlign w:val="bottom"/>
          </w:tcPr>
          <w:p w14:paraId="2FE5EF80" w14:textId="77777777" w:rsidR="00F410D1" w:rsidRDefault="007C514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109.734 €</w:t>
            </w:r>
          </w:p>
        </w:tc>
      </w:tr>
    </w:tbl>
    <w:p w14:paraId="6402749F" w14:textId="77777777" w:rsidR="00F410D1" w:rsidRDefault="00F410D1">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4D40E7EE" w14:textId="77777777" w:rsidR="00F410D1" w:rsidRDefault="00F410D1">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3E59AABD" w14:textId="77777777" w:rsidR="002B1D59" w:rsidRDefault="002B1D59">
      <w:pPr>
        <w:spacing w:line="276" w:lineRule="auto"/>
        <w:ind w:right="-574"/>
        <w:jc w:val="right"/>
        <w:rPr>
          <w:rFonts w:ascii="Open Sans Light" w:eastAsia="Open Sans Light" w:hAnsi="Open Sans Light" w:cs="Open Sans Light"/>
          <w:b/>
          <w:color w:val="303AB2"/>
        </w:rPr>
      </w:pPr>
    </w:p>
    <w:p w14:paraId="10520F86" w14:textId="77777777" w:rsidR="002B1D59" w:rsidRDefault="002B1D59">
      <w:pPr>
        <w:spacing w:line="276" w:lineRule="auto"/>
        <w:ind w:right="-574"/>
        <w:jc w:val="right"/>
        <w:rPr>
          <w:rFonts w:ascii="Open Sans Light" w:eastAsia="Open Sans Light" w:hAnsi="Open Sans Light" w:cs="Open Sans Light"/>
          <w:b/>
          <w:color w:val="303AB2"/>
        </w:rPr>
      </w:pPr>
    </w:p>
    <w:p w14:paraId="6A6B7C5B" w14:textId="77777777" w:rsidR="002B1D59" w:rsidRDefault="002B1D59">
      <w:pPr>
        <w:spacing w:line="276" w:lineRule="auto"/>
        <w:ind w:right="-574"/>
        <w:jc w:val="right"/>
        <w:rPr>
          <w:rFonts w:ascii="Open Sans Light" w:eastAsia="Open Sans Light" w:hAnsi="Open Sans Light" w:cs="Open Sans Light"/>
          <w:b/>
          <w:color w:val="303AB2"/>
        </w:rPr>
      </w:pPr>
    </w:p>
    <w:p w14:paraId="52BE87D7" w14:textId="77777777" w:rsidR="002B1D59" w:rsidRDefault="002B1D59">
      <w:pPr>
        <w:spacing w:line="276" w:lineRule="auto"/>
        <w:ind w:right="-574"/>
        <w:jc w:val="right"/>
        <w:rPr>
          <w:rFonts w:ascii="Open Sans Light" w:eastAsia="Open Sans Light" w:hAnsi="Open Sans Light" w:cs="Open Sans Light"/>
          <w:b/>
          <w:color w:val="303AB2"/>
        </w:rPr>
      </w:pPr>
    </w:p>
    <w:p w14:paraId="220E78D7" w14:textId="77777777" w:rsidR="005276C2" w:rsidRDefault="005276C2">
      <w:pPr>
        <w:spacing w:line="276" w:lineRule="auto"/>
        <w:ind w:right="-574"/>
        <w:jc w:val="right"/>
        <w:rPr>
          <w:rFonts w:ascii="Open Sans Light" w:eastAsia="Open Sans Light" w:hAnsi="Open Sans Light" w:cs="Open Sans Light"/>
          <w:b/>
          <w:color w:val="303AB2"/>
        </w:rPr>
      </w:pPr>
    </w:p>
    <w:p w14:paraId="19FA14EA" w14:textId="77777777" w:rsidR="005276C2" w:rsidRDefault="005276C2" w:rsidP="005276C2">
      <w:pPr>
        <w:spacing w:line="276" w:lineRule="auto"/>
        <w:ind w:right="-716"/>
        <w:jc w:val="right"/>
        <w:rPr>
          <w:rFonts w:ascii="Open Sans Light" w:eastAsia="Open Sans Light" w:hAnsi="Open Sans Light" w:cs="Open Sans Light"/>
          <w:b/>
          <w:color w:val="303AB2"/>
        </w:rPr>
      </w:pPr>
      <w:bookmarkStart w:id="4" w:name="_Hlk95746886"/>
      <w:r>
        <w:rPr>
          <w:rFonts w:ascii="Open Sans Light" w:eastAsia="Open Sans Light" w:hAnsi="Open Sans Light" w:cs="Open Sans Light"/>
          <w:b/>
          <w:color w:val="303AB2"/>
        </w:rPr>
        <w:lastRenderedPageBreak/>
        <w:t>Sobre Fotocasa</w:t>
      </w:r>
    </w:p>
    <w:p w14:paraId="2A011932" w14:textId="77777777" w:rsidR="005276C2" w:rsidRDefault="005276C2" w:rsidP="005276C2">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5" w:name="_heading=h.1fob9te" w:colFirst="0" w:colLast="0"/>
    <w:bookmarkEnd w:id="5"/>
    <w:p w14:paraId="073051E2" w14:textId="77777777" w:rsidR="005276C2" w:rsidRDefault="005276C2" w:rsidP="005276C2">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63C1FFD9" w14:textId="77777777" w:rsidR="005276C2" w:rsidRDefault="005276C2" w:rsidP="005276C2">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20">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w:t>
      </w:r>
    </w:p>
    <w:p w14:paraId="2481233E" w14:textId="09C06210" w:rsidR="005276C2" w:rsidRDefault="005276C2" w:rsidP="005276C2">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2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22">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3">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4">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14:paraId="0931BB39" w14:textId="77777777" w:rsidR="005276C2" w:rsidRDefault="005276C2" w:rsidP="005276C2">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53E827F0" w14:textId="77777777" w:rsidR="005276C2" w:rsidRDefault="005276C2" w:rsidP="005276C2">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5">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0C50FECD" w14:textId="77777777" w:rsidR="005276C2" w:rsidRDefault="005276C2" w:rsidP="005276C2">
      <w:pPr>
        <w:spacing w:line="276" w:lineRule="auto"/>
        <w:ind w:right="-716"/>
        <w:rPr>
          <w:rFonts w:ascii="Open Sans Light" w:eastAsia="Open Sans Light" w:hAnsi="Open Sans Light" w:cs="Open Sans Light"/>
          <w:b/>
          <w:color w:val="303AB2"/>
          <w:sz w:val="22"/>
          <w:szCs w:val="22"/>
        </w:rPr>
      </w:pPr>
    </w:p>
    <w:p w14:paraId="1A4BC56F" w14:textId="5A910D84" w:rsidR="005276C2" w:rsidRDefault="005276C2" w:rsidP="005276C2">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 xml:space="preserve">  </w:t>
      </w:r>
      <w:r>
        <w:rPr>
          <w:rFonts w:ascii="Open Sans Light" w:eastAsia="Open Sans Light" w:hAnsi="Open Sans Light" w:cs="Open Sans Light"/>
          <w:b/>
          <w:color w:val="303AB2"/>
        </w:rPr>
        <w:t>Departamento Comunicación Fotocasa</w:t>
      </w:r>
    </w:p>
    <w:p w14:paraId="67E1E753" w14:textId="77777777" w:rsidR="005276C2" w:rsidRDefault="005276C2" w:rsidP="005276C2">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6074373D" w14:textId="77777777" w:rsidR="005276C2" w:rsidRDefault="005276C2" w:rsidP="005276C2">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26">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27" w:history="1">
        <w:r w:rsidRPr="00555A8A">
          <w:rPr>
            <w:rStyle w:val="Hipervnculo"/>
            <w:rFonts w:ascii="Open Sans" w:eastAsia="Open Sans" w:hAnsi="Open Sans" w:cs="Open Sans"/>
            <w:sz w:val="19"/>
            <w:szCs w:val="19"/>
          </w:rPr>
          <w:t>comunicacion@fotocasa.es</w:t>
        </w:r>
      </w:hyperlink>
    </w:p>
    <w:p w14:paraId="65780210" w14:textId="77777777" w:rsidR="005276C2" w:rsidRDefault="005276C2" w:rsidP="005276C2">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47F41706" w14:textId="77777777" w:rsidR="005276C2" w:rsidRDefault="005276C2" w:rsidP="005276C2">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7A241AA4" w14:textId="77777777" w:rsidR="005276C2" w:rsidRDefault="005276C2" w:rsidP="005276C2">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561F0122" w14:textId="77777777" w:rsidR="005276C2" w:rsidRDefault="005276C2" w:rsidP="005276C2">
      <w:pPr>
        <w:shd w:val="clear" w:color="auto" w:fill="FFFFFF"/>
        <w:ind w:right="-716"/>
        <w:rPr>
          <w:rFonts w:ascii="Open Sans" w:eastAsia="Open Sans" w:hAnsi="Open Sans" w:cs="Open Sans"/>
          <w:color w:val="0000FF"/>
          <w:sz w:val="19"/>
          <w:szCs w:val="19"/>
        </w:rPr>
      </w:pPr>
      <w:hyperlink r:id="rId28">
        <w:r>
          <w:rPr>
            <w:rFonts w:ascii="Open Sans" w:eastAsia="Open Sans" w:hAnsi="Open Sans" w:cs="Open Sans"/>
            <w:color w:val="0000FF"/>
            <w:sz w:val="19"/>
            <w:szCs w:val="19"/>
          </w:rPr>
          <w:t>emerino@llorenteycuenca.com</w:t>
        </w:r>
      </w:hyperlink>
    </w:p>
    <w:p w14:paraId="7E7B636B" w14:textId="77777777" w:rsidR="005276C2" w:rsidRDefault="005276C2" w:rsidP="005276C2">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5EA1F98E" w14:textId="77777777" w:rsidR="005276C2" w:rsidRDefault="005276C2" w:rsidP="005276C2">
      <w:pPr>
        <w:shd w:val="clear" w:color="auto" w:fill="FFFFFF"/>
        <w:ind w:right="-716"/>
        <w:rPr>
          <w:rFonts w:ascii="Open Sans" w:eastAsia="Open Sans" w:hAnsi="Open Sans" w:cs="Open Sans"/>
          <w:color w:val="000000"/>
          <w:sz w:val="19"/>
          <w:szCs w:val="19"/>
        </w:rPr>
      </w:pPr>
    </w:p>
    <w:p w14:paraId="06EF95D4" w14:textId="77777777" w:rsidR="005276C2" w:rsidRDefault="005276C2" w:rsidP="005276C2">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Quico Alemany</w:t>
      </w:r>
    </w:p>
    <w:p w14:paraId="3053A64E" w14:textId="77777777" w:rsidR="005276C2" w:rsidRDefault="005276C2" w:rsidP="005276C2">
      <w:pPr>
        <w:shd w:val="clear" w:color="auto" w:fill="FFFFFF"/>
        <w:ind w:right="-716"/>
        <w:rPr>
          <w:rFonts w:ascii="Open Sans" w:eastAsia="Open Sans" w:hAnsi="Open Sans" w:cs="Open Sans"/>
          <w:color w:val="0000FF"/>
          <w:sz w:val="19"/>
          <w:szCs w:val="19"/>
        </w:rPr>
      </w:pPr>
      <w:hyperlink r:id="rId29">
        <w:r>
          <w:rPr>
            <w:rFonts w:ascii="Open Sans" w:eastAsia="Open Sans" w:hAnsi="Open Sans" w:cs="Open Sans"/>
            <w:color w:val="0000FF"/>
            <w:sz w:val="19"/>
            <w:szCs w:val="19"/>
            <w:u w:val="single"/>
          </w:rPr>
          <w:t>qalemany@llorenteycuenca.com</w:t>
        </w:r>
      </w:hyperlink>
    </w:p>
    <w:p w14:paraId="141FD255" w14:textId="77777777" w:rsidR="005276C2" w:rsidRDefault="005276C2" w:rsidP="005276C2">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646 742 655</w:t>
      </w:r>
    </w:p>
    <w:bookmarkEnd w:id="4"/>
    <w:p w14:paraId="22CC310D" w14:textId="203E8827" w:rsidR="00F410D1" w:rsidRDefault="00F410D1" w:rsidP="005276C2">
      <w:pPr>
        <w:spacing w:line="276" w:lineRule="auto"/>
        <w:ind w:right="-574"/>
        <w:jc w:val="right"/>
        <w:rPr>
          <w:rFonts w:ascii="Open Sans" w:eastAsia="Open Sans" w:hAnsi="Open Sans" w:cs="Open Sans"/>
          <w:color w:val="000000"/>
          <w:sz w:val="21"/>
          <w:szCs w:val="21"/>
        </w:rPr>
      </w:pPr>
    </w:p>
    <w:sectPr w:rsidR="00F410D1">
      <w:footerReference w:type="default" r:id="rId30"/>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6484F" w14:textId="77777777" w:rsidR="004D26B9" w:rsidRDefault="004D26B9">
      <w:r>
        <w:separator/>
      </w:r>
    </w:p>
  </w:endnote>
  <w:endnote w:type="continuationSeparator" w:id="0">
    <w:p w14:paraId="7DB0F6B6" w14:textId="77777777" w:rsidR="004D26B9" w:rsidRDefault="004D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8203" w14:textId="77777777" w:rsidR="00F410D1" w:rsidRDefault="007C514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370316BE" wp14:editId="0C8C5237">
          <wp:simplePos x="0" y="0"/>
          <wp:positionH relativeFrom="column">
            <wp:posOffset>-1068069</wp:posOffset>
          </wp:positionH>
          <wp:positionV relativeFrom="paragraph">
            <wp:posOffset>174608</wp:posOffset>
          </wp:positionV>
          <wp:extent cx="7670550" cy="451315"/>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4BEA6" w14:textId="77777777" w:rsidR="004D26B9" w:rsidRDefault="004D26B9">
      <w:r>
        <w:separator/>
      </w:r>
    </w:p>
  </w:footnote>
  <w:footnote w:type="continuationSeparator" w:id="0">
    <w:p w14:paraId="0294DBE1" w14:textId="77777777" w:rsidR="004D26B9" w:rsidRDefault="004D2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11AB4"/>
    <w:multiLevelType w:val="multilevel"/>
    <w:tmpl w:val="3F4472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D1"/>
    <w:rsid w:val="001A3F9A"/>
    <w:rsid w:val="002B1D59"/>
    <w:rsid w:val="004D26B9"/>
    <w:rsid w:val="005276C2"/>
    <w:rsid w:val="007C5140"/>
    <w:rsid w:val="00D90F30"/>
    <w:rsid w:val="00F410D1"/>
    <w:rsid w:val="00F56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A56D"/>
  <w15:docId w15:val="{7C52207F-04B9-4225-AD59-E45D5346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fotocasa.es"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hyperlink" Target="https://youtu.be/FwGhCiEiaqE" TargetMode="External"/><Relationship Id="rId17" Type="http://schemas.openxmlformats.org/officeDocument/2006/relationships/image" Target="media/image6.png"/><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fotocasa.es/es/quienes-somos/" TargetMode="External"/><Relationship Id="rId29" Type="http://schemas.openxmlformats.org/officeDocument/2006/relationships/hyperlink" Target="mailto:llazar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motos.coches.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www.fotocasa.es" TargetMode="External"/><Relationship Id="rId19" Type="http://schemas.openxmlformats.org/officeDocument/2006/relationships/hyperlink" Target="https://www.fotocasa.es/indi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4-ESTUDIO%20NdP\INCREMENTOS%20A&#209;OS\VENTA\2021\DICIEMBRE%202021\PRENSA%20VENTA%20ACUMULATIVO%20DIC%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VENTA ACUMULATIVO DIC 2021.xlsx]VENTA CCAA!TablaDinámica3</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8497B0"/>
          </a:solidFill>
          <a:ln>
            <a:noFill/>
          </a:ln>
          <a:effectLst/>
        </c:spPr>
        <c:marker>
          <c:symbol val="none"/>
        </c:marker>
        <c:dLbl>
          <c:idx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rgbClr val="8497B0"/>
          </a:solidFill>
          <a:ln>
            <a:noFill/>
          </a:ln>
          <a:effectLst/>
        </c:spPr>
        <c:marker>
          <c:symbol val="none"/>
        </c:marker>
        <c:dLbl>
          <c:idx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8497B0"/>
          </a:solidFill>
          <a:ln>
            <a:noFill/>
          </a:ln>
          <a:effectLst/>
        </c:spPr>
        <c:marker>
          <c:symbol val="none"/>
        </c:marker>
        <c:dLbl>
          <c:idx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1"/>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2"/>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3"/>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4"/>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5"/>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6"/>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9"/>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3"/>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4"/>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3.5637718653229108E-2"/>
          <c:y val="0.12704944517572869"/>
          <c:w val="0.93898523645617582"/>
          <c:h val="0.63916883702674043"/>
        </c:manualLayout>
      </c:layout>
      <c:barChart>
        <c:barDir val="col"/>
        <c:grouping val="clustered"/>
        <c:varyColors val="0"/>
        <c:ser>
          <c:idx val="0"/>
          <c:order val="0"/>
          <c:tx>
            <c:strRef>
              <c:f>'VENTA CCAA'!$R$49</c:f>
              <c:strCache>
                <c:ptCount val="1"/>
                <c:pt idx="0">
                  <c:v>Total</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'VENTA CCAA'!$Q$50:$Q$53</c:f>
              <c:strCache>
                <c:ptCount val="4"/>
                <c:pt idx="0">
                  <c:v>  Acumulativo de 15 años (2021 vs 2006)</c:v>
                </c:pt>
                <c:pt idx="1">
                  <c:v> Acumulativo de 10 años (2021 vs 2011)</c:v>
                </c:pt>
                <c:pt idx="2">
                  <c:v>  Acumulativo de 5 años  (2021 vs 2016)</c:v>
                </c:pt>
                <c:pt idx="3">
                  <c:v> Acumulativo de 1 año (2021 vs 2020)</c:v>
                </c:pt>
              </c:strCache>
            </c:strRef>
          </c:cat>
          <c:val>
            <c:numRef>
              <c:f>'VENTA CCAA'!$R$50:$R$53</c:f>
              <c:numCache>
                <c:formatCode>0.0%</c:formatCode>
                <c:ptCount val="4"/>
                <c:pt idx="0">
                  <c:v>-0.34061358198418351</c:v>
                </c:pt>
                <c:pt idx="1">
                  <c:v>-9.6997817664373834E-2</c:v>
                </c:pt>
                <c:pt idx="2">
                  <c:v>0.15634517464890069</c:v>
                </c:pt>
                <c:pt idx="3">
                  <c:v>1.6701227670837048E-2</c:v>
                </c:pt>
              </c:numCache>
            </c:numRef>
          </c:val>
          <c:extLst>
            <c:ext xmlns:c16="http://schemas.microsoft.com/office/drawing/2014/chart" uri="{C3380CC4-5D6E-409C-BE32-E72D297353CC}">
              <c16:uniqueId val="{00000000-413D-45FC-8EA7-06DE2AF26CBE}"/>
            </c:ext>
          </c:extLst>
        </c:ser>
        <c:dLbls>
          <c:showLegendKey val="0"/>
          <c:showVal val="0"/>
          <c:showCatName val="0"/>
          <c:showSerName val="0"/>
          <c:showPercent val="0"/>
          <c:showBubbleSize val="0"/>
        </c:dLbls>
        <c:gapWidth val="81"/>
        <c:overlap val="-1"/>
        <c:axId val="425153663"/>
        <c:axId val="424963199"/>
      </c:barChart>
      <c:catAx>
        <c:axId val="425153663"/>
        <c:scaling>
          <c:orientation val="minMax"/>
        </c:scaling>
        <c:delete val="0"/>
        <c:axPos val="b"/>
        <c:numFmt formatCode="[$-C0A]mmmm\-yy;@" sourceLinked="0"/>
        <c:majorTickMark val="out"/>
        <c:minorTickMark val="none"/>
        <c:tickLblPos val="low"/>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cap="none" spc="20" normalizeH="0" baseline="0">
                <a:solidFill>
                  <a:sysClr val="windowText" lastClr="000000"/>
                </a:solidFill>
                <a:latin typeface="Arial" panose="020B0604020202020204" pitchFamily="34" charset="0"/>
                <a:ea typeface="+mn-ea"/>
                <a:cs typeface="Arial" panose="020B0604020202020204" pitchFamily="34" charset="0"/>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9LP5uAq0ZPGgIKYXz5HXbt35oQ==">AMUW2mXhoT9T8dQAnFdmHlH5NGx8e61uoNQzR7PxZjGgKBiM+pO0mPOpttDxfNcz1FGX9kKcUprODlGJWQQ1Kc+bB9HjhFDA0tlJsG4otV0O3bEiwPDRhGw46kN34QfQH2JmZMNDRRXMQ2gINGjfQ/BmDms0T8LR5w==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2264</Words>
  <Characters>12453</Characters>
  <Application>Microsoft Office Word</Application>
  <DocSecurity>0</DocSecurity>
  <Lines>103</Lines>
  <Paragraphs>29</Paragraphs>
  <ScaleCrop>false</ScaleCrop>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6</cp:revision>
  <cp:lastPrinted>2022-02-14T12:53:00Z</cp:lastPrinted>
  <dcterms:created xsi:type="dcterms:W3CDTF">2021-02-17T13:43:00Z</dcterms:created>
  <dcterms:modified xsi:type="dcterms:W3CDTF">2022-02-14T15:03:00Z</dcterms:modified>
</cp:coreProperties>
</file>