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45548" w14:textId="77777777" w:rsidR="00282B06" w:rsidRDefault="006907B9">
      <w:pPr>
        <w:ind w:right="-574"/>
      </w:pPr>
      <w:r>
        <w:rPr>
          <w:noProof/>
        </w:rPr>
        <w:drawing>
          <wp:anchor distT="0" distB="0" distL="114300" distR="114300" simplePos="0" relativeHeight="251658240" behindDoc="0" locked="0" layoutInCell="1" hidden="0" allowOverlap="1" wp14:anchorId="60FFD1BB" wp14:editId="511DD5EA">
            <wp:simplePos x="0" y="0"/>
            <wp:positionH relativeFrom="column">
              <wp:posOffset>-1078845</wp:posOffset>
            </wp:positionH>
            <wp:positionV relativeFrom="paragraph">
              <wp:posOffset>-350433</wp:posOffset>
            </wp:positionV>
            <wp:extent cx="7581265" cy="1019175"/>
            <wp:effectExtent l="0" t="0" r="0" b="0"/>
            <wp:wrapNone/>
            <wp:docPr id="78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0BB88F44" w14:textId="77777777" w:rsidR="00282B06" w:rsidRDefault="00282B06">
      <w:pPr>
        <w:ind w:right="-574"/>
        <w:jc w:val="right"/>
        <w:rPr>
          <w:rFonts w:ascii="National" w:eastAsia="National" w:hAnsi="National" w:cs="National"/>
          <w:color w:val="303AB2"/>
          <w:sz w:val="36"/>
          <w:szCs w:val="36"/>
        </w:rPr>
      </w:pPr>
    </w:p>
    <w:p w14:paraId="425CCA97" w14:textId="77777777" w:rsidR="00282B06" w:rsidRDefault="00282B06">
      <w:pPr>
        <w:ind w:right="-574"/>
        <w:jc w:val="right"/>
        <w:rPr>
          <w:rFonts w:ascii="National" w:eastAsia="National" w:hAnsi="National" w:cs="National"/>
          <w:color w:val="303AB2"/>
          <w:sz w:val="36"/>
          <w:szCs w:val="36"/>
        </w:rPr>
      </w:pPr>
    </w:p>
    <w:p w14:paraId="7CD4E71B" w14:textId="77777777" w:rsidR="00282B06" w:rsidRDefault="00282B06">
      <w:pPr>
        <w:spacing w:line="276" w:lineRule="auto"/>
        <w:ind w:right="-574"/>
        <w:jc w:val="center"/>
        <w:rPr>
          <w:rFonts w:ascii="National" w:eastAsia="National" w:hAnsi="National" w:cs="National"/>
          <w:b/>
          <w:color w:val="1DBDC5"/>
          <w:sz w:val="20"/>
          <w:szCs w:val="20"/>
        </w:rPr>
      </w:pPr>
    </w:p>
    <w:p w14:paraId="0EB2F85D" w14:textId="77777777" w:rsidR="00282B06" w:rsidRDefault="006907B9">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        INFORME “EXPERIENCIA EN COMPRA Y VENTA EN 2021”</w:t>
      </w:r>
    </w:p>
    <w:p w14:paraId="02EEBD83" w14:textId="77777777" w:rsidR="00282B06" w:rsidRDefault="006907B9">
      <w:pPr>
        <w:pBdr>
          <w:top w:val="nil"/>
          <w:left w:val="nil"/>
          <w:bottom w:val="nil"/>
          <w:right w:val="nil"/>
          <w:between w:val="nil"/>
        </w:pBdr>
        <w:spacing w:line="276" w:lineRule="auto"/>
        <w:ind w:left="644" w:right="-574"/>
        <w:jc w:val="center"/>
        <w:rPr>
          <w:rFonts w:ascii="National" w:eastAsia="National" w:hAnsi="National" w:cs="National"/>
          <w:b/>
          <w:color w:val="303AB2"/>
          <w:sz w:val="22"/>
          <w:szCs w:val="22"/>
        </w:rPr>
      </w:pPr>
      <w:r>
        <w:rPr>
          <w:rFonts w:ascii="National" w:eastAsia="National" w:hAnsi="National" w:cs="National"/>
          <w:b/>
          <w:color w:val="303AB2"/>
          <w:sz w:val="48"/>
          <w:szCs w:val="48"/>
        </w:rPr>
        <w:t>Los vendedores están más dispuestos a negociar el precio de la vivienda que antes de la pandemia</w:t>
      </w:r>
    </w:p>
    <w:p w14:paraId="1BE90722" w14:textId="77777777" w:rsidR="00282B06" w:rsidRDefault="00282B06">
      <w:pPr>
        <w:spacing w:line="276" w:lineRule="auto"/>
        <w:ind w:right="-574"/>
        <w:jc w:val="both"/>
        <w:rPr>
          <w:rFonts w:ascii="Open Sans" w:eastAsia="Open Sans" w:hAnsi="Open Sans" w:cs="Open Sans"/>
          <w:sz w:val="22"/>
          <w:szCs w:val="22"/>
        </w:rPr>
      </w:pPr>
    </w:p>
    <w:p w14:paraId="55C37433" w14:textId="62CC60EE" w:rsidR="00282B06" w:rsidRDefault="006907B9">
      <w:pPr>
        <w:numPr>
          <w:ilvl w:val="0"/>
          <w:numId w:val="2"/>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Aumenta e</w:t>
      </w:r>
      <w:r w:rsidR="001D673F">
        <w:rPr>
          <w:rFonts w:ascii="Open Sans" w:eastAsia="Open Sans" w:hAnsi="Open Sans" w:cs="Open Sans"/>
          <w:sz w:val="22"/>
          <w:szCs w:val="22"/>
        </w:rPr>
        <w:t>n</w:t>
      </w:r>
      <w:r>
        <w:rPr>
          <w:rFonts w:ascii="Open Sans" w:eastAsia="Open Sans" w:hAnsi="Open Sans" w:cs="Open Sans"/>
          <w:sz w:val="22"/>
          <w:szCs w:val="22"/>
        </w:rPr>
        <w:t xml:space="preserve"> 6 puntos el porcentaje de vendedores que negocian el precio en la venta de la vivienda</w:t>
      </w:r>
    </w:p>
    <w:p w14:paraId="464DB8FF" w14:textId="4F5BDEF8" w:rsidR="00282B06" w:rsidRDefault="006907B9">
      <w:pPr>
        <w:numPr>
          <w:ilvl w:val="0"/>
          <w:numId w:val="2"/>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Un 72% de compradores afirma que han conseguido una rebaja de hasta el 10</w:t>
      </w:r>
      <w:r>
        <w:rPr>
          <w:rFonts w:ascii="Open Sans" w:eastAsia="Open Sans" w:hAnsi="Open Sans" w:cs="Open Sans"/>
          <w:sz w:val="22"/>
          <w:szCs w:val="22"/>
        </w:rPr>
        <w:t>%</w:t>
      </w:r>
    </w:p>
    <w:p w14:paraId="2EBEDAC4" w14:textId="77777777" w:rsidR="00282B06" w:rsidRDefault="006907B9">
      <w:pPr>
        <w:numPr>
          <w:ilvl w:val="0"/>
          <w:numId w:val="2"/>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precio es el principal impedimento a la hora de adquirir un inmueble para el 69</w:t>
      </w:r>
      <w:r>
        <w:rPr>
          <w:rFonts w:ascii="Open Sans" w:eastAsia="Open Sans" w:hAnsi="Open Sans" w:cs="Open Sans"/>
          <w:sz w:val="22"/>
          <w:szCs w:val="22"/>
        </w:rPr>
        <w:t>% de los particulares</w:t>
      </w:r>
    </w:p>
    <w:p w14:paraId="6ADB59A8" w14:textId="77777777" w:rsidR="00282B06" w:rsidRDefault="006907B9">
      <w:pPr>
        <w:numPr>
          <w:ilvl w:val="0"/>
          <w:numId w:val="2"/>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Se reduce en 3 puntos porcentuales la dificultad para encontrar financiación y poder comprar con respecto al 2020</w:t>
      </w:r>
    </w:p>
    <w:p w14:paraId="7C0B74AB" w14:textId="64DC664A" w:rsidR="00282B06" w:rsidRDefault="00750FAB">
      <w:pPr>
        <w:numPr>
          <w:ilvl w:val="0"/>
          <w:numId w:val="1"/>
        </w:numPr>
        <w:spacing w:line="276" w:lineRule="auto"/>
        <w:ind w:right="-574"/>
        <w:jc w:val="both"/>
        <w:rPr>
          <w:rFonts w:ascii="Open Sans" w:eastAsia="Open Sans" w:hAnsi="Open Sans" w:cs="Open Sans"/>
          <w:sz w:val="22"/>
          <w:szCs w:val="22"/>
        </w:rPr>
      </w:pPr>
      <w:hyperlink r:id="rId9" w:history="1">
        <w:r w:rsidR="006907B9" w:rsidRPr="00750FAB">
          <w:rPr>
            <w:rStyle w:val="Hipervnculo"/>
            <w:rFonts w:ascii="Open Sans" w:eastAsia="Open Sans" w:hAnsi="Open Sans" w:cs="Open Sans"/>
            <w:b/>
            <w:sz w:val="22"/>
            <w:szCs w:val="22"/>
          </w:rPr>
          <w:t>Aquí se puede ver una valoración en vídeo de la Directora de Estudios de Fotocasa</w:t>
        </w:r>
      </w:hyperlink>
    </w:p>
    <w:p w14:paraId="5E87C106" w14:textId="77777777" w:rsidR="00282B06" w:rsidRDefault="00282B06">
      <w:pPr>
        <w:pBdr>
          <w:top w:val="nil"/>
          <w:left w:val="nil"/>
          <w:bottom w:val="nil"/>
          <w:right w:val="nil"/>
          <w:between w:val="nil"/>
        </w:pBdr>
        <w:spacing w:line="276" w:lineRule="auto"/>
        <w:ind w:right="-574"/>
        <w:jc w:val="both"/>
        <w:rPr>
          <w:rFonts w:ascii="Open Sans" w:eastAsia="Open Sans" w:hAnsi="Open Sans" w:cs="Open Sans"/>
          <w:sz w:val="22"/>
          <w:szCs w:val="22"/>
        </w:rPr>
      </w:pPr>
    </w:p>
    <w:p w14:paraId="1904FB98" w14:textId="2CB544F0" w:rsidR="00282B06" w:rsidRDefault="006907B9">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1D673F">
        <w:rPr>
          <w:rFonts w:ascii="Open Sans Light" w:eastAsia="Open Sans Light" w:hAnsi="Open Sans Light" w:cs="Open Sans Light"/>
          <w:b/>
          <w:color w:val="303AB2"/>
        </w:rPr>
        <w:t>18</w:t>
      </w:r>
      <w:r>
        <w:rPr>
          <w:rFonts w:ascii="Open Sans Light" w:eastAsia="Open Sans Light" w:hAnsi="Open Sans Light" w:cs="Open Sans Light"/>
          <w:b/>
          <w:color w:val="303AB2"/>
        </w:rPr>
        <w:t xml:space="preserve"> de febrero 2022</w:t>
      </w:r>
    </w:p>
    <w:p w14:paraId="6F34A5B9" w14:textId="77777777" w:rsidR="00282B06" w:rsidRDefault="00282B06">
      <w:pPr>
        <w:spacing w:line="276" w:lineRule="auto"/>
        <w:ind w:right="-574"/>
        <w:jc w:val="both"/>
        <w:rPr>
          <w:rFonts w:ascii="Open Sans" w:eastAsia="Open Sans" w:hAnsi="Open Sans" w:cs="Open Sans"/>
          <w:sz w:val="22"/>
          <w:szCs w:val="22"/>
        </w:rPr>
      </w:pPr>
    </w:p>
    <w:p w14:paraId="51C68A30" w14:textId="50583A46"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Seis de cada diez compradores de vivienda han negociado su precio para adquirirla</w:t>
      </w:r>
      <w:r>
        <w:rPr>
          <w:rFonts w:ascii="Open Sans" w:eastAsia="Open Sans" w:hAnsi="Open Sans" w:cs="Open Sans"/>
          <w:sz w:val="22"/>
          <w:szCs w:val="22"/>
        </w:rPr>
        <w:t>. Se trata de un dato muy similar al de 2020, cuando un 57% negociaron el coste del inmueble que iban a comprar. En el lado opuesto, en el de los v</w:t>
      </w:r>
      <w:r>
        <w:rPr>
          <w:rFonts w:ascii="Open Sans" w:eastAsia="Open Sans" w:hAnsi="Open Sans" w:cs="Open Sans"/>
          <w:sz w:val="22"/>
          <w:szCs w:val="22"/>
        </w:rPr>
        <w:t xml:space="preserve">endedores, </w:t>
      </w:r>
      <w:r>
        <w:rPr>
          <w:rFonts w:ascii="Open Sans" w:eastAsia="Open Sans" w:hAnsi="Open Sans" w:cs="Open Sans"/>
          <w:b/>
          <w:sz w:val="22"/>
          <w:szCs w:val="22"/>
        </w:rPr>
        <w:t>un 65% de los que han vendido su vivienda afirman haber negociado el precio (en 2020 fueron el 59%)</w:t>
      </w:r>
      <w:r>
        <w:rPr>
          <w:rFonts w:ascii="Open Sans" w:eastAsia="Open Sans" w:hAnsi="Open Sans" w:cs="Open Sans"/>
          <w:sz w:val="22"/>
          <w:szCs w:val="22"/>
        </w:rPr>
        <w:t>. Son unas de las principales conclusiones que se extraen del informe “</w:t>
      </w:r>
      <w:hyperlink r:id="rId10" w:history="1">
        <w:r w:rsidRPr="00750FAB">
          <w:rPr>
            <w:rStyle w:val="Hipervnculo"/>
            <w:rFonts w:ascii="Open Sans" w:eastAsia="Open Sans" w:hAnsi="Open Sans" w:cs="Open Sans"/>
            <w:b/>
            <w:bCs/>
            <w:i/>
            <w:sz w:val="22"/>
            <w:szCs w:val="22"/>
          </w:rPr>
          <w:t>Experiencia en compra y venta en 2021</w:t>
        </w:r>
      </w:hyperlink>
      <w:r>
        <w:rPr>
          <w:rFonts w:ascii="Open Sans" w:eastAsia="Open Sans" w:hAnsi="Open Sans" w:cs="Open Sans"/>
          <w:sz w:val="22"/>
          <w:szCs w:val="22"/>
        </w:rPr>
        <w:t xml:space="preserve">” realizado por </w:t>
      </w:r>
      <w:hyperlink r:id="rId11">
        <w:r>
          <w:rPr>
            <w:rFonts w:ascii="Open Sans" w:eastAsia="Open Sans" w:hAnsi="Open Sans" w:cs="Open Sans"/>
            <w:color w:val="1155CC"/>
            <w:sz w:val="22"/>
            <w:szCs w:val="22"/>
            <w:u w:val="single"/>
          </w:rPr>
          <w:t xml:space="preserve">Fotocasa </w:t>
        </w:r>
        <w:proofErr w:type="spellStart"/>
        <w:r>
          <w:rPr>
            <w:rFonts w:ascii="Open Sans" w:eastAsia="Open Sans" w:hAnsi="Open Sans" w:cs="Open Sans"/>
            <w:color w:val="1155CC"/>
            <w:sz w:val="22"/>
            <w:szCs w:val="22"/>
            <w:u w:val="single"/>
          </w:rPr>
          <w:t>Research</w:t>
        </w:r>
        <w:proofErr w:type="spellEnd"/>
      </w:hyperlink>
      <w:r>
        <w:rPr>
          <w:rFonts w:ascii="Open Sans" w:eastAsia="Open Sans" w:hAnsi="Open Sans" w:cs="Open Sans"/>
          <w:sz w:val="22"/>
          <w:szCs w:val="22"/>
        </w:rPr>
        <w:t xml:space="preserve">. </w:t>
      </w:r>
    </w:p>
    <w:p w14:paraId="48B04780" w14:textId="77777777" w:rsidR="00282B06" w:rsidRDefault="00282B06">
      <w:pPr>
        <w:spacing w:line="276" w:lineRule="auto"/>
        <w:ind w:right="-574"/>
        <w:jc w:val="both"/>
        <w:rPr>
          <w:rFonts w:ascii="Open Sans" w:eastAsia="Open Sans" w:hAnsi="Open Sans" w:cs="Open Sans"/>
          <w:sz w:val="22"/>
          <w:szCs w:val="22"/>
        </w:rPr>
      </w:pPr>
    </w:p>
    <w:p w14:paraId="2DB3E134" w14:textId="55AF7F59"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resultado de este proceso de acuerdo es, para el 83% de los compradores, una reducción a la baja del precio de la vivienda. Sin embargo, la proporción de bajadas en el coste del inmueble tras un proceso de</w:t>
      </w:r>
      <w:r>
        <w:rPr>
          <w:rFonts w:ascii="Open Sans" w:eastAsia="Open Sans" w:hAnsi="Open Sans" w:cs="Open Sans"/>
          <w:sz w:val="22"/>
          <w:szCs w:val="22"/>
        </w:rPr>
        <w:t xml:space="preserve"> negociación es algo mayor </w:t>
      </w:r>
      <w:r>
        <w:rPr>
          <w:rFonts w:ascii="Open Sans" w:eastAsia="Open Sans" w:hAnsi="Open Sans" w:cs="Open Sans"/>
          <w:b/>
          <w:sz w:val="22"/>
          <w:szCs w:val="22"/>
        </w:rPr>
        <w:t>entre los vendedores: el 90% terminó modificando el precio a la baja</w:t>
      </w:r>
      <w:r>
        <w:rPr>
          <w:rFonts w:ascii="Open Sans" w:eastAsia="Open Sans" w:hAnsi="Open Sans" w:cs="Open Sans"/>
          <w:sz w:val="22"/>
          <w:szCs w:val="22"/>
        </w:rPr>
        <w:t xml:space="preserve">. </w:t>
      </w:r>
    </w:p>
    <w:p w14:paraId="48B560F5" w14:textId="77777777" w:rsidR="001D673F" w:rsidRDefault="001D673F">
      <w:pPr>
        <w:spacing w:line="276" w:lineRule="auto"/>
        <w:ind w:right="-574"/>
        <w:jc w:val="both"/>
        <w:rPr>
          <w:rFonts w:ascii="Open Sans" w:eastAsia="Open Sans" w:hAnsi="Open Sans" w:cs="Open Sans"/>
          <w:sz w:val="22"/>
          <w:szCs w:val="22"/>
        </w:rPr>
      </w:pPr>
    </w:p>
    <w:p w14:paraId="68D34A5A" w14:textId="77777777" w:rsidR="00282B06" w:rsidRDefault="00282B06">
      <w:pPr>
        <w:spacing w:line="276" w:lineRule="auto"/>
        <w:ind w:right="-574"/>
        <w:jc w:val="both"/>
        <w:rPr>
          <w:rFonts w:ascii="Open Sans" w:eastAsia="Open Sans" w:hAnsi="Open Sans" w:cs="Open Sans"/>
          <w:sz w:val="22"/>
          <w:szCs w:val="22"/>
        </w:rPr>
      </w:pPr>
    </w:p>
    <w:p w14:paraId="0CD83CF5"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lastRenderedPageBreak/>
        <w:t>Entre los compradores hay un 72% que afirma que fue de menos del 10%</w:t>
      </w:r>
      <w:r>
        <w:rPr>
          <w:rFonts w:ascii="Open Sans" w:eastAsia="Open Sans" w:hAnsi="Open Sans" w:cs="Open Sans"/>
          <w:sz w:val="22"/>
          <w:szCs w:val="22"/>
        </w:rPr>
        <w:t xml:space="preserve">. Sin embargo, </w:t>
      </w:r>
      <w:r>
        <w:rPr>
          <w:rFonts w:ascii="Open Sans" w:eastAsia="Open Sans" w:hAnsi="Open Sans" w:cs="Open Sans"/>
          <w:b/>
          <w:sz w:val="22"/>
          <w:szCs w:val="22"/>
        </w:rPr>
        <w:t xml:space="preserve">entre los vendedores son un 65% los que apuntan haber hecho una reducción </w:t>
      </w:r>
      <w:r>
        <w:rPr>
          <w:rFonts w:ascii="Open Sans" w:eastAsia="Open Sans" w:hAnsi="Open Sans" w:cs="Open Sans"/>
          <w:b/>
          <w:sz w:val="22"/>
          <w:szCs w:val="22"/>
        </w:rPr>
        <w:t>inferior al 10%.</w:t>
      </w:r>
      <w:r>
        <w:rPr>
          <w:rFonts w:ascii="Open Sans" w:eastAsia="Open Sans" w:hAnsi="Open Sans" w:cs="Open Sans"/>
          <w:sz w:val="22"/>
          <w:szCs w:val="22"/>
        </w:rPr>
        <w:t xml:space="preserve"> Una cuestión relativa al proceso de negociación en la que difieren más las dos partes es la de durante cuánto tiempo se prolongaron las conversaciones. Así, un 58% de los compradores asegura que tardó menos de un mes en negociar el precio.</w:t>
      </w:r>
      <w:r>
        <w:rPr>
          <w:rFonts w:ascii="Open Sans" w:eastAsia="Open Sans" w:hAnsi="Open Sans" w:cs="Open Sans"/>
          <w:sz w:val="22"/>
          <w:szCs w:val="22"/>
        </w:rPr>
        <w:t xml:space="preserve"> Sin embargo, para los vendedores fue algo más largo: el 49% tardó entre uno y seis meses.</w:t>
      </w:r>
    </w:p>
    <w:p w14:paraId="5EA749CF" w14:textId="77777777" w:rsidR="00282B06" w:rsidRDefault="00282B06">
      <w:pPr>
        <w:spacing w:line="276" w:lineRule="auto"/>
        <w:ind w:right="-574"/>
        <w:jc w:val="both"/>
        <w:rPr>
          <w:rFonts w:ascii="Open Sans" w:eastAsia="Open Sans" w:hAnsi="Open Sans" w:cs="Open Sans"/>
          <w:sz w:val="22"/>
          <w:szCs w:val="22"/>
        </w:rPr>
      </w:pPr>
    </w:p>
    <w:p w14:paraId="52C77CFD"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00A449D4" wp14:editId="39B0F8FF">
            <wp:extent cx="6200775" cy="2276475"/>
            <wp:effectExtent l="0" t="0" r="0" b="0"/>
            <wp:docPr id="7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1397"/>
                    <a:stretch>
                      <a:fillRect/>
                    </a:stretch>
                  </pic:blipFill>
                  <pic:spPr>
                    <a:xfrm>
                      <a:off x="0" y="0"/>
                      <a:ext cx="6200775" cy="2276475"/>
                    </a:xfrm>
                    <a:prstGeom prst="rect">
                      <a:avLst/>
                    </a:prstGeom>
                    <a:ln/>
                  </pic:spPr>
                </pic:pic>
              </a:graphicData>
            </a:graphic>
          </wp:inline>
        </w:drawing>
      </w:r>
    </w:p>
    <w:p w14:paraId="4A12DA3D" w14:textId="77777777" w:rsidR="00282B06" w:rsidRDefault="00282B06">
      <w:pPr>
        <w:spacing w:line="276" w:lineRule="auto"/>
        <w:ind w:right="-574"/>
        <w:jc w:val="both"/>
        <w:rPr>
          <w:rFonts w:ascii="Open Sans" w:eastAsia="Open Sans" w:hAnsi="Open Sans" w:cs="Open Sans"/>
          <w:sz w:val="22"/>
          <w:szCs w:val="22"/>
        </w:rPr>
      </w:pPr>
    </w:p>
    <w:p w14:paraId="504B3851" w14:textId="77777777" w:rsidR="00282B06" w:rsidRDefault="006907B9">
      <w:pPr>
        <w:keepNext/>
        <w:keepLines/>
        <w:spacing w:before="280" w:after="280" w:line="276" w:lineRule="auto"/>
        <w:rPr>
          <w:rFonts w:ascii="Open Sans" w:eastAsia="Open Sans" w:hAnsi="Open Sans" w:cs="Open Sans"/>
          <w:sz w:val="22"/>
          <w:szCs w:val="22"/>
        </w:rPr>
      </w:pPr>
      <w:r>
        <w:rPr>
          <w:rFonts w:ascii="Open Sans" w:eastAsia="Open Sans" w:hAnsi="Open Sans" w:cs="Open Sans"/>
          <w:color w:val="303AB2"/>
          <w:sz w:val="26"/>
          <w:szCs w:val="26"/>
        </w:rPr>
        <w:t>Los motivos que impulsan a negociar</w:t>
      </w:r>
    </w:p>
    <w:p w14:paraId="70BC5350"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Los motivos por los que, tanto oferentes como demandantes, decidieron negociar el precio es otro aspecto clave. En ambos grup</w:t>
      </w:r>
      <w:r>
        <w:rPr>
          <w:rFonts w:ascii="Open Sans" w:eastAsia="Open Sans" w:hAnsi="Open Sans" w:cs="Open Sans"/>
          <w:sz w:val="22"/>
          <w:szCs w:val="22"/>
        </w:rPr>
        <w:t xml:space="preserve">os hay un </w:t>
      </w:r>
      <w:r>
        <w:rPr>
          <w:rFonts w:ascii="Open Sans" w:eastAsia="Open Sans" w:hAnsi="Open Sans" w:cs="Open Sans"/>
          <w:b/>
          <w:sz w:val="22"/>
          <w:szCs w:val="22"/>
        </w:rPr>
        <w:t>motivo claramente dominante: era la única forma de llegar a un acuerdo y así lo señalan el 42% de los compradores y el 44% de los vendedores</w:t>
      </w:r>
      <w:r>
        <w:rPr>
          <w:rFonts w:ascii="Open Sans" w:eastAsia="Open Sans" w:hAnsi="Open Sans" w:cs="Open Sans"/>
          <w:sz w:val="22"/>
          <w:szCs w:val="22"/>
        </w:rPr>
        <w:t>.</w:t>
      </w:r>
    </w:p>
    <w:p w14:paraId="03D526BE" w14:textId="77777777" w:rsidR="00282B06" w:rsidRDefault="00282B06">
      <w:pPr>
        <w:spacing w:line="276" w:lineRule="auto"/>
        <w:ind w:right="-574"/>
        <w:jc w:val="both"/>
        <w:rPr>
          <w:rFonts w:ascii="Open Sans" w:eastAsia="Open Sans" w:hAnsi="Open Sans" w:cs="Open Sans"/>
          <w:sz w:val="22"/>
          <w:szCs w:val="22"/>
        </w:rPr>
      </w:pPr>
    </w:p>
    <w:p w14:paraId="233BF21C"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Pero no es la única razón. Entre los compradores también apuntan al estado de la vivienda (29%), la urg</w:t>
      </w:r>
      <w:r>
        <w:rPr>
          <w:rFonts w:ascii="Open Sans" w:eastAsia="Open Sans" w:hAnsi="Open Sans" w:cs="Open Sans"/>
          <w:sz w:val="22"/>
          <w:szCs w:val="22"/>
        </w:rPr>
        <w:t xml:space="preserve">encia de alguna de las partes implicadas en el proceso (26%) o que el precio no correspondiese con la realidad del mercado (22%). </w:t>
      </w:r>
    </w:p>
    <w:p w14:paraId="4DC3E0A8" w14:textId="77777777" w:rsidR="00282B06" w:rsidRDefault="00282B06">
      <w:pPr>
        <w:spacing w:line="276" w:lineRule="auto"/>
        <w:ind w:right="-574"/>
        <w:jc w:val="both"/>
        <w:rPr>
          <w:rFonts w:ascii="Open Sans" w:eastAsia="Open Sans" w:hAnsi="Open Sans" w:cs="Open Sans"/>
          <w:sz w:val="22"/>
          <w:szCs w:val="22"/>
        </w:rPr>
      </w:pPr>
    </w:p>
    <w:p w14:paraId="6E8E679E"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lo que se refiere a los vendedores, aparte de que la modificación del precio fuese la única forma de llegar a un acuerdo</w:t>
      </w:r>
      <w:r>
        <w:rPr>
          <w:rFonts w:ascii="Open Sans" w:eastAsia="Open Sans" w:hAnsi="Open Sans" w:cs="Open Sans"/>
          <w:sz w:val="22"/>
          <w:szCs w:val="22"/>
        </w:rPr>
        <w:t xml:space="preserve">, hay </w:t>
      </w:r>
      <w:r>
        <w:rPr>
          <w:rFonts w:ascii="Open Sans" w:eastAsia="Open Sans" w:hAnsi="Open Sans" w:cs="Open Sans"/>
          <w:b/>
          <w:sz w:val="22"/>
          <w:szCs w:val="22"/>
        </w:rPr>
        <w:t>otras cuestiones que influyeron para negociar el coste de la vivienda como el estado de la vivienda (21%)</w:t>
      </w:r>
      <w:r>
        <w:rPr>
          <w:rFonts w:ascii="Open Sans" w:eastAsia="Open Sans" w:hAnsi="Open Sans" w:cs="Open Sans"/>
          <w:sz w:val="22"/>
          <w:szCs w:val="22"/>
        </w:rPr>
        <w:t xml:space="preserve"> o la urgencia de alguna de las partes por cerrar la operación (20%).</w:t>
      </w:r>
    </w:p>
    <w:p w14:paraId="682A0963" w14:textId="77777777" w:rsidR="00282B06" w:rsidRDefault="00282B06">
      <w:pPr>
        <w:spacing w:line="276" w:lineRule="auto"/>
        <w:ind w:right="-574"/>
        <w:jc w:val="both"/>
        <w:rPr>
          <w:rFonts w:ascii="Open Sans" w:eastAsia="Open Sans" w:hAnsi="Open Sans" w:cs="Open Sans"/>
          <w:sz w:val="22"/>
          <w:szCs w:val="22"/>
        </w:rPr>
      </w:pPr>
    </w:p>
    <w:p w14:paraId="770A724D" w14:textId="77777777" w:rsidR="001D673F" w:rsidRDefault="001D673F">
      <w:pPr>
        <w:spacing w:line="276" w:lineRule="auto"/>
        <w:ind w:right="-574"/>
        <w:jc w:val="both"/>
        <w:rPr>
          <w:rFonts w:ascii="Open Sans" w:eastAsia="Open Sans" w:hAnsi="Open Sans" w:cs="Open Sans"/>
          <w:sz w:val="22"/>
          <w:szCs w:val="22"/>
        </w:rPr>
      </w:pPr>
    </w:p>
    <w:p w14:paraId="2FB717DF" w14:textId="66CFE0D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“En general, todos estos datos se mantienen muy alineados con los de los años anteriores, con una ligera tendencia a una mayor negociación que la que había en 2020: más demandantes y ofertantes negociando, porcentajes de rebaja más altos por parte de los p</w:t>
      </w:r>
      <w:r>
        <w:rPr>
          <w:rFonts w:ascii="Open Sans" w:eastAsia="Open Sans" w:hAnsi="Open Sans" w:cs="Open Sans"/>
          <w:sz w:val="22"/>
          <w:szCs w:val="22"/>
        </w:rPr>
        <w:t>ropietarios y mayor disposición a alcanzar un acuerdo. Ni es acentuado ni es permanente, simplemente es el resultado de intentar vender un inmueble en un escenario de incertidumbre como el primer año de pandemia. Aunque es muy relevante el aumento de 6 pun</w:t>
      </w:r>
      <w:r>
        <w:rPr>
          <w:rFonts w:ascii="Open Sans" w:eastAsia="Open Sans" w:hAnsi="Open Sans" w:cs="Open Sans"/>
          <w:sz w:val="22"/>
          <w:szCs w:val="22"/>
        </w:rPr>
        <w:t xml:space="preserve">tos de la disposición a negociar de los vendedores, un factor que puede haber dinamizado la compraventa durante el 2021”, explica María Matos, directora de Estudios y Portavoz de </w:t>
      </w:r>
      <w:hyperlink r:id="rId13">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FF19576" w14:textId="01FFA54A" w:rsidR="001D673F" w:rsidRDefault="001D673F">
      <w:pPr>
        <w:spacing w:line="276" w:lineRule="auto"/>
        <w:ind w:right="-574"/>
        <w:jc w:val="both"/>
        <w:rPr>
          <w:rFonts w:ascii="Open Sans" w:eastAsia="Open Sans" w:hAnsi="Open Sans" w:cs="Open Sans"/>
          <w:sz w:val="22"/>
          <w:szCs w:val="22"/>
        </w:rPr>
      </w:pPr>
    </w:p>
    <w:p w14:paraId="4774BE0E" w14:textId="5847E649" w:rsidR="001D673F" w:rsidRDefault="00750FAB">
      <w:pPr>
        <w:spacing w:line="276" w:lineRule="auto"/>
        <w:ind w:right="-574"/>
        <w:jc w:val="both"/>
        <w:rPr>
          <w:rFonts w:ascii="Open Sans" w:eastAsia="Open Sans" w:hAnsi="Open Sans" w:cs="Open Sans"/>
          <w:sz w:val="22"/>
          <w:szCs w:val="22"/>
        </w:rPr>
      </w:pPr>
      <w:r>
        <w:rPr>
          <w:noProof/>
        </w:rPr>
        <w:drawing>
          <wp:inline distT="0" distB="0" distL="0" distR="0" wp14:anchorId="63D14C24" wp14:editId="5F81A88D">
            <wp:extent cx="5807680" cy="3190875"/>
            <wp:effectExtent l="0" t="0" r="3175" b="0"/>
            <wp:docPr id="1" name="Imagen 1" descr="Interfaz de usuario gráfica, Aplicación&#10;&#10;Descripción generada automáticamen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6528" cy="3195736"/>
                    </a:xfrm>
                    <a:prstGeom prst="rect">
                      <a:avLst/>
                    </a:prstGeom>
                    <a:noFill/>
                    <a:ln>
                      <a:noFill/>
                    </a:ln>
                  </pic:spPr>
                </pic:pic>
              </a:graphicData>
            </a:graphic>
          </wp:inline>
        </w:drawing>
      </w:r>
    </w:p>
    <w:p w14:paraId="1E1B97FC" w14:textId="77777777" w:rsidR="00282B06" w:rsidRDefault="006907B9">
      <w:pPr>
        <w:keepNext/>
        <w:keepLines/>
        <w:pBdr>
          <w:top w:val="nil"/>
          <w:left w:val="nil"/>
          <w:bottom w:val="nil"/>
          <w:right w:val="nil"/>
          <w:between w:val="nil"/>
        </w:pBdr>
        <w:spacing w:before="280" w:after="280" w:line="276" w:lineRule="auto"/>
        <w:rPr>
          <w:rFonts w:ascii="Open Sans" w:eastAsia="Open Sans" w:hAnsi="Open Sans" w:cs="Open Sans"/>
          <w:b/>
          <w:color w:val="000000"/>
          <w:sz w:val="22"/>
          <w:szCs w:val="22"/>
        </w:rPr>
      </w:pPr>
      <w:bookmarkStart w:id="0" w:name="_heading=h.s05v9tfs56sp" w:colFirst="0" w:colLast="0"/>
      <w:bookmarkEnd w:id="0"/>
      <w:r>
        <w:rPr>
          <w:rFonts w:ascii="Open Sans" w:eastAsia="Open Sans" w:hAnsi="Open Sans" w:cs="Open Sans"/>
          <w:b/>
          <w:color w:val="303AB2"/>
          <w:sz w:val="26"/>
          <w:szCs w:val="26"/>
        </w:rPr>
        <w:t>El precio, la gran dificultad de los compradores</w:t>
      </w:r>
    </w:p>
    <w:p w14:paraId="23A26D73"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La compra de una vivienda, debido a su magnitud, no siempre es un proceso sencillo. A lo largo del camino, los compradores pueden encontrarse con algunas dificultades que les compliquen o impidan completar l</w:t>
      </w:r>
      <w:r>
        <w:rPr>
          <w:rFonts w:ascii="Open Sans" w:eastAsia="Open Sans" w:hAnsi="Open Sans" w:cs="Open Sans"/>
          <w:sz w:val="22"/>
          <w:szCs w:val="22"/>
        </w:rPr>
        <w:t xml:space="preserve">a adquisición. </w:t>
      </w:r>
    </w:p>
    <w:p w14:paraId="294D9285" w14:textId="77777777" w:rsidR="00282B06" w:rsidRDefault="00282B06">
      <w:pPr>
        <w:spacing w:line="276" w:lineRule="auto"/>
        <w:ind w:right="-574"/>
        <w:jc w:val="both"/>
        <w:rPr>
          <w:rFonts w:ascii="Open Sans" w:eastAsia="Open Sans" w:hAnsi="Open Sans" w:cs="Open Sans"/>
          <w:sz w:val="22"/>
          <w:szCs w:val="22"/>
        </w:rPr>
      </w:pPr>
    </w:p>
    <w:p w14:paraId="1FFAC592"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Y, en este sentido, hay una barrera que destaca por encima del resto: el precio. </w:t>
      </w:r>
      <w:r>
        <w:rPr>
          <w:rFonts w:ascii="Open Sans" w:eastAsia="Open Sans" w:hAnsi="Open Sans" w:cs="Open Sans"/>
          <w:b/>
          <w:sz w:val="22"/>
          <w:szCs w:val="22"/>
        </w:rPr>
        <w:t>Para el 69 % de particulares que efectivamente ha adquirido una vivienda en los últimos doce meses el precio ha sido una dificultad</w:t>
      </w:r>
      <w:r>
        <w:rPr>
          <w:rFonts w:ascii="Open Sans" w:eastAsia="Open Sans" w:hAnsi="Open Sans" w:cs="Open Sans"/>
          <w:sz w:val="22"/>
          <w:szCs w:val="22"/>
        </w:rPr>
        <w:t xml:space="preserve">. </w:t>
      </w:r>
    </w:p>
    <w:p w14:paraId="727A2FED" w14:textId="77777777" w:rsidR="00282B06" w:rsidRDefault="00282B06">
      <w:pPr>
        <w:spacing w:line="276" w:lineRule="auto"/>
        <w:ind w:right="-574"/>
        <w:jc w:val="both"/>
        <w:rPr>
          <w:rFonts w:ascii="Open Sans" w:eastAsia="Open Sans" w:hAnsi="Open Sans" w:cs="Open Sans"/>
          <w:sz w:val="22"/>
          <w:szCs w:val="22"/>
        </w:rPr>
      </w:pPr>
    </w:p>
    <w:p w14:paraId="548D98A6"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Evaluando los datos en </w:t>
      </w:r>
      <w:r>
        <w:rPr>
          <w:rFonts w:ascii="Open Sans" w:eastAsia="Open Sans" w:hAnsi="Open Sans" w:cs="Open Sans"/>
          <w:sz w:val="22"/>
          <w:szCs w:val="22"/>
        </w:rPr>
        <w:t xml:space="preserve">función de la edad de los compradores o potenciales compradores podemos ver que, pese a que el precio sea la principal dificultad en todos los tramos de edad, es más acusada entre los jóvenes. </w:t>
      </w:r>
    </w:p>
    <w:p w14:paraId="661D833B"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Así, un 74% de los jóvenes de 25 a 34 años apunta este motivo</w:t>
      </w:r>
      <w:r>
        <w:rPr>
          <w:rFonts w:ascii="Open Sans" w:eastAsia="Open Sans" w:hAnsi="Open Sans" w:cs="Open Sans"/>
          <w:sz w:val="22"/>
          <w:szCs w:val="22"/>
        </w:rPr>
        <w:t xml:space="preserve">. Una cifra que va decreciendo progresivamente hasta llegar al último escalón, que comprende los 55 y 75 años, donde un 52% apunta al coste de la vivienda como una dificultad. </w:t>
      </w:r>
    </w:p>
    <w:p w14:paraId="154065A6" w14:textId="77777777" w:rsidR="00282B06" w:rsidRDefault="00282B06">
      <w:pPr>
        <w:spacing w:line="276" w:lineRule="auto"/>
        <w:ind w:right="-574"/>
        <w:jc w:val="both"/>
        <w:rPr>
          <w:rFonts w:ascii="Open Sans" w:eastAsia="Open Sans" w:hAnsi="Open Sans" w:cs="Open Sans"/>
          <w:sz w:val="22"/>
          <w:szCs w:val="22"/>
        </w:rPr>
      </w:pPr>
    </w:p>
    <w:p w14:paraId="62884467"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554D2434" wp14:editId="0B72D4D5">
            <wp:extent cx="6068378" cy="3201660"/>
            <wp:effectExtent l="0" t="0" r="0" b="0"/>
            <wp:docPr id="7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r="7508"/>
                    <a:stretch>
                      <a:fillRect/>
                    </a:stretch>
                  </pic:blipFill>
                  <pic:spPr>
                    <a:xfrm>
                      <a:off x="0" y="0"/>
                      <a:ext cx="6068378" cy="3201660"/>
                    </a:xfrm>
                    <a:prstGeom prst="rect">
                      <a:avLst/>
                    </a:prstGeom>
                    <a:ln/>
                  </pic:spPr>
                </pic:pic>
              </a:graphicData>
            </a:graphic>
          </wp:inline>
        </w:drawing>
      </w:r>
    </w:p>
    <w:p w14:paraId="20B51EFA" w14:textId="77777777" w:rsidR="00282B06" w:rsidRDefault="00282B06">
      <w:pPr>
        <w:spacing w:line="276" w:lineRule="auto"/>
        <w:ind w:right="-574"/>
        <w:jc w:val="both"/>
        <w:rPr>
          <w:rFonts w:ascii="Open Sans" w:eastAsia="Open Sans" w:hAnsi="Open Sans" w:cs="Open Sans"/>
          <w:sz w:val="22"/>
          <w:szCs w:val="22"/>
        </w:rPr>
      </w:pPr>
    </w:p>
    <w:p w14:paraId="5F722473"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Al margen del precio, los compradores señalan </w:t>
      </w:r>
      <w:r>
        <w:rPr>
          <w:rFonts w:ascii="Open Sans" w:eastAsia="Open Sans" w:hAnsi="Open Sans" w:cs="Open Sans"/>
          <w:b/>
          <w:sz w:val="22"/>
          <w:szCs w:val="22"/>
        </w:rPr>
        <w:t>otros impedimentos como el es</w:t>
      </w:r>
      <w:r>
        <w:rPr>
          <w:rFonts w:ascii="Open Sans" w:eastAsia="Open Sans" w:hAnsi="Open Sans" w:cs="Open Sans"/>
          <w:b/>
          <w:sz w:val="22"/>
          <w:szCs w:val="22"/>
        </w:rPr>
        <w:t>tado de las viviendas (42%), su antigüedad (31%), la cantidad insuficiente de ofertas (27%) o el tamaño de los inmuebles (26%)</w:t>
      </w:r>
      <w:r>
        <w:rPr>
          <w:rFonts w:ascii="Open Sans" w:eastAsia="Open Sans" w:hAnsi="Open Sans" w:cs="Open Sans"/>
          <w:sz w:val="22"/>
          <w:szCs w:val="22"/>
        </w:rPr>
        <w:t>. Todos estos porcentajes son muy similares a los registrados en 2020, justo antes de la aparición de la pandemia.</w:t>
      </w:r>
    </w:p>
    <w:p w14:paraId="38ED427E" w14:textId="77777777" w:rsidR="00282B06" w:rsidRDefault="00282B06">
      <w:pPr>
        <w:spacing w:line="276" w:lineRule="auto"/>
        <w:ind w:right="-574"/>
        <w:jc w:val="both"/>
        <w:rPr>
          <w:rFonts w:ascii="Open Sans" w:eastAsia="Open Sans" w:hAnsi="Open Sans" w:cs="Open Sans"/>
          <w:sz w:val="22"/>
          <w:szCs w:val="22"/>
        </w:rPr>
      </w:pPr>
    </w:p>
    <w:p w14:paraId="011CB923"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clave terri</w:t>
      </w:r>
      <w:r>
        <w:rPr>
          <w:rFonts w:ascii="Open Sans" w:eastAsia="Open Sans" w:hAnsi="Open Sans" w:cs="Open Sans"/>
          <w:sz w:val="22"/>
          <w:szCs w:val="22"/>
        </w:rPr>
        <w:t xml:space="preserve">torial, se perciben de forma parecida las principales dificultades: el precio y el estado de los inmuebles. Sin embargo, en función del territorio hay algunas barreras que tienen mayor incidencia. Por ejemplo, tanto </w:t>
      </w:r>
      <w:r>
        <w:rPr>
          <w:rFonts w:ascii="Open Sans" w:eastAsia="Open Sans" w:hAnsi="Open Sans" w:cs="Open Sans"/>
          <w:b/>
          <w:sz w:val="22"/>
          <w:szCs w:val="22"/>
        </w:rPr>
        <w:t>los compradores madrileños como los cata</w:t>
      </w:r>
      <w:r>
        <w:rPr>
          <w:rFonts w:ascii="Open Sans" w:eastAsia="Open Sans" w:hAnsi="Open Sans" w:cs="Open Sans"/>
          <w:b/>
          <w:sz w:val="22"/>
          <w:szCs w:val="22"/>
        </w:rPr>
        <w:t>lanes tienen especial dificultad por el tamaño de las viviendas</w:t>
      </w:r>
      <w:r>
        <w:rPr>
          <w:rFonts w:ascii="Open Sans" w:eastAsia="Open Sans" w:hAnsi="Open Sans" w:cs="Open Sans"/>
          <w:sz w:val="22"/>
          <w:szCs w:val="22"/>
        </w:rPr>
        <w:t xml:space="preserve">. Sin embargo, en la </w:t>
      </w:r>
      <w:r>
        <w:rPr>
          <w:rFonts w:ascii="Open Sans" w:eastAsia="Open Sans" w:hAnsi="Open Sans" w:cs="Open Sans"/>
          <w:b/>
          <w:sz w:val="22"/>
          <w:szCs w:val="22"/>
        </w:rPr>
        <w:t>Comunidad Valenciana la antigüedad de los inmuebles, que mencionan el 43 %, es una barrera</w:t>
      </w:r>
      <w:r>
        <w:rPr>
          <w:rFonts w:ascii="Open Sans" w:eastAsia="Open Sans" w:hAnsi="Open Sans" w:cs="Open Sans"/>
          <w:sz w:val="22"/>
          <w:szCs w:val="22"/>
        </w:rPr>
        <w:t xml:space="preserve"> más mencionada que en el resto de las comunidades.</w:t>
      </w:r>
    </w:p>
    <w:p w14:paraId="37847F02" w14:textId="77777777" w:rsidR="00282B06" w:rsidRDefault="00282B06">
      <w:pPr>
        <w:pBdr>
          <w:top w:val="nil"/>
          <w:left w:val="nil"/>
          <w:bottom w:val="nil"/>
          <w:right w:val="nil"/>
          <w:between w:val="nil"/>
        </w:pBdr>
        <w:spacing w:line="276" w:lineRule="auto"/>
        <w:ind w:right="-574"/>
        <w:jc w:val="both"/>
        <w:rPr>
          <w:rFonts w:ascii="Open Sans" w:eastAsia="Open Sans" w:hAnsi="Open Sans" w:cs="Open Sans"/>
          <w:b/>
          <w:sz w:val="22"/>
          <w:szCs w:val="22"/>
        </w:rPr>
      </w:pPr>
    </w:p>
    <w:p w14:paraId="710934A8" w14:textId="77777777" w:rsidR="00282B06" w:rsidRDefault="006907B9">
      <w:pPr>
        <w:spacing w:line="276" w:lineRule="auto"/>
        <w:ind w:right="-716"/>
        <w:rPr>
          <w:rFonts w:ascii="Open Sans" w:eastAsia="Open Sans" w:hAnsi="Open Sans" w:cs="Open Sans"/>
          <w:b/>
          <w:color w:val="303AB2"/>
          <w:sz w:val="26"/>
          <w:szCs w:val="26"/>
        </w:rPr>
      </w:pPr>
      <w:r>
        <w:rPr>
          <w:rFonts w:ascii="Open Sans" w:eastAsia="Open Sans" w:hAnsi="Open Sans" w:cs="Open Sans"/>
          <w:b/>
          <w:color w:val="303AB2"/>
          <w:sz w:val="26"/>
          <w:szCs w:val="26"/>
        </w:rPr>
        <w:t>La causa de las operaciones fallidas</w:t>
      </w:r>
    </w:p>
    <w:p w14:paraId="0936156F" w14:textId="77777777" w:rsidR="00282B06" w:rsidRDefault="00282B06">
      <w:pPr>
        <w:spacing w:line="276" w:lineRule="auto"/>
        <w:ind w:right="-716"/>
        <w:jc w:val="both"/>
        <w:rPr>
          <w:rFonts w:ascii="Open Sans" w:eastAsia="Open Sans" w:hAnsi="Open Sans" w:cs="Open Sans"/>
          <w:sz w:val="22"/>
          <w:szCs w:val="22"/>
        </w:rPr>
      </w:pPr>
    </w:p>
    <w:p w14:paraId="7AE0F54C" w14:textId="77777777" w:rsidR="00282B06" w:rsidRDefault="006907B9">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Iniciar el proceso de compra no necesariamente es sinónimo de completarlo. De hecho, </w:t>
      </w:r>
      <w:r>
        <w:rPr>
          <w:rFonts w:ascii="Open Sans" w:eastAsia="Open Sans" w:hAnsi="Open Sans" w:cs="Open Sans"/>
          <w:b/>
          <w:sz w:val="22"/>
          <w:szCs w:val="22"/>
        </w:rPr>
        <w:t xml:space="preserve">solo uno de cada cuatro particulares que ha realizado alguna acción de demanda de vivienda en el último año ha llegado a adquirir un </w:t>
      </w:r>
      <w:r>
        <w:rPr>
          <w:rFonts w:ascii="Open Sans" w:eastAsia="Open Sans" w:hAnsi="Open Sans" w:cs="Open Sans"/>
          <w:b/>
          <w:sz w:val="22"/>
          <w:szCs w:val="22"/>
        </w:rPr>
        <w:t>inmueble</w:t>
      </w:r>
      <w:r>
        <w:rPr>
          <w:rFonts w:ascii="Open Sans" w:eastAsia="Open Sans" w:hAnsi="Open Sans" w:cs="Open Sans"/>
          <w:sz w:val="22"/>
          <w:szCs w:val="22"/>
        </w:rPr>
        <w:t xml:space="preserve">. El resto tropiezan con barreras de todo tipo, aunque hay una que destaca por encima del resto: el precio. </w:t>
      </w:r>
      <w:r>
        <w:rPr>
          <w:rFonts w:ascii="Open Sans" w:eastAsia="Open Sans" w:hAnsi="Open Sans" w:cs="Open Sans"/>
          <w:sz w:val="22"/>
          <w:szCs w:val="22"/>
        </w:rPr>
        <w:lastRenderedPageBreak/>
        <w:t>Concretamente, el 56 % de los demandantes que no han comprado lo atribuyen a los precios, que no encajan con su presupuesto.</w:t>
      </w:r>
    </w:p>
    <w:p w14:paraId="232F6ABC" w14:textId="77777777" w:rsidR="00282B06" w:rsidRDefault="006907B9">
      <w:pPr>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 xml:space="preserve"> </w:t>
      </w:r>
    </w:p>
    <w:p w14:paraId="6D1E672A"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noProof/>
          <w:sz w:val="22"/>
          <w:szCs w:val="22"/>
        </w:rPr>
        <w:drawing>
          <wp:inline distT="114300" distB="114300" distL="114300" distR="114300" wp14:anchorId="4F5B9F1C" wp14:editId="08F3C3B3">
            <wp:extent cx="5791438" cy="3419158"/>
            <wp:effectExtent l="0" t="0" r="0" b="0"/>
            <wp:docPr id="78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6"/>
                    <a:srcRect l="3039" t="6094" r="6171" b="6094"/>
                    <a:stretch>
                      <a:fillRect/>
                    </a:stretch>
                  </pic:blipFill>
                  <pic:spPr>
                    <a:xfrm>
                      <a:off x="0" y="0"/>
                      <a:ext cx="5791438" cy="3419158"/>
                    </a:xfrm>
                    <a:prstGeom prst="rect">
                      <a:avLst/>
                    </a:prstGeom>
                    <a:ln/>
                  </pic:spPr>
                </pic:pic>
              </a:graphicData>
            </a:graphic>
          </wp:inline>
        </w:drawing>
      </w:r>
    </w:p>
    <w:p w14:paraId="4268B14A" w14:textId="77777777" w:rsidR="00282B06" w:rsidRDefault="00282B06">
      <w:pPr>
        <w:spacing w:line="276" w:lineRule="auto"/>
        <w:ind w:right="-574"/>
        <w:jc w:val="both"/>
        <w:rPr>
          <w:rFonts w:ascii="Open Sans" w:eastAsia="Open Sans" w:hAnsi="Open Sans" w:cs="Open Sans"/>
          <w:sz w:val="22"/>
          <w:szCs w:val="22"/>
        </w:rPr>
      </w:pPr>
    </w:p>
    <w:p w14:paraId="4566479D"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Pese a que</w:t>
      </w:r>
      <w:r>
        <w:rPr>
          <w:rFonts w:ascii="Open Sans" w:eastAsia="Open Sans" w:hAnsi="Open Sans" w:cs="Open Sans"/>
          <w:sz w:val="22"/>
          <w:szCs w:val="22"/>
        </w:rPr>
        <w:t xml:space="preserve"> sea un grupo muy numeroso, son menos que en 2020 los que finalmente descartan la compra por cuestiones económicas. </w:t>
      </w:r>
      <w:r>
        <w:rPr>
          <w:rFonts w:ascii="Open Sans" w:eastAsia="Open Sans" w:hAnsi="Open Sans" w:cs="Open Sans"/>
          <w:b/>
          <w:sz w:val="22"/>
          <w:szCs w:val="22"/>
        </w:rPr>
        <w:t>Hace un año eran un 62% los que no compraban porque los precios no encajaban con su presupuesto, una cifra seis puntos porcentuales más alta</w:t>
      </w:r>
      <w:r>
        <w:rPr>
          <w:rFonts w:ascii="Open Sans" w:eastAsia="Open Sans" w:hAnsi="Open Sans" w:cs="Open Sans"/>
          <w:sz w:val="22"/>
          <w:szCs w:val="22"/>
        </w:rPr>
        <w:t xml:space="preserve"> que la de 2021. </w:t>
      </w:r>
    </w:p>
    <w:p w14:paraId="7FD622CE" w14:textId="77777777" w:rsidR="00282B06" w:rsidRDefault="00282B06">
      <w:pPr>
        <w:spacing w:line="276" w:lineRule="auto"/>
        <w:ind w:right="-574"/>
        <w:jc w:val="both"/>
        <w:rPr>
          <w:rFonts w:ascii="Open Sans" w:eastAsia="Open Sans" w:hAnsi="Open Sans" w:cs="Open Sans"/>
          <w:sz w:val="22"/>
          <w:szCs w:val="22"/>
        </w:rPr>
      </w:pPr>
    </w:p>
    <w:p w14:paraId="550231B2" w14:textId="77777777" w:rsidR="00282B06" w:rsidRDefault="006907B9">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Tras este motivo, el siguiente que tiene una mayor incidencia es el de no encontrar una vivienda que se adapte a sus necesidades. Hay un 49% de particulares mayores de 18 años que no ha conseguido comprar una vivienda en los últimos doce</w:t>
      </w:r>
      <w:r>
        <w:rPr>
          <w:rFonts w:ascii="Open Sans" w:eastAsia="Open Sans" w:hAnsi="Open Sans" w:cs="Open Sans"/>
          <w:sz w:val="22"/>
          <w:szCs w:val="22"/>
        </w:rPr>
        <w:t xml:space="preserve"> meses por esta razón.</w:t>
      </w:r>
    </w:p>
    <w:p w14:paraId="5039530E" w14:textId="77777777" w:rsidR="00282B06" w:rsidRDefault="00282B06">
      <w:pPr>
        <w:spacing w:line="276" w:lineRule="auto"/>
        <w:ind w:right="-716"/>
        <w:jc w:val="both"/>
        <w:rPr>
          <w:rFonts w:ascii="Open Sans" w:eastAsia="Open Sans" w:hAnsi="Open Sans" w:cs="Open Sans"/>
          <w:sz w:val="22"/>
          <w:szCs w:val="22"/>
        </w:rPr>
      </w:pPr>
    </w:p>
    <w:p w14:paraId="42340E50" w14:textId="77777777" w:rsidR="00282B06" w:rsidRDefault="006907B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el informe “Experiencia en compra y venta en 2021”</w:t>
      </w:r>
    </w:p>
    <w:p w14:paraId="6215DED0" w14:textId="77777777" w:rsidR="00282B06" w:rsidRDefault="00282B06">
      <w:pPr>
        <w:spacing w:line="276" w:lineRule="auto"/>
        <w:ind w:right="-716"/>
        <w:jc w:val="right"/>
        <w:rPr>
          <w:rFonts w:ascii="Open Sans Light" w:eastAsia="Open Sans Light" w:hAnsi="Open Sans Light" w:cs="Open Sans Light"/>
          <w:b/>
          <w:color w:val="303AB2"/>
        </w:rPr>
      </w:pPr>
    </w:p>
    <w:p w14:paraId="7C11C3E6" w14:textId="0A6C42D8" w:rsidR="00282B06" w:rsidRDefault="006907B9">
      <w:pPr>
        <w:shd w:val="clear" w:color="auto" w:fill="FFFFFF"/>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El portal inmobiliario </w:t>
      </w:r>
      <w:hyperlink r:id="rId17">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ha realizado el informe</w:t>
      </w:r>
      <w:r>
        <w:rPr>
          <w:rFonts w:ascii="Open Sans" w:eastAsia="Open Sans" w:hAnsi="Open Sans" w:cs="Open Sans"/>
          <w:b/>
          <w:i/>
          <w:sz w:val="22"/>
          <w:szCs w:val="22"/>
        </w:rPr>
        <w:t xml:space="preserve"> “</w:t>
      </w:r>
      <w:hyperlink r:id="rId18" w:history="1">
        <w:r w:rsidRPr="00750FAB">
          <w:rPr>
            <w:rStyle w:val="Hipervnculo"/>
            <w:rFonts w:ascii="Open Sans" w:eastAsia="Open Sans" w:hAnsi="Open Sans" w:cs="Open Sans"/>
            <w:b/>
            <w:i/>
            <w:sz w:val="22"/>
            <w:szCs w:val="22"/>
          </w:rPr>
          <w:t>Experiencia en compra y venta en 2021</w:t>
        </w:r>
      </w:hyperlink>
      <w:r>
        <w:rPr>
          <w:rFonts w:ascii="Open Sans" w:eastAsia="Open Sans" w:hAnsi="Open Sans" w:cs="Open Sans"/>
          <w:b/>
          <w:i/>
          <w:sz w:val="22"/>
          <w:szCs w:val="22"/>
        </w:rPr>
        <w:t xml:space="preserve">” </w:t>
      </w:r>
      <w:r>
        <w:rPr>
          <w:rFonts w:ascii="Open Sans" w:eastAsia="Open Sans" w:hAnsi="Open Sans" w:cs="Open Sans"/>
          <w:sz w:val="22"/>
          <w:szCs w:val="22"/>
        </w:rPr>
        <w:t xml:space="preserve">en base a un exhaustivo análisis del equipo de </w:t>
      </w:r>
      <w:proofErr w:type="spellStart"/>
      <w:r>
        <w:rPr>
          <w:rFonts w:ascii="Open Sans" w:eastAsia="Open Sans" w:hAnsi="Open Sans" w:cs="Open Sans"/>
          <w:sz w:val="22"/>
          <w:szCs w:val="22"/>
        </w:rPr>
        <w:t>Bussiness</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Analytics</w:t>
      </w:r>
      <w:proofErr w:type="spellEnd"/>
      <w:r>
        <w:rPr>
          <w:rFonts w:ascii="Open Sans" w:eastAsia="Open Sans" w:hAnsi="Open Sans" w:cs="Open Sans"/>
          <w:sz w:val="22"/>
          <w:szCs w:val="22"/>
        </w:rPr>
        <w:t xml:space="preserve"> de Fotocasa en colaboración con el instituto de investigación </w:t>
      </w:r>
      <w:proofErr w:type="spellStart"/>
      <w:r>
        <w:rPr>
          <w:rFonts w:ascii="Open Sans" w:eastAsia="Open Sans" w:hAnsi="Open Sans" w:cs="Open Sans"/>
          <w:sz w:val="22"/>
          <w:szCs w:val="22"/>
        </w:rPr>
        <w:t>The</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Cocktail</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Analysis</w:t>
      </w:r>
      <w:proofErr w:type="spellEnd"/>
      <w:r>
        <w:rPr>
          <w:rFonts w:ascii="Open Sans" w:eastAsia="Open Sans" w:hAnsi="Open Sans" w:cs="Open Sans"/>
          <w:sz w:val="22"/>
          <w:szCs w:val="22"/>
        </w:rPr>
        <w:t xml:space="preserve">. </w:t>
      </w:r>
    </w:p>
    <w:p w14:paraId="509555CD" w14:textId="77777777" w:rsidR="00282B06" w:rsidRDefault="006907B9">
      <w:pPr>
        <w:spacing w:before="240" w:line="276" w:lineRule="auto"/>
        <w:ind w:right="-574"/>
        <w:jc w:val="both"/>
        <w:rPr>
          <w:rFonts w:ascii="Open Sans Light" w:eastAsia="Open Sans Light" w:hAnsi="Open Sans Light" w:cs="Open Sans Light"/>
          <w:b/>
          <w:color w:val="303AB2"/>
        </w:rPr>
      </w:pPr>
      <w:r>
        <w:rPr>
          <w:rFonts w:ascii="Open Sans" w:eastAsia="Open Sans" w:hAnsi="Open Sans" w:cs="Open Sans"/>
          <w:sz w:val="22"/>
          <w:szCs w:val="22"/>
        </w:rPr>
        <w:t xml:space="preserve">El estudio pone el foco en la experiencia de compradores y vendedores durante el proceso compraventa de vivienda. Al igual que los anteriores informes, se ha realizado sobre un panel independiente con una muestra de 5.000 personas representativas de la </w:t>
      </w:r>
      <w:r>
        <w:rPr>
          <w:rFonts w:ascii="Open Sans" w:eastAsia="Open Sans" w:hAnsi="Open Sans" w:cs="Open Sans"/>
          <w:sz w:val="22"/>
          <w:szCs w:val="22"/>
        </w:rPr>
        <w:lastRenderedPageBreak/>
        <w:t>soc</w:t>
      </w:r>
      <w:r>
        <w:rPr>
          <w:rFonts w:ascii="Open Sans" w:eastAsia="Open Sans" w:hAnsi="Open Sans" w:cs="Open Sans"/>
          <w:sz w:val="22"/>
          <w:szCs w:val="22"/>
        </w:rPr>
        <w:t>iedad española y que tienen entre 18 y 75 años, a través de encuestas online que se efectuaron en el primer semestre de 2021. Error muestral: +-1,4%</w:t>
      </w:r>
    </w:p>
    <w:p w14:paraId="0C096E12" w14:textId="77777777" w:rsidR="00282B06" w:rsidRDefault="00282B06">
      <w:pPr>
        <w:spacing w:line="276" w:lineRule="auto"/>
        <w:ind w:right="-716"/>
        <w:rPr>
          <w:rFonts w:ascii="Open Sans Light" w:eastAsia="Open Sans Light" w:hAnsi="Open Sans Light" w:cs="Open Sans Light"/>
          <w:b/>
          <w:color w:val="303AB2"/>
        </w:rPr>
      </w:pPr>
    </w:p>
    <w:p w14:paraId="60D05EC9" w14:textId="77777777" w:rsidR="00282B06" w:rsidRDefault="006907B9">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4D13257" w14:textId="77777777" w:rsidR="00282B06" w:rsidRDefault="006907B9">
      <w:pPr>
        <w:shd w:val="clear" w:color="auto" w:fill="FFFFFF"/>
        <w:spacing w:before="280" w:after="280"/>
        <w:ind w:right="-716"/>
        <w:jc w:val="both"/>
        <w:rPr>
          <w:rFonts w:ascii="Open Sans" w:eastAsia="Open Sans" w:hAnsi="Open Sans" w:cs="Open Sans"/>
          <w:sz w:val="22"/>
          <w:szCs w:val="22"/>
        </w:rPr>
      </w:pPr>
      <w:r>
        <w:rPr>
          <w:rFonts w:ascii="Open Sans" w:eastAsia="Open Sans" w:hAnsi="Open Sans" w:cs="Open Sans"/>
          <w:sz w:val="22"/>
          <w:szCs w:val="22"/>
        </w:rPr>
        <w:t>Portal inmobiliario que cuenta con inmuebles de segunda mano, promociones de obra nueva y v</w:t>
      </w:r>
      <w:r>
        <w:rPr>
          <w:rFonts w:ascii="Open Sans" w:eastAsia="Open Sans" w:hAnsi="Open Sans" w:cs="Open Sans"/>
          <w:sz w:val="22"/>
          <w:szCs w:val="22"/>
        </w:rPr>
        <w:t>iviendas de alquiler. Cada mes genera un tráfico de 34 millones de visitas (75% a través de dispositivos móviles). Mensualmente elabora el </w:t>
      </w:r>
      <w:hyperlink r:id="rId19">
        <w:r>
          <w:rPr>
            <w:rFonts w:ascii="Open Sans" w:eastAsia="Open Sans" w:hAnsi="Open Sans" w:cs="Open Sans"/>
            <w:color w:val="0000FF"/>
            <w:sz w:val="22"/>
            <w:szCs w:val="22"/>
            <w:u w:val="single"/>
          </w:rPr>
          <w:t>índice inmobiliario Fotocasa</w:t>
        </w:r>
      </w:hyperlink>
      <w:r>
        <w:rPr>
          <w:rFonts w:ascii="Open Sans" w:eastAsia="Open Sans" w:hAnsi="Open Sans" w:cs="Open Sans"/>
          <w:sz w:val="22"/>
          <w:szCs w:val="22"/>
        </w:rPr>
        <w:t>, un informe de referencia sobre la ev</w:t>
      </w:r>
      <w:r>
        <w:rPr>
          <w:rFonts w:ascii="Open Sans" w:eastAsia="Open Sans" w:hAnsi="Open Sans" w:cs="Open Sans"/>
          <w:sz w:val="22"/>
          <w:szCs w:val="22"/>
        </w:rPr>
        <w:t>olución del precio medio de la vivienda en España, tanto en venta como en alquiler.</w:t>
      </w:r>
    </w:p>
    <w:bookmarkStart w:id="1" w:name="_heading=h.30j0zll" w:colFirst="0" w:colLast="0"/>
    <w:bookmarkEnd w:id="1"/>
    <w:p w14:paraId="58850DF8" w14:textId="77777777" w:rsidR="00282B06" w:rsidRDefault="006907B9">
      <w:pPr>
        <w:shd w:val="clear" w:color="auto" w:fill="FFFFFF"/>
        <w:spacing w:before="280" w:after="280"/>
        <w:ind w:right="-716"/>
        <w:jc w:val="both"/>
        <w:rPr>
          <w:rFonts w:ascii="Open Sans" w:eastAsia="Open Sans" w:hAnsi="Open Sans" w:cs="Open Sans"/>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una empresa 100% especializada en Marketplace digital</w:t>
      </w:r>
      <w:r>
        <w:rPr>
          <w:rFonts w:ascii="Open Sans" w:eastAsia="Open Sans" w:hAnsi="Open Sans" w:cs="Open Sans"/>
          <w:sz w:val="22"/>
          <w:szCs w:val="22"/>
        </w:rPr>
        <w:t xml:space="preserve">es y el único “pure </w:t>
      </w:r>
      <w:proofErr w:type="spellStart"/>
      <w:r>
        <w:rPr>
          <w:rFonts w:ascii="Open Sans" w:eastAsia="Open Sans" w:hAnsi="Open Sans" w:cs="Open Sans"/>
          <w:sz w:val="22"/>
          <w:szCs w:val="22"/>
        </w:rPr>
        <w:t>player</w:t>
      </w:r>
      <w:proofErr w:type="spellEnd"/>
      <w:r>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0375BF2F" w14:textId="77777777" w:rsidR="00282B06" w:rsidRDefault="006907B9">
      <w:pPr>
        <w:shd w:val="clear" w:color="auto" w:fill="FFFFFF"/>
        <w:spacing w:before="280" w:after="280"/>
        <w:ind w:right="-716"/>
        <w:jc w:val="both"/>
        <w:rPr>
          <w:rFonts w:ascii="Times New Roman" w:eastAsia="Times New Roman" w:hAnsi="Times New Roman" w:cs="Times New Roman"/>
          <w:color w:val="222222"/>
          <w:sz w:val="22"/>
          <w:szCs w:val="22"/>
        </w:rPr>
      </w:pPr>
      <w:hyperlink r:id="rId20">
        <w:r>
          <w:rPr>
            <w:rFonts w:ascii="Open Sans" w:eastAsia="Open Sans" w:hAnsi="Open Sans" w:cs="Open Sans"/>
            <w:color w:val="0000FF"/>
            <w:sz w:val="22"/>
            <w:szCs w:val="22"/>
            <w:u w:val="single"/>
          </w:rPr>
          <w:t>Más información sobre Fotocasa</w:t>
        </w:r>
      </w:hyperlink>
      <w:r>
        <w:rPr>
          <w:rFonts w:ascii="Open Sans" w:eastAsia="Open Sans" w:hAnsi="Open Sans" w:cs="Open Sans"/>
          <w:sz w:val="22"/>
          <w:szCs w:val="22"/>
        </w:rPr>
        <w:t>.</w:t>
      </w:r>
    </w:p>
    <w:p w14:paraId="57342A9D" w14:textId="77777777" w:rsidR="00282B06" w:rsidRDefault="006907B9">
      <w:pPr>
        <w:shd w:val="clear" w:color="auto" w:fill="FFFFFF"/>
        <w:spacing w:line="276" w:lineRule="auto"/>
        <w:ind w:right="-716"/>
        <w:jc w:val="both"/>
        <w:rPr>
          <w:rFonts w:ascii="Open Sans" w:eastAsia="Open Sans" w:hAnsi="Open Sans" w:cs="Open Sans"/>
          <w:sz w:val="22"/>
          <w:szCs w:val="22"/>
        </w:rPr>
      </w:pPr>
      <w:r>
        <w:rPr>
          <w:rFonts w:ascii="Open Sans" w:eastAsia="Open Sans" w:hAnsi="Open Sans" w:cs="Open Sans"/>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antes Schibsted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es una de las principales empresas del sector tecnológico del país y un referente de transformación digi</w:t>
      </w:r>
      <w:r>
        <w:rPr>
          <w:rFonts w:ascii="Open Sans" w:eastAsia="Open Sans" w:hAnsi="Open Sans" w:cs="Open Sans"/>
          <w:sz w:val="22"/>
          <w:szCs w:val="22"/>
        </w:rPr>
        <w:t xml:space="preserve">tal. En sus 40 años de trayectoria en el mercado español de clasificados, 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hasta convertirse en el referente de Internet en sectores relevantes como inmobiliaria (</w:t>
      </w:r>
      <w:hyperlink r:id="rId21">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hyperlink r:id="rId22">
        <w:r>
          <w:rPr>
            <w:rFonts w:ascii="Open Sans" w:eastAsia="Open Sans" w:hAnsi="Open Sans" w:cs="Open Sans"/>
            <w:color w:val="0000FF"/>
            <w:sz w:val="22"/>
            <w:szCs w:val="22"/>
            <w:u w:val="single"/>
          </w:rPr>
          <w:t>Infojobs.net</w:t>
        </w:r>
      </w:hyperlink>
      <w:r>
        <w:rPr>
          <w:rFonts w:ascii="Open Sans" w:eastAsia="Open Sans" w:hAnsi="Open Sans" w:cs="Open Sans"/>
          <w:sz w:val="22"/>
          <w:szCs w:val="22"/>
        </w:rPr>
        <w:t>), motor (</w:t>
      </w:r>
      <w:hyperlink r:id="rId23">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4">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Sus más de 18 millones de usuarios al mes sitúan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entre las diez co</w:t>
      </w:r>
      <w:r>
        <w:rPr>
          <w:rFonts w:ascii="Open Sans" w:eastAsia="Open Sans" w:hAnsi="Open Sans" w:cs="Open Sans"/>
          <w:sz w:val="22"/>
          <w:szCs w:val="22"/>
        </w:rPr>
        <w:t xml:space="preserve">mpañías con mayor audiencia de Internet en España (y la mayor empresa digital española).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cuenta en la actualidad con una plantilla de más de 1.000 empleados en España. </w:t>
      </w:r>
    </w:p>
    <w:p w14:paraId="0753C040" w14:textId="77777777" w:rsidR="00282B06" w:rsidRDefault="00282B06">
      <w:pPr>
        <w:shd w:val="clear" w:color="auto" w:fill="FFFFFF"/>
        <w:spacing w:line="276" w:lineRule="auto"/>
        <w:ind w:right="-716"/>
        <w:jc w:val="both"/>
        <w:rPr>
          <w:rFonts w:ascii="Open Sans" w:eastAsia="Open Sans" w:hAnsi="Open Sans" w:cs="Open Sans"/>
          <w:sz w:val="21"/>
          <w:szCs w:val="21"/>
        </w:rPr>
      </w:pPr>
    </w:p>
    <w:p w14:paraId="33030A5A" w14:textId="77777777" w:rsidR="00282B06" w:rsidRDefault="006907B9">
      <w:pPr>
        <w:shd w:val="clear" w:color="auto" w:fill="FFFFFF"/>
        <w:spacing w:line="276" w:lineRule="auto"/>
        <w:ind w:right="-716"/>
        <w:jc w:val="both"/>
        <w:rPr>
          <w:rFonts w:ascii="Open Sans" w:eastAsia="Open Sans" w:hAnsi="Open Sans" w:cs="Open Sans"/>
          <w:sz w:val="21"/>
          <w:szCs w:val="21"/>
        </w:rPr>
      </w:pPr>
      <w:r>
        <w:rPr>
          <w:rFonts w:ascii="Open Sans" w:eastAsia="Open Sans" w:hAnsi="Open Sans" w:cs="Open Sans"/>
          <w:sz w:val="21"/>
          <w:szCs w:val="21"/>
        </w:rPr>
        <w:t xml:space="preserve">Toda nuestra información la puedes encontrar en nuestra </w:t>
      </w:r>
      <w:hyperlink r:id="rId25">
        <w:r>
          <w:rPr>
            <w:rFonts w:ascii="Open Sans" w:eastAsia="Open Sans" w:hAnsi="Open Sans" w:cs="Open Sans"/>
            <w:color w:val="0000FF"/>
            <w:sz w:val="21"/>
            <w:szCs w:val="21"/>
            <w:u w:val="single"/>
          </w:rPr>
          <w:t>Sala de Prensa</w:t>
        </w:r>
      </w:hyperlink>
      <w:r>
        <w:rPr>
          <w:rFonts w:ascii="Open Sans" w:eastAsia="Open Sans" w:hAnsi="Open Sans" w:cs="Open Sans"/>
          <w:sz w:val="21"/>
          <w:szCs w:val="21"/>
        </w:rPr>
        <w:t xml:space="preserve">. </w:t>
      </w:r>
    </w:p>
    <w:p w14:paraId="16B0F3E4" w14:textId="77777777" w:rsidR="00282B06" w:rsidRDefault="00282B06">
      <w:pPr>
        <w:shd w:val="clear" w:color="auto" w:fill="FFFFFF"/>
        <w:spacing w:line="276" w:lineRule="auto"/>
        <w:ind w:right="-716"/>
        <w:jc w:val="both"/>
        <w:rPr>
          <w:rFonts w:ascii="Open Sans" w:eastAsia="Open Sans" w:hAnsi="Open Sans" w:cs="Open Sans"/>
          <w:sz w:val="21"/>
          <w:szCs w:val="21"/>
        </w:rPr>
      </w:pPr>
    </w:p>
    <w:p w14:paraId="1D893976" w14:textId="77777777" w:rsidR="00282B06" w:rsidRDefault="00282B06">
      <w:pPr>
        <w:spacing w:line="276" w:lineRule="auto"/>
        <w:ind w:right="-716"/>
        <w:rPr>
          <w:rFonts w:ascii="Open Sans Light" w:eastAsia="Open Sans Light" w:hAnsi="Open Sans Light" w:cs="Open Sans Light"/>
          <w:b/>
          <w:color w:val="303AB2"/>
          <w:sz w:val="22"/>
          <w:szCs w:val="22"/>
        </w:rPr>
      </w:pPr>
    </w:p>
    <w:p w14:paraId="346E3038" w14:textId="77777777" w:rsidR="00282B06" w:rsidRDefault="006907B9">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023CB1B5" w14:textId="77777777" w:rsidR="00282B06" w:rsidRDefault="006907B9">
      <w:pPr>
        <w:shd w:val="clear" w:color="auto" w:fill="FFFFFF"/>
        <w:spacing w:line="276" w:lineRule="auto"/>
        <w:ind w:right="-716"/>
        <w:rPr>
          <w:rFonts w:ascii="Open Sans" w:eastAsia="Open Sans" w:hAnsi="Open Sans" w:cs="Open Sans"/>
          <w:b/>
          <w:sz w:val="19"/>
          <w:szCs w:val="19"/>
        </w:rPr>
      </w:pPr>
      <w:r>
        <w:rPr>
          <w:rFonts w:ascii="Open Sans" w:eastAsia="Open Sans" w:hAnsi="Open Sans" w:cs="Open Sans"/>
          <w:b/>
          <w:sz w:val="19"/>
          <w:szCs w:val="19"/>
        </w:rPr>
        <w:t>Ramon Torné</w:t>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r>
      <w:r>
        <w:rPr>
          <w:rFonts w:ascii="Open Sans" w:eastAsia="Open Sans" w:hAnsi="Open Sans" w:cs="Open Sans"/>
          <w:b/>
          <w:sz w:val="19"/>
          <w:szCs w:val="19"/>
        </w:rPr>
        <w:tab/>
        <w:t xml:space="preserve">                             Anaïs López </w:t>
      </w:r>
    </w:p>
    <w:p w14:paraId="6D7A2CAA" w14:textId="77777777" w:rsidR="00282B06" w:rsidRDefault="006907B9">
      <w:pPr>
        <w:shd w:val="clear" w:color="auto" w:fill="FFFFFF"/>
        <w:spacing w:line="276" w:lineRule="auto"/>
        <w:ind w:right="-716"/>
        <w:rPr>
          <w:rFonts w:ascii="Open Sans" w:eastAsia="Open Sans" w:hAnsi="Open Sans" w:cs="Open Sans"/>
          <w:color w:val="0000FF"/>
          <w:sz w:val="19"/>
          <w:szCs w:val="19"/>
          <w:u w:val="single"/>
        </w:rPr>
      </w:pPr>
      <w:hyperlink r:id="rId26">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7">
        <w:r>
          <w:rPr>
            <w:rFonts w:ascii="Open Sans" w:eastAsia="Open Sans" w:hAnsi="Open Sans" w:cs="Open Sans"/>
            <w:color w:val="0000FF"/>
            <w:sz w:val="19"/>
            <w:szCs w:val="19"/>
            <w:u w:val="single"/>
          </w:rPr>
          <w:t>comunicacion@fotocasa.es</w:t>
        </w:r>
      </w:hyperlink>
    </w:p>
    <w:p w14:paraId="031073A5" w14:textId="77777777" w:rsidR="00282B06" w:rsidRDefault="006907B9">
      <w:pPr>
        <w:shd w:val="clear" w:color="auto" w:fill="FFFFFF"/>
        <w:spacing w:line="276" w:lineRule="auto"/>
        <w:ind w:right="-716"/>
        <w:rPr>
          <w:rFonts w:ascii="Open Sans" w:eastAsia="Open Sans" w:hAnsi="Open Sans" w:cs="Open Sans"/>
          <w:sz w:val="19"/>
          <w:szCs w:val="19"/>
        </w:rPr>
      </w:pPr>
      <w:r>
        <w:rPr>
          <w:rFonts w:ascii="Open Sans" w:eastAsia="Open Sans" w:hAnsi="Open Sans" w:cs="Open Sans"/>
          <w:sz w:val="19"/>
          <w:szCs w:val="19"/>
        </w:rPr>
        <w:t xml:space="preserve">638 68 19 85      </w:t>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r>
      <w:r>
        <w:rPr>
          <w:rFonts w:ascii="Open Sans" w:eastAsia="Open Sans" w:hAnsi="Open Sans" w:cs="Open Sans"/>
          <w:sz w:val="19"/>
          <w:szCs w:val="19"/>
        </w:rPr>
        <w:tab/>
        <w:t xml:space="preserve">                           </w:t>
      </w:r>
      <w:r>
        <w:rPr>
          <w:rFonts w:ascii="Open Sans" w:eastAsia="Open Sans" w:hAnsi="Open Sans" w:cs="Open Sans"/>
          <w:sz w:val="19"/>
          <w:szCs w:val="19"/>
        </w:rPr>
        <w:t xml:space="preserve">   620 66 29 26</w:t>
      </w:r>
    </w:p>
    <w:p w14:paraId="29312B21" w14:textId="77777777" w:rsidR="00282B06" w:rsidRDefault="006907B9">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5E504E95" w14:textId="77777777" w:rsidR="00282B06" w:rsidRDefault="006907B9">
      <w:pPr>
        <w:shd w:val="clear" w:color="auto" w:fill="FFFFFF"/>
        <w:ind w:right="-716"/>
        <w:rPr>
          <w:rFonts w:ascii="Open Sans" w:eastAsia="Open Sans" w:hAnsi="Open Sans" w:cs="Open Sans"/>
          <w:b/>
          <w:sz w:val="19"/>
          <w:szCs w:val="19"/>
        </w:rPr>
      </w:pPr>
      <w:r>
        <w:rPr>
          <w:rFonts w:ascii="Open Sans" w:eastAsia="Open Sans" w:hAnsi="Open Sans" w:cs="Open Sans"/>
          <w:b/>
          <w:sz w:val="19"/>
          <w:szCs w:val="19"/>
        </w:rPr>
        <w:t>Fanny Merino</w:t>
      </w:r>
    </w:p>
    <w:p w14:paraId="49E38072" w14:textId="77777777" w:rsidR="00282B06" w:rsidRDefault="006907B9">
      <w:pPr>
        <w:shd w:val="clear" w:color="auto" w:fill="FFFFFF"/>
        <w:ind w:right="-716"/>
        <w:rPr>
          <w:rFonts w:ascii="Open Sans" w:eastAsia="Open Sans" w:hAnsi="Open Sans" w:cs="Open Sans"/>
          <w:color w:val="0000FF"/>
          <w:sz w:val="19"/>
          <w:szCs w:val="19"/>
        </w:rPr>
      </w:pPr>
      <w:hyperlink r:id="rId28">
        <w:r>
          <w:rPr>
            <w:rFonts w:ascii="Open Sans" w:eastAsia="Open Sans" w:hAnsi="Open Sans" w:cs="Open Sans"/>
            <w:color w:val="0000FF"/>
            <w:sz w:val="19"/>
            <w:szCs w:val="19"/>
            <w:u w:val="single"/>
          </w:rPr>
          <w:t>emerino@llorenteycuenca.com</w:t>
        </w:r>
      </w:hyperlink>
    </w:p>
    <w:p w14:paraId="37C378D8" w14:textId="77777777" w:rsidR="00282B06" w:rsidRDefault="006907B9">
      <w:pPr>
        <w:shd w:val="clear" w:color="auto" w:fill="FFFFFF"/>
        <w:ind w:right="-716"/>
        <w:rPr>
          <w:rFonts w:ascii="Open Sans" w:eastAsia="Open Sans" w:hAnsi="Open Sans" w:cs="Open Sans"/>
          <w:sz w:val="21"/>
          <w:szCs w:val="21"/>
        </w:rPr>
      </w:pPr>
      <w:r>
        <w:rPr>
          <w:rFonts w:ascii="Open Sans" w:eastAsia="Open Sans" w:hAnsi="Open Sans" w:cs="Open Sans"/>
          <w:sz w:val="19"/>
          <w:szCs w:val="19"/>
        </w:rPr>
        <w:t>663 35 69 75 </w:t>
      </w:r>
    </w:p>
    <w:sectPr w:rsidR="00282B06">
      <w:footerReference w:type="default" r:id="rId2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2BC89" w14:textId="77777777" w:rsidR="006907B9" w:rsidRDefault="006907B9">
      <w:r>
        <w:separator/>
      </w:r>
    </w:p>
  </w:endnote>
  <w:endnote w:type="continuationSeparator" w:id="0">
    <w:p w14:paraId="04F6E758" w14:textId="77777777" w:rsidR="006907B9" w:rsidRDefault="0069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4901" w14:textId="77777777" w:rsidR="00282B06" w:rsidRDefault="006907B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4023A98E" wp14:editId="332C8441">
          <wp:simplePos x="0" y="0"/>
          <wp:positionH relativeFrom="column">
            <wp:posOffset>-1068050</wp:posOffset>
          </wp:positionH>
          <wp:positionV relativeFrom="paragraph">
            <wp:posOffset>174608</wp:posOffset>
          </wp:positionV>
          <wp:extent cx="7670550" cy="451315"/>
          <wp:effectExtent l="0" t="0" r="0" b="0"/>
          <wp:wrapSquare wrapText="bothSides" distT="0" distB="0" distL="0" distR="0"/>
          <wp:docPr id="78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1719" w14:textId="77777777" w:rsidR="006907B9" w:rsidRDefault="006907B9">
      <w:r>
        <w:separator/>
      </w:r>
    </w:p>
  </w:footnote>
  <w:footnote w:type="continuationSeparator" w:id="0">
    <w:p w14:paraId="6B414DFF" w14:textId="77777777" w:rsidR="006907B9" w:rsidRDefault="0069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7244E"/>
    <w:multiLevelType w:val="multilevel"/>
    <w:tmpl w:val="E3E8C7A2"/>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5894643C"/>
    <w:multiLevelType w:val="multilevel"/>
    <w:tmpl w:val="40765132"/>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06"/>
    <w:rsid w:val="001D673F"/>
    <w:rsid w:val="00282B06"/>
    <w:rsid w:val="006907B9"/>
    <w:rsid w:val="00750F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92A0"/>
  <w15:docId w15:val="{1E3E2A2B-EB67-4248-8323-C47AEC43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a"/>
    <w:rPr>
      <w:color w:val="252F80"/>
    </w:rPr>
    <w:tblPr>
      <w:tblStyleRowBandSize w:val="1"/>
      <w:tblStyleColBandSize w:val="1"/>
      <w:tblCellMar>
        <w:left w:w="115" w:type="dxa"/>
        <w:right w:w="115" w:type="dxa"/>
      </w:tblCellMar>
    </w:tblPr>
    <w:tcPr>
      <w:shd w:val="clear" w:color="auto" w:fill="D2D5F2"/>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s://s36360.pcdn.co/wp-content/uploads/2022/02/Experiencia-en-compra-y-venta-en-2021.pdf" TargetMode="External"/><Relationship Id="rId26" Type="http://schemas.openxmlformats.org/officeDocument/2006/relationships/hyperlink" Target="mailto:rtorne@llorenteycuenc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fotocasa.es/es/quienes-somo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fotocasa.es/"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ches.net/" TargetMode="External"/><Relationship Id="rId28" Type="http://schemas.openxmlformats.org/officeDocument/2006/relationships/hyperlink" Target="mailto:emerino@llorenteycuenca.com" TargetMode="External"/><Relationship Id="rId10" Type="http://schemas.openxmlformats.org/officeDocument/2006/relationships/hyperlink" Target="https://s36360.pcdn.co/wp-content/uploads/2022/02/Experiencia-en-compra-y-venta-en-2021.pdf" TargetMode="External"/><Relationship Id="rId19" Type="http://schemas.openxmlformats.org/officeDocument/2006/relationships/hyperlink" Target="https://www.fotocasa.es/ind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caj4SSqU6aI" TargetMode="External"/><Relationship Id="rId14" Type="http://schemas.openxmlformats.org/officeDocument/2006/relationships/image" Target="media/image3.jpe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x1Nur4QeD3vtpU//LaHjOcdiw==">AMUW2mXQbRw2xwRRBjqBgwwo7+XBCnngwxXEE31o8lsEV/5z4akue5lkLZPOk/Y1Li+NPTeM7F/fMzaiqzng8kPQFMb+6a9KhS+lQ6lhdUgIu488NSUY22900t57+HkYsZNwqC2RSce8ZJxDthD3oKUru9o9uHG0pw==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1560</Words>
  <Characters>8583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2021-05-04T14:46:00Z</dcterms:created>
  <dcterms:modified xsi:type="dcterms:W3CDTF">2022-02-09T12:27:00Z</dcterms:modified>
</cp:coreProperties>
</file>