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FEDD" w14:textId="77777777" w:rsidR="006728EB" w:rsidRDefault="001564A2">
      <w:pPr>
        <w:ind w:right="-574"/>
      </w:pP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AD1BB0" wp14:editId="480C0E2C">
            <wp:simplePos x="0" y="0"/>
            <wp:positionH relativeFrom="column">
              <wp:posOffset>-1078864</wp:posOffset>
            </wp:positionH>
            <wp:positionV relativeFrom="paragraph">
              <wp:posOffset>-350452</wp:posOffset>
            </wp:positionV>
            <wp:extent cx="7581265" cy="1019175"/>
            <wp:effectExtent l="0" t="0" r="0" b="0"/>
            <wp:wrapNone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5F3822" w14:textId="77777777" w:rsidR="006728EB" w:rsidRDefault="006728EB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0DF92DA5" w14:textId="77777777" w:rsidR="006728EB" w:rsidRDefault="006728EB">
      <w:pPr>
        <w:ind w:right="-574"/>
        <w:jc w:val="right"/>
        <w:rPr>
          <w:rFonts w:ascii="National" w:eastAsia="National" w:hAnsi="National" w:cs="National"/>
          <w:color w:val="303AB2"/>
          <w:sz w:val="36"/>
          <w:szCs w:val="36"/>
        </w:rPr>
      </w:pPr>
    </w:p>
    <w:p w14:paraId="2B58DCBF" w14:textId="77777777" w:rsidR="006728EB" w:rsidRDefault="006728EB">
      <w:pPr>
        <w:ind w:right="-574"/>
        <w:rPr>
          <w:rFonts w:ascii="National" w:eastAsia="National" w:hAnsi="National" w:cs="National"/>
          <w:color w:val="303AB2"/>
          <w:sz w:val="16"/>
          <w:szCs w:val="16"/>
        </w:rPr>
      </w:pPr>
    </w:p>
    <w:p w14:paraId="0B196202" w14:textId="77777777" w:rsidR="006728EB" w:rsidRDefault="001564A2">
      <w:pPr>
        <w:spacing w:line="276" w:lineRule="auto"/>
        <w:ind w:right="-574"/>
        <w:jc w:val="center"/>
        <w:rPr>
          <w:rFonts w:ascii="National" w:eastAsia="National" w:hAnsi="National" w:cs="National"/>
          <w:b/>
          <w:color w:val="1DBDC5"/>
          <w:sz w:val="38"/>
          <w:szCs w:val="38"/>
        </w:rPr>
      </w:pPr>
      <w:bookmarkStart w:id="1" w:name="_heading=h.30j0zll" w:colFirst="0" w:colLast="0"/>
      <w:bookmarkEnd w:id="1"/>
      <w:r>
        <w:rPr>
          <w:rFonts w:ascii="National" w:eastAsia="National" w:hAnsi="National" w:cs="National"/>
          <w:b/>
          <w:color w:val="1DBDC5"/>
          <w:sz w:val="38"/>
          <w:szCs w:val="38"/>
        </w:rPr>
        <w:t xml:space="preserve">2021: ANÁLISIS RENTABILIDAD GARAJES </w:t>
      </w:r>
    </w:p>
    <w:p w14:paraId="67D1994D" w14:textId="77777777" w:rsidR="006728EB" w:rsidRDefault="001564A2">
      <w:pPr>
        <w:ind w:right="-574"/>
        <w:jc w:val="center"/>
        <w:rPr>
          <w:rFonts w:ascii="National" w:eastAsia="National" w:hAnsi="National" w:cs="National"/>
          <w:b/>
          <w:color w:val="303AB2"/>
          <w:sz w:val="46"/>
          <w:szCs w:val="46"/>
        </w:rPr>
      </w:pPr>
      <w:r>
        <w:rPr>
          <w:rFonts w:ascii="National" w:eastAsia="National" w:hAnsi="National" w:cs="National"/>
          <w:b/>
          <w:color w:val="303AB2"/>
          <w:sz w:val="46"/>
          <w:szCs w:val="46"/>
        </w:rPr>
        <w:t>La rentabilidad de los garajes en España se sitúa en un 8,4% en 2021, cae casi 1 punto en un año</w:t>
      </w:r>
    </w:p>
    <w:p w14:paraId="6EF3101D" w14:textId="77777777" w:rsidR="006728EB" w:rsidRDefault="006728EB">
      <w:pPr>
        <w:ind w:right="-574"/>
        <w:rPr>
          <w:rFonts w:ascii="National" w:eastAsia="National" w:hAnsi="National" w:cs="National"/>
          <w:b/>
          <w:color w:val="303AB2"/>
          <w:sz w:val="16"/>
          <w:szCs w:val="16"/>
        </w:rPr>
      </w:pPr>
    </w:p>
    <w:p w14:paraId="7DBE0D03" w14:textId="77777777" w:rsidR="006728EB" w:rsidRDefault="00156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La rentabilidad de los garajes en España pasa del 9,3% registrado en 2020 al 8,4% registrado en 2021 </w:t>
      </w:r>
    </w:p>
    <w:p w14:paraId="7F061C41" w14:textId="77777777" w:rsidR="006728EB" w:rsidRDefault="00156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Hace 5 años la rentabilidad de los garajes en España alcanzaba el 6,5%, </w:t>
      </w:r>
    </w:p>
    <w:p w14:paraId="2876E6AC" w14:textId="77777777" w:rsidR="006728EB" w:rsidRDefault="001564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4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La capital murciana se convierte en la ciudad con la mayor rentabilidad de España para invertir en garajes, un 10,2%</w:t>
      </w:r>
    </w:p>
    <w:p w14:paraId="747C0E1A" w14:textId="77777777" w:rsidR="006728EB" w:rsidRDefault="006728EB">
      <w:pPr>
        <w:spacing w:line="276" w:lineRule="auto"/>
        <w:ind w:right="-574"/>
        <w:rPr>
          <w:rFonts w:ascii="Open Sans Light" w:eastAsia="Open Sans Light" w:hAnsi="Open Sans Light" w:cs="Open Sans Light"/>
          <w:b/>
          <w:color w:val="303AB2"/>
          <w:sz w:val="16"/>
          <w:szCs w:val="16"/>
        </w:rPr>
      </w:pPr>
    </w:p>
    <w:p w14:paraId="5635EF6F" w14:textId="77777777" w:rsidR="006728EB" w:rsidRDefault="001564A2">
      <w:pPr>
        <w:spacing w:line="276" w:lineRule="auto"/>
        <w:ind w:right="-574"/>
        <w:rPr>
          <w:rFonts w:ascii="Open Sans Light" w:eastAsia="Open Sans Light" w:hAnsi="Open Sans Light" w:cs="Open Sans Light"/>
          <w:color w:val="303AB2"/>
        </w:rPr>
      </w:pPr>
      <w:r>
        <w:rPr>
          <w:rFonts w:ascii="Open Sans Light" w:eastAsia="Open Sans Light" w:hAnsi="Open Sans Light" w:cs="Open Sans Light"/>
          <w:color w:val="303AB2"/>
        </w:rPr>
        <w:t>Madrid, 3 de febrero de 2022</w:t>
      </w:r>
    </w:p>
    <w:p w14:paraId="6E2F560E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La rentabilidad de los garajes en España cierra el 2021 en un 8,4%, 0,9 punto menos que en 2020 (9,3%) y 1,8 punto más que hace cinco años (6,5% en 2016), según el estudio de </w:t>
      </w:r>
      <w:r>
        <w:rPr>
          <w:rFonts w:ascii="Open Sans" w:eastAsia="Open Sans" w:hAnsi="Open Sans" w:cs="Open Sans"/>
          <w:b/>
          <w:color w:val="000000"/>
          <w:sz w:val="22"/>
          <w:szCs w:val="22"/>
        </w:rPr>
        <w:t>“</w:t>
      </w:r>
      <w:r>
        <w:rPr>
          <w:rFonts w:ascii="Open Sans" w:eastAsia="Open Sans" w:hAnsi="Open Sans" w:cs="Open Sans"/>
          <w:b/>
          <w:i/>
          <w:color w:val="000000"/>
          <w:sz w:val="22"/>
          <w:szCs w:val="22"/>
        </w:rPr>
        <w:t>La rentabilidad de los garajes en España en 2021”,</w:t>
      </w: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basado en el análisis de los precios de los garajes en venta y alquiler de diciembre de 2021 por el portal inmobiliario </w:t>
      </w:r>
      <w:hyperlink r:id="rId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color w:val="000000"/>
          <w:sz w:val="22"/>
          <w:szCs w:val="22"/>
        </w:rPr>
        <w:t xml:space="preserve">. </w:t>
      </w:r>
    </w:p>
    <w:p w14:paraId="29054409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>Rentabilidad de los garajes en España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18882BB" wp14:editId="3D0C041E">
            <wp:extent cx="5231130" cy="233045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A0FC4F1" w14:textId="77777777" w:rsidR="006728EB" w:rsidRDefault="0067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A0329D1" w14:textId="77777777" w:rsidR="006728EB" w:rsidRDefault="0067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6680FB7" w14:textId="11216C88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" w:eastAsia="Open Sans" w:hAnsi="Open Sans" w:cs="Open Sans"/>
          <w:sz w:val="22"/>
          <w:szCs w:val="22"/>
        </w:rPr>
        <w:lastRenderedPageBreak/>
        <w:t xml:space="preserve">“La curva de la rentabilidad es hacia el alza si la vemos con perspectiva desde hace 5 años. Durante 2020 hemos visto cómo el rendimiento de los garajes alcanzó su punto más álgido probablemente debido a que muchos pequeños ahorradores se lanzaron a este mercado en un contexto de incertidumbre, lo que hizo que la demanda empujase el precio al alza. Así, la rentabilidad aumentó un punto en 2020 con respecto a 2019. El 2021, sin embargo, ha sido un año de estabilización de este mercado, aunque presenta niveles superiores a los anteriores al impacto de la pandemia. Un aspecto que también llama la </w:t>
      </w:r>
      <w:r w:rsidR="00EC6401">
        <w:rPr>
          <w:rFonts w:ascii="Open Sans" w:eastAsia="Open Sans" w:hAnsi="Open Sans" w:cs="Open Sans"/>
          <w:sz w:val="22"/>
          <w:szCs w:val="22"/>
        </w:rPr>
        <w:t>atención</w:t>
      </w:r>
      <w:r>
        <w:rPr>
          <w:rFonts w:ascii="Open Sans" w:eastAsia="Open Sans" w:hAnsi="Open Sans" w:cs="Open Sans"/>
          <w:sz w:val="22"/>
          <w:szCs w:val="22"/>
        </w:rPr>
        <w:t xml:space="preserve"> es que la Región de Murcia es la comunidad que muestra un mayor rendimiento en garajes, </w:t>
      </w:r>
      <w:r w:rsidR="00EC6401">
        <w:rPr>
          <w:rFonts w:ascii="Open Sans" w:eastAsia="Open Sans" w:hAnsi="Open Sans" w:cs="Open Sans"/>
          <w:sz w:val="22"/>
          <w:szCs w:val="22"/>
        </w:rPr>
        <w:t>como</w:t>
      </w:r>
      <w:r>
        <w:rPr>
          <w:rFonts w:ascii="Open Sans" w:eastAsia="Open Sans" w:hAnsi="Open Sans" w:cs="Open Sans"/>
          <w:sz w:val="22"/>
          <w:szCs w:val="22"/>
        </w:rPr>
        <w:t xml:space="preserve"> también </w:t>
      </w:r>
      <w:r w:rsidR="00EC6401">
        <w:rPr>
          <w:rFonts w:ascii="Open Sans" w:eastAsia="Open Sans" w:hAnsi="Open Sans" w:cs="Open Sans"/>
          <w:sz w:val="22"/>
          <w:szCs w:val="22"/>
        </w:rPr>
        <w:t xml:space="preserve">lo hace </w:t>
      </w:r>
      <w:r>
        <w:rPr>
          <w:rFonts w:ascii="Open Sans" w:eastAsia="Open Sans" w:hAnsi="Open Sans" w:cs="Open Sans"/>
          <w:sz w:val="22"/>
          <w:szCs w:val="22"/>
        </w:rPr>
        <w:t>en vivienda,” explica María Matos, directora de Estudios y Portavoz de Fotocasa.</w:t>
      </w:r>
    </w:p>
    <w:p w14:paraId="212FC2B0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Comunidad Autónoma</w:t>
      </w:r>
    </w:p>
    <w:p w14:paraId="404CA04C" w14:textId="7E3416C0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Cuatro de las comunidades tiene una rentabilidad igual o por encima de la media española (8,4%) y son: Región de Murcia (10,9%), </w:t>
      </w:r>
      <w:proofErr w:type="spellStart"/>
      <w:r>
        <w:rPr>
          <w:rFonts w:ascii="Open Sans" w:eastAsia="Open Sans" w:hAnsi="Open Sans" w:cs="Open Sans"/>
          <w:color w:val="000000"/>
          <w:sz w:val="22"/>
          <w:szCs w:val="22"/>
        </w:rPr>
        <w:t>Comunitat</w:t>
      </w:r>
      <w:proofErr w:type="spellEnd"/>
      <w:r>
        <w:rPr>
          <w:rFonts w:ascii="Open Sans" w:eastAsia="Open Sans" w:hAnsi="Open Sans" w:cs="Open Sans"/>
          <w:color w:val="000000"/>
          <w:sz w:val="22"/>
          <w:szCs w:val="22"/>
        </w:rPr>
        <w:t xml:space="preserve"> Valenciana (9,4%), Andalucía (8,5%) y Baleares (8,4%). Por debajo de la rentabilidad media se encuentran las comunidades de Canarias</w:t>
      </w:r>
      <w:r>
        <w:rPr>
          <w:rFonts w:ascii="Open Sans" w:eastAsia="Open Sans" w:hAnsi="Open Sans" w:cs="Open Sans"/>
          <w:color w:val="000000"/>
          <w:sz w:val="22"/>
          <w:szCs w:val="22"/>
        </w:rPr>
        <w:tab/>
        <w:t>8,3%), Cataluña (8,1%), Madrid (7,8%), Navarra (7,7%), Castilla-La Mancha (7,7%), Cantabria (7,3%), Extremadura (7,1%), Aragón (7,0%), Galicia (6,9%), Asturias (6,7%), Castilla y León (6,4%) y País Vasco (5,9%).</w:t>
      </w:r>
    </w:p>
    <w:p w14:paraId="2F59BCE9" w14:textId="77777777" w:rsidR="00EC6401" w:rsidRDefault="00EC64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56AE4C97" w14:textId="4A4D5BAC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t xml:space="preserve">Gráfica - Rentabilidad de los garajes por CCAA en 2021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1106D7FB" wp14:editId="4E986CEF">
            <wp:extent cx="5396230" cy="2487930"/>
            <wp:effectExtent l="0" t="0" r="0" b="0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4C2B8A8" w14:textId="0D32B4B0" w:rsidR="00EC6401" w:rsidRDefault="00EC64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</w:p>
    <w:p w14:paraId="6D4A8B7E" w14:textId="5FD64C85" w:rsidR="00EC6401" w:rsidRDefault="00EC64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</w:pPr>
    </w:p>
    <w:p w14:paraId="77BD138B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  <w:sz w:val="30"/>
          <w:szCs w:val="30"/>
        </w:rPr>
        <w:lastRenderedPageBreak/>
        <w:t>Mapa - Rentabilidad de los garajes por CCAA en 2021</w:t>
      </w:r>
    </w:p>
    <w:p w14:paraId="2BA3C1C5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4897E1DE" wp14:editId="05C0E1B6">
            <wp:extent cx="4676549" cy="190036"/>
            <wp:effectExtent l="0" t="0" r="0" b="0"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549" cy="1900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539FB159" wp14:editId="30637FF2">
            <wp:extent cx="4551403" cy="3277781"/>
            <wp:effectExtent l="0" t="0" r="0" b="0"/>
            <wp:docPr id="18" name="image1.png" descr="Una caricatura de un huevo&#10;&#10;Descripción generada automáticamente con confianza me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a caricatura de un huevo&#10;&#10;Descripción generada automáticamente con confianza media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1403" cy="32777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2E899A" w14:textId="77777777" w:rsidR="00EC6401" w:rsidRDefault="00EC64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444D6939" w14:textId="20B1058C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Mapa comparativo de la rentabilidad en España por CCAA (2016, 2020 y 2021)</w:t>
      </w:r>
    </w:p>
    <w:p w14:paraId="68CA948F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</w:rPr>
        <w:drawing>
          <wp:inline distT="0" distB="0" distL="0" distR="0" wp14:anchorId="74302DDE" wp14:editId="775C9E5F">
            <wp:extent cx="4394551" cy="178576"/>
            <wp:effectExtent l="0" t="0" r="0" b="0"/>
            <wp:docPr id="2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4551" cy="178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B21E85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noProof/>
          <w:color w:val="303AB2"/>
          <w:sz w:val="28"/>
          <w:szCs w:val="28"/>
        </w:rPr>
        <w:drawing>
          <wp:inline distT="0" distB="0" distL="0" distR="0" wp14:anchorId="3734A51D" wp14:editId="79AF1416">
            <wp:extent cx="5807144" cy="1527980"/>
            <wp:effectExtent l="0" t="0" r="0" b="0"/>
            <wp:docPr id="20" name="image4.png" descr="Map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pa&#10;&#10;Descripción generada automáticament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7144" cy="1527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49B5B9" w14:textId="77777777" w:rsidR="006728EB" w:rsidRDefault="0067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jc w:val="center"/>
        <w:rPr>
          <w:rFonts w:ascii="Times New Roman" w:eastAsia="Times New Roman" w:hAnsi="Times New Roman" w:cs="Times New Roman"/>
          <w:color w:val="000000"/>
        </w:rPr>
      </w:pPr>
    </w:p>
    <w:p w14:paraId="5331B06B" w14:textId="77777777" w:rsidR="00EC6401" w:rsidRDefault="00EC64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0F591F77" w14:textId="77777777" w:rsidR="00EC6401" w:rsidRDefault="00EC640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</w:p>
    <w:p w14:paraId="70CD5923" w14:textId="3449D40F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lastRenderedPageBreak/>
        <w:t xml:space="preserve">Por provincias </w:t>
      </w:r>
    </w:p>
    <w:p w14:paraId="10E1993E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El 38% de las 37 provincias analizadas tienen una rentabilidad superior a la media española (8,4%). Las provincias más rentables en 2021 y que están por encima de la media son: Almería (11,0%), Murcia (10,9%), Alicante (9,7%), Sevilla (9,7%), Huelva (9,3%), Castellón (9,2%), Valencia (9,1%), León (9,1%), Tarragona (8,8%), Málaga (8,5%), Las Palmas (8,4%), A Coruña (8,4%), Illes Balears (8,4%) y Cádiz (8,4%).</w:t>
      </w:r>
    </w:p>
    <w:p w14:paraId="39C08703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El resto de las provincias que se encuentran por debajo de la media rentable de España son y ordenados de menor a mayor son: Ourense (4,0%), Araba - Álava (4,7%), Albacete (5,5%), Salamanca (5,6%), Gipuzkoa (5,6%), Pontevedra (5,8%), Granada (5,8%), Bizkaia (5,9%), Burgos (6,3%), Valladolid (6,6%), Asturias  (6,7%), Córdoba (6,7%), Ciudad Real (6,8%), Badajoz (7,0%), Zaragoza (7,3%), Cantabria (7,3%), Girona (7,3%), Barcelona (7,6%), Navarra (7,7%), Madrid (7,8%), Lleida (8,0%), Santa Cruz de Tenerife (8,2%) y Toledo (8,2%).</w:t>
      </w:r>
    </w:p>
    <w:p w14:paraId="2A084D5E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municipios</w:t>
      </w:r>
    </w:p>
    <w:p w14:paraId="1B8CC95F" w14:textId="77777777" w:rsidR="006728EB" w:rsidRDefault="001564A2">
      <w:pPr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 xml:space="preserve">Las dos ciudades más rentables de España en el año 2021 han sido Murcia capital con un 10,2% y Sant Pere de Ribes con un 9% de rentabilidad en los garajes.  </w:t>
      </w:r>
    </w:p>
    <w:p w14:paraId="0315FA29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color w:val="000000"/>
          <w:sz w:val="22"/>
          <w:szCs w:val="22"/>
        </w:rPr>
        <w:t>El resto de las ciudades que se encuentran por debajo de la rentabilidad de la media de España (8,4%) son: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Open Sans" w:eastAsia="Open Sans" w:hAnsi="Open Sans" w:cs="Open Sans"/>
          <w:color w:val="000000"/>
          <w:sz w:val="22"/>
          <w:szCs w:val="22"/>
        </w:rPr>
        <w:t>Sevilla capital (8,2%), Palma de Mallorca (7,8%), Alcalá de Henares (7,5%), Alcorcón (7,1%), Valencia Capital (7,1%), Lleida Capital (7,0%), Las Palmas de Gran Canaria (6,6%), Getafe (6,4%), Gijón (6,3%), Zaragoza capital (6,3%), L'Hospitalet de Llobregat (6,3%), Alicante / Alacant (6,3%), Pamplona / Iruña (6,2%), Barcelona capital (6,1%),  A Coruña capital (6,1%), Sabadell (6,1%), Tarragona capital (6,1%), Málaga capital (6,0%), Madrid capital (5,8%), Córdoba capital (5,8%), Girona capital (5,8%), Valladolid capital (5,5%), Esplugues de Llobregat (5,4%), Donostia - San Sebastián (5,4%), Oviedo (5,4%), Santander (5,2%), Badajoz capital (4,9%), Vigo (4,8%), Bilbao (4,8%), Granada capital (3,8%) y Salamanca capital (3,8%).</w:t>
      </w:r>
    </w:p>
    <w:p w14:paraId="7D2AB6A8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</w:pPr>
      <w:r>
        <w:rPr>
          <w:rFonts w:ascii="Open Sans Light" w:eastAsia="Open Sans Light" w:hAnsi="Open Sans Light" w:cs="Open Sans Light"/>
          <w:b/>
          <w:color w:val="303AB2"/>
          <w:sz w:val="28"/>
          <w:szCs w:val="28"/>
        </w:rPr>
        <w:t>Por distritos</w:t>
      </w:r>
    </w:p>
    <w:p w14:paraId="6AAE3AF9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cuanto a Madrid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>, el distrito con los garajes más rentables en 2021 es Fuencarral con un 5,8% de rentabilidad. Le siguen, San Blas (5,7%), Hortaleza (5,1%), Tetuán (4,8%), Barrio de Salamanca (4,7%) y Ciudad Lineal (4,7%).</w:t>
      </w:r>
    </w:p>
    <w:p w14:paraId="3919619C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left="-142" w:right="-574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  <w:r>
        <w:rPr>
          <w:rFonts w:ascii="Open Sans" w:eastAsia="Open Sans" w:hAnsi="Open Sans" w:cs="Open Sans"/>
          <w:b/>
          <w:color w:val="000000"/>
          <w:sz w:val="22"/>
          <w:szCs w:val="22"/>
        </w:rPr>
        <w:t>En cuanto a Barcelona capital</w:t>
      </w:r>
      <w:r>
        <w:rPr>
          <w:rFonts w:ascii="Open Sans" w:eastAsia="Open Sans" w:hAnsi="Open Sans" w:cs="Open Sans"/>
          <w:color w:val="000000"/>
          <w:sz w:val="22"/>
          <w:szCs w:val="22"/>
        </w:rPr>
        <w:t>, el distrito con los garajes más rentable en 2021 es Sants – Montjuïc con un 6,8%. Le siguen, Horta - Guinardó (6,6%), Sant Andreu (6,2%), Eixample (6,1%), Les Corts (5,9%), Sant Martí (5,8%), Gràcia (5,6%) y Sarrià - Sant Gervasi (5,6%).</w:t>
      </w:r>
    </w:p>
    <w:p w14:paraId="1DC280E1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 w:hanging="142"/>
        <w:rPr>
          <w:rFonts w:ascii="Open Sans Light" w:eastAsia="Open Sans Light" w:hAnsi="Open Sans Light" w:cs="Open Sans Light"/>
          <w:b/>
          <w:color w:val="303AB2"/>
        </w:rPr>
      </w:pPr>
      <w:bookmarkStart w:id="2" w:name="_heading=h.1fob9te" w:colFirst="0" w:colLast="0"/>
      <w:bookmarkEnd w:id="2"/>
      <w:r>
        <w:rPr>
          <w:rFonts w:ascii="Open Sans Light" w:eastAsia="Open Sans Light" w:hAnsi="Open Sans Light" w:cs="Open Sans Light"/>
          <w:b/>
          <w:color w:val="303AB2"/>
        </w:rPr>
        <w:t>Tablas:</w:t>
      </w:r>
    </w:p>
    <w:p w14:paraId="49D6FE18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 w:hanging="142"/>
        <w:rPr>
          <w:rFonts w:ascii="Open Sans Light" w:eastAsia="Open Sans Light" w:hAnsi="Open Sans Light" w:cs="Open Sans Light"/>
          <w:color w:val="404040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 xml:space="preserve">Tabla 1. Rentabilidad de los garajes por CCAA (comparativa 2016, 2020 y 2021)  </w:t>
      </w:r>
    </w:p>
    <w:tbl>
      <w:tblPr>
        <w:tblStyle w:val="a"/>
        <w:tblW w:w="9003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410"/>
        <w:gridCol w:w="2126"/>
        <w:gridCol w:w="1920"/>
      </w:tblGrid>
      <w:tr w:rsidR="006728EB" w14:paraId="374296F2" w14:textId="77777777">
        <w:trPr>
          <w:trHeight w:val="459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  <w:vAlign w:val="center"/>
          </w:tcPr>
          <w:p w14:paraId="57DECE10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Comunidades Autónomas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19941282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6096BEC5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2016</w:t>
            </w:r>
          </w:p>
          <w:p w14:paraId="12217897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(5 años)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291BF759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30ECD78B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2020</w:t>
            </w:r>
          </w:p>
          <w:p w14:paraId="0915AA8B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i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(1 año)</w:t>
            </w:r>
          </w:p>
        </w:tc>
        <w:tc>
          <w:tcPr>
            <w:tcW w:w="1920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1F3C4F12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67B21E55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2021</w:t>
            </w:r>
          </w:p>
        </w:tc>
      </w:tr>
      <w:tr w:rsidR="006728EB" w14:paraId="5260049A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0A58341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Región de Murcia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38A91713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49E71229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10,2%</w:t>
            </w:r>
          </w:p>
        </w:tc>
        <w:tc>
          <w:tcPr>
            <w:tcW w:w="1920" w:type="dxa"/>
            <w:shd w:val="clear" w:color="auto" w:fill="B4C6E7"/>
            <w:vAlign w:val="bottom"/>
          </w:tcPr>
          <w:p w14:paraId="40B09C11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10,9%</w:t>
            </w:r>
          </w:p>
        </w:tc>
      </w:tr>
      <w:tr w:rsidR="006728EB" w14:paraId="50BECA74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89D6C46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 xml:space="preserve"> Valenciana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5A4F9B96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3B10A162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9,5%</w:t>
            </w:r>
          </w:p>
        </w:tc>
        <w:tc>
          <w:tcPr>
            <w:tcW w:w="1920" w:type="dxa"/>
            <w:shd w:val="clear" w:color="auto" w:fill="D9E2F3"/>
            <w:vAlign w:val="bottom"/>
          </w:tcPr>
          <w:p w14:paraId="080C08EB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9,4%</w:t>
            </w:r>
          </w:p>
        </w:tc>
      </w:tr>
      <w:tr w:rsidR="006728EB" w14:paraId="7C9D3E60" w14:textId="77777777">
        <w:trPr>
          <w:trHeight w:val="239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269AEFD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Andalucía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6B6AFA7F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0218CB22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1920" w:type="dxa"/>
            <w:shd w:val="clear" w:color="auto" w:fill="B4C6E7"/>
            <w:vAlign w:val="bottom"/>
          </w:tcPr>
          <w:p w14:paraId="0C358789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8,5%</w:t>
            </w:r>
          </w:p>
        </w:tc>
      </w:tr>
      <w:tr w:rsidR="006728EB" w14:paraId="6DD6FDD7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76EF522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Navarra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36BEE541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546DC887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920" w:type="dxa"/>
            <w:shd w:val="clear" w:color="auto" w:fill="D9E2F3"/>
            <w:vAlign w:val="bottom"/>
          </w:tcPr>
          <w:p w14:paraId="12B2BBB0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8,4%</w:t>
            </w:r>
          </w:p>
        </w:tc>
      </w:tr>
      <w:tr w:rsidR="006728EB" w14:paraId="326FD1F0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BD51611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Canarias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68BC78D8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2174DB40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920" w:type="dxa"/>
            <w:shd w:val="clear" w:color="auto" w:fill="B4C6E7"/>
            <w:vAlign w:val="bottom"/>
          </w:tcPr>
          <w:p w14:paraId="1B0BE57E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8,3%</w:t>
            </w:r>
          </w:p>
        </w:tc>
      </w:tr>
      <w:tr w:rsidR="006728EB" w14:paraId="423E43A9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6D5C2C0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Baleares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519CFC11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0E7EFA7C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1920" w:type="dxa"/>
            <w:shd w:val="clear" w:color="auto" w:fill="D9E2F3"/>
            <w:vAlign w:val="bottom"/>
          </w:tcPr>
          <w:p w14:paraId="385C2683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8,1%</w:t>
            </w:r>
          </w:p>
        </w:tc>
      </w:tr>
      <w:tr w:rsidR="006728EB" w14:paraId="7EF49831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9B67C97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Cataluña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18D690AA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7A787B22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920" w:type="dxa"/>
            <w:shd w:val="clear" w:color="auto" w:fill="B4C6E7"/>
            <w:vAlign w:val="bottom"/>
          </w:tcPr>
          <w:p w14:paraId="7B18BC16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7,8%</w:t>
            </w:r>
          </w:p>
        </w:tc>
      </w:tr>
      <w:tr w:rsidR="006728EB" w14:paraId="337ABADE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87F87EA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Madrid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1F8DD614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1F5A8E57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1920" w:type="dxa"/>
            <w:shd w:val="clear" w:color="auto" w:fill="D9E2F3"/>
            <w:vAlign w:val="bottom"/>
          </w:tcPr>
          <w:p w14:paraId="7013679C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7,7%</w:t>
            </w:r>
          </w:p>
        </w:tc>
      </w:tr>
      <w:tr w:rsidR="006728EB" w14:paraId="7355DF9D" w14:textId="77777777">
        <w:trPr>
          <w:trHeight w:val="239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65F9F68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Castilla-La Mancha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1D731A92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63CF18F2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920" w:type="dxa"/>
            <w:shd w:val="clear" w:color="auto" w:fill="B4C6E7"/>
            <w:vAlign w:val="bottom"/>
          </w:tcPr>
          <w:p w14:paraId="1AFCE7D0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7,7%</w:t>
            </w:r>
          </w:p>
        </w:tc>
      </w:tr>
      <w:tr w:rsidR="006728EB" w14:paraId="7A973DB8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0708E0F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Cantabria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3906B163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50CFF7EF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920" w:type="dxa"/>
            <w:shd w:val="clear" w:color="auto" w:fill="D9E2F3"/>
            <w:vAlign w:val="bottom"/>
          </w:tcPr>
          <w:p w14:paraId="556764EA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</w:tr>
      <w:tr w:rsidR="006728EB" w14:paraId="0354E482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727BE72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Aragón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6AC1E5F7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2BA02AAB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920" w:type="dxa"/>
            <w:shd w:val="clear" w:color="auto" w:fill="B4C6E7"/>
            <w:vAlign w:val="bottom"/>
          </w:tcPr>
          <w:p w14:paraId="3A91B837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6728EB" w14:paraId="1E3E21DF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ACF107D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Galicia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24B86D45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5244C329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920" w:type="dxa"/>
            <w:shd w:val="clear" w:color="auto" w:fill="D9E2F3"/>
            <w:vAlign w:val="bottom"/>
          </w:tcPr>
          <w:p w14:paraId="32FFE698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</w:tr>
      <w:tr w:rsidR="006728EB" w14:paraId="0C608A5C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0A63AE2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Extremadura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142DC5E6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3B0DBB35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920" w:type="dxa"/>
            <w:shd w:val="clear" w:color="auto" w:fill="B4C6E7"/>
            <w:vAlign w:val="bottom"/>
          </w:tcPr>
          <w:p w14:paraId="18D3B201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</w:tr>
      <w:tr w:rsidR="006728EB" w14:paraId="016AA3E9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EA8B586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Castilla y León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5948C82B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58340870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920" w:type="dxa"/>
            <w:shd w:val="clear" w:color="auto" w:fill="D9E2F3"/>
            <w:vAlign w:val="bottom"/>
          </w:tcPr>
          <w:p w14:paraId="5F34A354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</w:tr>
      <w:tr w:rsidR="006728EB" w14:paraId="1D1BCF9C" w14:textId="77777777">
        <w:trPr>
          <w:trHeight w:val="239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31EE5AD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Asturias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035E1B5C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4C4C3AAA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920" w:type="dxa"/>
            <w:shd w:val="clear" w:color="auto" w:fill="B4C6E7"/>
            <w:vAlign w:val="bottom"/>
          </w:tcPr>
          <w:p w14:paraId="237365F9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6728EB" w14:paraId="0089050A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EF85875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País Vasco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2866509B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782F0473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920" w:type="dxa"/>
            <w:shd w:val="clear" w:color="auto" w:fill="D9E2F3"/>
            <w:vAlign w:val="bottom"/>
          </w:tcPr>
          <w:p w14:paraId="3ECAAE2F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6728EB" w14:paraId="4BAC753D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392FA72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La Rioja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589EA887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59B42277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8,5%</w:t>
            </w:r>
          </w:p>
        </w:tc>
        <w:tc>
          <w:tcPr>
            <w:tcW w:w="1920" w:type="dxa"/>
            <w:shd w:val="clear" w:color="auto" w:fill="B4C6E7"/>
            <w:vAlign w:val="bottom"/>
          </w:tcPr>
          <w:p w14:paraId="6E9B0219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</w:tr>
      <w:tr w:rsidR="006728EB" w14:paraId="4EC69402" w14:textId="77777777">
        <w:trPr>
          <w:trHeight w:val="227"/>
        </w:trPr>
        <w:tc>
          <w:tcPr>
            <w:tcW w:w="2547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4472C4"/>
            <w:vAlign w:val="bottom"/>
          </w:tcPr>
          <w:p w14:paraId="321A7E40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España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3D6A35F7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2EA520F8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9,9%</w:t>
            </w:r>
          </w:p>
        </w:tc>
        <w:tc>
          <w:tcPr>
            <w:tcW w:w="1920" w:type="dxa"/>
            <w:shd w:val="clear" w:color="auto" w:fill="D9E2F3"/>
            <w:vAlign w:val="bottom"/>
          </w:tcPr>
          <w:p w14:paraId="0FEE9493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9C0006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  <w:t>8,7%</w:t>
            </w:r>
          </w:p>
        </w:tc>
      </w:tr>
    </w:tbl>
    <w:p w14:paraId="3328EAF1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Tabla 2. Rentabilidad de los garajes por provincias (comparativa 2016, 2020 y 2021)</w:t>
      </w:r>
    </w:p>
    <w:tbl>
      <w:tblPr>
        <w:tblStyle w:val="a0"/>
        <w:tblW w:w="906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1701"/>
        <w:gridCol w:w="1842"/>
      </w:tblGrid>
      <w:tr w:rsidR="006728EB" w14:paraId="1B8BF2A2" w14:textId="77777777" w:rsidTr="00672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center"/>
          </w:tcPr>
          <w:p w14:paraId="43C9EDB3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Provincia</w:t>
            </w:r>
          </w:p>
        </w:tc>
        <w:tc>
          <w:tcPr>
            <w:tcW w:w="1843" w:type="dxa"/>
            <w:vAlign w:val="center"/>
          </w:tcPr>
          <w:p w14:paraId="34B0D72D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Municipio</w:t>
            </w:r>
          </w:p>
        </w:tc>
        <w:tc>
          <w:tcPr>
            <w:tcW w:w="1985" w:type="dxa"/>
            <w:vAlign w:val="center"/>
          </w:tcPr>
          <w:p w14:paraId="7F3BA971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2EE05AEC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2016</w:t>
            </w:r>
          </w:p>
          <w:p w14:paraId="700CE7C6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(5 años)</w:t>
            </w:r>
          </w:p>
        </w:tc>
        <w:tc>
          <w:tcPr>
            <w:tcW w:w="1701" w:type="dxa"/>
            <w:vAlign w:val="center"/>
          </w:tcPr>
          <w:p w14:paraId="3A24812E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257C8B11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2020</w:t>
            </w:r>
          </w:p>
          <w:p w14:paraId="35EFDE59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i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(1 año)</w:t>
            </w:r>
          </w:p>
        </w:tc>
        <w:tc>
          <w:tcPr>
            <w:tcW w:w="1842" w:type="dxa"/>
            <w:vAlign w:val="center"/>
          </w:tcPr>
          <w:p w14:paraId="4E31C7A2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66C480BE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6728EB" w14:paraId="7AFD7150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62E8031F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843" w:type="dxa"/>
            <w:vAlign w:val="bottom"/>
          </w:tcPr>
          <w:p w14:paraId="79CCA708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Almería</w:t>
            </w:r>
          </w:p>
        </w:tc>
        <w:tc>
          <w:tcPr>
            <w:tcW w:w="1985" w:type="dxa"/>
            <w:vAlign w:val="bottom"/>
          </w:tcPr>
          <w:p w14:paraId="3B30D7E4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8,8%</w:t>
            </w:r>
          </w:p>
        </w:tc>
        <w:tc>
          <w:tcPr>
            <w:tcW w:w="1701" w:type="dxa"/>
            <w:vAlign w:val="bottom"/>
          </w:tcPr>
          <w:p w14:paraId="5BD71494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11,7%</w:t>
            </w:r>
          </w:p>
        </w:tc>
        <w:tc>
          <w:tcPr>
            <w:tcW w:w="1842" w:type="dxa"/>
            <w:vAlign w:val="bottom"/>
          </w:tcPr>
          <w:p w14:paraId="653D47EE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11,0%</w:t>
            </w:r>
          </w:p>
        </w:tc>
      </w:tr>
      <w:tr w:rsidR="006728EB" w14:paraId="54CEFCD5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67F113EE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843" w:type="dxa"/>
            <w:vAlign w:val="bottom"/>
          </w:tcPr>
          <w:p w14:paraId="269673B2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Sevilla</w:t>
            </w:r>
          </w:p>
        </w:tc>
        <w:tc>
          <w:tcPr>
            <w:tcW w:w="1985" w:type="dxa"/>
            <w:vAlign w:val="bottom"/>
          </w:tcPr>
          <w:p w14:paraId="74E12C28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701" w:type="dxa"/>
            <w:vAlign w:val="bottom"/>
          </w:tcPr>
          <w:p w14:paraId="7D67F915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11,0%</w:t>
            </w:r>
          </w:p>
        </w:tc>
        <w:tc>
          <w:tcPr>
            <w:tcW w:w="1842" w:type="dxa"/>
            <w:vAlign w:val="bottom"/>
          </w:tcPr>
          <w:p w14:paraId="18CB92E4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9,7%</w:t>
            </w:r>
          </w:p>
        </w:tc>
      </w:tr>
      <w:tr w:rsidR="006728EB" w14:paraId="2582C230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3C66693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843" w:type="dxa"/>
            <w:vAlign w:val="bottom"/>
          </w:tcPr>
          <w:p w14:paraId="0D59DE29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Huelva</w:t>
            </w:r>
          </w:p>
        </w:tc>
        <w:tc>
          <w:tcPr>
            <w:tcW w:w="1985" w:type="dxa"/>
            <w:vAlign w:val="bottom"/>
          </w:tcPr>
          <w:p w14:paraId="4BAC8CAE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9,0%</w:t>
            </w:r>
          </w:p>
        </w:tc>
        <w:tc>
          <w:tcPr>
            <w:tcW w:w="1701" w:type="dxa"/>
            <w:vAlign w:val="bottom"/>
          </w:tcPr>
          <w:p w14:paraId="359DDB7C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bottom"/>
          </w:tcPr>
          <w:p w14:paraId="03F9E996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9,3%</w:t>
            </w:r>
          </w:p>
        </w:tc>
      </w:tr>
      <w:tr w:rsidR="006728EB" w14:paraId="29B2FFDE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46062BD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843" w:type="dxa"/>
            <w:vAlign w:val="bottom"/>
          </w:tcPr>
          <w:p w14:paraId="20B8A216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Málaga</w:t>
            </w:r>
          </w:p>
        </w:tc>
        <w:tc>
          <w:tcPr>
            <w:tcW w:w="1985" w:type="dxa"/>
            <w:vAlign w:val="bottom"/>
          </w:tcPr>
          <w:p w14:paraId="662EED0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701" w:type="dxa"/>
            <w:vAlign w:val="bottom"/>
          </w:tcPr>
          <w:p w14:paraId="3147E083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9,0%</w:t>
            </w:r>
          </w:p>
        </w:tc>
        <w:tc>
          <w:tcPr>
            <w:tcW w:w="1842" w:type="dxa"/>
            <w:vAlign w:val="bottom"/>
          </w:tcPr>
          <w:p w14:paraId="2D7CD98F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8,5%</w:t>
            </w:r>
          </w:p>
        </w:tc>
      </w:tr>
      <w:tr w:rsidR="006728EB" w14:paraId="79EA1021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30EB4F9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843" w:type="dxa"/>
            <w:vAlign w:val="bottom"/>
          </w:tcPr>
          <w:p w14:paraId="76419FAD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Cádiz</w:t>
            </w:r>
          </w:p>
        </w:tc>
        <w:tc>
          <w:tcPr>
            <w:tcW w:w="1985" w:type="dxa"/>
            <w:vAlign w:val="bottom"/>
          </w:tcPr>
          <w:p w14:paraId="4E97AD47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701" w:type="dxa"/>
            <w:vAlign w:val="bottom"/>
          </w:tcPr>
          <w:p w14:paraId="2BDF5955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1842" w:type="dxa"/>
            <w:vAlign w:val="bottom"/>
          </w:tcPr>
          <w:p w14:paraId="3272D1DE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8,4%</w:t>
            </w:r>
          </w:p>
        </w:tc>
      </w:tr>
      <w:tr w:rsidR="006728EB" w14:paraId="1FFB4108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379C411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843" w:type="dxa"/>
            <w:vAlign w:val="bottom"/>
          </w:tcPr>
          <w:p w14:paraId="1163803E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Córdoba</w:t>
            </w:r>
          </w:p>
        </w:tc>
        <w:tc>
          <w:tcPr>
            <w:tcW w:w="1985" w:type="dxa"/>
            <w:vAlign w:val="bottom"/>
          </w:tcPr>
          <w:p w14:paraId="313B899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01" w:type="dxa"/>
            <w:vAlign w:val="bottom"/>
          </w:tcPr>
          <w:p w14:paraId="541B23A0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842" w:type="dxa"/>
            <w:vAlign w:val="bottom"/>
          </w:tcPr>
          <w:p w14:paraId="303297EE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</w:tr>
      <w:tr w:rsidR="006728EB" w14:paraId="2B0FA85E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4FA92E5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843" w:type="dxa"/>
            <w:vAlign w:val="bottom"/>
          </w:tcPr>
          <w:p w14:paraId="1BE21D81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Granada</w:t>
            </w:r>
          </w:p>
        </w:tc>
        <w:tc>
          <w:tcPr>
            <w:tcW w:w="1985" w:type="dxa"/>
            <w:vAlign w:val="bottom"/>
          </w:tcPr>
          <w:p w14:paraId="4C92AE30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  <w:tc>
          <w:tcPr>
            <w:tcW w:w="1701" w:type="dxa"/>
            <w:vAlign w:val="bottom"/>
          </w:tcPr>
          <w:p w14:paraId="3231367D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842" w:type="dxa"/>
            <w:vAlign w:val="bottom"/>
          </w:tcPr>
          <w:p w14:paraId="25042517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6728EB" w14:paraId="24867731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2BADCCB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Andalucía</w:t>
            </w:r>
          </w:p>
        </w:tc>
        <w:tc>
          <w:tcPr>
            <w:tcW w:w="1843" w:type="dxa"/>
            <w:vAlign w:val="bottom"/>
          </w:tcPr>
          <w:p w14:paraId="25B50587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Jaén</w:t>
            </w:r>
          </w:p>
        </w:tc>
        <w:tc>
          <w:tcPr>
            <w:tcW w:w="1985" w:type="dxa"/>
            <w:vAlign w:val="bottom"/>
          </w:tcPr>
          <w:p w14:paraId="2CA1E53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701" w:type="dxa"/>
            <w:vAlign w:val="bottom"/>
          </w:tcPr>
          <w:p w14:paraId="59E301F0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  <w:vAlign w:val="bottom"/>
          </w:tcPr>
          <w:p w14:paraId="74CE2C4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3B8BD6BB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59757F5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Aragón</w:t>
            </w:r>
          </w:p>
        </w:tc>
        <w:tc>
          <w:tcPr>
            <w:tcW w:w="1843" w:type="dxa"/>
            <w:vAlign w:val="bottom"/>
          </w:tcPr>
          <w:p w14:paraId="2A1644F2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Zaragoza</w:t>
            </w:r>
          </w:p>
        </w:tc>
        <w:tc>
          <w:tcPr>
            <w:tcW w:w="1985" w:type="dxa"/>
            <w:vAlign w:val="bottom"/>
          </w:tcPr>
          <w:p w14:paraId="335FC3D1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701" w:type="dxa"/>
            <w:vAlign w:val="bottom"/>
          </w:tcPr>
          <w:p w14:paraId="7BE802D6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842" w:type="dxa"/>
            <w:vAlign w:val="bottom"/>
          </w:tcPr>
          <w:p w14:paraId="0EC1CAC0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</w:tr>
      <w:tr w:rsidR="006728EB" w14:paraId="662BD7D8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7EB99980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Aragón</w:t>
            </w:r>
          </w:p>
        </w:tc>
        <w:tc>
          <w:tcPr>
            <w:tcW w:w="1843" w:type="dxa"/>
            <w:vAlign w:val="bottom"/>
          </w:tcPr>
          <w:p w14:paraId="3142ADF9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Huesca</w:t>
            </w:r>
          </w:p>
        </w:tc>
        <w:tc>
          <w:tcPr>
            <w:tcW w:w="1985" w:type="dxa"/>
          </w:tcPr>
          <w:p w14:paraId="661907A4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94704C7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648F3D34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0B5A645D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3B045F26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Aragón</w:t>
            </w:r>
          </w:p>
        </w:tc>
        <w:tc>
          <w:tcPr>
            <w:tcW w:w="1843" w:type="dxa"/>
            <w:vAlign w:val="bottom"/>
          </w:tcPr>
          <w:p w14:paraId="31C2FAF0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Teruel</w:t>
            </w:r>
          </w:p>
        </w:tc>
        <w:tc>
          <w:tcPr>
            <w:tcW w:w="1985" w:type="dxa"/>
          </w:tcPr>
          <w:p w14:paraId="2021A3A1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58F142E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1D06077F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4BC27AE6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5C8F35E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Asturias</w:t>
            </w:r>
          </w:p>
        </w:tc>
        <w:tc>
          <w:tcPr>
            <w:tcW w:w="1843" w:type="dxa"/>
            <w:vAlign w:val="bottom"/>
          </w:tcPr>
          <w:p w14:paraId="292D1DBD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Asturias</w:t>
            </w:r>
          </w:p>
        </w:tc>
        <w:tc>
          <w:tcPr>
            <w:tcW w:w="1985" w:type="dxa"/>
            <w:vAlign w:val="bottom"/>
          </w:tcPr>
          <w:p w14:paraId="42DAA52A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58FF1D5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  <w:tc>
          <w:tcPr>
            <w:tcW w:w="1842" w:type="dxa"/>
            <w:vAlign w:val="bottom"/>
          </w:tcPr>
          <w:p w14:paraId="4E166235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</w:tr>
      <w:tr w:rsidR="006728EB" w14:paraId="1200D48A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7EF195C1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Baleares</w:t>
            </w:r>
          </w:p>
        </w:tc>
        <w:tc>
          <w:tcPr>
            <w:tcW w:w="1843" w:type="dxa"/>
            <w:vAlign w:val="bottom"/>
          </w:tcPr>
          <w:p w14:paraId="150B02E7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Illes Balears</w:t>
            </w:r>
          </w:p>
        </w:tc>
        <w:tc>
          <w:tcPr>
            <w:tcW w:w="1985" w:type="dxa"/>
            <w:vAlign w:val="bottom"/>
          </w:tcPr>
          <w:p w14:paraId="627B2012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701" w:type="dxa"/>
            <w:vAlign w:val="bottom"/>
          </w:tcPr>
          <w:p w14:paraId="288A4FAC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842" w:type="dxa"/>
            <w:vAlign w:val="bottom"/>
          </w:tcPr>
          <w:p w14:paraId="5D1F39FF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8,4%</w:t>
            </w:r>
          </w:p>
        </w:tc>
      </w:tr>
      <w:tr w:rsidR="006728EB" w14:paraId="02065036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4E670FF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Canarias</w:t>
            </w:r>
          </w:p>
        </w:tc>
        <w:tc>
          <w:tcPr>
            <w:tcW w:w="1843" w:type="dxa"/>
            <w:vAlign w:val="bottom"/>
          </w:tcPr>
          <w:p w14:paraId="5789CFAF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Las Palmas</w:t>
            </w:r>
          </w:p>
        </w:tc>
        <w:tc>
          <w:tcPr>
            <w:tcW w:w="1985" w:type="dxa"/>
            <w:vAlign w:val="bottom"/>
          </w:tcPr>
          <w:p w14:paraId="5CF15FB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701" w:type="dxa"/>
            <w:vAlign w:val="bottom"/>
          </w:tcPr>
          <w:p w14:paraId="32F2B678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8,6%</w:t>
            </w:r>
          </w:p>
        </w:tc>
        <w:tc>
          <w:tcPr>
            <w:tcW w:w="1842" w:type="dxa"/>
            <w:vAlign w:val="bottom"/>
          </w:tcPr>
          <w:p w14:paraId="244EE72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8,4%</w:t>
            </w:r>
          </w:p>
        </w:tc>
      </w:tr>
      <w:tr w:rsidR="006728EB" w14:paraId="6B0FA127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73FCBF5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Canarias</w:t>
            </w:r>
          </w:p>
        </w:tc>
        <w:tc>
          <w:tcPr>
            <w:tcW w:w="1843" w:type="dxa"/>
            <w:vAlign w:val="bottom"/>
          </w:tcPr>
          <w:p w14:paraId="75805384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Santa Cruz de Tenerife</w:t>
            </w:r>
          </w:p>
        </w:tc>
        <w:tc>
          <w:tcPr>
            <w:tcW w:w="1985" w:type="dxa"/>
            <w:vAlign w:val="bottom"/>
          </w:tcPr>
          <w:p w14:paraId="5710D3CE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701" w:type="dxa"/>
            <w:vAlign w:val="bottom"/>
          </w:tcPr>
          <w:p w14:paraId="3B9A728F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9,7%</w:t>
            </w:r>
          </w:p>
        </w:tc>
        <w:tc>
          <w:tcPr>
            <w:tcW w:w="1842" w:type="dxa"/>
            <w:vAlign w:val="bottom"/>
          </w:tcPr>
          <w:p w14:paraId="2F29A0EE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8,2%</w:t>
            </w:r>
          </w:p>
        </w:tc>
      </w:tr>
      <w:tr w:rsidR="006728EB" w14:paraId="38FEF10F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1A63513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lastRenderedPageBreak/>
              <w:t>Cantabria</w:t>
            </w:r>
          </w:p>
        </w:tc>
        <w:tc>
          <w:tcPr>
            <w:tcW w:w="1843" w:type="dxa"/>
            <w:vAlign w:val="bottom"/>
          </w:tcPr>
          <w:p w14:paraId="704F06EC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Cantabria</w:t>
            </w:r>
          </w:p>
        </w:tc>
        <w:tc>
          <w:tcPr>
            <w:tcW w:w="1985" w:type="dxa"/>
            <w:vAlign w:val="bottom"/>
          </w:tcPr>
          <w:p w14:paraId="22C97097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1701" w:type="dxa"/>
            <w:vAlign w:val="bottom"/>
          </w:tcPr>
          <w:p w14:paraId="24F11737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842" w:type="dxa"/>
            <w:vAlign w:val="bottom"/>
          </w:tcPr>
          <w:p w14:paraId="501461F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</w:tr>
      <w:tr w:rsidR="006728EB" w14:paraId="29D23EB8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772AC5C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vAlign w:val="bottom"/>
          </w:tcPr>
          <w:p w14:paraId="754B0C14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León</w:t>
            </w:r>
          </w:p>
        </w:tc>
        <w:tc>
          <w:tcPr>
            <w:tcW w:w="1985" w:type="dxa"/>
            <w:vAlign w:val="bottom"/>
          </w:tcPr>
          <w:p w14:paraId="5B1B401E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701" w:type="dxa"/>
            <w:vAlign w:val="bottom"/>
          </w:tcPr>
          <w:p w14:paraId="3F77AB9F" w14:textId="77777777" w:rsidR="006728EB" w:rsidRDefault="00672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1842" w:type="dxa"/>
            <w:vAlign w:val="bottom"/>
          </w:tcPr>
          <w:p w14:paraId="6CFFBBBD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9,1%</w:t>
            </w:r>
          </w:p>
        </w:tc>
      </w:tr>
      <w:tr w:rsidR="006728EB" w14:paraId="40229F8D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1BCD278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vAlign w:val="bottom"/>
          </w:tcPr>
          <w:p w14:paraId="43E2ECDB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Valladolid</w:t>
            </w:r>
          </w:p>
        </w:tc>
        <w:tc>
          <w:tcPr>
            <w:tcW w:w="1985" w:type="dxa"/>
            <w:vAlign w:val="bottom"/>
          </w:tcPr>
          <w:p w14:paraId="73A56E4A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701" w:type="dxa"/>
            <w:vAlign w:val="bottom"/>
          </w:tcPr>
          <w:p w14:paraId="2C8510D5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842" w:type="dxa"/>
            <w:vAlign w:val="bottom"/>
          </w:tcPr>
          <w:p w14:paraId="07E39047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</w:tr>
      <w:tr w:rsidR="006728EB" w14:paraId="749D1E12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B4FC110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vAlign w:val="bottom"/>
          </w:tcPr>
          <w:p w14:paraId="0DAE3851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Burgos</w:t>
            </w:r>
          </w:p>
        </w:tc>
        <w:tc>
          <w:tcPr>
            <w:tcW w:w="1985" w:type="dxa"/>
            <w:vAlign w:val="bottom"/>
          </w:tcPr>
          <w:p w14:paraId="6FB3230F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701" w:type="dxa"/>
            <w:vAlign w:val="bottom"/>
          </w:tcPr>
          <w:p w14:paraId="4654FA06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1842" w:type="dxa"/>
            <w:vAlign w:val="bottom"/>
          </w:tcPr>
          <w:p w14:paraId="45089085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6728EB" w14:paraId="219B07BA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A979DFC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vAlign w:val="bottom"/>
          </w:tcPr>
          <w:p w14:paraId="3594B9B8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Salamanca</w:t>
            </w:r>
          </w:p>
        </w:tc>
        <w:tc>
          <w:tcPr>
            <w:tcW w:w="1985" w:type="dxa"/>
            <w:vAlign w:val="bottom"/>
          </w:tcPr>
          <w:p w14:paraId="25A5944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3,3%</w:t>
            </w:r>
          </w:p>
        </w:tc>
        <w:tc>
          <w:tcPr>
            <w:tcW w:w="1701" w:type="dxa"/>
            <w:vAlign w:val="bottom"/>
          </w:tcPr>
          <w:p w14:paraId="5C35FF65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842" w:type="dxa"/>
            <w:vAlign w:val="bottom"/>
          </w:tcPr>
          <w:p w14:paraId="1E93A7DA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6728EB" w14:paraId="02133608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3842085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vAlign w:val="bottom"/>
          </w:tcPr>
          <w:p w14:paraId="0EE05FC4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Ávila</w:t>
            </w:r>
          </w:p>
        </w:tc>
        <w:tc>
          <w:tcPr>
            <w:tcW w:w="1985" w:type="dxa"/>
          </w:tcPr>
          <w:p w14:paraId="50C6A6B0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6FF58886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39836DAC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375EF88C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360C7C84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vAlign w:val="bottom"/>
          </w:tcPr>
          <w:p w14:paraId="1811A2DC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Palencia</w:t>
            </w:r>
          </w:p>
        </w:tc>
        <w:tc>
          <w:tcPr>
            <w:tcW w:w="1985" w:type="dxa"/>
          </w:tcPr>
          <w:p w14:paraId="77A1804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09C3F48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3D88778C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0CD01101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171DFA9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vAlign w:val="bottom"/>
          </w:tcPr>
          <w:p w14:paraId="189E3734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Segovia</w:t>
            </w:r>
          </w:p>
        </w:tc>
        <w:tc>
          <w:tcPr>
            <w:tcW w:w="1985" w:type="dxa"/>
          </w:tcPr>
          <w:p w14:paraId="08B89372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2BFD2FD1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2B202FA2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62955D04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528FADA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vAlign w:val="bottom"/>
          </w:tcPr>
          <w:p w14:paraId="302C4C79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Soria</w:t>
            </w:r>
          </w:p>
        </w:tc>
        <w:tc>
          <w:tcPr>
            <w:tcW w:w="1985" w:type="dxa"/>
          </w:tcPr>
          <w:p w14:paraId="2E7E782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44D5355B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426CCA30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3CA7B1DD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71E4A88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 y León</w:t>
            </w:r>
          </w:p>
        </w:tc>
        <w:tc>
          <w:tcPr>
            <w:tcW w:w="1843" w:type="dxa"/>
            <w:vAlign w:val="bottom"/>
          </w:tcPr>
          <w:p w14:paraId="001E025A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Zamora</w:t>
            </w:r>
          </w:p>
        </w:tc>
        <w:tc>
          <w:tcPr>
            <w:tcW w:w="1985" w:type="dxa"/>
          </w:tcPr>
          <w:p w14:paraId="1A4CD9FD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11538798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4C859B68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17435BF3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85F4979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843" w:type="dxa"/>
            <w:vAlign w:val="bottom"/>
          </w:tcPr>
          <w:p w14:paraId="4A9266CC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Toledo</w:t>
            </w:r>
          </w:p>
        </w:tc>
        <w:tc>
          <w:tcPr>
            <w:tcW w:w="1985" w:type="dxa"/>
            <w:vAlign w:val="bottom"/>
          </w:tcPr>
          <w:p w14:paraId="6D7E70A8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26B4C0F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842" w:type="dxa"/>
            <w:vAlign w:val="bottom"/>
          </w:tcPr>
          <w:p w14:paraId="7F5C695F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8,2%</w:t>
            </w:r>
          </w:p>
        </w:tc>
      </w:tr>
      <w:tr w:rsidR="006728EB" w14:paraId="546DFD1C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E2B2543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843" w:type="dxa"/>
            <w:vAlign w:val="bottom"/>
          </w:tcPr>
          <w:p w14:paraId="284146B8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Ciudad Real</w:t>
            </w:r>
          </w:p>
        </w:tc>
        <w:tc>
          <w:tcPr>
            <w:tcW w:w="1985" w:type="dxa"/>
            <w:vAlign w:val="bottom"/>
          </w:tcPr>
          <w:p w14:paraId="6B42D057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01" w:type="dxa"/>
            <w:vAlign w:val="bottom"/>
          </w:tcPr>
          <w:p w14:paraId="7D3F8F17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842" w:type="dxa"/>
            <w:vAlign w:val="bottom"/>
          </w:tcPr>
          <w:p w14:paraId="0A615E5E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</w:tr>
      <w:tr w:rsidR="006728EB" w14:paraId="45F88AAC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A940785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843" w:type="dxa"/>
            <w:vAlign w:val="bottom"/>
          </w:tcPr>
          <w:p w14:paraId="3BF145D2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Albacete</w:t>
            </w:r>
          </w:p>
        </w:tc>
        <w:tc>
          <w:tcPr>
            <w:tcW w:w="1985" w:type="dxa"/>
            <w:vAlign w:val="bottom"/>
          </w:tcPr>
          <w:p w14:paraId="32104E39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701" w:type="dxa"/>
            <w:vAlign w:val="bottom"/>
          </w:tcPr>
          <w:p w14:paraId="3695BEBE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842" w:type="dxa"/>
            <w:vAlign w:val="bottom"/>
          </w:tcPr>
          <w:p w14:paraId="29C3574A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6728EB" w14:paraId="3DE5CB5A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6AECCBB0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843" w:type="dxa"/>
            <w:vAlign w:val="bottom"/>
          </w:tcPr>
          <w:p w14:paraId="194F0BA9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Cuenca</w:t>
            </w:r>
          </w:p>
        </w:tc>
        <w:tc>
          <w:tcPr>
            <w:tcW w:w="1985" w:type="dxa"/>
          </w:tcPr>
          <w:p w14:paraId="087F1B74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0F4CE871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147DEC7A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65BBA37B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33B71D07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Castilla-La Mancha</w:t>
            </w:r>
          </w:p>
        </w:tc>
        <w:tc>
          <w:tcPr>
            <w:tcW w:w="1843" w:type="dxa"/>
            <w:vAlign w:val="bottom"/>
          </w:tcPr>
          <w:p w14:paraId="12E16D83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Guadalajara</w:t>
            </w:r>
          </w:p>
        </w:tc>
        <w:tc>
          <w:tcPr>
            <w:tcW w:w="1985" w:type="dxa"/>
            <w:vAlign w:val="bottom"/>
          </w:tcPr>
          <w:p w14:paraId="6D32F781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bottom"/>
          </w:tcPr>
          <w:p w14:paraId="574E038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1842" w:type="dxa"/>
            <w:vAlign w:val="bottom"/>
          </w:tcPr>
          <w:p w14:paraId="66EB2371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74004EE0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6A7B8211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1843" w:type="dxa"/>
            <w:vAlign w:val="bottom"/>
          </w:tcPr>
          <w:p w14:paraId="1F39C4F5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Tarragona</w:t>
            </w:r>
          </w:p>
        </w:tc>
        <w:tc>
          <w:tcPr>
            <w:tcW w:w="1985" w:type="dxa"/>
            <w:vAlign w:val="bottom"/>
          </w:tcPr>
          <w:p w14:paraId="0645AB5F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  <w:tc>
          <w:tcPr>
            <w:tcW w:w="1701" w:type="dxa"/>
            <w:vAlign w:val="bottom"/>
          </w:tcPr>
          <w:p w14:paraId="39CC101D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1842" w:type="dxa"/>
            <w:vAlign w:val="bottom"/>
          </w:tcPr>
          <w:p w14:paraId="6492EFA4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8,8%</w:t>
            </w:r>
          </w:p>
        </w:tc>
      </w:tr>
      <w:tr w:rsidR="006728EB" w14:paraId="410CF7E0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ADEE195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1843" w:type="dxa"/>
            <w:vAlign w:val="bottom"/>
          </w:tcPr>
          <w:p w14:paraId="6380F4DB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Lleida</w:t>
            </w:r>
          </w:p>
        </w:tc>
        <w:tc>
          <w:tcPr>
            <w:tcW w:w="1985" w:type="dxa"/>
            <w:vAlign w:val="bottom"/>
          </w:tcPr>
          <w:p w14:paraId="653E6CB1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1701" w:type="dxa"/>
            <w:vAlign w:val="bottom"/>
          </w:tcPr>
          <w:p w14:paraId="26DCBB29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8,1%</w:t>
            </w:r>
          </w:p>
        </w:tc>
        <w:tc>
          <w:tcPr>
            <w:tcW w:w="1842" w:type="dxa"/>
            <w:vAlign w:val="bottom"/>
          </w:tcPr>
          <w:p w14:paraId="7D04ED35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8,0%</w:t>
            </w:r>
          </w:p>
        </w:tc>
      </w:tr>
      <w:tr w:rsidR="006728EB" w14:paraId="55AD3A45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98E1C53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1843" w:type="dxa"/>
            <w:vAlign w:val="bottom"/>
          </w:tcPr>
          <w:p w14:paraId="4BE16EB9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Barcelona</w:t>
            </w:r>
          </w:p>
        </w:tc>
        <w:tc>
          <w:tcPr>
            <w:tcW w:w="1985" w:type="dxa"/>
            <w:vAlign w:val="bottom"/>
          </w:tcPr>
          <w:p w14:paraId="22618F7E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1701" w:type="dxa"/>
            <w:vAlign w:val="bottom"/>
          </w:tcPr>
          <w:p w14:paraId="13CA97EA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9,4%</w:t>
            </w:r>
          </w:p>
        </w:tc>
        <w:tc>
          <w:tcPr>
            <w:tcW w:w="1842" w:type="dxa"/>
            <w:vAlign w:val="bottom"/>
          </w:tcPr>
          <w:p w14:paraId="5E3295E4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</w:tr>
      <w:tr w:rsidR="006728EB" w14:paraId="4578107F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71A15F3A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Cataluña</w:t>
            </w:r>
          </w:p>
        </w:tc>
        <w:tc>
          <w:tcPr>
            <w:tcW w:w="1843" w:type="dxa"/>
            <w:vAlign w:val="bottom"/>
          </w:tcPr>
          <w:p w14:paraId="56CF1F11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Girona</w:t>
            </w:r>
          </w:p>
        </w:tc>
        <w:tc>
          <w:tcPr>
            <w:tcW w:w="1985" w:type="dxa"/>
            <w:vAlign w:val="bottom"/>
          </w:tcPr>
          <w:p w14:paraId="62E7B7B3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1701" w:type="dxa"/>
            <w:vAlign w:val="bottom"/>
          </w:tcPr>
          <w:p w14:paraId="6E7F36C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842" w:type="dxa"/>
            <w:vAlign w:val="bottom"/>
          </w:tcPr>
          <w:p w14:paraId="2165479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7,3%</w:t>
            </w:r>
          </w:p>
        </w:tc>
      </w:tr>
      <w:tr w:rsidR="006728EB" w14:paraId="5F1F88F6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A1DAB29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</w:t>
            </w:r>
          </w:p>
        </w:tc>
        <w:tc>
          <w:tcPr>
            <w:tcW w:w="1843" w:type="dxa"/>
            <w:vAlign w:val="bottom"/>
          </w:tcPr>
          <w:p w14:paraId="4F3C0143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Alicante</w:t>
            </w:r>
          </w:p>
        </w:tc>
        <w:tc>
          <w:tcPr>
            <w:tcW w:w="1985" w:type="dxa"/>
            <w:vAlign w:val="bottom"/>
          </w:tcPr>
          <w:p w14:paraId="4C09381D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701" w:type="dxa"/>
            <w:vAlign w:val="bottom"/>
          </w:tcPr>
          <w:p w14:paraId="18BA8309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1842" w:type="dxa"/>
            <w:vAlign w:val="bottom"/>
          </w:tcPr>
          <w:p w14:paraId="4641A339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9,7%</w:t>
            </w:r>
          </w:p>
        </w:tc>
      </w:tr>
      <w:tr w:rsidR="006728EB" w14:paraId="47EFB28F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7D63B9A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</w:t>
            </w:r>
          </w:p>
        </w:tc>
        <w:tc>
          <w:tcPr>
            <w:tcW w:w="1843" w:type="dxa"/>
            <w:vAlign w:val="bottom"/>
          </w:tcPr>
          <w:p w14:paraId="50B974E9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Castellón</w:t>
            </w:r>
          </w:p>
        </w:tc>
        <w:tc>
          <w:tcPr>
            <w:tcW w:w="1985" w:type="dxa"/>
            <w:vAlign w:val="bottom"/>
          </w:tcPr>
          <w:p w14:paraId="75C6F30C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701" w:type="dxa"/>
            <w:vAlign w:val="bottom"/>
          </w:tcPr>
          <w:p w14:paraId="6C66FC7B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10,1%</w:t>
            </w:r>
          </w:p>
        </w:tc>
        <w:tc>
          <w:tcPr>
            <w:tcW w:w="1842" w:type="dxa"/>
            <w:vAlign w:val="bottom"/>
          </w:tcPr>
          <w:p w14:paraId="45F0F4E4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9,2%</w:t>
            </w:r>
          </w:p>
        </w:tc>
      </w:tr>
      <w:tr w:rsidR="006728EB" w14:paraId="46CF8555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51A1E8B9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proofErr w:type="spellStart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Comunitat</w:t>
            </w:r>
            <w:proofErr w:type="spellEnd"/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 xml:space="preserve"> Valenciana</w:t>
            </w:r>
          </w:p>
        </w:tc>
        <w:tc>
          <w:tcPr>
            <w:tcW w:w="1843" w:type="dxa"/>
            <w:vAlign w:val="bottom"/>
          </w:tcPr>
          <w:p w14:paraId="4B69D3B4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Valencia</w:t>
            </w:r>
          </w:p>
        </w:tc>
        <w:tc>
          <w:tcPr>
            <w:tcW w:w="1985" w:type="dxa"/>
            <w:vAlign w:val="bottom"/>
          </w:tcPr>
          <w:p w14:paraId="35EB79B5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701" w:type="dxa"/>
            <w:vAlign w:val="bottom"/>
          </w:tcPr>
          <w:p w14:paraId="25A8DC03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8,9%</w:t>
            </w:r>
          </w:p>
        </w:tc>
        <w:tc>
          <w:tcPr>
            <w:tcW w:w="1842" w:type="dxa"/>
            <w:vAlign w:val="bottom"/>
          </w:tcPr>
          <w:p w14:paraId="5A0D2EF6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9,1%</w:t>
            </w:r>
          </w:p>
        </w:tc>
      </w:tr>
      <w:tr w:rsidR="006728EB" w14:paraId="67727428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23AF249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Extremadura</w:t>
            </w:r>
          </w:p>
        </w:tc>
        <w:tc>
          <w:tcPr>
            <w:tcW w:w="1843" w:type="dxa"/>
            <w:vAlign w:val="bottom"/>
          </w:tcPr>
          <w:p w14:paraId="4A6D9D48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Badajoz</w:t>
            </w:r>
          </w:p>
        </w:tc>
        <w:tc>
          <w:tcPr>
            <w:tcW w:w="1985" w:type="dxa"/>
            <w:vAlign w:val="bottom"/>
          </w:tcPr>
          <w:p w14:paraId="6A37A6E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740BAEC8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842" w:type="dxa"/>
            <w:vAlign w:val="bottom"/>
          </w:tcPr>
          <w:p w14:paraId="7F3D22F1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</w:tr>
      <w:tr w:rsidR="006728EB" w14:paraId="02873DE3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CDEFF12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Extremadura</w:t>
            </w:r>
          </w:p>
        </w:tc>
        <w:tc>
          <w:tcPr>
            <w:tcW w:w="1843" w:type="dxa"/>
            <w:vAlign w:val="bottom"/>
          </w:tcPr>
          <w:p w14:paraId="01EC1588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Cáceres</w:t>
            </w:r>
          </w:p>
        </w:tc>
        <w:tc>
          <w:tcPr>
            <w:tcW w:w="1985" w:type="dxa"/>
          </w:tcPr>
          <w:p w14:paraId="5902BA87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58BAA8C2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0BE8F18C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74316724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95DDF85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1843" w:type="dxa"/>
            <w:vAlign w:val="bottom"/>
          </w:tcPr>
          <w:p w14:paraId="4154B1AF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 Coruña</w:t>
            </w:r>
          </w:p>
        </w:tc>
        <w:tc>
          <w:tcPr>
            <w:tcW w:w="1985" w:type="dxa"/>
            <w:vAlign w:val="bottom"/>
          </w:tcPr>
          <w:p w14:paraId="6931522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701" w:type="dxa"/>
            <w:vAlign w:val="bottom"/>
          </w:tcPr>
          <w:p w14:paraId="242A6CC1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8,0%</w:t>
            </w:r>
          </w:p>
        </w:tc>
        <w:tc>
          <w:tcPr>
            <w:tcW w:w="1842" w:type="dxa"/>
            <w:vAlign w:val="bottom"/>
          </w:tcPr>
          <w:p w14:paraId="0A9AEAE1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8,4%</w:t>
            </w:r>
          </w:p>
        </w:tc>
      </w:tr>
      <w:tr w:rsidR="006728EB" w14:paraId="54066D79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264ED321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1843" w:type="dxa"/>
            <w:vAlign w:val="bottom"/>
          </w:tcPr>
          <w:p w14:paraId="390666FD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Pontevedra</w:t>
            </w:r>
          </w:p>
        </w:tc>
        <w:tc>
          <w:tcPr>
            <w:tcW w:w="1985" w:type="dxa"/>
            <w:vAlign w:val="bottom"/>
          </w:tcPr>
          <w:p w14:paraId="45A9D51F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1701" w:type="dxa"/>
            <w:vAlign w:val="bottom"/>
          </w:tcPr>
          <w:p w14:paraId="1F61DE9B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842" w:type="dxa"/>
            <w:vAlign w:val="bottom"/>
          </w:tcPr>
          <w:p w14:paraId="08A599B5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6728EB" w14:paraId="6776B0D1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5A2A80E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1843" w:type="dxa"/>
            <w:vAlign w:val="bottom"/>
          </w:tcPr>
          <w:p w14:paraId="1C15E68C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Ourense</w:t>
            </w:r>
          </w:p>
        </w:tc>
        <w:tc>
          <w:tcPr>
            <w:tcW w:w="1985" w:type="dxa"/>
            <w:vAlign w:val="bottom"/>
          </w:tcPr>
          <w:p w14:paraId="0F3A4AF3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4,4%</w:t>
            </w:r>
          </w:p>
        </w:tc>
        <w:tc>
          <w:tcPr>
            <w:tcW w:w="1701" w:type="dxa"/>
            <w:vAlign w:val="bottom"/>
          </w:tcPr>
          <w:p w14:paraId="4A5A07B2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842" w:type="dxa"/>
            <w:vAlign w:val="bottom"/>
          </w:tcPr>
          <w:p w14:paraId="7AE61313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4,0%</w:t>
            </w:r>
          </w:p>
        </w:tc>
      </w:tr>
      <w:tr w:rsidR="006728EB" w14:paraId="4865DE47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F6A37F0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Galicia</w:t>
            </w:r>
          </w:p>
        </w:tc>
        <w:tc>
          <w:tcPr>
            <w:tcW w:w="1843" w:type="dxa"/>
            <w:vAlign w:val="bottom"/>
          </w:tcPr>
          <w:p w14:paraId="38F0CF40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Lugo</w:t>
            </w:r>
          </w:p>
        </w:tc>
        <w:tc>
          <w:tcPr>
            <w:tcW w:w="1985" w:type="dxa"/>
          </w:tcPr>
          <w:p w14:paraId="094B94A8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14:paraId="3392B2AB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14:paraId="1DDD2875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03D991FA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070D3877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 Rioja</w:t>
            </w:r>
          </w:p>
        </w:tc>
        <w:tc>
          <w:tcPr>
            <w:tcW w:w="1843" w:type="dxa"/>
            <w:vAlign w:val="bottom"/>
          </w:tcPr>
          <w:p w14:paraId="213BEB93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La Rioja</w:t>
            </w:r>
          </w:p>
        </w:tc>
        <w:tc>
          <w:tcPr>
            <w:tcW w:w="1985" w:type="dxa"/>
            <w:vAlign w:val="bottom"/>
          </w:tcPr>
          <w:p w14:paraId="12C91EA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1701" w:type="dxa"/>
            <w:vAlign w:val="bottom"/>
          </w:tcPr>
          <w:p w14:paraId="48AA9622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8,5%</w:t>
            </w:r>
          </w:p>
        </w:tc>
        <w:tc>
          <w:tcPr>
            <w:tcW w:w="1842" w:type="dxa"/>
            <w:vAlign w:val="bottom"/>
          </w:tcPr>
          <w:p w14:paraId="534E7489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sz w:val="22"/>
                <w:szCs w:val="22"/>
              </w:rPr>
              <w:t>-</w:t>
            </w:r>
          </w:p>
        </w:tc>
      </w:tr>
      <w:tr w:rsidR="006728EB" w14:paraId="570BADF7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CC1CE01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</w:t>
            </w:r>
          </w:p>
        </w:tc>
        <w:tc>
          <w:tcPr>
            <w:tcW w:w="1843" w:type="dxa"/>
            <w:vAlign w:val="bottom"/>
          </w:tcPr>
          <w:p w14:paraId="4208E051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Madrid</w:t>
            </w:r>
          </w:p>
        </w:tc>
        <w:tc>
          <w:tcPr>
            <w:tcW w:w="1985" w:type="dxa"/>
            <w:vAlign w:val="bottom"/>
          </w:tcPr>
          <w:p w14:paraId="6992691A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  <w:tc>
          <w:tcPr>
            <w:tcW w:w="1701" w:type="dxa"/>
            <w:vAlign w:val="bottom"/>
          </w:tcPr>
          <w:p w14:paraId="30D6F6F1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  <w:tc>
          <w:tcPr>
            <w:tcW w:w="1842" w:type="dxa"/>
            <w:vAlign w:val="bottom"/>
          </w:tcPr>
          <w:p w14:paraId="41CC55FD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7,8%</w:t>
            </w:r>
          </w:p>
        </w:tc>
      </w:tr>
      <w:tr w:rsidR="006728EB" w14:paraId="4AD0F2E1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761DBB83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Navarra</w:t>
            </w:r>
          </w:p>
        </w:tc>
        <w:tc>
          <w:tcPr>
            <w:tcW w:w="1843" w:type="dxa"/>
            <w:vAlign w:val="bottom"/>
          </w:tcPr>
          <w:p w14:paraId="6DAF882C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Navarra</w:t>
            </w:r>
          </w:p>
        </w:tc>
        <w:tc>
          <w:tcPr>
            <w:tcW w:w="1985" w:type="dxa"/>
            <w:vAlign w:val="bottom"/>
          </w:tcPr>
          <w:p w14:paraId="0207FC4B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5,0%</w:t>
            </w:r>
          </w:p>
        </w:tc>
        <w:tc>
          <w:tcPr>
            <w:tcW w:w="1701" w:type="dxa"/>
            <w:vAlign w:val="bottom"/>
          </w:tcPr>
          <w:p w14:paraId="076689EA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8,4%</w:t>
            </w:r>
          </w:p>
        </w:tc>
        <w:tc>
          <w:tcPr>
            <w:tcW w:w="1842" w:type="dxa"/>
            <w:vAlign w:val="bottom"/>
          </w:tcPr>
          <w:p w14:paraId="03C58020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7,7%</w:t>
            </w:r>
          </w:p>
        </w:tc>
      </w:tr>
      <w:tr w:rsidR="006728EB" w14:paraId="3D3E3B83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D027337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País Vasco</w:t>
            </w:r>
          </w:p>
        </w:tc>
        <w:tc>
          <w:tcPr>
            <w:tcW w:w="1843" w:type="dxa"/>
            <w:vAlign w:val="bottom"/>
          </w:tcPr>
          <w:p w14:paraId="720AD0E1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Bizkaia</w:t>
            </w:r>
          </w:p>
        </w:tc>
        <w:tc>
          <w:tcPr>
            <w:tcW w:w="1985" w:type="dxa"/>
            <w:vAlign w:val="bottom"/>
          </w:tcPr>
          <w:p w14:paraId="23FC4804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1701" w:type="dxa"/>
            <w:vAlign w:val="bottom"/>
          </w:tcPr>
          <w:p w14:paraId="20639A18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1842" w:type="dxa"/>
            <w:vAlign w:val="bottom"/>
          </w:tcPr>
          <w:p w14:paraId="281B5FFD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6728EB" w14:paraId="63FB59D3" w14:textId="77777777" w:rsidTr="006728E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177DD8D3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País Vasco</w:t>
            </w:r>
          </w:p>
        </w:tc>
        <w:tc>
          <w:tcPr>
            <w:tcW w:w="1843" w:type="dxa"/>
            <w:vAlign w:val="bottom"/>
          </w:tcPr>
          <w:p w14:paraId="51F3CE06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Gipuzkoa</w:t>
            </w:r>
          </w:p>
        </w:tc>
        <w:tc>
          <w:tcPr>
            <w:tcW w:w="1985" w:type="dxa"/>
            <w:vAlign w:val="bottom"/>
          </w:tcPr>
          <w:p w14:paraId="11339EF0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701" w:type="dxa"/>
            <w:vAlign w:val="bottom"/>
          </w:tcPr>
          <w:p w14:paraId="0465201A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842" w:type="dxa"/>
            <w:vAlign w:val="bottom"/>
          </w:tcPr>
          <w:p w14:paraId="368D40CA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6728EB" w14:paraId="738499B0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3CB1E8B1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País Vasco</w:t>
            </w:r>
          </w:p>
        </w:tc>
        <w:tc>
          <w:tcPr>
            <w:tcW w:w="1843" w:type="dxa"/>
            <w:vAlign w:val="bottom"/>
          </w:tcPr>
          <w:p w14:paraId="10389D81" w14:textId="77777777" w:rsidR="006728EB" w:rsidRDefault="001564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Araba - Álava</w:t>
            </w:r>
          </w:p>
        </w:tc>
        <w:tc>
          <w:tcPr>
            <w:tcW w:w="1985" w:type="dxa"/>
            <w:vAlign w:val="bottom"/>
          </w:tcPr>
          <w:p w14:paraId="66FF111D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701" w:type="dxa"/>
            <w:vAlign w:val="bottom"/>
          </w:tcPr>
          <w:p w14:paraId="624068AA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1842" w:type="dxa"/>
            <w:vAlign w:val="bottom"/>
          </w:tcPr>
          <w:p w14:paraId="5BFC2782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6728EB" w14:paraId="1E5F0EBC" w14:textId="77777777" w:rsidTr="006728EB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Align w:val="bottom"/>
          </w:tcPr>
          <w:p w14:paraId="4108F19E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Región de Murcia</w:t>
            </w:r>
          </w:p>
        </w:tc>
        <w:tc>
          <w:tcPr>
            <w:tcW w:w="1843" w:type="dxa"/>
            <w:vAlign w:val="bottom"/>
          </w:tcPr>
          <w:p w14:paraId="0F2A1DD5" w14:textId="77777777" w:rsidR="006728EB" w:rsidRDefault="001564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Murcia</w:t>
            </w:r>
          </w:p>
        </w:tc>
        <w:tc>
          <w:tcPr>
            <w:tcW w:w="1985" w:type="dxa"/>
            <w:vAlign w:val="bottom"/>
          </w:tcPr>
          <w:p w14:paraId="5DC72947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1701" w:type="dxa"/>
            <w:vAlign w:val="bottom"/>
          </w:tcPr>
          <w:p w14:paraId="3C876BC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10,2%</w:t>
            </w:r>
          </w:p>
        </w:tc>
        <w:tc>
          <w:tcPr>
            <w:tcW w:w="1842" w:type="dxa"/>
            <w:vAlign w:val="bottom"/>
          </w:tcPr>
          <w:p w14:paraId="323E62BF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b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10,9%</w:t>
            </w:r>
          </w:p>
        </w:tc>
      </w:tr>
    </w:tbl>
    <w:p w14:paraId="3FC4F181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Tabla 3. Rentabilidad de los garajes por ciudades (comparativa 2016, 2020 y 2021)</w:t>
      </w:r>
    </w:p>
    <w:tbl>
      <w:tblPr>
        <w:tblStyle w:val="a1"/>
        <w:tblW w:w="906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944"/>
        <w:gridCol w:w="2106"/>
        <w:gridCol w:w="1896"/>
        <w:gridCol w:w="2121"/>
      </w:tblGrid>
      <w:tr w:rsidR="006728EB" w14:paraId="3C6891A4" w14:textId="77777777" w:rsidTr="00672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center"/>
          </w:tcPr>
          <w:p w14:paraId="0171A5FA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Ciudades</w:t>
            </w:r>
          </w:p>
        </w:tc>
        <w:tc>
          <w:tcPr>
            <w:tcW w:w="2106" w:type="dxa"/>
            <w:vAlign w:val="center"/>
          </w:tcPr>
          <w:p w14:paraId="7FF91F90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133CDCEA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2016</w:t>
            </w:r>
          </w:p>
          <w:p w14:paraId="20F3B6EE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(5 años)</w:t>
            </w:r>
          </w:p>
        </w:tc>
        <w:tc>
          <w:tcPr>
            <w:tcW w:w="1896" w:type="dxa"/>
            <w:vAlign w:val="center"/>
          </w:tcPr>
          <w:p w14:paraId="40BD8B99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42A13CD5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2020</w:t>
            </w:r>
          </w:p>
          <w:p w14:paraId="3EA77F76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(1 año)</w:t>
            </w:r>
          </w:p>
        </w:tc>
        <w:tc>
          <w:tcPr>
            <w:tcW w:w="2121" w:type="dxa"/>
            <w:vAlign w:val="center"/>
          </w:tcPr>
          <w:p w14:paraId="3AD1A1AB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Rentabilidad</w:t>
            </w:r>
          </w:p>
          <w:p w14:paraId="1733E1C2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b w:val="0"/>
                <w:color w:val="000000"/>
                <w:sz w:val="22"/>
                <w:szCs w:val="22"/>
              </w:rPr>
              <w:t>2021</w:t>
            </w:r>
          </w:p>
        </w:tc>
      </w:tr>
      <w:tr w:rsidR="006728EB" w14:paraId="6E6B9A8E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12A802F8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Murcia capital</w:t>
            </w:r>
          </w:p>
        </w:tc>
        <w:tc>
          <w:tcPr>
            <w:tcW w:w="2106" w:type="dxa"/>
          </w:tcPr>
          <w:p w14:paraId="52869505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100FD21C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9,7%</w:t>
            </w:r>
          </w:p>
        </w:tc>
        <w:tc>
          <w:tcPr>
            <w:tcW w:w="2121" w:type="dxa"/>
            <w:vAlign w:val="bottom"/>
          </w:tcPr>
          <w:p w14:paraId="49FC4839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10,2%</w:t>
            </w:r>
          </w:p>
        </w:tc>
      </w:tr>
      <w:tr w:rsidR="006728EB" w14:paraId="0B4B1253" w14:textId="77777777" w:rsidTr="006728EB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31153059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 Pere de Ribes</w:t>
            </w:r>
          </w:p>
        </w:tc>
        <w:tc>
          <w:tcPr>
            <w:tcW w:w="2106" w:type="dxa"/>
          </w:tcPr>
          <w:p w14:paraId="14EC9C6D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5439D01F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1" w:type="dxa"/>
            <w:vAlign w:val="bottom"/>
          </w:tcPr>
          <w:p w14:paraId="48F21CE3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9,0%</w:t>
            </w:r>
          </w:p>
        </w:tc>
      </w:tr>
      <w:tr w:rsidR="006728EB" w14:paraId="7F27BE34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5A0AB62B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Sevilla capital</w:t>
            </w:r>
          </w:p>
        </w:tc>
        <w:tc>
          <w:tcPr>
            <w:tcW w:w="2106" w:type="dxa"/>
          </w:tcPr>
          <w:p w14:paraId="67FB7C6A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35E0E4D2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2121" w:type="dxa"/>
            <w:vAlign w:val="bottom"/>
          </w:tcPr>
          <w:p w14:paraId="0FB71EDD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8,2%</w:t>
            </w:r>
          </w:p>
        </w:tc>
      </w:tr>
      <w:tr w:rsidR="006728EB" w14:paraId="7BFE8239" w14:textId="77777777" w:rsidTr="006728E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32B8BA64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Palma de Mallorca</w:t>
            </w:r>
          </w:p>
        </w:tc>
        <w:tc>
          <w:tcPr>
            <w:tcW w:w="2106" w:type="dxa"/>
          </w:tcPr>
          <w:p w14:paraId="73D35E93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0EE01BDA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8,3%</w:t>
            </w:r>
          </w:p>
        </w:tc>
        <w:tc>
          <w:tcPr>
            <w:tcW w:w="2121" w:type="dxa"/>
            <w:vAlign w:val="bottom"/>
          </w:tcPr>
          <w:p w14:paraId="469923C8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7,8%</w:t>
            </w:r>
          </w:p>
        </w:tc>
      </w:tr>
      <w:tr w:rsidR="006728EB" w14:paraId="4B1FE3BF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6DD6CB5A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Alcalá de Henares</w:t>
            </w:r>
          </w:p>
        </w:tc>
        <w:tc>
          <w:tcPr>
            <w:tcW w:w="2106" w:type="dxa"/>
          </w:tcPr>
          <w:p w14:paraId="64442544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</w:tcPr>
          <w:p w14:paraId="25569F5C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1" w:type="dxa"/>
            <w:vAlign w:val="bottom"/>
          </w:tcPr>
          <w:p w14:paraId="072C575B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7,5%</w:t>
            </w:r>
          </w:p>
        </w:tc>
      </w:tr>
      <w:tr w:rsidR="006728EB" w14:paraId="49ED160D" w14:textId="77777777" w:rsidTr="006728E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2170FE3D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Alcorcón</w:t>
            </w:r>
          </w:p>
        </w:tc>
        <w:tc>
          <w:tcPr>
            <w:tcW w:w="2106" w:type="dxa"/>
          </w:tcPr>
          <w:p w14:paraId="06D63A90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</w:tcPr>
          <w:p w14:paraId="639155F7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1" w:type="dxa"/>
            <w:vAlign w:val="bottom"/>
          </w:tcPr>
          <w:p w14:paraId="599BD2A6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6728EB" w14:paraId="2A726DE6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2773D235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Valencia capital</w:t>
            </w:r>
          </w:p>
        </w:tc>
        <w:tc>
          <w:tcPr>
            <w:tcW w:w="2106" w:type="dxa"/>
          </w:tcPr>
          <w:p w14:paraId="2153FACC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2DC918C9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  <w:tc>
          <w:tcPr>
            <w:tcW w:w="2121" w:type="dxa"/>
            <w:vAlign w:val="bottom"/>
          </w:tcPr>
          <w:p w14:paraId="16C8A519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</w:tr>
      <w:tr w:rsidR="006728EB" w14:paraId="2F23ADC7" w14:textId="77777777" w:rsidTr="006728E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02EEE4C7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Lleida capital</w:t>
            </w:r>
          </w:p>
        </w:tc>
        <w:tc>
          <w:tcPr>
            <w:tcW w:w="2106" w:type="dxa"/>
          </w:tcPr>
          <w:p w14:paraId="21CB6011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</w:tcPr>
          <w:p w14:paraId="12312161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1" w:type="dxa"/>
            <w:vAlign w:val="bottom"/>
          </w:tcPr>
          <w:p w14:paraId="01DA4F5F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</w:tr>
      <w:tr w:rsidR="006728EB" w14:paraId="600B7601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06CE82F7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Las Palmas de Gran Canaria</w:t>
            </w:r>
          </w:p>
        </w:tc>
        <w:tc>
          <w:tcPr>
            <w:tcW w:w="2106" w:type="dxa"/>
          </w:tcPr>
          <w:p w14:paraId="3B82F5C7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</w:tcPr>
          <w:p w14:paraId="2A1BA80A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1" w:type="dxa"/>
            <w:vAlign w:val="bottom"/>
          </w:tcPr>
          <w:p w14:paraId="020A4BD2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</w:tr>
      <w:tr w:rsidR="006728EB" w14:paraId="5FFD1EAC" w14:textId="77777777" w:rsidTr="006728EB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32BADF7B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Getafe</w:t>
            </w:r>
          </w:p>
        </w:tc>
        <w:tc>
          <w:tcPr>
            <w:tcW w:w="2106" w:type="dxa"/>
          </w:tcPr>
          <w:p w14:paraId="461C375E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4384E824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1" w:type="dxa"/>
            <w:vAlign w:val="bottom"/>
          </w:tcPr>
          <w:p w14:paraId="5CCA827F" w14:textId="77777777" w:rsidR="006728EB" w:rsidRDefault="001564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6,4%</w:t>
            </w:r>
          </w:p>
        </w:tc>
      </w:tr>
      <w:tr w:rsidR="006728EB" w14:paraId="4787DC15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0C8E92D7" w14:textId="77777777" w:rsidR="006728EB" w:rsidRDefault="001564A2">
            <w:pPr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Gijón</w:t>
            </w:r>
          </w:p>
        </w:tc>
        <w:tc>
          <w:tcPr>
            <w:tcW w:w="2106" w:type="dxa"/>
          </w:tcPr>
          <w:p w14:paraId="54A3FA3A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31C35EC9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121" w:type="dxa"/>
            <w:vAlign w:val="bottom"/>
          </w:tcPr>
          <w:p w14:paraId="2F180516" w14:textId="77777777" w:rsidR="006728EB" w:rsidRDefault="001564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6728EB" w14:paraId="52AA9699" w14:textId="77777777" w:rsidTr="006728E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4212E938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Zaragoza capital</w:t>
            </w:r>
          </w:p>
        </w:tc>
        <w:tc>
          <w:tcPr>
            <w:tcW w:w="2106" w:type="dxa"/>
          </w:tcPr>
          <w:p w14:paraId="6A89F025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48CE9D5F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6,7%</w:t>
            </w:r>
          </w:p>
        </w:tc>
        <w:tc>
          <w:tcPr>
            <w:tcW w:w="2121" w:type="dxa"/>
            <w:vAlign w:val="bottom"/>
          </w:tcPr>
          <w:p w14:paraId="39782EDD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6728EB" w14:paraId="57D701E6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75603BE7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L'Hospitalet de Llobregat</w:t>
            </w:r>
          </w:p>
        </w:tc>
        <w:tc>
          <w:tcPr>
            <w:tcW w:w="2106" w:type="dxa"/>
          </w:tcPr>
          <w:p w14:paraId="07E70256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445142A2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121" w:type="dxa"/>
            <w:vAlign w:val="bottom"/>
          </w:tcPr>
          <w:p w14:paraId="7C760CD3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6728EB" w14:paraId="47A54E32" w14:textId="77777777" w:rsidTr="006728EB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6E70A925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Alicante / Alacant</w:t>
            </w:r>
          </w:p>
        </w:tc>
        <w:tc>
          <w:tcPr>
            <w:tcW w:w="2106" w:type="dxa"/>
          </w:tcPr>
          <w:p w14:paraId="7315F36A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2C2816D4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2121" w:type="dxa"/>
            <w:vAlign w:val="bottom"/>
          </w:tcPr>
          <w:p w14:paraId="19009D75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6,3%</w:t>
            </w:r>
          </w:p>
        </w:tc>
      </w:tr>
      <w:tr w:rsidR="006728EB" w14:paraId="76C42ABC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2BB5B2F3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Pamplona / Iruña</w:t>
            </w:r>
          </w:p>
        </w:tc>
        <w:tc>
          <w:tcPr>
            <w:tcW w:w="2106" w:type="dxa"/>
          </w:tcPr>
          <w:p w14:paraId="749EE57F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0ED73572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7,0%</w:t>
            </w:r>
          </w:p>
        </w:tc>
        <w:tc>
          <w:tcPr>
            <w:tcW w:w="2121" w:type="dxa"/>
            <w:vAlign w:val="bottom"/>
          </w:tcPr>
          <w:p w14:paraId="712A1713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6728EB" w14:paraId="63431960" w14:textId="77777777" w:rsidTr="006728E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5EA871CB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Barcelona capital</w:t>
            </w:r>
          </w:p>
        </w:tc>
        <w:tc>
          <w:tcPr>
            <w:tcW w:w="2106" w:type="dxa"/>
            <w:vAlign w:val="bottom"/>
          </w:tcPr>
          <w:p w14:paraId="7F22708E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3,6%</w:t>
            </w:r>
          </w:p>
        </w:tc>
        <w:tc>
          <w:tcPr>
            <w:tcW w:w="1896" w:type="dxa"/>
            <w:vAlign w:val="bottom"/>
          </w:tcPr>
          <w:p w14:paraId="6744E26E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7,1%</w:t>
            </w:r>
          </w:p>
        </w:tc>
        <w:tc>
          <w:tcPr>
            <w:tcW w:w="2121" w:type="dxa"/>
            <w:vAlign w:val="bottom"/>
          </w:tcPr>
          <w:p w14:paraId="58AF9710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6728EB" w14:paraId="3FC5D433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20316C8A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A Coruña capital</w:t>
            </w:r>
          </w:p>
        </w:tc>
        <w:tc>
          <w:tcPr>
            <w:tcW w:w="2106" w:type="dxa"/>
            <w:vAlign w:val="bottom"/>
          </w:tcPr>
          <w:p w14:paraId="231DBCDB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46E2E56A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  <w:tc>
          <w:tcPr>
            <w:tcW w:w="2121" w:type="dxa"/>
            <w:vAlign w:val="bottom"/>
          </w:tcPr>
          <w:p w14:paraId="0987F4C5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6728EB" w14:paraId="5F34D53A" w14:textId="77777777" w:rsidTr="006728E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236A8FEE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Sabadell</w:t>
            </w:r>
          </w:p>
        </w:tc>
        <w:tc>
          <w:tcPr>
            <w:tcW w:w="2106" w:type="dxa"/>
            <w:vAlign w:val="bottom"/>
          </w:tcPr>
          <w:p w14:paraId="4A206A69" w14:textId="77777777" w:rsidR="006728EB" w:rsidRDefault="006728EB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</w:p>
        </w:tc>
        <w:tc>
          <w:tcPr>
            <w:tcW w:w="1896" w:type="dxa"/>
            <w:vAlign w:val="bottom"/>
          </w:tcPr>
          <w:p w14:paraId="589F2CE3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2121" w:type="dxa"/>
            <w:vAlign w:val="bottom"/>
          </w:tcPr>
          <w:p w14:paraId="6D89EC22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6728EB" w14:paraId="5F795E9F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08E4FC19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Tarragona capital</w:t>
            </w:r>
          </w:p>
        </w:tc>
        <w:tc>
          <w:tcPr>
            <w:tcW w:w="2106" w:type="dxa"/>
          </w:tcPr>
          <w:p w14:paraId="53A7FF62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6EFD2432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2121" w:type="dxa"/>
            <w:vAlign w:val="bottom"/>
          </w:tcPr>
          <w:p w14:paraId="00628AF4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6728EB" w14:paraId="1F6B8B11" w14:textId="77777777" w:rsidTr="006728E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4E2FEB81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Málaga capital</w:t>
            </w:r>
          </w:p>
        </w:tc>
        <w:tc>
          <w:tcPr>
            <w:tcW w:w="2106" w:type="dxa"/>
          </w:tcPr>
          <w:p w14:paraId="1F6A91C0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56663D14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6,9%</w:t>
            </w:r>
          </w:p>
        </w:tc>
        <w:tc>
          <w:tcPr>
            <w:tcW w:w="2121" w:type="dxa"/>
            <w:vAlign w:val="bottom"/>
          </w:tcPr>
          <w:p w14:paraId="2B42094D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</w:tr>
      <w:tr w:rsidR="006728EB" w14:paraId="4ACD1B95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7BC2D893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Madrid capital</w:t>
            </w:r>
          </w:p>
        </w:tc>
        <w:tc>
          <w:tcPr>
            <w:tcW w:w="2106" w:type="dxa"/>
          </w:tcPr>
          <w:p w14:paraId="7CFB7197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5541A72A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6,0%</w:t>
            </w:r>
          </w:p>
        </w:tc>
        <w:tc>
          <w:tcPr>
            <w:tcW w:w="2121" w:type="dxa"/>
            <w:vAlign w:val="bottom"/>
          </w:tcPr>
          <w:p w14:paraId="52B6D318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6728EB" w14:paraId="0CFF90BD" w14:textId="77777777" w:rsidTr="006728E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39A7F121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Córdoba capital</w:t>
            </w:r>
          </w:p>
        </w:tc>
        <w:tc>
          <w:tcPr>
            <w:tcW w:w="2106" w:type="dxa"/>
          </w:tcPr>
          <w:p w14:paraId="7ADA5C32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260FE8DF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2121" w:type="dxa"/>
            <w:vAlign w:val="bottom"/>
          </w:tcPr>
          <w:p w14:paraId="4B656C7B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6728EB" w14:paraId="3D6CA6CF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43606546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Girona capital</w:t>
            </w:r>
          </w:p>
        </w:tc>
        <w:tc>
          <w:tcPr>
            <w:tcW w:w="2106" w:type="dxa"/>
          </w:tcPr>
          <w:p w14:paraId="6419F443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52BC9344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121" w:type="dxa"/>
            <w:vAlign w:val="bottom"/>
          </w:tcPr>
          <w:p w14:paraId="276A8B3F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6728EB" w14:paraId="2B7D83CD" w14:textId="77777777" w:rsidTr="006728EB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0C483283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Valladolid capital</w:t>
            </w:r>
          </w:p>
        </w:tc>
        <w:tc>
          <w:tcPr>
            <w:tcW w:w="2106" w:type="dxa"/>
          </w:tcPr>
          <w:p w14:paraId="48C680DD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024A7DBF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2121" w:type="dxa"/>
            <w:vAlign w:val="bottom"/>
          </w:tcPr>
          <w:p w14:paraId="7EC6CB98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</w:tr>
      <w:tr w:rsidR="006728EB" w14:paraId="2C3B8EC9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09362A84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Esplugues de Llobregat</w:t>
            </w:r>
          </w:p>
        </w:tc>
        <w:tc>
          <w:tcPr>
            <w:tcW w:w="2106" w:type="dxa"/>
          </w:tcPr>
          <w:p w14:paraId="7E09B1A9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54F1AAF0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2121" w:type="dxa"/>
            <w:vAlign w:val="bottom"/>
          </w:tcPr>
          <w:p w14:paraId="56378D7B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6728EB" w14:paraId="215C6860" w14:textId="77777777" w:rsidTr="006728E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03E18C77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Donostia - San Sebastián</w:t>
            </w:r>
          </w:p>
        </w:tc>
        <w:tc>
          <w:tcPr>
            <w:tcW w:w="2106" w:type="dxa"/>
          </w:tcPr>
          <w:p w14:paraId="7ED663BB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01BCE71C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  <w:tc>
          <w:tcPr>
            <w:tcW w:w="2121" w:type="dxa"/>
            <w:vAlign w:val="bottom"/>
          </w:tcPr>
          <w:p w14:paraId="46FADF7C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6728EB" w14:paraId="254E7715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711CEA90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Oviedo</w:t>
            </w:r>
          </w:p>
        </w:tc>
        <w:tc>
          <w:tcPr>
            <w:tcW w:w="2106" w:type="dxa"/>
          </w:tcPr>
          <w:p w14:paraId="7D5F7F49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53A2FFCA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  <w:tc>
          <w:tcPr>
            <w:tcW w:w="2121" w:type="dxa"/>
            <w:vAlign w:val="bottom"/>
          </w:tcPr>
          <w:p w14:paraId="2F3BD45B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</w:tr>
      <w:tr w:rsidR="006728EB" w14:paraId="03B1F532" w14:textId="77777777" w:rsidTr="006728E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4E3B3A2B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Santander</w:t>
            </w:r>
          </w:p>
        </w:tc>
        <w:tc>
          <w:tcPr>
            <w:tcW w:w="2106" w:type="dxa"/>
          </w:tcPr>
          <w:p w14:paraId="51335FC8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3AEE6588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1" w:type="dxa"/>
            <w:vAlign w:val="bottom"/>
          </w:tcPr>
          <w:p w14:paraId="66B9DF21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</w:tr>
      <w:tr w:rsidR="006728EB" w14:paraId="117A0660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5D182A79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Badajoz capital</w:t>
            </w:r>
          </w:p>
        </w:tc>
        <w:tc>
          <w:tcPr>
            <w:tcW w:w="2106" w:type="dxa"/>
          </w:tcPr>
          <w:p w14:paraId="03223D5A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53984D8E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121" w:type="dxa"/>
            <w:vAlign w:val="bottom"/>
          </w:tcPr>
          <w:p w14:paraId="14E432B5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</w:tr>
      <w:tr w:rsidR="006728EB" w14:paraId="3B189B36" w14:textId="77777777" w:rsidTr="006728EB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11534255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Vigo</w:t>
            </w:r>
          </w:p>
        </w:tc>
        <w:tc>
          <w:tcPr>
            <w:tcW w:w="2106" w:type="dxa"/>
          </w:tcPr>
          <w:p w14:paraId="422465DC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09647E7E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2121" w:type="dxa"/>
            <w:vAlign w:val="bottom"/>
          </w:tcPr>
          <w:p w14:paraId="6F556BE1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6728EB" w14:paraId="098B93CA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3A0745DA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Bilbao</w:t>
            </w:r>
          </w:p>
        </w:tc>
        <w:tc>
          <w:tcPr>
            <w:tcW w:w="2106" w:type="dxa"/>
            <w:vAlign w:val="bottom"/>
          </w:tcPr>
          <w:p w14:paraId="440F90DD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896" w:type="dxa"/>
            <w:vAlign w:val="bottom"/>
          </w:tcPr>
          <w:p w14:paraId="243551DE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2121" w:type="dxa"/>
            <w:vAlign w:val="bottom"/>
          </w:tcPr>
          <w:p w14:paraId="2C92747C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6728EB" w14:paraId="1186C81D" w14:textId="77777777" w:rsidTr="006728EB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4AB15E96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Granada capital</w:t>
            </w:r>
          </w:p>
        </w:tc>
        <w:tc>
          <w:tcPr>
            <w:tcW w:w="2106" w:type="dxa"/>
            <w:vAlign w:val="bottom"/>
          </w:tcPr>
          <w:p w14:paraId="11866ECC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6D553477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4,1%</w:t>
            </w:r>
          </w:p>
        </w:tc>
        <w:tc>
          <w:tcPr>
            <w:tcW w:w="2121" w:type="dxa"/>
            <w:vAlign w:val="bottom"/>
          </w:tcPr>
          <w:p w14:paraId="78CAA772" w14:textId="77777777" w:rsidR="006728EB" w:rsidRDefault="001564A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</w:tr>
      <w:tr w:rsidR="006728EB" w14:paraId="4116FCF2" w14:textId="77777777" w:rsidTr="00672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4" w:type="dxa"/>
            <w:vAlign w:val="bottom"/>
          </w:tcPr>
          <w:p w14:paraId="7AB7B236" w14:textId="77777777" w:rsidR="006728EB" w:rsidRDefault="001564A2">
            <w:pPr>
              <w:spacing w:line="276" w:lineRule="auto"/>
              <w:rPr>
                <w:rFonts w:ascii="Open Sans" w:eastAsia="Open Sans" w:hAnsi="Open Sans" w:cs="Open Sans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b w:val="0"/>
                <w:sz w:val="22"/>
                <w:szCs w:val="22"/>
              </w:rPr>
              <w:t>Salamanca capital</w:t>
            </w:r>
          </w:p>
        </w:tc>
        <w:tc>
          <w:tcPr>
            <w:tcW w:w="2106" w:type="dxa"/>
            <w:vAlign w:val="bottom"/>
          </w:tcPr>
          <w:p w14:paraId="743CABDD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896" w:type="dxa"/>
            <w:vAlign w:val="bottom"/>
          </w:tcPr>
          <w:p w14:paraId="569A2D01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3,7%</w:t>
            </w:r>
          </w:p>
        </w:tc>
        <w:tc>
          <w:tcPr>
            <w:tcW w:w="2121" w:type="dxa"/>
            <w:vAlign w:val="bottom"/>
          </w:tcPr>
          <w:p w14:paraId="73BD529B" w14:textId="77777777" w:rsidR="006728EB" w:rsidRDefault="001564A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3,8%</w:t>
            </w:r>
          </w:p>
        </w:tc>
      </w:tr>
    </w:tbl>
    <w:p w14:paraId="29F2947A" w14:textId="77777777" w:rsidR="006728EB" w:rsidRDefault="006728EB">
      <w:pPr>
        <w:jc w:val="both"/>
        <w:rPr>
          <w:rFonts w:ascii="Open Sans Light" w:eastAsia="Open Sans Light" w:hAnsi="Open Sans Light" w:cs="Open Sans Light"/>
          <w:color w:val="404040"/>
        </w:rPr>
      </w:pPr>
    </w:p>
    <w:p w14:paraId="5A36C783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lastRenderedPageBreak/>
        <w:t>Tabla 4. Rentabilidad de los garajes por distritos de Madrid (comparativa 2016, 2020 y 2021)</w:t>
      </w:r>
    </w:p>
    <w:tbl>
      <w:tblPr>
        <w:tblStyle w:val="a2"/>
        <w:tblW w:w="906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2268"/>
        <w:gridCol w:w="2126"/>
        <w:gridCol w:w="1984"/>
      </w:tblGrid>
      <w:tr w:rsidR="006728EB" w14:paraId="1F48E774" w14:textId="77777777">
        <w:trPr>
          <w:trHeight w:val="593"/>
        </w:trPr>
        <w:tc>
          <w:tcPr>
            <w:tcW w:w="2689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  <w:vAlign w:val="center"/>
          </w:tcPr>
          <w:p w14:paraId="0290D977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Distritos de Madrid</w:t>
            </w:r>
          </w:p>
        </w:tc>
        <w:tc>
          <w:tcPr>
            <w:tcW w:w="2268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09F35ACA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57EE9F78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2016</w:t>
            </w:r>
          </w:p>
          <w:p w14:paraId="7868B63E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(5 años)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64245C83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61FDEE52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2020</w:t>
            </w:r>
          </w:p>
          <w:p w14:paraId="65ACACBC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(1 año)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  <w:vAlign w:val="center"/>
          </w:tcPr>
          <w:p w14:paraId="2C6B862F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34078367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i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2021</w:t>
            </w:r>
          </w:p>
        </w:tc>
      </w:tr>
      <w:tr w:rsidR="006728EB" w14:paraId="2DB92120" w14:textId="77777777">
        <w:trPr>
          <w:trHeight w:val="289"/>
        </w:trPr>
        <w:tc>
          <w:tcPr>
            <w:tcW w:w="2689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AE4093C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Fuencarral</w:t>
            </w:r>
          </w:p>
        </w:tc>
        <w:tc>
          <w:tcPr>
            <w:tcW w:w="2268" w:type="dxa"/>
            <w:shd w:val="clear" w:color="auto" w:fill="B4C6E7"/>
            <w:vAlign w:val="bottom"/>
          </w:tcPr>
          <w:p w14:paraId="29431033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126" w:type="dxa"/>
            <w:shd w:val="clear" w:color="auto" w:fill="B4C6E7"/>
          </w:tcPr>
          <w:p w14:paraId="0CD1405C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B4C6E7"/>
            <w:vAlign w:val="bottom"/>
          </w:tcPr>
          <w:p w14:paraId="529EB601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6728EB" w14:paraId="66D74C7F" w14:textId="77777777">
        <w:trPr>
          <w:trHeight w:val="289"/>
        </w:trPr>
        <w:tc>
          <w:tcPr>
            <w:tcW w:w="2689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2389D85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 Blas</w:t>
            </w:r>
          </w:p>
        </w:tc>
        <w:tc>
          <w:tcPr>
            <w:tcW w:w="2268" w:type="dxa"/>
            <w:shd w:val="clear" w:color="auto" w:fill="D9E2F3"/>
            <w:vAlign w:val="bottom"/>
          </w:tcPr>
          <w:p w14:paraId="40FFC970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D9E2F3"/>
          </w:tcPr>
          <w:p w14:paraId="2FDFAA86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D9E2F3"/>
            <w:vAlign w:val="bottom"/>
          </w:tcPr>
          <w:p w14:paraId="329DB28B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5,7%</w:t>
            </w:r>
          </w:p>
        </w:tc>
      </w:tr>
      <w:tr w:rsidR="006728EB" w14:paraId="5735034B" w14:textId="77777777">
        <w:trPr>
          <w:trHeight w:val="289"/>
        </w:trPr>
        <w:tc>
          <w:tcPr>
            <w:tcW w:w="2689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6C9E8158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Hortaleza</w:t>
            </w:r>
          </w:p>
        </w:tc>
        <w:tc>
          <w:tcPr>
            <w:tcW w:w="2268" w:type="dxa"/>
            <w:shd w:val="clear" w:color="auto" w:fill="B4C6E7"/>
            <w:vAlign w:val="bottom"/>
          </w:tcPr>
          <w:p w14:paraId="17D50BAD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632DA551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984" w:type="dxa"/>
            <w:shd w:val="clear" w:color="auto" w:fill="B4C6E7"/>
            <w:vAlign w:val="bottom"/>
          </w:tcPr>
          <w:p w14:paraId="692BFA7A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5,1%</w:t>
            </w:r>
          </w:p>
        </w:tc>
      </w:tr>
      <w:tr w:rsidR="006728EB" w14:paraId="7A3EE60F" w14:textId="77777777">
        <w:trPr>
          <w:trHeight w:val="289"/>
        </w:trPr>
        <w:tc>
          <w:tcPr>
            <w:tcW w:w="2689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7CC4072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Tetuán</w:t>
            </w:r>
          </w:p>
        </w:tc>
        <w:tc>
          <w:tcPr>
            <w:tcW w:w="2268" w:type="dxa"/>
            <w:shd w:val="clear" w:color="auto" w:fill="D9E2F3"/>
            <w:vAlign w:val="bottom"/>
          </w:tcPr>
          <w:p w14:paraId="61D113FA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2CF8515C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984" w:type="dxa"/>
            <w:shd w:val="clear" w:color="auto" w:fill="D9E2F3"/>
            <w:vAlign w:val="bottom"/>
          </w:tcPr>
          <w:p w14:paraId="4D5613B5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4,8%</w:t>
            </w:r>
          </w:p>
        </w:tc>
      </w:tr>
      <w:tr w:rsidR="006728EB" w14:paraId="1E46E619" w14:textId="77777777">
        <w:trPr>
          <w:trHeight w:val="304"/>
        </w:trPr>
        <w:tc>
          <w:tcPr>
            <w:tcW w:w="2689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A0CCF73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Barrio de Salamanca</w:t>
            </w:r>
          </w:p>
        </w:tc>
        <w:tc>
          <w:tcPr>
            <w:tcW w:w="2268" w:type="dxa"/>
            <w:shd w:val="clear" w:color="auto" w:fill="B4C6E7"/>
            <w:vAlign w:val="bottom"/>
          </w:tcPr>
          <w:p w14:paraId="387F4E50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06EC1D3F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-</w:t>
            </w:r>
          </w:p>
        </w:tc>
        <w:tc>
          <w:tcPr>
            <w:tcW w:w="1984" w:type="dxa"/>
            <w:shd w:val="clear" w:color="auto" w:fill="B4C6E7"/>
            <w:vAlign w:val="bottom"/>
          </w:tcPr>
          <w:p w14:paraId="2B2AA69F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  <w:tr w:rsidR="006728EB" w14:paraId="77DEF86C" w14:textId="77777777">
        <w:trPr>
          <w:trHeight w:val="289"/>
        </w:trPr>
        <w:tc>
          <w:tcPr>
            <w:tcW w:w="2689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20F619BC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Ciudad Lineal</w:t>
            </w:r>
          </w:p>
        </w:tc>
        <w:tc>
          <w:tcPr>
            <w:tcW w:w="2268" w:type="dxa"/>
            <w:shd w:val="clear" w:color="auto" w:fill="D9E2F3"/>
            <w:vAlign w:val="bottom"/>
          </w:tcPr>
          <w:p w14:paraId="1C46142C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47808B6A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984" w:type="dxa"/>
            <w:shd w:val="clear" w:color="auto" w:fill="D9E2F3"/>
            <w:vAlign w:val="bottom"/>
          </w:tcPr>
          <w:p w14:paraId="29713A86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4,7%</w:t>
            </w:r>
          </w:p>
        </w:tc>
      </w:tr>
    </w:tbl>
    <w:p w14:paraId="3FED4DF5" w14:textId="77777777" w:rsidR="006728EB" w:rsidRDefault="006728E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</w:p>
    <w:p w14:paraId="0DD47A43" w14:textId="77777777" w:rsidR="006728EB" w:rsidRDefault="001564A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76" w:lineRule="auto"/>
        <w:ind w:right="-574"/>
        <w:rPr>
          <w:rFonts w:ascii="Open Sans Light" w:eastAsia="Open Sans Light" w:hAnsi="Open Sans Light" w:cs="Open Sans Light"/>
          <w:b/>
          <w:color w:val="303AB2"/>
        </w:rPr>
      </w:pPr>
      <w:r>
        <w:rPr>
          <w:rFonts w:ascii="Open Sans Light" w:eastAsia="Open Sans Light" w:hAnsi="Open Sans Light" w:cs="Open Sans Light"/>
          <w:b/>
          <w:color w:val="303AB2"/>
        </w:rPr>
        <w:t>Tabla 5. Rentabilidad de los garajes por distritos de Barcelona (comparativa 2016, 2020 y 2021)</w:t>
      </w:r>
    </w:p>
    <w:tbl>
      <w:tblPr>
        <w:tblStyle w:val="a3"/>
        <w:tblW w:w="9067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2410"/>
        <w:gridCol w:w="2126"/>
        <w:gridCol w:w="1984"/>
      </w:tblGrid>
      <w:tr w:rsidR="006728EB" w14:paraId="2D03F3FC" w14:textId="77777777">
        <w:trPr>
          <w:trHeight w:val="566"/>
        </w:trPr>
        <w:tc>
          <w:tcPr>
            <w:tcW w:w="2547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4472C4"/>
            <w:vAlign w:val="center"/>
          </w:tcPr>
          <w:p w14:paraId="2B63100B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Distritos de Barcelona</w:t>
            </w:r>
          </w:p>
        </w:tc>
        <w:tc>
          <w:tcPr>
            <w:tcW w:w="2410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126B3636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360B82A5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2016</w:t>
            </w:r>
          </w:p>
          <w:p w14:paraId="729FC34A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(5 años)</w:t>
            </w:r>
          </w:p>
        </w:tc>
        <w:tc>
          <w:tcPr>
            <w:tcW w:w="2126" w:type="dxa"/>
            <w:tcBorders>
              <w:top w:val="single" w:sz="4" w:space="0" w:color="FFFFFF"/>
              <w:left w:val="nil"/>
              <w:right w:val="nil"/>
            </w:tcBorders>
            <w:shd w:val="clear" w:color="auto" w:fill="4472C4"/>
            <w:vAlign w:val="center"/>
          </w:tcPr>
          <w:p w14:paraId="7613D56E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71EFDE5C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2020</w:t>
            </w:r>
          </w:p>
          <w:p w14:paraId="1A3263F0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(1 año)</w:t>
            </w:r>
          </w:p>
        </w:tc>
        <w:tc>
          <w:tcPr>
            <w:tcW w:w="1984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4472C4"/>
            <w:vAlign w:val="center"/>
          </w:tcPr>
          <w:p w14:paraId="1A30B30D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Rentabilidad</w:t>
            </w:r>
          </w:p>
          <w:p w14:paraId="5951AA6D" w14:textId="77777777" w:rsidR="006728EB" w:rsidRDefault="00156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i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2021</w:t>
            </w:r>
          </w:p>
        </w:tc>
      </w:tr>
      <w:tr w:rsidR="006728EB" w14:paraId="17059C97" w14:textId="77777777">
        <w:trPr>
          <w:trHeight w:val="282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0BB3E2F7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Sants - Montjuïc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0F16DE19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7B5319AE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7,6%</w:t>
            </w:r>
          </w:p>
        </w:tc>
        <w:tc>
          <w:tcPr>
            <w:tcW w:w="1984" w:type="dxa"/>
            <w:shd w:val="clear" w:color="auto" w:fill="B4C6E7"/>
            <w:vAlign w:val="bottom"/>
          </w:tcPr>
          <w:p w14:paraId="3E0D15AE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6,8%</w:t>
            </w:r>
          </w:p>
        </w:tc>
      </w:tr>
      <w:tr w:rsidR="006728EB" w14:paraId="7926B6E3" w14:textId="77777777">
        <w:trPr>
          <w:trHeight w:val="282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4D55014E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Horta - Guinardó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511FECDE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50CEF131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7,2%</w:t>
            </w:r>
          </w:p>
        </w:tc>
        <w:tc>
          <w:tcPr>
            <w:tcW w:w="1984" w:type="dxa"/>
            <w:shd w:val="clear" w:color="auto" w:fill="B4C6E7"/>
            <w:vAlign w:val="bottom"/>
          </w:tcPr>
          <w:p w14:paraId="2E07B7E6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6,6%</w:t>
            </w:r>
          </w:p>
        </w:tc>
      </w:tr>
      <w:tr w:rsidR="006728EB" w14:paraId="6EB4684D" w14:textId="77777777">
        <w:trPr>
          <w:trHeight w:val="282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D43157A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Sant Andreu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719BE2A0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3,5%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04521741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1984" w:type="dxa"/>
            <w:shd w:val="clear" w:color="auto" w:fill="B4C6E7"/>
            <w:vAlign w:val="bottom"/>
          </w:tcPr>
          <w:p w14:paraId="5C52C74B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</w:tr>
      <w:tr w:rsidR="006728EB" w14:paraId="0FCAECD0" w14:textId="77777777">
        <w:trPr>
          <w:trHeight w:val="282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A124CEF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Eixample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4B1E2326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5,4%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5E3736BB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7,4%</w:t>
            </w:r>
          </w:p>
        </w:tc>
        <w:tc>
          <w:tcPr>
            <w:tcW w:w="1984" w:type="dxa"/>
            <w:shd w:val="clear" w:color="auto" w:fill="B4C6E7"/>
            <w:vAlign w:val="bottom"/>
          </w:tcPr>
          <w:p w14:paraId="073B7A2E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6,1%</w:t>
            </w:r>
          </w:p>
        </w:tc>
      </w:tr>
      <w:tr w:rsidR="006728EB" w14:paraId="42CD292B" w14:textId="77777777">
        <w:trPr>
          <w:trHeight w:val="282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76EBA094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Les Corts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487C56BC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6,2%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651845A2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7,8%</w:t>
            </w:r>
          </w:p>
        </w:tc>
        <w:tc>
          <w:tcPr>
            <w:tcW w:w="1984" w:type="dxa"/>
            <w:shd w:val="clear" w:color="auto" w:fill="D9E2F3"/>
            <w:vAlign w:val="bottom"/>
          </w:tcPr>
          <w:p w14:paraId="6F3441CC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5,9%</w:t>
            </w:r>
          </w:p>
        </w:tc>
      </w:tr>
      <w:tr w:rsidR="006728EB" w14:paraId="324EEB1C" w14:textId="77777777">
        <w:trPr>
          <w:trHeight w:val="297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53B12C6A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Sant Martí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4F01B786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5,5%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0FEA616E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5,3%</w:t>
            </w:r>
          </w:p>
        </w:tc>
        <w:tc>
          <w:tcPr>
            <w:tcW w:w="1984" w:type="dxa"/>
            <w:shd w:val="clear" w:color="auto" w:fill="B4C6E7"/>
            <w:vAlign w:val="bottom"/>
          </w:tcPr>
          <w:p w14:paraId="2DA872F5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5,8%</w:t>
            </w:r>
          </w:p>
        </w:tc>
      </w:tr>
      <w:tr w:rsidR="006728EB" w14:paraId="639DEC9E" w14:textId="77777777">
        <w:trPr>
          <w:trHeight w:val="282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189E5D4D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Gràcia</w:t>
            </w:r>
          </w:p>
        </w:tc>
        <w:tc>
          <w:tcPr>
            <w:tcW w:w="2410" w:type="dxa"/>
            <w:shd w:val="clear" w:color="auto" w:fill="D9E2F3"/>
            <w:vAlign w:val="bottom"/>
          </w:tcPr>
          <w:p w14:paraId="0E6E1B6F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4,9%</w:t>
            </w:r>
          </w:p>
        </w:tc>
        <w:tc>
          <w:tcPr>
            <w:tcW w:w="2126" w:type="dxa"/>
            <w:shd w:val="clear" w:color="auto" w:fill="D9E2F3"/>
            <w:vAlign w:val="bottom"/>
          </w:tcPr>
          <w:p w14:paraId="311F173D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5,2%</w:t>
            </w:r>
          </w:p>
        </w:tc>
        <w:tc>
          <w:tcPr>
            <w:tcW w:w="1984" w:type="dxa"/>
            <w:shd w:val="clear" w:color="auto" w:fill="D9E2F3"/>
            <w:vAlign w:val="bottom"/>
          </w:tcPr>
          <w:p w14:paraId="10CB558E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  <w:tr w:rsidR="006728EB" w14:paraId="27443224" w14:textId="77777777">
        <w:trPr>
          <w:trHeight w:val="282"/>
        </w:trPr>
        <w:tc>
          <w:tcPr>
            <w:tcW w:w="2547" w:type="dxa"/>
            <w:tcBorders>
              <w:left w:val="single" w:sz="4" w:space="0" w:color="FFFFFF"/>
            </w:tcBorders>
            <w:shd w:val="clear" w:color="auto" w:fill="4472C4"/>
            <w:vAlign w:val="bottom"/>
          </w:tcPr>
          <w:p w14:paraId="3C8B66E7" w14:textId="77777777" w:rsidR="006728EB" w:rsidRDefault="001564A2">
            <w:pP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FFFFFF"/>
                <w:sz w:val="22"/>
                <w:szCs w:val="22"/>
              </w:rPr>
              <w:t>Sarrià - Sant Gervasi</w:t>
            </w:r>
          </w:p>
        </w:tc>
        <w:tc>
          <w:tcPr>
            <w:tcW w:w="2410" w:type="dxa"/>
            <w:shd w:val="clear" w:color="auto" w:fill="B4C6E7"/>
            <w:vAlign w:val="bottom"/>
          </w:tcPr>
          <w:p w14:paraId="4AF78F46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  <w:tc>
          <w:tcPr>
            <w:tcW w:w="2126" w:type="dxa"/>
            <w:shd w:val="clear" w:color="auto" w:fill="B4C6E7"/>
            <w:vAlign w:val="bottom"/>
          </w:tcPr>
          <w:p w14:paraId="164044BA" w14:textId="77777777" w:rsidR="006728EB" w:rsidRDefault="001564A2">
            <w:pPr>
              <w:jc w:val="center"/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6,5%</w:t>
            </w:r>
          </w:p>
        </w:tc>
        <w:tc>
          <w:tcPr>
            <w:tcW w:w="1984" w:type="dxa"/>
            <w:shd w:val="clear" w:color="auto" w:fill="B4C6E7"/>
            <w:vAlign w:val="bottom"/>
          </w:tcPr>
          <w:p w14:paraId="3A99544F" w14:textId="77777777" w:rsidR="006728EB" w:rsidRDefault="001564A2">
            <w:pPr>
              <w:jc w:val="center"/>
              <w:rPr>
                <w:rFonts w:ascii="Open Sans" w:eastAsia="Open Sans" w:hAnsi="Open Sans" w:cs="Open Sans"/>
                <w:b/>
                <w:color w:val="000000"/>
                <w:sz w:val="22"/>
                <w:szCs w:val="22"/>
              </w:rPr>
            </w:pPr>
            <w:r>
              <w:rPr>
                <w:rFonts w:ascii="Open Sans" w:eastAsia="Open Sans" w:hAnsi="Open Sans" w:cs="Open Sans"/>
                <w:color w:val="000000"/>
                <w:sz w:val="22"/>
                <w:szCs w:val="22"/>
              </w:rPr>
              <w:t>5,6%</w:t>
            </w:r>
          </w:p>
        </w:tc>
      </w:tr>
    </w:tbl>
    <w:p w14:paraId="7E4467F1" w14:textId="77777777" w:rsidR="006728EB" w:rsidRDefault="006728EB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779C2CCD" w14:textId="77777777" w:rsidR="00EC6401" w:rsidRDefault="00EC6401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15663E4" w14:textId="77777777" w:rsidR="00EC6401" w:rsidRDefault="00EC6401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26532D8" w14:textId="77777777" w:rsidR="00EC6401" w:rsidRDefault="00EC6401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5654BAF" w14:textId="77777777" w:rsidR="00EC6401" w:rsidRDefault="00EC6401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6D6F508B" w14:textId="77777777" w:rsidR="00EC6401" w:rsidRDefault="00EC6401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2042AF4" w14:textId="77777777" w:rsidR="00EC6401" w:rsidRDefault="00EC6401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0F386651" w14:textId="77777777" w:rsidR="00EC6401" w:rsidRDefault="00EC6401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550D9263" w14:textId="730283FF" w:rsidR="00EC6401" w:rsidRDefault="00EC6401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428EC214" w14:textId="79B84E28" w:rsidR="006A1CEE" w:rsidRDefault="006A1CEE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2E9B4D04" w14:textId="77777777" w:rsidR="006A1CEE" w:rsidRDefault="006A1CEE">
      <w:pPr>
        <w:spacing w:line="276" w:lineRule="auto"/>
        <w:ind w:right="-574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364890F7" w14:textId="77777777" w:rsidR="00EC6401" w:rsidRDefault="00EC6401" w:rsidP="00EC6401">
      <w:pPr>
        <w:spacing w:line="276" w:lineRule="auto"/>
        <w:ind w:right="-7"/>
        <w:jc w:val="right"/>
        <w:rPr>
          <w:rFonts w:ascii="Open Sans Light" w:eastAsia="Open Sans Light" w:hAnsi="Open Sans Light" w:cs="Open Sans Light"/>
          <w:b/>
          <w:color w:val="303AB2"/>
        </w:rPr>
      </w:pPr>
    </w:p>
    <w:p w14:paraId="18EE14FF" w14:textId="77777777" w:rsidR="00EC6401" w:rsidRDefault="00EC6401" w:rsidP="00EC6401">
      <w:pPr>
        <w:spacing w:line="276" w:lineRule="auto"/>
        <w:ind w:right="-7"/>
        <w:jc w:val="right"/>
        <w:rPr>
          <w:rFonts w:ascii="Open Sans Light" w:eastAsia="Open Sans Light" w:hAnsi="Open Sans Light" w:cs="Open Sans Light"/>
          <w:b/>
          <w:color w:val="303AB2"/>
        </w:rPr>
      </w:pPr>
      <w:bookmarkStart w:id="3" w:name="_Hlk94719068"/>
      <w:r>
        <w:rPr>
          <w:rFonts w:ascii="Open Sans Light" w:eastAsia="Open Sans Light" w:hAnsi="Open Sans Light" w:cs="Open Sans Light"/>
          <w:b/>
          <w:color w:val="303AB2"/>
        </w:rPr>
        <w:lastRenderedPageBreak/>
        <w:t>Sobre Fotocasa</w:t>
      </w:r>
    </w:p>
    <w:p w14:paraId="00A83622" w14:textId="77777777" w:rsidR="00EC6401" w:rsidRDefault="00EC6401" w:rsidP="00EC6401">
      <w:pPr>
        <w:shd w:val="clear" w:color="auto" w:fill="FFFFFF"/>
        <w:spacing w:before="280" w:after="280"/>
        <w:ind w:right="-7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Portal inmobiliario que cuenta con inmuebles de segunda mano, promociones de obra nueva y viviendas de alquiler. Cada mes genera un tráfico de 34 millones de visitas (75% a través de dispositivos móviles). Mensualmente elabora el </w:t>
      </w:r>
      <w:hyperlink r:id="rId15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índice inmobiliario Fotocasa</w:t>
        </w:r>
      </w:hyperlink>
      <w:r>
        <w:rPr>
          <w:rFonts w:ascii="Open Sans" w:eastAsia="Open Sans" w:hAnsi="Open Sans" w:cs="Open Sans"/>
          <w:sz w:val="22"/>
          <w:szCs w:val="22"/>
        </w:rPr>
        <w:t>, un informe de referencia sobre la evolución del precio medio de la vivienda en España, tanto en venta como en alquiler.</w:t>
      </w:r>
    </w:p>
    <w:p w14:paraId="5031725E" w14:textId="77777777" w:rsidR="00EC6401" w:rsidRDefault="00304CBE" w:rsidP="00EC6401">
      <w:pPr>
        <w:shd w:val="clear" w:color="auto" w:fill="FFFFFF"/>
        <w:spacing w:before="280" w:after="280"/>
        <w:ind w:right="-7"/>
        <w:jc w:val="both"/>
        <w:rPr>
          <w:rFonts w:ascii="Open Sans" w:eastAsia="Open Sans" w:hAnsi="Open Sans" w:cs="Open Sans"/>
          <w:sz w:val="22"/>
          <w:szCs w:val="22"/>
        </w:rPr>
      </w:pPr>
      <w:hyperlink r:id="rId16">
        <w:r w:rsidR="00EC6401">
          <w:rPr>
            <w:rFonts w:ascii="Open Sans" w:eastAsia="Open Sans" w:hAnsi="Open Sans" w:cs="Open Sans"/>
            <w:b/>
            <w:color w:val="0000FF"/>
            <w:sz w:val="22"/>
            <w:szCs w:val="22"/>
            <w:u w:val="single"/>
          </w:rPr>
          <w:t>Fotocasa</w:t>
        </w:r>
      </w:hyperlink>
      <w:r w:rsidR="00EC6401">
        <w:rPr>
          <w:rFonts w:ascii="Open Sans" w:eastAsia="Open Sans" w:hAnsi="Open Sans" w:cs="Open Sans"/>
          <w:sz w:val="22"/>
          <w:szCs w:val="22"/>
        </w:rPr>
        <w:t> pertenece a </w:t>
      </w:r>
      <w:proofErr w:type="spellStart"/>
      <w:r w:rsidR="00EC6401">
        <w:fldChar w:fldCharType="begin"/>
      </w:r>
      <w:r w:rsidR="00EC6401">
        <w:instrText xml:space="preserve"> HYPERLINK "https://www.adevinta.com/" \h </w:instrText>
      </w:r>
      <w:r w:rsidR="00EC6401">
        <w:fldChar w:fldCharType="separate"/>
      </w:r>
      <w:r w:rsidR="00EC6401"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 w:rsidR="00EC6401"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 w:rsidR="00EC6401">
        <w:rPr>
          <w:rFonts w:ascii="Open Sans" w:eastAsia="Open Sans" w:hAnsi="Open Sans" w:cs="Open Sans"/>
          <w:sz w:val="22"/>
          <w:szCs w:val="22"/>
        </w:rPr>
        <w:t xml:space="preserve">, una empresa 100% especializada en Marketplace digitales y el único “pure </w:t>
      </w:r>
      <w:proofErr w:type="spellStart"/>
      <w:r w:rsidR="00EC6401">
        <w:rPr>
          <w:rFonts w:ascii="Open Sans" w:eastAsia="Open Sans" w:hAnsi="Open Sans" w:cs="Open Sans"/>
          <w:sz w:val="22"/>
          <w:szCs w:val="22"/>
        </w:rPr>
        <w:t>player</w:t>
      </w:r>
      <w:proofErr w:type="spellEnd"/>
      <w:r w:rsidR="00EC6401">
        <w:rPr>
          <w:rFonts w:ascii="Open Sans" w:eastAsia="Open Sans" w:hAnsi="Open Sans" w:cs="Open Sans"/>
          <w:sz w:val="22"/>
          <w:szCs w:val="22"/>
        </w:rPr>
        <w:t>” del sector a nivel mundial. Con presencia en 12 países de Europa, América Latina y África del Norte, el conjunto de sus plataformas locales recibe un promedio de 1.500 millones de visitas cada mes.</w:t>
      </w:r>
    </w:p>
    <w:p w14:paraId="13FD6CF3" w14:textId="77777777" w:rsidR="00EC6401" w:rsidRDefault="00304CBE" w:rsidP="00EC6401">
      <w:pPr>
        <w:shd w:val="clear" w:color="auto" w:fill="FFFFFF"/>
        <w:spacing w:before="280" w:after="280"/>
        <w:ind w:right="-7"/>
        <w:jc w:val="both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hyperlink r:id="rId17">
        <w:r w:rsidR="00EC6401"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Más información sobre Fotocasa</w:t>
        </w:r>
      </w:hyperlink>
      <w:r w:rsidR="00EC6401">
        <w:rPr>
          <w:rFonts w:ascii="Open Sans" w:eastAsia="Open Sans" w:hAnsi="Open Sans" w:cs="Open Sans"/>
          <w:sz w:val="22"/>
          <w:szCs w:val="22"/>
        </w:rPr>
        <w:t>.</w:t>
      </w:r>
    </w:p>
    <w:p w14:paraId="7C495B53" w14:textId="77777777" w:rsidR="00EC6401" w:rsidRDefault="00EC6401" w:rsidP="00EC6401">
      <w:pPr>
        <w:shd w:val="clear" w:color="auto" w:fill="FFFFFF"/>
        <w:spacing w:line="276" w:lineRule="auto"/>
        <w:ind w:right="-7"/>
        <w:jc w:val="both"/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>En España, </w:t>
      </w:r>
      <w:proofErr w:type="spellStart"/>
      <w:r>
        <w:fldChar w:fldCharType="begin"/>
      </w:r>
      <w:r>
        <w:instrText xml:space="preserve"> HYPERLINK "https://www.adevinta.com/"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Adevinta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, antes Schibsted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Spain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, es una de las principales empresas del sector tecnológico del país y un referente de transformación digital. En sus 40 años de trayectoria en el mercado español de clasificados, los negocios de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han evolucionado del papel al online hasta convertirse en el referente de Internet en sectores relevantes como inmobiliaria (</w:t>
      </w:r>
      <w:hyperlink r:id="rId18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Fotocasa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"https://www.habitaclia.com/"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habitaclia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), empleo (</w:t>
      </w:r>
      <w:hyperlink r:id="rId19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Infojobs.net</w:t>
        </w:r>
      </w:hyperlink>
      <w:r>
        <w:rPr>
          <w:rFonts w:ascii="Open Sans" w:eastAsia="Open Sans" w:hAnsi="Open Sans" w:cs="Open Sans"/>
          <w:sz w:val="22"/>
          <w:szCs w:val="22"/>
        </w:rPr>
        <w:t>), motor (</w:t>
      </w:r>
      <w:hyperlink r:id="rId20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coches.net</w:t>
        </w:r>
      </w:hyperlink>
      <w:r>
        <w:rPr>
          <w:rFonts w:ascii="Open Sans" w:eastAsia="Open Sans" w:hAnsi="Open Sans" w:cs="Open Sans"/>
          <w:sz w:val="22"/>
          <w:szCs w:val="22"/>
        </w:rPr>
        <w:t> y </w:t>
      </w:r>
      <w:hyperlink r:id="rId21">
        <w:r>
          <w:rPr>
            <w:rFonts w:ascii="Open Sans" w:eastAsia="Open Sans" w:hAnsi="Open Sans" w:cs="Open Sans"/>
            <w:color w:val="0000FF"/>
            <w:sz w:val="22"/>
            <w:szCs w:val="22"/>
            <w:u w:val="single"/>
          </w:rPr>
          <w:t>motos.ne</w:t>
        </w:r>
      </w:hyperlink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t</w:t>
      </w:r>
      <w:r>
        <w:rPr>
          <w:rFonts w:ascii="Open Sans" w:eastAsia="Open Sans" w:hAnsi="Open Sans" w:cs="Open Sans"/>
          <w:sz w:val="22"/>
          <w:szCs w:val="22"/>
        </w:rPr>
        <w:t>) y segunda mano (</w:t>
      </w:r>
      <w:proofErr w:type="spellStart"/>
      <w:r>
        <w:fldChar w:fldCharType="begin"/>
      </w:r>
      <w:r>
        <w:instrText xml:space="preserve"> HYPERLINK "https://www.milanuncios.es/"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Milanuncios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> y </w:t>
      </w:r>
      <w:proofErr w:type="spellStart"/>
      <w:r>
        <w:fldChar w:fldCharType="begin"/>
      </w:r>
      <w:r>
        <w:instrText xml:space="preserve"> HYPERLINK "https://www.vibbo.com/" \h </w:instrText>
      </w:r>
      <w:r>
        <w:fldChar w:fldCharType="separate"/>
      </w:r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t>vibbo</w:t>
      </w:r>
      <w:proofErr w:type="spellEnd"/>
      <w:r>
        <w:rPr>
          <w:rFonts w:ascii="Open Sans" w:eastAsia="Open Sans" w:hAnsi="Open Sans" w:cs="Open Sans"/>
          <w:color w:val="0000FF"/>
          <w:sz w:val="22"/>
          <w:szCs w:val="22"/>
          <w:u w:val="single"/>
        </w:rPr>
        <w:fldChar w:fldCharType="end"/>
      </w:r>
      <w:r>
        <w:rPr>
          <w:rFonts w:ascii="Open Sans" w:eastAsia="Open Sans" w:hAnsi="Open Sans" w:cs="Open Sans"/>
          <w:sz w:val="22"/>
          <w:szCs w:val="22"/>
        </w:rPr>
        <w:t xml:space="preserve">). Sus más de 18 millones de usuarios al mes sitúan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entre las diez compañías con mayor audiencia de Internet en España (y la mayor empresa digital española). </w:t>
      </w:r>
      <w:proofErr w:type="spellStart"/>
      <w:r>
        <w:rPr>
          <w:rFonts w:ascii="Open Sans" w:eastAsia="Open Sans" w:hAnsi="Open Sans" w:cs="Open Sans"/>
          <w:sz w:val="22"/>
          <w:szCs w:val="22"/>
        </w:rPr>
        <w:t>Adevinta</w:t>
      </w:r>
      <w:proofErr w:type="spellEnd"/>
      <w:r>
        <w:rPr>
          <w:rFonts w:ascii="Open Sans" w:eastAsia="Open Sans" w:hAnsi="Open Sans" w:cs="Open Sans"/>
          <w:sz w:val="22"/>
          <w:szCs w:val="22"/>
        </w:rPr>
        <w:t xml:space="preserve"> cuenta en la actualidad con una plantilla de más de 1.000 empleados en España. </w:t>
      </w:r>
    </w:p>
    <w:p w14:paraId="25417012" w14:textId="77777777" w:rsidR="00EC6401" w:rsidRDefault="00EC6401" w:rsidP="00EC6401">
      <w:pPr>
        <w:shd w:val="clear" w:color="auto" w:fill="FFFFFF"/>
        <w:spacing w:line="276" w:lineRule="auto"/>
        <w:ind w:right="-7"/>
        <w:jc w:val="both"/>
        <w:rPr>
          <w:rFonts w:ascii="Open Sans" w:eastAsia="Open Sans" w:hAnsi="Open Sans" w:cs="Open Sans"/>
          <w:sz w:val="21"/>
          <w:szCs w:val="21"/>
        </w:rPr>
      </w:pPr>
    </w:p>
    <w:p w14:paraId="5A753230" w14:textId="77777777" w:rsidR="00EC6401" w:rsidRDefault="00EC6401" w:rsidP="00EC6401">
      <w:pPr>
        <w:shd w:val="clear" w:color="auto" w:fill="FFFFFF"/>
        <w:spacing w:line="276" w:lineRule="auto"/>
        <w:ind w:right="-7"/>
        <w:jc w:val="both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21"/>
          <w:szCs w:val="21"/>
        </w:rPr>
        <w:t xml:space="preserve">Toda nuestra información la puedes encontrar en nuestra </w:t>
      </w:r>
      <w:hyperlink r:id="rId22">
        <w:r>
          <w:rPr>
            <w:rFonts w:ascii="Open Sans" w:eastAsia="Open Sans" w:hAnsi="Open Sans" w:cs="Open Sans"/>
            <w:color w:val="0000FF"/>
            <w:sz w:val="21"/>
            <w:szCs w:val="21"/>
            <w:u w:val="single"/>
          </w:rPr>
          <w:t>Sala de Prensa</w:t>
        </w:r>
      </w:hyperlink>
      <w:r>
        <w:rPr>
          <w:rFonts w:ascii="Open Sans" w:eastAsia="Open Sans" w:hAnsi="Open Sans" w:cs="Open Sans"/>
          <w:sz w:val="21"/>
          <w:szCs w:val="21"/>
        </w:rPr>
        <w:t xml:space="preserve">. </w:t>
      </w:r>
    </w:p>
    <w:p w14:paraId="5D13387F" w14:textId="77777777" w:rsidR="00EC6401" w:rsidRDefault="00EC6401" w:rsidP="00EC6401">
      <w:pPr>
        <w:shd w:val="clear" w:color="auto" w:fill="FFFFFF"/>
        <w:spacing w:line="276" w:lineRule="auto"/>
        <w:ind w:right="-7"/>
        <w:jc w:val="both"/>
        <w:rPr>
          <w:rFonts w:ascii="Open Sans" w:eastAsia="Open Sans" w:hAnsi="Open Sans" w:cs="Open Sans"/>
          <w:sz w:val="21"/>
          <w:szCs w:val="21"/>
        </w:rPr>
      </w:pPr>
    </w:p>
    <w:p w14:paraId="456B50E7" w14:textId="6EBC667B" w:rsidR="00EC6401" w:rsidRDefault="00EC6401" w:rsidP="00EC6401">
      <w:pPr>
        <w:spacing w:line="276" w:lineRule="auto"/>
        <w:ind w:right="-7"/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</w:pPr>
      <w:r>
        <w:rPr>
          <w:rFonts w:ascii="Open Sans Light" w:eastAsia="Open Sans Light" w:hAnsi="Open Sans Light" w:cs="Open Sans Light"/>
          <w:b/>
          <w:color w:val="303AB2"/>
        </w:rPr>
        <w:t xml:space="preserve">Llorente y Cuenca    </w:t>
      </w:r>
      <w:r>
        <w:rPr>
          <w:rFonts w:ascii="Open Sans Light" w:eastAsia="Open Sans Light" w:hAnsi="Open Sans Light" w:cs="Open Sans Light"/>
          <w:b/>
          <w:color w:val="303AB2"/>
        </w:rPr>
        <w:tab/>
      </w:r>
      <w:r>
        <w:rPr>
          <w:rFonts w:ascii="Open Sans Light" w:eastAsia="Open Sans Light" w:hAnsi="Open Sans Light" w:cs="Open Sans Light"/>
          <w:b/>
          <w:color w:val="303AB2"/>
          <w:sz w:val="22"/>
          <w:szCs w:val="22"/>
        </w:rPr>
        <w:tab/>
        <w:t xml:space="preserve">        </w:t>
      </w:r>
      <w:r>
        <w:rPr>
          <w:rFonts w:ascii="Open Sans Light" w:eastAsia="Open Sans Light" w:hAnsi="Open Sans Light" w:cs="Open Sans Light"/>
          <w:b/>
          <w:color w:val="303AB2"/>
        </w:rPr>
        <w:t>Departamento Comunicación Fotocasa</w:t>
      </w:r>
    </w:p>
    <w:p w14:paraId="410B95EB" w14:textId="77777777" w:rsidR="00EC6401" w:rsidRDefault="00EC6401" w:rsidP="00EC6401">
      <w:pPr>
        <w:shd w:val="clear" w:color="auto" w:fill="FFFFFF"/>
        <w:spacing w:line="276" w:lineRule="auto"/>
        <w:ind w:right="-7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Ramon Torné</w:t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</w:r>
      <w:r>
        <w:rPr>
          <w:rFonts w:ascii="Open Sans" w:eastAsia="Open Sans" w:hAnsi="Open Sans" w:cs="Open Sans"/>
          <w:b/>
          <w:sz w:val="19"/>
          <w:szCs w:val="19"/>
        </w:rPr>
        <w:tab/>
        <w:t xml:space="preserve">                 Anaïs López </w:t>
      </w:r>
    </w:p>
    <w:p w14:paraId="748336B4" w14:textId="77777777" w:rsidR="00EC6401" w:rsidRDefault="00304CBE" w:rsidP="00EC6401">
      <w:pPr>
        <w:shd w:val="clear" w:color="auto" w:fill="FFFFFF"/>
        <w:spacing w:line="276" w:lineRule="auto"/>
        <w:ind w:right="-7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hyperlink r:id="rId23">
        <w:r w:rsidR="00EC6401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rtorne@llorenteycuenca.com</w:t>
        </w:r>
      </w:hyperlink>
      <w:r w:rsidR="00EC6401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EC6401">
        <w:rPr>
          <w:rFonts w:ascii="Open Sans" w:eastAsia="Open Sans" w:hAnsi="Open Sans" w:cs="Open Sans"/>
          <w:color w:val="0000FF"/>
          <w:sz w:val="19"/>
          <w:szCs w:val="19"/>
        </w:rPr>
        <w:tab/>
      </w:r>
      <w:r w:rsidR="00EC6401">
        <w:rPr>
          <w:rFonts w:ascii="Open Sans" w:eastAsia="Open Sans" w:hAnsi="Open Sans" w:cs="Open Sans"/>
          <w:color w:val="0000FF"/>
          <w:sz w:val="19"/>
          <w:szCs w:val="19"/>
        </w:rPr>
        <w:tab/>
        <w:t xml:space="preserve">                                    </w:t>
      </w:r>
      <w:hyperlink r:id="rId24" w:history="1">
        <w:r w:rsidR="00EC6401" w:rsidRPr="0087613C">
          <w:rPr>
            <w:rStyle w:val="Hipervnculo"/>
            <w:rFonts w:ascii="Open Sans" w:eastAsia="Open Sans" w:hAnsi="Open Sans" w:cs="Open Sans"/>
            <w:sz w:val="19"/>
            <w:szCs w:val="19"/>
          </w:rPr>
          <w:t>comunicacion@fotocasa.es</w:t>
        </w:r>
      </w:hyperlink>
    </w:p>
    <w:p w14:paraId="68D68B87" w14:textId="77777777" w:rsidR="00EC6401" w:rsidRDefault="00EC6401" w:rsidP="00EC6401">
      <w:pPr>
        <w:shd w:val="clear" w:color="auto" w:fill="FFFFFF"/>
        <w:spacing w:line="276" w:lineRule="auto"/>
        <w:ind w:right="-7"/>
        <w:rPr>
          <w:rFonts w:ascii="Open Sans" w:eastAsia="Open Sans" w:hAnsi="Open Sans" w:cs="Open Sans"/>
          <w:sz w:val="19"/>
          <w:szCs w:val="19"/>
        </w:rPr>
      </w:pPr>
      <w:r>
        <w:rPr>
          <w:rFonts w:ascii="Open Sans" w:eastAsia="Open Sans" w:hAnsi="Open Sans" w:cs="Open Sans"/>
          <w:sz w:val="19"/>
          <w:szCs w:val="19"/>
        </w:rPr>
        <w:t xml:space="preserve">638 68 19 85      </w:t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</w:r>
      <w:r>
        <w:rPr>
          <w:rFonts w:ascii="Open Sans" w:eastAsia="Open Sans" w:hAnsi="Open Sans" w:cs="Open Sans"/>
          <w:sz w:val="19"/>
          <w:szCs w:val="19"/>
        </w:rPr>
        <w:tab/>
        <w:t xml:space="preserve">                 620 66 29 26</w:t>
      </w:r>
    </w:p>
    <w:p w14:paraId="09B3A8DE" w14:textId="77777777" w:rsidR="00EC6401" w:rsidRDefault="00EC6401" w:rsidP="00EC6401">
      <w:pPr>
        <w:shd w:val="clear" w:color="auto" w:fill="FFFFFF"/>
        <w:ind w:right="-7"/>
        <w:rPr>
          <w:rFonts w:ascii="Open Sans" w:eastAsia="Open Sans" w:hAnsi="Open Sans" w:cs="Open Sans"/>
          <w:color w:val="0000FF"/>
          <w:sz w:val="19"/>
          <w:szCs w:val="19"/>
          <w:u w:val="single"/>
        </w:rPr>
      </w:pP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           </w:t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</w:r>
      <w:r>
        <w:rPr>
          <w:rFonts w:ascii="Arial" w:eastAsia="Arial" w:hAnsi="Arial" w:cs="Arial"/>
          <w:color w:val="222222"/>
          <w:sz w:val="22"/>
          <w:szCs w:val="22"/>
        </w:rPr>
        <w:tab/>
        <w:t xml:space="preserve">     </w:t>
      </w:r>
    </w:p>
    <w:p w14:paraId="4C61F290" w14:textId="77777777" w:rsidR="00EC6401" w:rsidRDefault="00EC6401" w:rsidP="00EC6401">
      <w:pPr>
        <w:shd w:val="clear" w:color="auto" w:fill="FFFFFF"/>
        <w:ind w:right="-7"/>
        <w:rPr>
          <w:rFonts w:ascii="Open Sans" w:eastAsia="Open Sans" w:hAnsi="Open Sans" w:cs="Open Sans"/>
          <w:b/>
          <w:sz w:val="19"/>
          <w:szCs w:val="19"/>
        </w:rPr>
      </w:pPr>
      <w:r>
        <w:rPr>
          <w:rFonts w:ascii="Open Sans" w:eastAsia="Open Sans" w:hAnsi="Open Sans" w:cs="Open Sans"/>
          <w:b/>
          <w:sz w:val="19"/>
          <w:szCs w:val="19"/>
        </w:rPr>
        <w:t>Fanny Merino</w:t>
      </w:r>
    </w:p>
    <w:p w14:paraId="64A354B4" w14:textId="77777777" w:rsidR="00EC6401" w:rsidRDefault="00304CBE" w:rsidP="00EC6401">
      <w:pPr>
        <w:shd w:val="clear" w:color="auto" w:fill="FFFFFF"/>
        <w:ind w:right="-7"/>
        <w:rPr>
          <w:rFonts w:ascii="Open Sans" w:eastAsia="Open Sans" w:hAnsi="Open Sans" w:cs="Open Sans"/>
          <w:color w:val="0000FF"/>
          <w:sz w:val="19"/>
          <w:szCs w:val="19"/>
        </w:rPr>
      </w:pPr>
      <w:hyperlink r:id="rId25">
        <w:r w:rsidR="00EC6401">
          <w:rPr>
            <w:rFonts w:ascii="Open Sans" w:eastAsia="Open Sans" w:hAnsi="Open Sans" w:cs="Open Sans"/>
            <w:color w:val="0000FF"/>
            <w:sz w:val="19"/>
            <w:szCs w:val="19"/>
            <w:u w:val="single"/>
          </w:rPr>
          <w:t>emerino@llorenteycuenca.com</w:t>
        </w:r>
      </w:hyperlink>
    </w:p>
    <w:p w14:paraId="68F567C9" w14:textId="77777777" w:rsidR="00EC6401" w:rsidRDefault="00EC6401" w:rsidP="00EC6401">
      <w:pPr>
        <w:shd w:val="clear" w:color="auto" w:fill="FFFFFF"/>
        <w:ind w:right="-7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 w:eastAsia="Open Sans" w:hAnsi="Open Sans" w:cs="Open Sans"/>
          <w:sz w:val="19"/>
          <w:szCs w:val="19"/>
        </w:rPr>
        <w:t>663 35 69 75 </w:t>
      </w:r>
    </w:p>
    <w:p w14:paraId="299B8787" w14:textId="77777777" w:rsidR="00EC6401" w:rsidRDefault="00EC6401" w:rsidP="00EC6401">
      <w:pPr>
        <w:shd w:val="clear" w:color="auto" w:fill="FFFFFF"/>
        <w:ind w:right="-7"/>
        <w:rPr>
          <w:rFonts w:ascii="Open Sans" w:eastAsia="Open Sans" w:hAnsi="Open Sans" w:cs="Open Sans"/>
          <w:sz w:val="21"/>
          <w:szCs w:val="21"/>
        </w:rPr>
      </w:pPr>
    </w:p>
    <w:bookmarkEnd w:id="3"/>
    <w:p w14:paraId="0E97B2A5" w14:textId="4830FC63" w:rsidR="006728EB" w:rsidRDefault="006728EB" w:rsidP="00EC6401">
      <w:pPr>
        <w:spacing w:line="276" w:lineRule="auto"/>
        <w:ind w:right="-574"/>
        <w:jc w:val="right"/>
        <w:rPr>
          <w:rFonts w:ascii="Open Sans" w:eastAsia="Open Sans" w:hAnsi="Open Sans" w:cs="Open Sans"/>
          <w:color w:val="000000"/>
          <w:sz w:val="21"/>
          <w:szCs w:val="21"/>
        </w:rPr>
      </w:pPr>
    </w:p>
    <w:sectPr w:rsidR="006728EB">
      <w:footerReference w:type="default" r:id="rId26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B0555" w14:textId="77777777" w:rsidR="00304CBE" w:rsidRDefault="00304CBE">
      <w:r>
        <w:separator/>
      </w:r>
    </w:p>
  </w:endnote>
  <w:endnote w:type="continuationSeparator" w:id="0">
    <w:p w14:paraId="20E8B158" w14:textId="77777777" w:rsidR="00304CBE" w:rsidRDefault="0030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">
    <w:altName w:val="Calibri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C036B" w14:textId="77777777" w:rsidR="006728EB" w:rsidRDefault="001564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5422E20" wp14:editId="16F04F41">
          <wp:simplePos x="0" y="0"/>
          <wp:positionH relativeFrom="column">
            <wp:posOffset>-1068069</wp:posOffset>
          </wp:positionH>
          <wp:positionV relativeFrom="paragraph">
            <wp:posOffset>174625</wp:posOffset>
          </wp:positionV>
          <wp:extent cx="7670800" cy="451485"/>
          <wp:effectExtent l="0" t="0" r="0" b="0"/>
          <wp:wrapNone/>
          <wp:docPr id="1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70800" cy="4514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48D3D" w14:textId="77777777" w:rsidR="00304CBE" w:rsidRDefault="00304CBE">
      <w:r>
        <w:separator/>
      </w:r>
    </w:p>
  </w:footnote>
  <w:footnote w:type="continuationSeparator" w:id="0">
    <w:p w14:paraId="7D1D4E47" w14:textId="77777777" w:rsidR="00304CBE" w:rsidRDefault="0030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0519C"/>
    <w:multiLevelType w:val="multilevel"/>
    <w:tmpl w:val="05784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EB"/>
    <w:rsid w:val="000E15C4"/>
    <w:rsid w:val="001564A2"/>
    <w:rsid w:val="00304CBE"/>
    <w:rsid w:val="006728EB"/>
    <w:rsid w:val="006A1CEE"/>
    <w:rsid w:val="00E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4DB1"/>
  <w15:docId w15:val="{4C5EA44C-7D6E-449B-855F-6A10B90C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Refdecomentario">
    <w:name w:val="annotation reference"/>
    <w:uiPriority w:val="99"/>
    <w:semiHidden/>
    <w:unhideWhenUsed/>
    <w:rsid w:val="00964B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4BE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4BED"/>
    <w:rPr>
      <w:sz w:val="20"/>
      <w:szCs w:val="20"/>
    </w:rPr>
  </w:style>
  <w:style w:type="character" w:styleId="Mencinsinresolver">
    <w:name w:val="Unresolved Mention"/>
    <w:uiPriority w:val="99"/>
    <w:semiHidden/>
    <w:unhideWhenUsed/>
    <w:rsid w:val="00E84EE3"/>
    <w:rPr>
      <w:color w:val="605E5C"/>
      <w:shd w:val="clear" w:color="auto" w:fill="E1DFDD"/>
    </w:rPr>
  </w:style>
  <w:style w:type="paragraph" w:customStyle="1" w:styleId="Cuerpo">
    <w:name w:val="Cuerpo"/>
    <w:rsid w:val="0014415E"/>
    <w:rPr>
      <w:rFonts w:ascii="Times New Roman" w:eastAsia="Arial Unicode MS" w:hAnsi="Times New Roman" w:cs="Arial Unicode MS"/>
      <w:color w:val="000000"/>
      <w:u w:color="000000"/>
      <w:lang w:val="en-US" w:eastAsia="en-US"/>
    </w:rPr>
  </w:style>
  <w:style w:type="character" w:customStyle="1" w:styleId="Ninguno">
    <w:name w:val="Ninguno"/>
    <w:rsid w:val="0014415E"/>
    <w:rPr>
      <w:lang w:val="es-ES_tradnl"/>
    </w:rPr>
  </w:style>
  <w:style w:type="table" w:styleId="Tablaconcuadrcula5oscura-nfasis1">
    <w:name w:val="Grid Table 5 Dark Accent 1"/>
    <w:basedOn w:val="Tablanormal"/>
    <w:uiPriority w:val="50"/>
    <w:rsid w:val="001441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paragraph" w:customStyle="1" w:styleId="Texto">
    <w:name w:val="Texto"/>
    <w:basedOn w:val="Normal"/>
    <w:uiPriority w:val="99"/>
    <w:rsid w:val="0014415E"/>
    <w:rPr>
      <w:rFonts w:ascii="Gill Sans MT" w:eastAsia="Times New Roman" w:hAnsi="Gill Sans MT" w:cs="Arial"/>
      <w:sz w:val="22"/>
      <w:szCs w:val="22"/>
      <w:lang w:val="pt-BR" w:eastAsia="es-ES"/>
    </w:rPr>
  </w:style>
  <w:style w:type="paragraph" w:customStyle="1" w:styleId="Listavistosa-nfasis11">
    <w:name w:val="Lista vistosa - Énfasis 11"/>
    <w:basedOn w:val="Normal"/>
    <w:qFormat/>
    <w:rsid w:val="0014415E"/>
    <w:pPr>
      <w:ind w:left="708"/>
    </w:pPr>
    <w:rPr>
      <w:rFonts w:ascii="Times New Roman" w:eastAsia="Times New Roman" w:hAnsi="Times New Roman" w:cs="Times New Roman"/>
      <w:lang w:val="es-ES" w:eastAsia="es-ES"/>
    </w:rPr>
  </w:style>
  <w:style w:type="character" w:styleId="nfasis">
    <w:name w:val="Emphasis"/>
    <w:qFormat/>
    <w:rsid w:val="0014415E"/>
    <w:rPr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E2F3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yperlink" Target="http://www.fotocasa.es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fotocasa.es/es/quienes-somos/" TargetMode="External"/><Relationship Id="rId25" Type="http://schemas.openxmlformats.org/officeDocument/2006/relationships/hyperlink" Target="mailto:emerino@llorenteycuenc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otocasa.es/" TargetMode="External"/><Relationship Id="rId20" Type="http://schemas.openxmlformats.org/officeDocument/2006/relationships/hyperlink" Target="https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hyperlink" Target="mailto:comunicacion@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otocasa.es/indice/" TargetMode="External"/><Relationship Id="rId23" Type="http://schemas.openxmlformats.org/officeDocument/2006/relationships/hyperlink" Target="mailto:rtorne@llorenteycuenca.com" TargetMode="External"/><Relationship Id="rId28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yperlink" Target="https://www.infojobs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tocasa.es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prensa.fotocasa.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prani\Google%20Drive\PATRI%20Y%20ELENA\001%20CLIENTES\01-SCHIBSTED\04-ESTUDIO%20NdP\GARAJES\NdP%202021\RENTABILIDAD\DICIEMBRE%202021\PRENSA%20GARAJES%20RENTABILIDAD%20202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prani\Google%20Drive\PATRI%20Y%20ELENA\001%20CLIENTES\01-SCHIBSTED\04-ESTUDIO%20NdP\GARAJES\NdP%202021\RENTABILIDAD\DICIEMBRE%202021\PRENSA%20GARAJES%20RENTABILIDAD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7.2721953333814926E-2"/>
          <c:y val="7.9178696412948377E-2"/>
          <c:w val="0.87879529967011005"/>
          <c:h val="0.58762507145623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" lastClr="FFFFFF">
                <a:lumMod val="50000"/>
              </a:sys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B5C-4391-9578-ABF4A99421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Hoja1!$A$13:$A$19</c:f>
              <c:strCache>
                <c:ptCount val="7"/>
                <c:pt idx="0">
                  <c:v>2015</c:v>
                </c:pt>
                <c:pt idx="1">
                  <c:v>2016           (5 AÑOS)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  <c:pt idx="5">
                  <c:v>2020          (1 AÑO)</c:v>
                </c:pt>
                <c:pt idx="6">
                  <c:v>2021</c:v>
                </c:pt>
              </c:strCache>
            </c:strRef>
          </c:cat>
          <c:val>
            <c:numRef>
              <c:f>Hoja1!$B$13:$B$19</c:f>
              <c:numCache>
                <c:formatCode>0.0%</c:formatCode>
                <c:ptCount val="7"/>
                <c:pt idx="0">
                  <c:v>5.7507597193943182E-2</c:v>
                </c:pt>
                <c:pt idx="1">
                  <c:v>6.5260945522615507E-2</c:v>
                </c:pt>
                <c:pt idx="2">
                  <c:v>7.5669032912805384E-2</c:v>
                </c:pt>
                <c:pt idx="3">
                  <c:v>7.8468156968720948E-2</c:v>
                </c:pt>
                <c:pt idx="4">
                  <c:v>8.3282855764196168E-2</c:v>
                </c:pt>
                <c:pt idx="5">
                  <c:v>9.2884819889745868E-2</c:v>
                </c:pt>
                <c:pt idx="6">
                  <c:v>8.375762769462626E-2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5C-4391-9578-ABF4A99421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4">
    <c:autoUpdate val="0"/>
  </c:externalData>
  <c:extLst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ivotFmts>
      <c:pivotFmt>
        <c:idx val="0"/>
      </c:pivotFmt>
      <c:pivotFmt>
        <c:idx val="1"/>
      </c:pivotFmt>
      <c:pivotFmt>
        <c:idx val="2"/>
      </c:pivotFmt>
      <c:pivotFmt>
        <c:idx val="3"/>
      </c:pivotFmt>
      <c:pivotFmt>
        <c:idx val="4"/>
      </c:pivotFmt>
      <c:pivotFmt>
        <c:idx val="5"/>
      </c:pivotFmt>
      <c:pivotFmt>
        <c:idx val="6"/>
      </c:pivotFmt>
      <c:pivotFmt>
        <c:idx val="7"/>
      </c:pivotFmt>
      <c:pivotFmt>
        <c:idx val="8"/>
      </c:pivotFmt>
      <c:pivotFmt>
        <c:idx val="9"/>
      </c:pivotFmt>
      <c:pivotFmt>
        <c:idx val="10"/>
      </c:pivotFmt>
      <c:pivotFmt>
        <c:idx val="11"/>
      </c:pivotFmt>
      <c:pivotFmt>
        <c:idx val="12"/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circle"/>
          <c:size val="6"/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8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9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0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1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2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3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4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5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6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37"/>
        <c:spPr>
          <a:solidFill>
            <a:schemeClr val="accent1">
              <a:alpha val="70000"/>
            </a:schemeClr>
          </a:solidFill>
          <a:ln>
            <a:noFill/>
          </a:ln>
          <a:effectLst/>
        </c:spPr>
        <c:marker>
          <c:symbol val="none"/>
        </c:marker>
        <c:dLbl>
          <c:idx val="0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>
        <c:manualLayout>
          <c:layoutTarget val="inner"/>
          <c:xMode val="edge"/>
          <c:yMode val="edge"/>
          <c:x val="4.3567368401295374E-2"/>
          <c:y val="5.6030467323224323E-2"/>
          <c:w val="0.92767768237472259"/>
          <c:h val="0.5935117625164332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" lastClr="FFFFFF">
                <a:lumMod val="50000"/>
              </a:sysClr>
            </a:solidFill>
            <a:ln>
              <a:noFill/>
            </a:ln>
            <a:effectLst/>
          </c:spPr>
          <c:invertIfNegative val="0"/>
          <c:dPt>
            <c:idx val="3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DE0-49E2-A554-56E92805D943}"/>
              </c:ext>
            </c:extLst>
          </c:dPt>
          <c:dPt>
            <c:idx val="4"/>
            <c:invertIfNegative val="0"/>
            <c:bubble3D val="0"/>
            <c:spPr>
              <a:solidFill>
                <a:srgbClr val="7F7F7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FDE0-49E2-A554-56E92805D943}"/>
              </c:ext>
            </c:extLst>
          </c:dPt>
          <c:dPt>
            <c:idx val="5"/>
            <c:invertIfNegative val="0"/>
            <c:bubble3D val="0"/>
            <c:spPr>
              <a:solidFill>
                <a:srgbClr val="7F7F7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FDE0-49E2-A554-56E92805D943}"/>
              </c:ext>
            </c:extLst>
          </c:dPt>
          <c:dLbls>
            <c:dLbl>
              <c:idx val="5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DE0-49E2-A554-56E92805D9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Hoja1!$A$28:$A$44</c:f>
              <c:strCache>
                <c:ptCount val="17"/>
                <c:pt idx="0">
                  <c:v>Región de Murcia</c:v>
                </c:pt>
                <c:pt idx="1">
                  <c:v>Comunitat Valenciana</c:v>
                </c:pt>
                <c:pt idx="2">
                  <c:v>Andalucía</c:v>
                </c:pt>
                <c:pt idx="3">
                  <c:v>España</c:v>
                </c:pt>
                <c:pt idx="4">
                  <c:v>Baleares</c:v>
                </c:pt>
                <c:pt idx="5">
                  <c:v>Canarias</c:v>
                </c:pt>
                <c:pt idx="6">
                  <c:v>Cataluña</c:v>
                </c:pt>
                <c:pt idx="7">
                  <c:v>Madrid</c:v>
                </c:pt>
                <c:pt idx="8">
                  <c:v>Navarra</c:v>
                </c:pt>
                <c:pt idx="9">
                  <c:v>Castilla-La Mancha</c:v>
                </c:pt>
                <c:pt idx="10">
                  <c:v>Cantabria</c:v>
                </c:pt>
                <c:pt idx="11">
                  <c:v>Extremadura</c:v>
                </c:pt>
                <c:pt idx="12">
                  <c:v>Aragón</c:v>
                </c:pt>
                <c:pt idx="13">
                  <c:v>Galicia</c:v>
                </c:pt>
                <c:pt idx="14">
                  <c:v>Asturias</c:v>
                </c:pt>
                <c:pt idx="15">
                  <c:v>Castilla y León</c:v>
                </c:pt>
                <c:pt idx="16">
                  <c:v>País Vasco</c:v>
                </c:pt>
              </c:strCache>
            </c:strRef>
          </c:cat>
          <c:val>
            <c:numRef>
              <c:f>Hoja1!$B$28:$B$44</c:f>
              <c:numCache>
                <c:formatCode>0.0%</c:formatCode>
                <c:ptCount val="17"/>
                <c:pt idx="0">
                  <c:v>0.10850755426711603</c:v>
                </c:pt>
                <c:pt idx="1">
                  <c:v>9.433689993236552E-2</c:v>
                </c:pt>
                <c:pt idx="2">
                  <c:v>8.4988972714815536E-2</c:v>
                </c:pt>
                <c:pt idx="3">
                  <c:v>8.375762769462626E-2</c:v>
                </c:pt>
                <c:pt idx="4">
                  <c:v>8.3647679554647358E-2</c:v>
                </c:pt>
                <c:pt idx="5">
                  <c:v>8.342470344365327E-2</c:v>
                </c:pt>
                <c:pt idx="6">
                  <c:v>8.1109555084072693E-2</c:v>
                </c:pt>
                <c:pt idx="7">
                  <c:v>7.7677270196763973E-2</c:v>
                </c:pt>
                <c:pt idx="8">
                  <c:v>7.729095751562548E-2</c:v>
                </c:pt>
                <c:pt idx="9">
                  <c:v>7.6904069188155108E-2</c:v>
                </c:pt>
                <c:pt idx="10">
                  <c:v>7.2758284214923974E-2</c:v>
                </c:pt>
                <c:pt idx="11">
                  <c:v>7.1058721103397712E-2</c:v>
                </c:pt>
                <c:pt idx="12">
                  <c:v>6.9664994489948714E-2</c:v>
                </c:pt>
                <c:pt idx="13">
                  <c:v>6.8532816690367357E-2</c:v>
                </c:pt>
                <c:pt idx="14">
                  <c:v>6.6836944232188347E-2</c:v>
                </c:pt>
                <c:pt idx="15">
                  <c:v>6.4332697753658352E-2</c:v>
                </c:pt>
                <c:pt idx="16">
                  <c:v>5.9428772147510169E-2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E0-49E2-A554-56E92805D9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25153663"/>
        <c:axId val="424963199"/>
      </c:barChart>
      <c:catAx>
        <c:axId val="425153663"/>
        <c:scaling>
          <c:orientation val="minMax"/>
        </c:scaling>
        <c:delete val="0"/>
        <c:axPos val="b"/>
        <c:numFmt formatCode="[$-C0A]mmmm\-yy;@" sourceLinked="0"/>
        <c:majorTickMark val="out"/>
        <c:minorTickMark val="none"/>
        <c:tickLblPos val="nextTo"/>
        <c:spPr>
          <a:noFill/>
          <a:ln w="1587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none" spc="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24963199"/>
        <c:crosses val="autoZero"/>
        <c:auto val="1"/>
        <c:lblAlgn val="ctr"/>
        <c:lblOffset val="100"/>
        <c:noMultiLvlLbl val="0"/>
      </c:catAx>
      <c:valAx>
        <c:axId val="424963199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42515366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es-ES"/>
    </a:p>
  </c:txPr>
  <c:externalData r:id="rId4">
    <c:autoUpdate val="0"/>
  </c:externalData>
  <c:extLst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HlyTyDUws8oahH/uqcA/ZoB7uQ==">AMUW2mWbGG1ezoSZy8zHmVbCZUgHR79v8xqMP50t3ySxLY4H+wx30MHdU98FWeqUJkCYE5hON0Q3xFVKQex8zx1h+Ibjmx6RBIa//Lcr/JARjN/UgpoHoyaUgoJj+Y5PL1jo0VXveT/f0kbw3YtBi5JanCIh8/H4DQ==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1847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4</cp:revision>
  <dcterms:created xsi:type="dcterms:W3CDTF">2021-02-14T11:41:00Z</dcterms:created>
  <dcterms:modified xsi:type="dcterms:W3CDTF">2022-02-02T17:48:00Z</dcterms:modified>
</cp:coreProperties>
</file>