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1236" w14:textId="77777777" w:rsidR="008B065D" w:rsidRDefault="003A0AE0">
      <w:r>
        <w:rPr>
          <w:noProof/>
        </w:rPr>
        <w:drawing>
          <wp:anchor distT="0" distB="0" distL="0" distR="0" simplePos="0" relativeHeight="251658240" behindDoc="0" locked="0" layoutInCell="1" hidden="0" allowOverlap="1" wp14:anchorId="36893823" wp14:editId="493B75F3">
            <wp:simplePos x="0" y="0"/>
            <wp:positionH relativeFrom="column">
              <wp:posOffset>-1056059</wp:posOffset>
            </wp:positionH>
            <wp:positionV relativeFrom="paragraph">
              <wp:posOffset>-346328</wp:posOffset>
            </wp:positionV>
            <wp:extent cx="7711147" cy="1037167"/>
            <wp:effectExtent l="0" t="0" r="0" b="0"/>
            <wp:wrapSquare wrapText="bothSides" distT="0" distB="0" distL="0" distR="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0A9D9E87" w14:textId="77777777" w:rsidR="008B065D" w:rsidRDefault="008B065D">
      <w:pPr>
        <w:jc w:val="right"/>
        <w:rPr>
          <w:rFonts w:ascii="National" w:eastAsia="National" w:hAnsi="National" w:cs="National"/>
          <w:color w:val="303AB2"/>
          <w:sz w:val="36"/>
          <w:szCs w:val="36"/>
        </w:rPr>
      </w:pPr>
    </w:p>
    <w:p w14:paraId="5BD74CA6" w14:textId="77777777" w:rsidR="008B065D" w:rsidRDefault="008B065D">
      <w:pPr>
        <w:jc w:val="both"/>
        <w:rPr>
          <w:rFonts w:ascii="National" w:eastAsia="National" w:hAnsi="National" w:cs="National"/>
          <w:color w:val="303AB2"/>
        </w:rPr>
      </w:pPr>
    </w:p>
    <w:p w14:paraId="6DA47191" w14:textId="77777777" w:rsidR="008B065D" w:rsidRDefault="003A0AE0">
      <w:pPr>
        <w:jc w:val="center"/>
        <w:rPr>
          <w:rFonts w:ascii="National" w:eastAsia="National" w:hAnsi="National" w:cs="National"/>
          <w:b/>
          <w:color w:val="303AB2"/>
          <w:sz w:val="46"/>
          <w:szCs w:val="46"/>
        </w:rPr>
      </w:pPr>
      <w:r>
        <w:rPr>
          <w:rFonts w:ascii="National" w:eastAsia="National" w:hAnsi="National" w:cs="National"/>
          <w:b/>
          <w:color w:val="303AB2"/>
          <w:sz w:val="52"/>
          <w:szCs w:val="52"/>
        </w:rPr>
        <w:t>"La Ley catalana de vivienda vuelve a vulnerar el derecho a la propiedad privada”</w:t>
      </w:r>
    </w:p>
    <w:p w14:paraId="58A5ABC7" w14:textId="77777777" w:rsidR="008B065D" w:rsidRDefault="008B065D">
      <w:pPr>
        <w:rPr>
          <w:rFonts w:ascii="National" w:eastAsia="National" w:hAnsi="National" w:cs="National"/>
          <w:b/>
          <w:color w:val="303AB2"/>
          <w:sz w:val="14"/>
          <w:szCs w:val="14"/>
        </w:rPr>
      </w:pPr>
    </w:p>
    <w:p w14:paraId="66BBE4E8" w14:textId="77777777" w:rsidR="008B065D" w:rsidRDefault="008B065D">
      <w:pPr>
        <w:spacing w:line="276" w:lineRule="auto"/>
        <w:jc w:val="both"/>
        <w:rPr>
          <w:rFonts w:ascii="Open Sans Light" w:eastAsia="Open Sans Light" w:hAnsi="Open Sans Light" w:cs="Open Sans Light"/>
          <w:sz w:val="22"/>
          <w:szCs w:val="22"/>
        </w:rPr>
      </w:pPr>
    </w:p>
    <w:p w14:paraId="51497C89" w14:textId="77777777" w:rsidR="008B065D" w:rsidRDefault="003A0AE0">
      <w:pPr>
        <w:numPr>
          <w:ilvl w:val="0"/>
          <w:numId w:val="1"/>
        </w:numPr>
        <w:spacing w:line="276" w:lineRule="auto"/>
        <w:ind w:right="4"/>
        <w:jc w:val="both"/>
        <w:rPr>
          <w:rFonts w:ascii="Open Sans" w:eastAsia="Open Sans" w:hAnsi="Open Sans" w:cs="Open Sans"/>
          <w:sz w:val="22"/>
          <w:szCs w:val="22"/>
        </w:rPr>
      </w:pPr>
      <w:r>
        <w:rPr>
          <w:rFonts w:ascii="Open Sans" w:eastAsia="Open Sans" w:hAnsi="Open Sans" w:cs="Open Sans"/>
          <w:sz w:val="22"/>
          <w:szCs w:val="22"/>
        </w:rPr>
        <w:t>Las medidas generarán gran inseguridad jurídica e inestabilidad en el mercado de la vivienda</w:t>
      </w:r>
    </w:p>
    <w:p w14:paraId="0B3B6EF6" w14:textId="77777777" w:rsidR="008B065D" w:rsidRDefault="003A0AE0">
      <w:pPr>
        <w:numPr>
          <w:ilvl w:val="0"/>
          <w:numId w:val="1"/>
        </w:numPr>
        <w:spacing w:line="276" w:lineRule="auto"/>
        <w:ind w:right="4"/>
        <w:jc w:val="both"/>
        <w:rPr>
          <w:rFonts w:ascii="Open Sans" w:eastAsia="Open Sans" w:hAnsi="Open Sans" w:cs="Open Sans"/>
          <w:sz w:val="22"/>
          <w:szCs w:val="22"/>
        </w:rPr>
      </w:pPr>
      <w:r>
        <w:rPr>
          <w:rFonts w:ascii="Open Sans" w:eastAsia="Open Sans" w:hAnsi="Open Sans" w:cs="Open Sans"/>
          <w:sz w:val="22"/>
          <w:szCs w:val="22"/>
        </w:rPr>
        <w:t>Una regulación que aplica normas sancionadoras y punitivas contra los propietarios de viviendas frenará la inversión y la construcción en Cataluña</w:t>
      </w:r>
    </w:p>
    <w:p w14:paraId="021C8905" w14:textId="77777777" w:rsidR="008B065D" w:rsidRDefault="003A0AE0">
      <w:pPr>
        <w:numPr>
          <w:ilvl w:val="0"/>
          <w:numId w:val="1"/>
        </w:numPr>
        <w:spacing w:line="276" w:lineRule="auto"/>
        <w:ind w:right="4"/>
        <w:jc w:val="both"/>
        <w:rPr>
          <w:rFonts w:ascii="Open Sans" w:eastAsia="Open Sans" w:hAnsi="Open Sans" w:cs="Open Sans"/>
          <w:sz w:val="22"/>
          <w:szCs w:val="22"/>
        </w:rPr>
      </w:pPr>
      <w:r>
        <w:rPr>
          <w:rFonts w:ascii="Open Sans" w:eastAsia="Open Sans" w:hAnsi="Open Sans" w:cs="Open Sans"/>
          <w:sz w:val="22"/>
          <w:szCs w:val="22"/>
        </w:rPr>
        <w:t>El Tribunal Cons</w:t>
      </w:r>
      <w:r>
        <w:rPr>
          <w:rFonts w:ascii="Open Sans" w:eastAsia="Open Sans" w:hAnsi="Open Sans" w:cs="Open Sans"/>
          <w:sz w:val="22"/>
          <w:szCs w:val="22"/>
        </w:rPr>
        <w:t>titucional ya sentenció que las normas que imponían obligaciones a propietarios interfieren en la propiedad privada</w:t>
      </w:r>
    </w:p>
    <w:p w14:paraId="1BC13A65" w14:textId="77777777" w:rsidR="008B065D" w:rsidRDefault="008B065D">
      <w:pPr>
        <w:pBdr>
          <w:top w:val="nil"/>
          <w:left w:val="nil"/>
          <w:bottom w:val="nil"/>
          <w:right w:val="nil"/>
          <w:between w:val="nil"/>
        </w:pBdr>
        <w:shd w:val="clear" w:color="auto" w:fill="FFFFFF"/>
        <w:spacing w:after="225" w:line="276" w:lineRule="auto"/>
        <w:ind w:right="-135"/>
        <w:rPr>
          <w:rFonts w:ascii="Open Sans" w:eastAsia="Open Sans" w:hAnsi="Open Sans" w:cs="Open Sans"/>
          <w:b/>
          <w:color w:val="303AB2"/>
          <w:highlight w:val="white"/>
        </w:rPr>
      </w:pPr>
    </w:p>
    <w:p w14:paraId="5EE9E34C" w14:textId="77777777" w:rsidR="008B065D" w:rsidRDefault="003A0AE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highlight w:val="white"/>
        </w:rPr>
      </w:pPr>
      <w:r>
        <w:rPr>
          <w:rFonts w:ascii="Open Sans" w:eastAsia="Open Sans" w:hAnsi="Open Sans" w:cs="Open Sans"/>
          <w:b/>
          <w:color w:val="303AB2"/>
          <w:highlight w:val="white"/>
        </w:rPr>
        <w:t>Madrid, 08 de marzo 2022</w:t>
      </w:r>
    </w:p>
    <w:p w14:paraId="4DC1CAB4" w14:textId="23534E09" w:rsidR="008B065D" w:rsidRDefault="003A0AE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Las modificaciones a la Ley 24/201</w:t>
      </w:r>
      <w:r w:rsidR="00196F1C">
        <w:rPr>
          <w:rFonts w:ascii="Open Sans" w:eastAsia="Open Sans" w:hAnsi="Open Sans" w:cs="Open Sans"/>
          <w:sz w:val="21"/>
          <w:szCs w:val="21"/>
        </w:rPr>
        <w:t xml:space="preserve">5 </w:t>
      </w:r>
      <w:r>
        <w:rPr>
          <w:rFonts w:ascii="Open Sans" w:eastAsia="Open Sans" w:hAnsi="Open Sans" w:cs="Open Sans"/>
          <w:sz w:val="21"/>
          <w:szCs w:val="21"/>
        </w:rPr>
        <w:t>de 29 de julio aprobada</w:t>
      </w:r>
      <w:r>
        <w:rPr>
          <w:rFonts w:ascii="Open Sans" w:eastAsia="Open Sans" w:hAnsi="Open Sans" w:cs="Open Sans"/>
          <w:sz w:val="21"/>
          <w:szCs w:val="21"/>
        </w:rPr>
        <w:t>s el pasado 23 de febrero</w:t>
      </w:r>
      <w:r w:rsidR="00196F1C">
        <w:rPr>
          <w:rFonts w:ascii="Open Sans" w:eastAsia="Open Sans" w:hAnsi="Open Sans" w:cs="Open Sans"/>
          <w:sz w:val="21"/>
          <w:szCs w:val="21"/>
        </w:rPr>
        <w:t xml:space="preserve"> entran  hoy en</w:t>
      </w:r>
      <w:r>
        <w:rPr>
          <w:rFonts w:ascii="Open Sans" w:eastAsia="Open Sans" w:hAnsi="Open Sans" w:cs="Open Sans"/>
          <w:sz w:val="21"/>
          <w:szCs w:val="21"/>
        </w:rPr>
        <w:t xml:space="preserve"> vigor</w:t>
      </w:r>
      <w:r w:rsidR="00196F1C">
        <w:rPr>
          <w:rFonts w:ascii="Open Sans" w:eastAsia="Open Sans" w:hAnsi="Open Sans" w:cs="Open Sans"/>
          <w:sz w:val="21"/>
          <w:szCs w:val="21"/>
        </w:rPr>
        <w:t xml:space="preserve"> con el objetivo de</w:t>
      </w:r>
      <w:r>
        <w:rPr>
          <w:rFonts w:ascii="Open Sans" w:eastAsia="Open Sans" w:hAnsi="Open Sans" w:cs="Open Sans"/>
          <w:sz w:val="21"/>
          <w:szCs w:val="21"/>
        </w:rPr>
        <w:t xml:space="preserve"> afrontar la emergencia en el ámbito de la vivienda y la pobreza energética</w:t>
      </w:r>
      <w:r w:rsidR="00196F1C">
        <w:rPr>
          <w:rFonts w:ascii="Open Sans" w:eastAsia="Open Sans" w:hAnsi="Open Sans" w:cs="Open Sans"/>
          <w:sz w:val="21"/>
          <w:szCs w:val="21"/>
        </w:rPr>
        <w:t xml:space="preserve"> y</w:t>
      </w:r>
      <w:r>
        <w:rPr>
          <w:rFonts w:ascii="Open Sans" w:eastAsia="Open Sans" w:hAnsi="Open Sans" w:cs="Open Sans"/>
          <w:sz w:val="21"/>
          <w:szCs w:val="21"/>
        </w:rPr>
        <w:t xml:space="preserve"> </w:t>
      </w:r>
      <w:r w:rsidR="00196F1C">
        <w:rPr>
          <w:rFonts w:ascii="Open Sans" w:eastAsia="Open Sans" w:hAnsi="Open Sans" w:cs="Open Sans"/>
          <w:sz w:val="21"/>
          <w:szCs w:val="21"/>
        </w:rPr>
        <w:t xml:space="preserve">que </w:t>
      </w:r>
      <w:r>
        <w:rPr>
          <w:rFonts w:ascii="Open Sans" w:eastAsia="Open Sans" w:hAnsi="Open Sans" w:cs="Open Sans"/>
          <w:sz w:val="21"/>
          <w:szCs w:val="21"/>
        </w:rPr>
        <w:t>pretenden detener los desalojos mediante la imposición a los grandes propietarios de ofrecer alquiler social a col</w:t>
      </w:r>
      <w:r>
        <w:rPr>
          <w:rFonts w:ascii="Open Sans" w:eastAsia="Open Sans" w:hAnsi="Open Sans" w:cs="Open Sans"/>
          <w:sz w:val="21"/>
          <w:szCs w:val="21"/>
        </w:rPr>
        <w:t>ectivos vulnerables o a quienes hayan ocupado una vivienda y estén en exclusión residencial, ya fueron tumbadas por la sentencia del Tribunal Constitucional del 16/2021 del pasado enero.</w:t>
      </w:r>
    </w:p>
    <w:p w14:paraId="1E8A2B0B" w14:textId="77777777" w:rsidR="008B065D" w:rsidRDefault="003A0AE0">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Desde Fotocasa, apoyamos que la administración pública catalana recon</w:t>
      </w:r>
      <w:r>
        <w:rPr>
          <w:rFonts w:ascii="Open Sans" w:eastAsia="Open Sans" w:hAnsi="Open Sans" w:cs="Open Sans"/>
          <w:sz w:val="21"/>
          <w:szCs w:val="21"/>
        </w:rPr>
        <w:t>ozca el gran problema de acceso a la vivienda y que trabaje para erradicar la situación de exclusión residencial de muchas familias y colectivos vulnerables en la región, así como para facilitarles el acceso a una vivienda digna. Secundamos sus principales</w:t>
      </w:r>
      <w:r>
        <w:rPr>
          <w:rFonts w:ascii="Open Sans" w:eastAsia="Open Sans" w:hAnsi="Open Sans" w:cs="Open Sans"/>
          <w:sz w:val="21"/>
          <w:szCs w:val="21"/>
        </w:rPr>
        <w:t xml:space="preserve"> objetivos de incrementar hasta el 15% el parque de vivienda social en ciento cincuenta y dos municipios con una fuerte demanda residencial, así como el de ayudar a las personas y familias potencialmente excluidas del mercado de la vivienda a acceder a ell</w:t>
      </w:r>
      <w:r>
        <w:rPr>
          <w:rFonts w:ascii="Open Sans" w:eastAsia="Open Sans" w:hAnsi="Open Sans" w:cs="Open Sans"/>
          <w:sz w:val="21"/>
          <w:szCs w:val="21"/>
        </w:rPr>
        <w:t>a en unas condiciones asumibles.</w:t>
      </w:r>
    </w:p>
    <w:p w14:paraId="35A1FBB2" w14:textId="66547E68" w:rsidR="008B065D" w:rsidRDefault="003A0AE0">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Sin embargo, las acciones coactivas y no voluntarias, descritas en la normativa trasladan esta responsabilidad al sector privado. Los recursos utilizados por la administración para ofrecer soluciones habitacionales deben se</w:t>
      </w:r>
      <w:r>
        <w:rPr>
          <w:rFonts w:ascii="Open Sans" w:eastAsia="Open Sans" w:hAnsi="Open Sans" w:cs="Open Sans"/>
          <w:sz w:val="21"/>
          <w:szCs w:val="21"/>
        </w:rPr>
        <w:t xml:space="preserve">r públicos o garantizarse </w:t>
      </w:r>
      <w:r w:rsidR="00D774E4">
        <w:rPr>
          <w:rFonts w:ascii="Open Sans" w:eastAsia="Open Sans" w:hAnsi="Open Sans" w:cs="Open Sans"/>
          <w:sz w:val="21"/>
          <w:szCs w:val="21"/>
        </w:rPr>
        <w:t>a través</w:t>
      </w:r>
      <w:r>
        <w:rPr>
          <w:rFonts w:ascii="Open Sans" w:eastAsia="Open Sans" w:hAnsi="Open Sans" w:cs="Open Sans"/>
          <w:sz w:val="21"/>
          <w:szCs w:val="21"/>
        </w:rPr>
        <w:t xml:space="preserve"> de la vivienda asequible puesta en marcha por la colaboración </w:t>
      </w:r>
      <w:r w:rsidR="00D774E4">
        <w:rPr>
          <w:rFonts w:ascii="Open Sans" w:eastAsia="Open Sans" w:hAnsi="Open Sans" w:cs="Open Sans"/>
          <w:sz w:val="21"/>
          <w:szCs w:val="21"/>
        </w:rPr>
        <w:t>público-privada</w:t>
      </w:r>
      <w:r>
        <w:rPr>
          <w:rFonts w:ascii="Open Sans" w:eastAsia="Open Sans" w:hAnsi="Open Sans" w:cs="Open Sans"/>
          <w:sz w:val="21"/>
          <w:szCs w:val="21"/>
        </w:rPr>
        <w:t xml:space="preserve">. Por lo tanto, es competencia de la administración ofrecer un realojo a las personas que se encuentren en situaciones vulnerables. </w:t>
      </w:r>
    </w:p>
    <w:p w14:paraId="2241A612" w14:textId="15C62AEE" w:rsidR="008B065D" w:rsidRDefault="003A0AE0">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Esta circu</w:t>
      </w:r>
      <w:r>
        <w:rPr>
          <w:rFonts w:ascii="Open Sans" w:eastAsia="Open Sans" w:hAnsi="Open Sans" w:cs="Open Sans"/>
          <w:sz w:val="21"/>
          <w:szCs w:val="21"/>
        </w:rPr>
        <w:t xml:space="preserve">nstancia podría provocar que se contrajese la oferta residencial por parte de los </w:t>
      </w:r>
      <w:r w:rsidR="00D774E4">
        <w:rPr>
          <w:rFonts w:ascii="Open Sans" w:eastAsia="Open Sans" w:hAnsi="Open Sans" w:cs="Open Sans"/>
          <w:sz w:val="21"/>
          <w:szCs w:val="21"/>
        </w:rPr>
        <w:t>grandes propietarios</w:t>
      </w:r>
      <w:r>
        <w:rPr>
          <w:rFonts w:ascii="Open Sans" w:eastAsia="Open Sans" w:hAnsi="Open Sans" w:cs="Open Sans"/>
          <w:sz w:val="21"/>
          <w:szCs w:val="21"/>
        </w:rPr>
        <w:t xml:space="preserve"> y que se paralizase la inversión de cara al exterior. En un mercado sumamente volátil como es el de la vivienda, en el que el 90% del parque depend</w:t>
      </w:r>
      <w:r>
        <w:rPr>
          <w:rFonts w:ascii="Open Sans" w:eastAsia="Open Sans" w:hAnsi="Open Sans" w:cs="Open Sans"/>
          <w:sz w:val="21"/>
          <w:szCs w:val="21"/>
        </w:rPr>
        <w:t>e de los arrendadores, cualquier medida que tenga el objetivo de sancionar, impactará en el sector causando las consecuencias contrarias a las deseadas: escasez de oferta y más dificultades para acceder a la vivienda. De hecho, el informe APCE, ya ha revel</w:t>
      </w:r>
      <w:r>
        <w:rPr>
          <w:rFonts w:ascii="Open Sans" w:eastAsia="Open Sans" w:hAnsi="Open Sans" w:cs="Open Sans"/>
          <w:sz w:val="21"/>
          <w:szCs w:val="21"/>
        </w:rPr>
        <w:t>ado el impacto que ha tenido en Cataluña una medida similar -la de obligar a los constructores a destinar un porcentaje a vivienda social-; el 55,3% de ellos, ha parado la inversión esperando un nuevo escenario, el 31,6% ha reducido su inversión y el 13,1%</w:t>
      </w:r>
      <w:r>
        <w:rPr>
          <w:rFonts w:ascii="Open Sans" w:eastAsia="Open Sans" w:hAnsi="Open Sans" w:cs="Open Sans"/>
          <w:sz w:val="21"/>
          <w:szCs w:val="21"/>
        </w:rPr>
        <w:t xml:space="preserve"> ha trasladado su inversión a otro territorio donde no se aplica la norma.  La incertidumbre de cara al inversor extranjero hará que nuestro país deje de ser atractivo para los inversores que llevarán su negocio fuera de Cataluña.</w:t>
      </w:r>
    </w:p>
    <w:p w14:paraId="4B8CC22D" w14:textId="77777777" w:rsidR="008B065D" w:rsidRDefault="003A0AE0">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Esta regulación previsibl</w:t>
      </w:r>
      <w:r>
        <w:rPr>
          <w:rFonts w:ascii="Open Sans" w:eastAsia="Open Sans" w:hAnsi="Open Sans" w:cs="Open Sans"/>
          <w:sz w:val="21"/>
          <w:szCs w:val="21"/>
        </w:rPr>
        <w:t>emente volverá a causar litigiosidad en los tribunales e impulsará una nueva ola de reclamaciones, por parte de los propietarios profesionales. Lo que generará un clima de inestabilidad, que será percibido como desamparo jurídico por los arrendadores. Adem</w:t>
      </w:r>
      <w:r>
        <w:rPr>
          <w:rFonts w:ascii="Open Sans" w:eastAsia="Open Sans" w:hAnsi="Open Sans" w:cs="Open Sans"/>
          <w:sz w:val="21"/>
          <w:szCs w:val="21"/>
        </w:rPr>
        <w:t>ás, el Tribunal Constitucional ya declaró inconstitucionales estas normas, que imponían directamente deberes concretos a los propietarios, y que por lo tanto interfiere en el derecho a la propiedad privada.</w:t>
      </w:r>
    </w:p>
    <w:p w14:paraId="720216AE" w14:textId="77777777" w:rsidR="008B065D" w:rsidRDefault="003A0AE0">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En la justificación de la nueva regulación, la pr</w:t>
      </w:r>
      <w:r>
        <w:rPr>
          <w:rFonts w:ascii="Open Sans" w:eastAsia="Open Sans" w:hAnsi="Open Sans" w:cs="Open Sans"/>
          <w:sz w:val="21"/>
          <w:szCs w:val="21"/>
        </w:rPr>
        <w:t>opia Generalitat admite la escasez del parque público de vivienda y la insuficiente promoción de vivienda protegida. Así como que “los presupuestos públicos destinados a las políticas de viviendas son insuficientes”, son cuestiones que la administración de</w:t>
      </w:r>
      <w:r>
        <w:rPr>
          <w:rFonts w:ascii="Open Sans" w:eastAsia="Open Sans" w:hAnsi="Open Sans" w:cs="Open Sans"/>
          <w:sz w:val="21"/>
          <w:szCs w:val="21"/>
        </w:rPr>
        <w:t xml:space="preserve">be solventar con agilidad, y en las que debe asumir la obligación y el compromiso de remediarlas con sus recursos o bien buscando fórmulas de colaboración con el sector privado para estimular la oferta, lanzando ayudas públicas adicionales o impulsando la </w:t>
      </w:r>
      <w:r>
        <w:rPr>
          <w:rFonts w:ascii="Open Sans" w:eastAsia="Open Sans" w:hAnsi="Open Sans" w:cs="Open Sans"/>
          <w:sz w:val="21"/>
          <w:szCs w:val="21"/>
        </w:rPr>
        <w:t>oferta de vivienda social, al mismo tiempo que se dan alicientes al arrendamiento asequible para propietarios.</w:t>
      </w:r>
    </w:p>
    <w:p w14:paraId="552D0559" w14:textId="52825517" w:rsidR="008B065D" w:rsidRDefault="008B065D">
      <w:pPr>
        <w:spacing w:line="276" w:lineRule="auto"/>
        <w:ind w:right="4"/>
        <w:jc w:val="both"/>
        <w:rPr>
          <w:rFonts w:ascii="Open Sans" w:eastAsia="Open Sans" w:hAnsi="Open Sans" w:cs="Open Sans"/>
          <w:sz w:val="22"/>
          <w:szCs w:val="22"/>
        </w:rPr>
      </w:pPr>
    </w:p>
    <w:p w14:paraId="6D07301D" w14:textId="47CDC3CB" w:rsidR="00D774E4" w:rsidRDefault="00D774E4">
      <w:pPr>
        <w:spacing w:line="276" w:lineRule="auto"/>
        <w:ind w:right="4"/>
        <w:jc w:val="both"/>
        <w:rPr>
          <w:rFonts w:ascii="Open Sans" w:eastAsia="Open Sans" w:hAnsi="Open Sans" w:cs="Open Sans"/>
          <w:sz w:val="22"/>
          <w:szCs w:val="22"/>
        </w:rPr>
      </w:pPr>
    </w:p>
    <w:p w14:paraId="3BDD14F1" w14:textId="2B79455B" w:rsidR="00D774E4" w:rsidRDefault="00D774E4">
      <w:pPr>
        <w:spacing w:line="276" w:lineRule="auto"/>
        <w:ind w:right="4"/>
        <w:jc w:val="both"/>
        <w:rPr>
          <w:rFonts w:ascii="Open Sans" w:eastAsia="Open Sans" w:hAnsi="Open Sans" w:cs="Open Sans"/>
          <w:sz w:val="22"/>
          <w:szCs w:val="22"/>
        </w:rPr>
      </w:pPr>
    </w:p>
    <w:p w14:paraId="66668BCC" w14:textId="070E05DA" w:rsidR="00D774E4" w:rsidRDefault="00D774E4">
      <w:pPr>
        <w:spacing w:line="276" w:lineRule="auto"/>
        <w:ind w:right="4"/>
        <w:jc w:val="both"/>
        <w:rPr>
          <w:rFonts w:ascii="Open Sans" w:eastAsia="Open Sans" w:hAnsi="Open Sans" w:cs="Open Sans"/>
          <w:sz w:val="22"/>
          <w:szCs w:val="22"/>
        </w:rPr>
      </w:pPr>
    </w:p>
    <w:p w14:paraId="40032F86" w14:textId="5542EB6A" w:rsidR="00D774E4" w:rsidRDefault="00D774E4">
      <w:pPr>
        <w:spacing w:line="276" w:lineRule="auto"/>
        <w:ind w:right="4"/>
        <w:jc w:val="both"/>
        <w:rPr>
          <w:rFonts w:ascii="Open Sans" w:eastAsia="Open Sans" w:hAnsi="Open Sans" w:cs="Open Sans"/>
          <w:sz w:val="22"/>
          <w:szCs w:val="22"/>
        </w:rPr>
      </w:pPr>
    </w:p>
    <w:p w14:paraId="034E2325" w14:textId="77777777" w:rsidR="00D774E4" w:rsidRDefault="00D774E4">
      <w:pPr>
        <w:spacing w:line="276" w:lineRule="auto"/>
        <w:ind w:right="4"/>
        <w:jc w:val="both"/>
        <w:rPr>
          <w:rFonts w:ascii="Open Sans" w:eastAsia="Open Sans" w:hAnsi="Open Sans" w:cs="Open Sans"/>
          <w:sz w:val="22"/>
          <w:szCs w:val="22"/>
        </w:rPr>
      </w:pPr>
    </w:p>
    <w:p w14:paraId="3B331627" w14:textId="77777777" w:rsidR="008B065D" w:rsidRDefault="003A0AE0">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lastRenderedPageBreak/>
        <w:t xml:space="preserve">Toda nuestra información la puedes encontrar en nuestra </w:t>
      </w:r>
      <w:hyperlink r:id="rId9">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p w14:paraId="31E5A272" w14:textId="77777777" w:rsidR="008B065D" w:rsidRDefault="008B065D">
      <w:pPr>
        <w:shd w:val="clear" w:color="auto" w:fill="FFFFFF"/>
        <w:spacing w:line="276" w:lineRule="auto"/>
        <w:ind w:right="-716"/>
        <w:jc w:val="both"/>
        <w:rPr>
          <w:rFonts w:ascii="Open Sans" w:eastAsia="Open Sans" w:hAnsi="Open Sans" w:cs="Open Sans"/>
          <w:sz w:val="22"/>
          <w:szCs w:val="22"/>
        </w:rPr>
      </w:pPr>
    </w:p>
    <w:p w14:paraId="5195C5CE" w14:textId="77777777" w:rsidR="008B065D" w:rsidRDefault="008B065D">
      <w:pPr>
        <w:spacing w:line="276" w:lineRule="auto"/>
        <w:ind w:right="-716"/>
        <w:rPr>
          <w:rFonts w:ascii="Open Sans Light" w:eastAsia="Open Sans Light" w:hAnsi="Open Sans Light" w:cs="Open Sans Light"/>
          <w:b/>
          <w:color w:val="303AB2"/>
          <w:sz w:val="22"/>
          <w:szCs w:val="22"/>
        </w:rPr>
      </w:pPr>
    </w:p>
    <w:p w14:paraId="79D25A3B" w14:textId="77777777" w:rsidR="008B065D" w:rsidRDefault="003A0AE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15DC86F1" w14:textId="77777777" w:rsidR="008B065D" w:rsidRDefault="003A0AE0">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4831889E" w14:textId="77777777" w:rsidR="008B065D" w:rsidRDefault="003A0AE0">
      <w:pPr>
        <w:shd w:val="clear" w:color="auto" w:fill="FFFFFF"/>
        <w:spacing w:line="276" w:lineRule="auto"/>
        <w:ind w:right="-716"/>
        <w:rPr>
          <w:rFonts w:ascii="Open Sans" w:eastAsia="Open Sans" w:hAnsi="Open Sans" w:cs="Open Sans"/>
          <w:color w:val="0000FF"/>
          <w:sz w:val="19"/>
          <w:szCs w:val="19"/>
          <w:u w:val="single"/>
        </w:rPr>
      </w:pPr>
      <w:hyperlink r:id="rId10">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 xml:space="preserve">                                                  </w:t>
      </w:r>
      <w:hyperlink r:id="rId11">
        <w:r>
          <w:rPr>
            <w:rFonts w:ascii="Open Sans" w:eastAsia="Open Sans" w:hAnsi="Open Sans" w:cs="Open Sans"/>
            <w:color w:val="0000FF"/>
            <w:sz w:val="19"/>
            <w:szCs w:val="19"/>
            <w:u w:val="single"/>
          </w:rPr>
          <w:t>comunicacion@fotocasa.es</w:t>
        </w:r>
      </w:hyperlink>
    </w:p>
    <w:p w14:paraId="2F52F0AA" w14:textId="77777777" w:rsidR="008B065D" w:rsidRDefault="003A0AE0">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1BE76661" w14:textId="77777777" w:rsidR="008B065D" w:rsidRDefault="003A0AE0">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74F48B2" w14:textId="77777777" w:rsidR="008B065D" w:rsidRDefault="003A0AE0">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57A483A5" w14:textId="77777777" w:rsidR="008B065D" w:rsidRDefault="003A0AE0">
      <w:pPr>
        <w:shd w:val="clear" w:color="auto" w:fill="FFFFFF"/>
        <w:ind w:right="-716"/>
        <w:rPr>
          <w:rFonts w:ascii="Open Sans" w:eastAsia="Open Sans" w:hAnsi="Open Sans" w:cs="Open Sans"/>
          <w:color w:val="0000FF"/>
          <w:sz w:val="19"/>
          <w:szCs w:val="19"/>
        </w:rPr>
      </w:pPr>
      <w:hyperlink r:id="rId12">
        <w:r>
          <w:rPr>
            <w:rFonts w:ascii="Open Sans" w:eastAsia="Open Sans" w:hAnsi="Open Sans" w:cs="Open Sans"/>
            <w:color w:val="0000FF"/>
            <w:sz w:val="19"/>
            <w:szCs w:val="19"/>
            <w:u w:val="single"/>
          </w:rPr>
          <w:t>emerino@llorenteycuenca.com</w:t>
        </w:r>
      </w:hyperlink>
    </w:p>
    <w:p w14:paraId="5D5B2682" w14:textId="77777777" w:rsidR="008B065D" w:rsidRDefault="003A0AE0">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0CE133B4" w14:textId="77777777" w:rsidR="008B065D" w:rsidRDefault="008B065D">
      <w:pPr>
        <w:pBdr>
          <w:top w:val="nil"/>
          <w:left w:val="nil"/>
          <w:bottom w:val="nil"/>
          <w:right w:val="nil"/>
          <w:between w:val="nil"/>
        </w:pBdr>
        <w:shd w:val="clear" w:color="auto" w:fill="FFFFFF"/>
        <w:spacing w:line="276" w:lineRule="auto"/>
        <w:ind w:right="-12"/>
        <w:rPr>
          <w:rFonts w:ascii="Open Sans" w:eastAsia="Open Sans" w:hAnsi="Open Sans" w:cs="Open Sans"/>
          <w:color w:val="000000"/>
          <w:sz w:val="21"/>
          <w:szCs w:val="21"/>
        </w:rPr>
      </w:pPr>
    </w:p>
    <w:sectPr w:rsidR="008B065D">
      <w:footerReference w:type="default" r:id="rId13"/>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CF53" w14:textId="77777777" w:rsidR="003A0AE0" w:rsidRDefault="003A0AE0">
      <w:r>
        <w:separator/>
      </w:r>
    </w:p>
  </w:endnote>
  <w:endnote w:type="continuationSeparator" w:id="0">
    <w:p w14:paraId="6CF544F6" w14:textId="77777777" w:rsidR="003A0AE0" w:rsidRDefault="003A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1C3E" w14:textId="77777777" w:rsidR="008B065D" w:rsidRDefault="003A0AE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7D27FCC" wp14:editId="717D7D7D">
          <wp:simplePos x="0" y="0"/>
          <wp:positionH relativeFrom="column">
            <wp:posOffset>-1106157</wp:posOffset>
          </wp:positionH>
          <wp:positionV relativeFrom="paragraph">
            <wp:posOffset>148705</wp:posOffset>
          </wp:positionV>
          <wp:extent cx="7670550" cy="451315"/>
          <wp:effectExtent l="0" t="0" r="0" b="0"/>
          <wp:wrapSquare wrapText="bothSides" distT="0" distB="0" distL="0" distR="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3CC5" w14:textId="77777777" w:rsidR="003A0AE0" w:rsidRDefault="003A0AE0">
      <w:r>
        <w:separator/>
      </w:r>
    </w:p>
  </w:footnote>
  <w:footnote w:type="continuationSeparator" w:id="0">
    <w:p w14:paraId="6480B6BB" w14:textId="77777777" w:rsidR="003A0AE0" w:rsidRDefault="003A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BE4"/>
    <w:multiLevelType w:val="multilevel"/>
    <w:tmpl w:val="41E418E0"/>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5D"/>
    <w:rsid w:val="00196F1C"/>
    <w:rsid w:val="003A0AE0"/>
    <w:rsid w:val="008B065D"/>
    <w:rsid w:val="00D77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D038"/>
  <w15:docId w15:val="{C5370E03-29D7-4FC0-B626-030037C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 w:type="paragraph" w:styleId="Revisin">
    <w:name w:val="Revision"/>
    <w:hidden/>
    <w:uiPriority w:val="99"/>
    <w:semiHidden/>
    <w:rsid w:val="00D85496"/>
  </w:style>
  <w:style w:type="character" w:styleId="Refdecomentario">
    <w:name w:val="annotation reference"/>
    <w:basedOn w:val="Fuentedeprrafopredeter"/>
    <w:uiPriority w:val="99"/>
    <w:semiHidden/>
    <w:unhideWhenUsed/>
    <w:rsid w:val="0009626B"/>
    <w:rPr>
      <w:sz w:val="16"/>
      <w:szCs w:val="16"/>
    </w:rPr>
  </w:style>
  <w:style w:type="paragraph" w:styleId="Textocomentario">
    <w:name w:val="annotation text"/>
    <w:basedOn w:val="Normal"/>
    <w:link w:val="TextocomentarioCar"/>
    <w:uiPriority w:val="99"/>
    <w:semiHidden/>
    <w:unhideWhenUsed/>
    <w:rsid w:val="0009626B"/>
    <w:rPr>
      <w:sz w:val="20"/>
      <w:szCs w:val="20"/>
    </w:rPr>
  </w:style>
  <w:style w:type="character" w:customStyle="1" w:styleId="TextocomentarioCar">
    <w:name w:val="Texto comentario Car"/>
    <w:basedOn w:val="Fuentedeprrafopredeter"/>
    <w:link w:val="Textocomentario"/>
    <w:uiPriority w:val="99"/>
    <w:semiHidden/>
    <w:rsid w:val="0009626B"/>
    <w:rPr>
      <w:sz w:val="20"/>
      <w:szCs w:val="20"/>
    </w:rPr>
  </w:style>
  <w:style w:type="paragraph" w:styleId="Asuntodelcomentario">
    <w:name w:val="annotation subject"/>
    <w:basedOn w:val="Textocomentario"/>
    <w:next w:val="Textocomentario"/>
    <w:link w:val="AsuntodelcomentarioCar"/>
    <w:uiPriority w:val="99"/>
    <w:semiHidden/>
    <w:unhideWhenUsed/>
    <w:rsid w:val="0009626B"/>
    <w:rPr>
      <w:b/>
      <w:bCs/>
    </w:rPr>
  </w:style>
  <w:style w:type="character" w:customStyle="1" w:styleId="AsuntodelcomentarioCar">
    <w:name w:val="Asunto del comentario Car"/>
    <w:basedOn w:val="TextocomentarioCar"/>
    <w:link w:val="Asuntodelcomentario"/>
    <w:uiPriority w:val="99"/>
    <w:semiHidden/>
    <w:rsid w:val="0009626B"/>
    <w:rPr>
      <w:b/>
      <w:bCs/>
      <w:sz w:val="20"/>
      <w:szCs w:val="20"/>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rino@llorenteycuen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prensa.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PXNjN3CrV3Pw7baRrP9CRbnLQ==">AMUW2mW+DkP2I/JFCW+9JyXMI7DdNBCok0j1SSRD+ZgUqYZlp45ijqCfTNcrl3uKnvWBHAmKowcHy1i20r1KWNN+P19E2larDDbznZtTxNHRBUkJpfZPs8w=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4158</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2022-01-13T10:42:00Z</dcterms:created>
  <dcterms:modified xsi:type="dcterms:W3CDTF">2022-03-08T07:20:00Z</dcterms:modified>
</cp:coreProperties>
</file>