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EA5A" w14:textId="77777777" w:rsidR="00F0386C" w:rsidRDefault="00AC3927">
      <w:r>
        <w:rPr>
          <w:noProof/>
        </w:rPr>
        <w:drawing>
          <wp:anchor distT="0" distB="0" distL="0" distR="0" simplePos="0" relativeHeight="251658240" behindDoc="0" locked="0" layoutInCell="1" hidden="0" allowOverlap="1" wp14:anchorId="63BDC855" wp14:editId="02BB4E75">
            <wp:simplePos x="0" y="0"/>
            <wp:positionH relativeFrom="column">
              <wp:posOffset>-1056060</wp:posOffset>
            </wp:positionH>
            <wp:positionV relativeFrom="paragraph">
              <wp:posOffset>-346329</wp:posOffset>
            </wp:positionV>
            <wp:extent cx="7711147" cy="1037167"/>
            <wp:effectExtent l="0" t="0" r="0" b="0"/>
            <wp:wrapSquare wrapText="bothSides" distT="0" distB="0" distL="0" distR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B023F0" w14:textId="77777777" w:rsidR="00F0386C" w:rsidRDefault="00F0386C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15F833B" w14:textId="77777777" w:rsidR="00F0386C" w:rsidRDefault="00F0386C">
      <w:pPr>
        <w:jc w:val="both"/>
        <w:rPr>
          <w:rFonts w:ascii="National" w:eastAsia="National" w:hAnsi="National" w:cs="National"/>
          <w:color w:val="303AB2"/>
        </w:rPr>
      </w:pPr>
    </w:p>
    <w:p w14:paraId="183A207D" w14:textId="77777777" w:rsidR="00F0386C" w:rsidRDefault="00AC3927">
      <w:pPr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52"/>
          <w:szCs w:val="52"/>
        </w:rPr>
        <w:t>"La guerra entre Rusia y Ucrania impulsará la inversión en el inmobiliario como valor refugio”</w:t>
      </w:r>
    </w:p>
    <w:p w14:paraId="08FD1BC7" w14:textId="77777777" w:rsidR="00F0386C" w:rsidRDefault="00F0386C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711F55E4" w14:textId="77777777" w:rsidR="00F0386C" w:rsidRDefault="00F0386C">
      <w:pPr>
        <w:spacing w:line="276" w:lineRule="auto"/>
        <w:jc w:val="both"/>
        <w:rPr>
          <w:rFonts w:ascii="Open Sans" w:eastAsia="Open Sans" w:hAnsi="Open Sans" w:cs="Open Sans"/>
        </w:rPr>
      </w:pPr>
    </w:p>
    <w:p w14:paraId="5A2EF94C" w14:textId="77777777" w:rsidR="00F0386C" w:rsidRDefault="00AC3927">
      <w:pPr>
        <w:numPr>
          <w:ilvl w:val="0"/>
          <w:numId w:val="1"/>
        </w:numPr>
        <w:spacing w:line="276" w:lineRule="auto"/>
        <w:jc w:val="both"/>
        <w:rPr>
          <w:rFonts w:ascii="Open Sans Light" w:eastAsia="Open Sans Light" w:hAnsi="Open Sans Light" w:cs="Open Sans Light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Las sanciones a la economía rusa reducirán los inversores operando en el inmobiliario español, como ya ocurrió tras la invasión de Crimea</w:t>
      </w:r>
    </w:p>
    <w:p w14:paraId="571EC0FC" w14:textId="77777777" w:rsidR="00F0386C" w:rsidRDefault="00AC3927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conflicto puede acelerar el auge de la inflación, encareciendo los alquileres y dificultando el acceso a la viviend</w:t>
      </w:r>
      <w:r>
        <w:rPr>
          <w:rFonts w:ascii="Open Sans" w:eastAsia="Open Sans" w:hAnsi="Open Sans" w:cs="Open Sans"/>
          <w:sz w:val="22"/>
          <w:szCs w:val="22"/>
        </w:rPr>
        <w:t>a</w:t>
      </w:r>
    </w:p>
    <w:p w14:paraId="51DE5E5C" w14:textId="77777777" w:rsidR="00F0386C" w:rsidRDefault="00AC3927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Continúa la incógnita sobre si finalmente el BCE subirá los tipos de interés en un contexto de posible ralentización económica a causa de la guerra</w:t>
      </w:r>
    </w:p>
    <w:p w14:paraId="5AD6CEF4" w14:textId="77777777" w:rsidR="00F0386C" w:rsidRDefault="00F0386C" w:rsidP="00B63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right="-135"/>
        <w:rPr>
          <w:rFonts w:ascii="Open Sans" w:eastAsia="Open Sans" w:hAnsi="Open Sans" w:cs="Open Sans"/>
          <w:b/>
          <w:color w:val="303AB2"/>
          <w:highlight w:val="white"/>
        </w:rPr>
      </w:pPr>
    </w:p>
    <w:p w14:paraId="7DCE572E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color w:val="303AB2"/>
          <w:highlight w:val="white"/>
        </w:rPr>
        <w:t>Madrid, 03 de marzo 2022</w:t>
      </w:r>
    </w:p>
    <w:p w14:paraId="6FF3792B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El conflicto bélico iniciado por el Gobierno de Vladimir Putin tendrá consecuencias económicas para Rusia, pero sus efectos se extenderán a la economía internacional y, por supuesto, a la española. En primer lugar, las sanciones impuestas a la economía rus</w:t>
      </w:r>
      <w:r>
        <w:rPr>
          <w:rFonts w:ascii="Open Sans" w:eastAsia="Open Sans" w:hAnsi="Open Sans" w:cs="Open Sans"/>
          <w:sz w:val="21"/>
          <w:szCs w:val="21"/>
        </w:rPr>
        <w:t xml:space="preserve">a y la consecuente devaluación del rublo -que cede más del 30% de su valor respecto al euro en la última semana- </w:t>
      </w:r>
      <w:r>
        <w:rPr>
          <w:rFonts w:ascii="Open Sans" w:eastAsia="Open Sans" w:hAnsi="Open Sans" w:cs="Open Sans"/>
          <w:b/>
          <w:sz w:val="21"/>
          <w:szCs w:val="21"/>
        </w:rPr>
        <w:t>afectarán negativamente a la actividad de ciudadanos de este país en el mercado inmobiliario español</w:t>
      </w:r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6A7C5164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sz w:val="21"/>
          <w:szCs w:val="21"/>
        </w:rPr>
        <w:t>Como ya ocurrió en 2014 tras las sancion</w:t>
      </w:r>
      <w:r>
        <w:rPr>
          <w:rFonts w:ascii="Open Sans" w:eastAsia="Open Sans" w:hAnsi="Open Sans" w:cs="Open Sans"/>
          <w:sz w:val="21"/>
          <w:szCs w:val="21"/>
        </w:rPr>
        <w:t xml:space="preserve">es impuestas por la invasión de Crimea, </w:t>
      </w:r>
      <w:r>
        <w:rPr>
          <w:rFonts w:ascii="Open Sans" w:eastAsia="Open Sans" w:hAnsi="Open Sans" w:cs="Open Sans"/>
          <w:b/>
          <w:sz w:val="21"/>
          <w:szCs w:val="21"/>
        </w:rPr>
        <w:t>la demanda de ciudadanos rusos en el sector inmobiliario español ha ido descendiendo paulatinamente durante los últimos años</w:t>
      </w:r>
      <w:r>
        <w:rPr>
          <w:rFonts w:ascii="Open Sans" w:eastAsia="Open Sans" w:hAnsi="Open Sans" w:cs="Open Sans"/>
          <w:sz w:val="21"/>
          <w:szCs w:val="21"/>
        </w:rPr>
        <w:t>, según las estadísticas recogidas en los informes de Estadística Registral Inmobiliaria del</w:t>
      </w:r>
      <w:r>
        <w:rPr>
          <w:rFonts w:ascii="Open Sans" w:eastAsia="Open Sans" w:hAnsi="Open Sans" w:cs="Open Sans"/>
          <w:sz w:val="21"/>
          <w:szCs w:val="21"/>
        </w:rPr>
        <w:t xml:space="preserve"> Colegio de Registradores. En este sentido, las nuevas sanciones a la economía rusa reforzarán esta tendencia decreciente de la participación de ciudadanos rusos en el mercado inmobiliario español.</w:t>
      </w:r>
    </w:p>
    <w:tbl>
      <w:tblPr>
        <w:tblStyle w:val="a"/>
        <w:tblW w:w="909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70"/>
        <w:gridCol w:w="2580"/>
        <w:gridCol w:w="2370"/>
      </w:tblGrid>
      <w:tr w:rsidR="00F0386C" w14:paraId="68D9126A" w14:textId="77777777" w:rsidTr="00F03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3E4B6363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Año</w:t>
            </w:r>
          </w:p>
        </w:tc>
        <w:tc>
          <w:tcPr>
            <w:tcW w:w="2370" w:type="dxa"/>
            <w:vAlign w:val="center"/>
          </w:tcPr>
          <w:p w14:paraId="6D30A2AE" w14:textId="77777777" w:rsidR="00F0386C" w:rsidRDefault="00AC3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(%) Compras de ciudadanos rusos</w:t>
            </w:r>
          </w:p>
        </w:tc>
        <w:tc>
          <w:tcPr>
            <w:tcW w:w="2580" w:type="dxa"/>
            <w:vAlign w:val="center"/>
          </w:tcPr>
          <w:p w14:paraId="7DDDE59E" w14:textId="77777777" w:rsidR="00F0386C" w:rsidRDefault="00AC3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Compraventas totales</w:t>
            </w:r>
          </w:p>
        </w:tc>
        <w:tc>
          <w:tcPr>
            <w:tcW w:w="2370" w:type="dxa"/>
            <w:vAlign w:val="center"/>
          </w:tcPr>
          <w:p w14:paraId="44BEDAB4" w14:textId="77777777" w:rsidR="00F0386C" w:rsidRDefault="00AC3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ompras de ciudadanos rusos</w:t>
            </w:r>
          </w:p>
        </w:tc>
      </w:tr>
      <w:tr w:rsidR="00F0386C" w14:paraId="1D852029" w14:textId="77777777" w:rsidTr="00F0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6AA46358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F8403F5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0,96 %</w:t>
            </w:r>
          </w:p>
        </w:tc>
        <w:tc>
          <w:tcPr>
            <w:tcW w:w="2580" w:type="dxa"/>
            <w:vAlign w:val="bottom"/>
          </w:tcPr>
          <w:p w14:paraId="46989170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329.146</w:t>
            </w:r>
          </w:p>
        </w:tc>
        <w:tc>
          <w:tcPr>
            <w:tcW w:w="2370" w:type="dxa"/>
            <w:vAlign w:val="bottom"/>
          </w:tcPr>
          <w:p w14:paraId="661061CF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3.159</w:t>
            </w:r>
          </w:p>
        </w:tc>
      </w:tr>
      <w:tr w:rsidR="00F0386C" w14:paraId="18F2A21F" w14:textId="77777777" w:rsidTr="00F038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172F9632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2014</w:t>
            </w:r>
          </w:p>
        </w:tc>
        <w:tc>
          <w:tcPr>
            <w:tcW w:w="2370" w:type="dxa"/>
          </w:tcPr>
          <w:p w14:paraId="17A1B2B7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0,97 %</w:t>
            </w:r>
          </w:p>
        </w:tc>
        <w:tc>
          <w:tcPr>
            <w:tcW w:w="2580" w:type="dxa"/>
            <w:vAlign w:val="bottom"/>
          </w:tcPr>
          <w:p w14:paraId="3151D2F3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318.928</w:t>
            </w:r>
          </w:p>
        </w:tc>
        <w:tc>
          <w:tcPr>
            <w:tcW w:w="2370" w:type="dxa"/>
            <w:vAlign w:val="bottom"/>
          </w:tcPr>
          <w:p w14:paraId="2B167E29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3.093</w:t>
            </w:r>
          </w:p>
        </w:tc>
      </w:tr>
      <w:tr w:rsidR="00F0386C" w14:paraId="09D1685B" w14:textId="77777777" w:rsidTr="00F0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2F422DB8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8E0B700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0,50 %</w:t>
            </w:r>
          </w:p>
        </w:tc>
        <w:tc>
          <w:tcPr>
            <w:tcW w:w="2580" w:type="dxa"/>
            <w:vAlign w:val="bottom"/>
          </w:tcPr>
          <w:p w14:paraId="7FD93597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354.538</w:t>
            </w:r>
          </w:p>
        </w:tc>
        <w:tc>
          <w:tcPr>
            <w:tcW w:w="2370" w:type="dxa"/>
            <w:vAlign w:val="bottom"/>
          </w:tcPr>
          <w:p w14:paraId="4AE9E3B5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1.772</w:t>
            </w:r>
          </w:p>
        </w:tc>
      </w:tr>
      <w:tr w:rsidR="00F0386C" w14:paraId="46501204" w14:textId="77777777" w:rsidTr="00F038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419D171E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2016</w:t>
            </w:r>
          </w:p>
        </w:tc>
        <w:tc>
          <w:tcPr>
            <w:tcW w:w="2370" w:type="dxa"/>
          </w:tcPr>
          <w:p w14:paraId="428CAC3F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0,38 %</w:t>
            </w:r>
          </w:p>
        </w:tc>
        <w:tc>
          <w:tcPr>
            <w:tcW w:w="2580" w:type="dxa"/>
            <w:vAlign w:val="bottom"/>
          </w:tcPr>
          <w:p w14:paraId="29B8B844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sz w:val="22"/>
                <w:szCs w:val="22"/>
              </w:rPr>
              <w:t>403.743</w:t>
            </w:r>
          </w:p>
        </w:tc>
        <w:tc>
          <w:tcPr>
            <w:tcW w:w="2370" w:type="dxa"/>
            <w:vAlign w:val="bottom"/>
          </w:tcPr>
          <w:p w14:paraId="2E81D834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1.534</w:t>
            </w:r>
          </w:p>
        </w:tc>
      </w:tr>
      <w:tr w:rsidR="00F0386C" w14:paraId="5B9A8281" w14:textId="77777777" w:rsidTr="00F0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08CFF61A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D210456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0,37 %</w:t>
            </w:r>
          </w:p>
        </w:tc>
        <w:tc>
          <w:tcPr>
            <w:tcW w:w="2580" w:type="dxa"/>
            <w:vAlign w:val="bottom"/>
          </w:tcPr>
          <w:p w14:paraId="66B01641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464.223</w:t>
            </w:r>
          </w:p>
        </w:tc>
        <w:tc>
          <w:tcPr>
            <w:tcW w:w="2370" w:type="dxa"/>
            <w:vAlign w:val="bottom"/>
          </w:tcPr>
          <w:p w14:paraId="0C52B29A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1.717</w:t>
            </w:r>
          </w:p>
        </w:tc>
      </w:tr>
      <w:tr w:rsidR="00F0386C" w14:paraId="151DDCA9" w14:textId="77777777" w:rsidTr="00F038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518D706B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2018</w:t>
            </w:r>
          </w:p>
        </w:tc>
        <w:tc>
          <w:tcPr>
            <w:tcW w:w="2370" w:type="dxa"/>
          </w:tcPr>
          <w:p w14:paraId="3A1EA5BE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0,37 %</w:t>
            </w:r>
          </w:p>
        </w:tc>
        <w:tc>
          <w:tcPr>
            <w:tcW w:w="2580" w:type="dxa"/>
            <w:vAlign w:val="bottom"/>
          </w:tcPr>
          <w:p w14:paraId="44C940F1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516.680</w:t>
            </w:r>
          </w:p>
        </w:tc>
        <w:tc>
          <w:tcPr>
            <w:tcW w:w="2370" w:type="dxa"/>
            <w:vAlign w:val="bottom"/>
          </w:tcPr>
          <w:p w14:paraId="77CD2BFF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1.911</w:t>
            </w:r>
          </w:p>
        </w:tc>
      </w:tr>
      <w:tr w:rsidR="00F0386C" w14:paraId="0BC24846" w14:textId="77777777" w:rsidTr="00F0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35A6FF29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2979179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0,40 %</w:t>
            </w:r>
          </w:p>
        </w:tc>
        <w:tc>
          <w:tcPr>
            <w:tcW w:w="2580" w:type="dxa"/>
            <w:vAlign w:val="bottom"/>
          </w:tcPr>
          <w:p w14:paraId="6BB4B708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503.875</w:t>
            </w:r>
          </w:p>
        </w:tc>
        <w:tc>
          <w:tcPr>
            <w:tcW w:w="2370" w:type="dxa"/>
            <w:vAlign w:val="bottom"/>
          </w:tcPr>
          <w:p w14:paraId="0EDE9336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2.015</w:t>
            </w:r>
          </w:p>
        </w:tc>
      </w:tr>
      <w:tr w:rsidR="00F0386C" w14:paraId="377B5188" w14:textId="77777777" w:rsidTr="00F038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375B6E1C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2020</w:t>
            </w:r>
          </w:p>
        </w:tc>
        <w:tc>
          <w:tcPr>
            <w:tcW w:w="2370" w:type="dxa"/>
          </w:tcPr>
          <w:p w14:paraId="499C095B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0,28 %</w:t>
            </w:r>
          </w:p>
        </w:tc>
        <w:tc>
          <w:tcPr>
            <w:tcW w:w="2580" w:type="dxa"/>
            <w:vAlign w:val="bottom"/>
          </w:tcPr>
          <w:p w14:paraId="021FB218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sz w:val="22"/>
                <w:szCs w:val="22"/>
              </w:rPr>
              <w:t>419.898</w:t>
            </w:r>
          </w:p>
        </w:tc>
        <w:tc>
          <w:tcPr>
            <w:tcW w:w="2370" w:type="dxa"/>
            <w:vAlign w:val="bottom"/>
          </w:tcPr>
          <w:p w14:paraId="14FFE184" w14:textId="77777777" w:rsidR="00F0386C" w:rsidRDefault="00AC3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1.175</w:t>
            </w:r>
          </w:p>
        </w:tc>
      </w:tr>
      <w:tr w:rsidR="00F0386C" w14:paraId="315D8E86" w14:textId="77777777" w:rsidTr="00F0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bottom"/>
          </w:tcPr>
          <w:p w14:paraId="10F3B151" w14:textId="77777777" w:rsidR="00F0386C" w:rsidRDefault="00AC392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2021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FE61AE8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0,23%</w:t>
            </w:r>
          </w:p>
        </w:tc>
        <w:tc>
          <w:tcPr>
            <w:tcW w:w="2580" w:type="dxa"/>
            <w:vAlign w:val="bottom"/>
          </w:tcPr>
          <w:p w14:paraId="69A3361B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sz w:val="22"/>
                <w:szCs w:val="22"/>
              </w:rPr>
              <w:t>564.569</w:t>
            </w:r>
          </w:p>
        </w:tc>
        <w:tc>
          <w:tcPr>
            <w:tcW w:w="2370" w:type="dxa"/>
            <w:vAlign w:val="bottom"/>
          </w:tcPr>
          <w:p w14:paraId="355FA584" w14:textId="77777777" w:rsidR="00F0386C" w:rsidRDefault="00AC3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1.306</w:t>
            </w:r>
          </w:p>
        </w:tc>
      </w:tr>
    </w:tbl>
    <w:p w14:paraId="10ED25EB" w14:textId="77777777" w:rsidR="00B63404" w:rsidRDefault="00B63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1C74197F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 Light" w:eastAsia="Open Sans Light" w:hAnsi="Open Sans Light" w:cs="Open Sans Light"/>
          <w:b/>
          <w:color w:val="303AB2"/>
        </w:rPr>
        <w:t>Valor refugio</w:t>
      </w:r>
    </w:p>
    <w:p w14:paraId="2D02D602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A pesar de este descenso en la previsible entrada de capital ruso en el mercado inmobiliario español, a nivel general se reforzará la percepción de la vivienda como valor refugio para los inversores. Debido a la altísima volatilidad que se percibe en los m</w:t>
      </w:r>
      <w:r>
        <w:rPr>
          <w:rFonts w:ascii="Open Sans" w:eastAsia="Open Sans" w:hAnsi="Open Sans" w:cs="Open Sans"/>
          <w:sz w:val="21"/>
          <w:szCs w:val="21"/>
        </w:rPr>
        <w:t xml:space="preserve">ercados durante los últimos días, </w:t>
      </w:r>
      <w:r>
        <w:rPr>
          <w:rFonts w:ascii="Open Sans" w:eastAsia="Open Sans" w:hAnsi="Open Sans" w:cs="Open Sans"/>
          <w:b/>
          <w:sz w:val="21"/>
          <w:szCs w:val="21"/>
        </w:rPr>
        <w:t>los inversores pueden virar su estrategia hacia activos más estables y seguros, como los del sector inmobiliario</w:t>
      </w:r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60D8DF65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Algunos ejemplos de esta inestabilidad son las caídas generalizadas en las bolsas europeas y americanas, la</w:t>
      </w:r>
      <w:r>
        <w:rPr>
          <w:rFonts w:ascii="Open Sans" w:eastAsia="Open Sans" w:hAnsi="Open Sans" w:cs="Open Sans"/>
          <w:sz w:val="21"/>
          <w:szCs w:val="21"/>
        </w:rPr>
        <w:t xml:space="preserve"> fuerte subida del gas, el petróleo, o materias primas como el trigo, las caídas en las criptomonedas o la subida del oro, que alcanza ya máximos desde 2020. Por ello, </w:t>
      </w:r>
      <w:r>
        <w:rPr>
          <w:rFonts w:ascii="Open Sans" w:eastAsia="Open Sans" w:hAnsi="Open Sans" w:cs="Open Sans"/>
          <w:b/>
          <w:sz w:val="21"/>
          <w:szCs w:val="21"/>
        </w:rPr>
        <w:t>durante este 2022 es probable que se incremente el número de compradores que adquieren u</w:t>
      </w:r>
      <w:r>
        <w:rPr>
          <w:rFonts w:ascii="Open Sans" w:eastAsia="Open Sans" w:hAnsi="Open Sans" w:cs="Open Sans"/>
          <w:b/>
          <w:sz w:val="21"/>
          <w:szCs w:val="21"/>
        </w:rPr>
        <w:t>na vivienda como inversión</w:t>
      </w:r>
      <w:r>
        <w:rPr>
          <w:rFonts w:ascii="Open Sans" w:eastAsia="Open Sans" w:hAnsi="Open Sans" w:cs="Open Sans"/>
          <w:sz w:val="21"/>
          <w:szCs w:val="21"/>
        </w:rPr>
        <w:t>, que se situó en un 9% el pasado año, según el informe “</w:t>
      </w:r>
      <w:hyperlink r:id="rId9">
        <w:r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>Experiencia en compra y venta en 2021</w:t>
        </w:r>
      </w:hyperlink>
      <w:r>
        <w:rPr>
          <w:rFonts w:ascii="Open Sans" w:eastAsia="Open Sans" w:hAnsi="Open Sans" w:cs="Open Sans"/>
          <w:sz w:val="21"/>
          <w:szCs w:val="21"/>
        </w:rPr>
        <w:t>” realizado por Fotocasa Research.</w:t>
      </w:r>
    </w:p>
    <w:p w14:paraId="7AFF0945" w14:textId="77777777" w:rsidR="00F0386C" w:rsidRDefault="00AC3927">
      <w:pPr>
        <w:spacing w:line="276" w:lineRule="auto"/>
        <w:ind w:right="-574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 Light" w:eastAsia="Open Sans Light" w:hAnsi="Open Sans Light" w:cs="Open Sans Light"/>
          <w:b/>
          <w:color w:val="303AB2"/>
        </w:rPr>
        <w:t>Riesgo de mayor inflac</w:t>
      </w:r>
      <w:r>
        <w:rPr>
          <w:rFonts w:ascii="Open Sans Light" w:eastAsia="Open Sans Light" w:hAnsi="Open Sans Light" w:cs="Open Sans Light"/>
          <w:b/>
          <w:color w:val="303AB2"/>
        </w:rPr>
        <w:t>ión</w:t>
      </w:r>
    </w:p>
    <w:p w14:paraId="25138545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La inflación, causada por el aumento de la factura energética, el precio de las materias primas y los cuellos de botella provocados por el parón en la producción durante la pandemia, puede verse acelerada a un ritmo todavía superior al de los últimos m</w:t>
      </w:r>
      <w:r>
        <w:rPr>
          <w:rFonts w:ascii="Open Sans" w:eastAsia="Open Sans" w:hAnsi="Open Sans" w:cs="Open Sans"/>
          <w:sz w:val="21"/>
          <w:szCs w:val="21"/>
        </w:rPr>
        <w:t>eses, en los que ya ha alcanzado máximos históricos de las últimas décadas.</w:t>
      </w:r>
    </w:p>
    <w:p w14:paraId="78EC5C70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El conflicto bélico incrementará todavía más el alza de la inflación, lo que supondrá un </w:t>
      </w:r>
      <w:r>
        <w:rPr>
          <w:rFonts w:ascii="Open Sans" w:eastAsia="Open Sans" w:hAnsi="Open Sans" w:cs="Open Sans"/>
          <w:b/>
          <w:sz w:val="21"/>
          <w:szCs w:val="21"/>
        </w:rPr>
        <w:t>empobrecimiento de las familias, menor capacidad de ahorro y en última instancia dificultar</w:t>
      </w:r>
      <w:r>
        <w:rPr>
          <w:rFonts w:ascii="Open Sans" w:eastAsia="Open Sans" w:hAnsi="Open Sans" w:cs="Open Sans"/>
          <w:b/>
          <w:sz w:val="21"/>
          <w:szCs w:val="21"/>
        </w:rPr>
        <w:t xml:space="preserve">á el acceso a la vivienda </w:t>
      </w:r>
      <w:r>
        <w:rPr>
          <w:rFonts w:ascii="Open Sans" w:eastAsia="Open Sans" w:hAnsi="Open Sans" w:cs="Open Sans"/>
          <w:sz w:val="21"/>
          <w:szCs w:val="21"/>
        </w:rPr>
        <w:t xml:space="preserve">de compra para una parte de la población, sobre todo para los más vulnerables. Igualmente, </w:t>
      </w:r>
      <w:r>
        <w:rPr>
          <w:rFonts w:ascii="Open Sans" w:eastAsia="Open Sans" w:hAnsi="Open Sans" w:cs="Open Sans"/>
          <w:b/>
          <w:sz w:val="21"/>
          <w:szCs w:val="21"/>
        </w:rPr>
        <w:t>la inflación encarecerá el precio de los alquileres</w:t>
      </w:r>
      <w:r>
        <w:rPr>
          <w:rFonts w:ascii="Open Sans" w:eastAsia="Open Sans" w:hAnsi="Open Sans" w:cs="Open Sans"/>
          <w:sz w:val="21"/>
          <w:szCs w:val="21"/>
        </w:rPr>
        <w:t xml:space="preserve"> que se revisen a partir del IPC.</w:t>
      </w:r>
    </w:p>
    <w:p w14:paraId="1EA3339E" w14:textId="77777777" w:rsidR="00F0386C" w:rsidRDefault="00AC3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lastRenderedPageBreak/>
        <w:t xml:space="preserve">Otro aspecto importante relacionado con esta guerra y </w:t>
      </w:r>
      <w:r>
        <w:rPr>
          <w:rFonts w:ascii="Open Sans" w:eastAsia="Open Sans" w:hAnsi="Open Sans" w:cs="Open Sans"/>
          <w:sz w:val="21"/>
          <w:szCs w:val="21"/>
        </w:rPr>
        <w:t>su efecto en la inflación es el precio de los materiales de construcción, que estaban ya en máximos antes del comienzo del conflicto y que, debido a la escalada de la violencia, pueden continuar la subida. Esto sumado al incremento de los costes de constru</w:t>
      </w:r>
      <w:r>
        <w:rPr>
          <w:rFonts w:ascii="Open Sans" w:eastAsia="Open Sans" w:hAnsi="Open Sans" w:cs="Open Sans"/>
          <w:sz w:val="21"/>
          <w:szCs w:val="21"/>
        </w:rPr>
        <w:t>cción y a la falta de mano de obra en el sector, acarreará un incremento del precio de las promociones de obra nueva.</w:t>
      </w:r>
    </w:p>
    <w:p w14:paraId="074A4D11" w14:textId="77777777" w:rsidR="00F0386C" w:rsidRDefault="00AC392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La incógnita de los tipos de interés</w:t>
      </w:r>
    </w:p>
    <w:p w14:paraId="487B3FFF" w14:textId="77777777" w:rsidR="00F0386C" w:rsidRDefault="00F0386C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3B52E3AB" w14:textId="77777777" w:rsidR="00F0386C" w:rsidRDefault="00AC3927">
      <w:p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Sobre los efectos de la guerra en la economía en general y el mercado inmobiliario español en pa</w:t>
      </w:r>
      <w:r>
        <w:rPr>
          <w:rFonts w:ascii="Open Sans" w:eastAsia="Open Sans" w:hAnsi="Open Sans" w:cs="Open Sans"/>
          <w:sz w:val="22"/>
          <w:szCs w:val="22"/>
        </w:rPr>
        <w:t xml:space="preserve">rticular, queda el interrogante sobre qué sucederá con los tipos de interés de la Eurozona. Si hace varias semanas el BCE abrió la puerta a posibles alzas del precio del dinero a causa de la elevada inflación,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el conflicto y la ralentización económica que </w:t>
      </w:r>
      <w:r>
        <w:rPr>
          <w:rFonts w:ascii="Open Sans" w:eastAsia="Open Sans" w:hAnsi="Open Sans" w:cs="Open Sans"/>
          <w:b/>
          <w:sz w:val="22"/>
          <w:szCs w:val="22"/>
        </w:rPr>
        <w:t>puede venir a causa de la guerra podría hacer variar estos planes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75F4DC47" w14:textId="77777777" w:rsidR="00F0386C" w:rsidRDefault="00F0386C">
      <w:p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</w:p>
    <w:p w14:paraId="4DB382BC" w14:textId="77777777" w:rsidR="00F0386C" w:rsidRDefault="00AC3927">
      <w:p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teoría, una subida de tipos por parte de Frankfurt debería “enfriar” la economía, reduciendo la demanda agregada y conteniendo la inflación. </w:t>
      </w:r>
      <w:r>
        <w:rPr>
          <w:rFonts w:ascii="Open Sans" w:eastAsia="Open Sans" w:hAnsi="Open Sans" w:cs="Open Sans"/>
          <w:b/>
          <w:sz w:val="22"/>
          <w:szCs w:val="22"/>
        </w:rPr>
        <w:t>Los tipos de interés más elevados podrían en</w:t>
      </w:r>
      <w:r>
        <w:rPr>
          <w:rFonts w:ascii="Open Sans" w:eastAsia="Open Sans" w:hAnsi="Open Sans" w:cs="Open Sans"/>
          <w:b/>
          <w:sz w:val="22"/>
          <w:szCs w:val="22"/>
        </w:rPr>
        <w:t>carecer el crédito hipotecario a potenciales compradores, así como desviar inversiones destinadas al sector inmobiliario hacia el ahorro</w:t>
      </w:r>
      <w:r>
        <w:rPr>
          <w:rFonts w:ascii="Open Sans" w:eastAsia="Open Sans" w:hAnsi="Open Sans" w:cs="Open Sans"/>
          <w:sz w:val="22"/>
          <w:szCs w:val="22"/>
        </w:rPr>
        <w:t xml:space="preserve">, lo que podría llegar a frenar el mercado. Con todo, partimos de tipos de interés en mínimos históricos en la Eurozona </w:t>
      </w:r>
      <w:r>
        <w:rPr>
          <w:rFonts w:ascii="Open Sans" w:eastAsia="Open Sans" w:hAnsi="Open Sans" w:cs="Open Sans"/>
          <w:sz w:val="22"/>
          <w:szCs w:val="22"/>
        </w:rPr>
        <w:t>y se espera que una eventual subida por parte del BCE se haga de forma muy progresiva, por lo que el efecto a corto plazo sería moderado.</w:t>
      </w:r>
    </w:p>
    <w:p w14:paraId="7AAB3259" w14:textId="77777777" w:rsidR="00F0386C" w:rsidRDefault="00F0386C">
      <w:p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</w:p>
    <w:p w14:paraId="14B76830" w14:textId="77777777" w:rsidR="00F0386C" w:rsidRDefault="00F0386C">
      <w:p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</w:p>
    <w:p w14:paraId="5B24A39F" w14:textId="77777777" w:rsidR="00F0386C" w:rsidRDefault="00F0386C">
      <w:pPr>
        <w:spacing w:line="276" w:lineRule="auto"/>
        <w:ind w:right="4"/>
        <w:jc w:val="both"/>
        <w:rPr>
          <w:rFonts w:ascii="Open Sans" w:eastAsia="Open Sans" w:hAnsi="Open Sans" w:cs="Open Sans"/>
          <w:sz w:val="22"/>
          <w:szCs w:val="22"/>
        </w:rPr>
      </w:pPr>
    </w:p>
    <w:p w14:paraId="27A5EEB8" w14:textId="77777777" w:rsidR="00F0386C" w:rsidRDefault="00AC392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Toda nuestra información la puedes encontrar en nuestra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23C3C829" w14:textId="77777777" w:rsidR="00F0386C" w:rsidRDefault="00F0386C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</w:p>
    <w:p w14:paraId="28E29307" w14:textId="77777777" w:rsidR="00F0386C" w:rsidRDefault="00F0386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72F4DFC" w14:textId="77777777" w:rsidR="00F0386C" w:rsidRDefault="00AC3927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CCF793E" w14:textId="77777777" w:rsidR="00F0386C" w:rsidRDefault="00AC392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              Anaïs López </w:t>
      </w:r>
    </w:p>
    <w:p w14:paraId="0E6AF7F3" w14:textId="77777777" w:rsidR="00F0386C" w:rsidRDefault="00AC392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11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12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38B6D023" w14:textId="77777777" w:rsidR="00F0386C" w:rsidRDefault="00AC392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 xml:space="preserve">                                620 66 29 26</w:t>
      </w:r>
    </w:p>
    <w:p w14:paraId="585BA4A8" w14:textId="77777777" w:rsidR="00F0386C" w:rsidRDefault="00AC3927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4EC8A7FB" w14:textId="77777777" w:rsidR="00F0386C" w:rsidRDefault="00AC3927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02E1380E" w14:textId="77777777" w:rsidR="00F0386C" w:rsidRDefault="00AC3927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13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15302BD5" w14:textId="77777777" w:rsidR="00F0386C" w:rsidRDefault="00AC3927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740E4D70" w14:textId="77777777" w:rsidR="00F0386C" w:rsidRDefault="00F038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2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F0386C">
      <w:footerReference w:type="default" r:id="rId14"/>
      <w:pgSz w:w="11900" w:h="16840"/>
      <w:pgMar w:top="1417" w:right="113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CAF9" w14:textId="77777777" w:rsidR="00AC3927" w:rsidRDefault="00AC3927">
      <w:r>
        <w:separator/>
      </w:r>
    </w:p>
  </w:endnote>
  <w:endnote w:type="continuationSeparator" w:id="0">
    <w:p w14:paraId="5EDD05C9" w14:textId="77777777" w:rsidR="00AC3927" w:rsidRDefault="00AC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5FC6" w14:textId="77777777" w:rsidR="00F0386C" w:rsidRDefault="00AC3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2683579" wp14:editId="52D85047">
          <wp:simplePos x="0" y="0"/>
          <wp:positionH relativeFrom="column">
            <wp:posOffset>-1106158</wp:posOffset>
          </wp:positionH>
          <wp:positionV relativeFrom="paragraph">
            <wp:posOffset>148705</wp:posOffset>
          </wp:positionV>
          <wp:extent cx="7670550" cy="45131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7364" w14:textId="77777777" w:rsidR="00AC3927" w:rsidRDefault="00AC3927">
      <w:r>
        <w:separator/>
      </w:r>
    </w:p>
  </w:footnote>
  <w:footnote w:type="continuationSeparator" w:id="0">
    <w:p w14:paraId="68D4B2E3" w14:textId="77777777" w:rsidR="00AC3927" w:rsidRDefault="00AC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0F0"/>
    <w:multiLevelType w:val="multilevel"/>
    <w:tmpl w:val="12FA6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6C"/>
    <w:rsid w:val="00AC3927"/>
    <w:rsid w:val="00B63404"/>
    <w:rsid w:val="00F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709E"/>
  <w15:docId w15:val="{3CC1BB85-2D6F-4E37-9125-A1E6AD7E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4340D"/>
    <w:pPr>
      <w:ind w:left="720"/>
      <w:contextualSpacing/>
    </w:pPr>
  </w:style>
  <w:style w:type="paragraph" w:styleId="Revisin">
    <w:name w:val="Revision"/>
    <w:hidden/>
    <w:uiPriority w:val="99"/>
    <w:semiHidden/>
    <w:rsid w:val="00D85496"/>
  </w:style>
  <w:style w:type="character" w:styleId="Refdecomentario">
    <w:name w:val="annotation reference"/>
    <w:basedOn w:val="Fuentedeprrafopredeter"/>
    <w:uiPriority w:val="99"/>
    <w:semiHidden/>
    <w:unhideWhenUsed/>
    <w:rsid w:val="00096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2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26B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experiencia-compra-venta-202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sLK4sBYP5PKCJsGVe0VCy9MnA==">AMUW2mXkzzTur7zDS8DrfYECMgsSV2DbsJePgad+gWiYYnuxrg6qXc9fyOEosk4cAGkDodG6T9rm+wc9JBhlgclbh07mc0YAja3JX7/vvsEPGJsIsIHyAoY=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2022-01-13T10:42:00Z</dcterms:created>
  <dcterms:modified xsi:type="dcterms:W3CDTF">2022-03-02T17:56:00Z</dcterms:modified>
</cp:coreProperties>
</file>