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AA517" w14:textId="77777777" w:rsidR="00381FFF" w:rsidRDefault="00381FFF">
      <w:pPr>
        <w:widowControl w:val="0"/>
        <w:pBdr>
          <w:top w:val="nil"/>
          <w:left w:val="nil"/>
          <w:bottom w:val="nil"/>
          <w:right w:val="nil"/>
          <w:between w:val="nil"/>
        </w:pBdr>
        <w:spacing w:line="276" w:lineRule="auto"/>
      </w:pPr>
    </w:p>
    <w:p w14:paraId="2BCC266B" w14:textId="77777777" w:rsidR="00381FFF" w:rsidRDefault="00381FFF">
      <w:pPr>
        <w:widowControl w:val="0"/>
        <w:pBdr>
          <w:top w:val="nil"/>
          <w:left w:val="nil"/>
          <w:bottom w:val="nil"/>
          <w:right w:val="nil"/>
          <w:between w:val="nil"/>
        </w:pBdr>
        <w:spacing w:line="276" w:lineRule="auto"/>
      </w:pPr>
    </w:p>
    <w:p w14:paraId="51EAA026" w14:textId="77777777" w:rsidR="00381FFF" w:rsidRDefault="00C602A1">
      <w:pPr>
        <w:ind w:right="-574"/>
      </w:pPr>
      <w:bookmarkStart w:id="0" w:name="_heading=h.gjdgxs" w:colFirst="0" w:colLast="0"/>
      <w:bookmarkEnd w:id="0"/>
      <w:r>
        <w:rPr>
          <w:noProof/>
        </w:rPr>
        <w:drawing>
          <wp:anchor distT="0" distB="0" distL="114300" distR="114300" simplePos="0" relativeHeight="251658240" behindDoc="0" locked="0" layoutInCell="1" hidden="0" allowOverlap="1" wp14:anchorId="169A8A81" wp14:editId="41C022FF">
            <wp:simplePos x="0" y="0"/>
            <wp:positionH relativeFrom="column">
              <wp:posOffset>-1078863</wp:posOffset>
            </wp:positionH>
            <wp:positionV relativeFrom="paragraph">
              <wp:posOffset>-350451</wp:posOffset>
            </wp:positionV>
            <wp:extent cx="7581265" cy="1019175"/>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310EC45F" w14:textId="77777777" w:rsidR="00381FFF" w:rsidRDefault="00381FFF">
      <w:pPr>
        <w:ind w:right="-574"/>
        <w:jc w:val="right"/>
        <w:rPr>
          <w:rFonts w:ascii="National" w:eastAsia="National" w:hAnsi="National" w:cs="National"/>
          <w:color w:val="303AB2"/>
          <w:sz w:val="36"/>
          <w:szCs w:val="36"/>
        </w:rPr>
      </w:pPr>
    </w:p>
    <w:p w14:paraId="1E903FF0" w14:textId="77777777" w:rsidR="00381FFF" w:rsidRDefault="00381FFF">
      <w:pPr>
        <w:ind w:right="-574"/>
        <w:jc w:val="right"/>
        <w:rPr>
          <w:rFonts w:ascii="National" w:eastAsia="National" w:hAnsi="National" w:cs="National"/>
          <w:color w:val="303AB2"/>
          <w:sz w:val="36"/>
          <w:szCs w:val="36"/>
        </w:rPr>
      </w:pPr>
    </w:p>
    <w:p w14:paraId="1EF1A259" w14:textId="77777777" w:rsidR="00381FFF" w:rsidRDefault="00381FFF">
      <w:pPr>
        <w:ind w:right="-574"/>
        <w:rPr>
          <w:rFonts w:ascii="National" w:eastAsia="National" w:hAnsi="National" w:cs="National"/>
          <w:color w:val="303AB2"/>
          <w:sz w:val="36"/>
          <w:szCs w:val="36"/>
        </w:rPr>
      </w:pPr>
    </w:p>
    <w:p w14:paraId="36EDE0BD" w14:textId="77777777" w:rsidR="00381FFF" w:rsidRDefault="00C602A1">
      <w:pPr>
        <w:spacing w:line="276" w:lineRule="auto"/>
        <w:jc w:val="center"/>
        <w:rPr>
          <w:rFonts w:ascii="National" w:eastAsia="National" w:hAnsi="National" w:cs="National"/>
          <w:b/>
          <w:color w:val="1DBDC5"/>
          <w:sz w:val="32"/>
          <w:szCs w:val="32"/>
        </w:rPr>
      </w:pPr>
      <w:r>
        <w:rPr>
          <w:rFonts w:ascii="National" w:eastAsia="National" w:hAnsi="National" w:cs="National"/>
          <w:b/>
          <w:color w:val="1DBDC5"/>
          <w:sz w:val="32"/>
          <w:szCs w:val="32"/>
        </w:rPr>
        <w:t xml:space="preserve">ANÁLISIS DE LOS BARRIOS PRIME PARA COMPRAR </w:t>
      </w:r>
    </w:p>
    <w:p w14:paraId="5ED3732C" w14:textId="77777777" w:rsidR="00381FFF" w:rsidRDefault="00C602A1">
      <w:pPr>
        <w:ind w:right="-574"/>
        <w:jc w:val="center"/>
        <w:rPr>
          <w:rFonts w:ascii="National" w:eastAsia="National" w:hAnsi="National" w:cs="National"/>
          <w:b/>
          <w:color w:val="303AB2"/>
          <w:sz w:val="46"/>
          <w:szCs w:val="46"/>
        </w:rPr>
      </w:pPr>
      <w:r>
        <w:rPr>
          <w:rFonts w:ascii="National" w:eastAsia="National" w:hAnsi="National" w:cs="National"/>
          <w:b/>
          <w:color w:val="303AB2"/>
          <w:sz w:val="46"/>
          <w:szCs w:val="46"/>
        </w:rPr>
        <w:t>Los madrileños Recoletos y Castellana y los barceloneses Eixample y Diagonal Mar cuadruplican el precio de venta medio nacional</w:t>
      </w:r>
    </w:p>
    <w:p w14:paraId="70F647E2" w14:textId="77777777" w:rsidR="00381FFF" w:rsidRDefault="00381FFF">
      <w:pPr>
        <w:ind w:right="-574"/>
        <w:rPr>
          <w:rFonts w:ascii="National" w:eastAsia="National" w:hAnsi="National" w:cs="National"/>
          <w:b/>
          <w:color w:val="303AB2"/>
          <w:sz w:val="36"/>
          <w:szCs w:val="36"/>
        </w:rPr>
      </w:pPr>
    </w:p>
    <w:p w14:paraId="33308E55" w14:textId="77777777" w:rsidR="00381FFF" w:rsidRDefault="00C602A1">
      <w:pPr>
        <w:numPr>
          <w:ilvl w:val="0"/>
          <w:numId w:val="1"/>
        </w:numPr>
        <w:pBdr>
          <w:top w:val="nil"/>
          <w:left w:val="nil"/>
          <w:bottom w:val="nil"/>
          <w:right w:val="nil"/>
          <w:between w:val="nil"/>
        </w:pBdr>
        <w:spacing w:line="276" w:lineRule="auto"/>
        <w:jc w:val="both"/>
        <w:rPr>
          <w:rFonts w:ascii="Open Sans" w:eastAsia="Open Sans" w:hAnsi="Open Sans" w:cs="Open Sans"/>
          <w:color w:val="303AB2"/>
        </w:rPr>
      </w:pPr>
      <w:r>
        <w:rPr>
          <w:rFonts w:ascii="Open Sans" w:eastAsia="Open Sans" w:hAnsi="Open Sans" w:cs="Open Sans"/>
          <w:color w:val="303AB2"/>
        </w:rPr>
        <w:t>Madrid, Barcelona, San Sebastián e Ibiza cuentan con algún barrio dentro del Top 20 con el precio más caro de la vivienda en ve</w:t>
      </w:r>
      <w:r>
        <w:rPr>
          <w:rFonts w:ascii="Open Sans" w:eastAsia="Open Sans" w:hAnsi="Open Sans" w:cs="Open Sans"/>
          <w:color w:val="303AB2"/>
        </w:rPr>
        <w:t>nta</w:t>
      </w:r>
    </w:p>
    <w:p w14:paraId="68D115A3" w14:textId="77777777" w:rsidR="00381FFF" w:rsidRDefault="00C602A1">
      <w:pPr>
        <w:numPr>
          <w:ilvl w:val="0"/>
          <w:numId w:val="1"/>
        </w:numPr>
        <w:pBdr>
          <w:top w:val="nil"/>
          <w:left w:val="nil"/>
          <w:bottom w:val="nil"/>
          <w:right w:val="nil"/>
          <w:between w:val="nil"/>
        </w:pBdr>
        <w:spacing w:line="276" w:lineRule="auto"/>
        <w:jc w:val="both"/>
        <w:rPr>
          <w:rFonts w:ascii="Open Sans" w:eastAsia="Open Sans" w:hAnsi="Open Sans" w:cs="Open Sans"/>
          <w:color w:val="303AB2"/>
        </w:rPr>
      </w:pPr>
      <w:r>
        <w:rPr>
          <w:rFonts w:ascii="Open Sans" w:eastAsia="Open Sans" w:hAnsi="Open Sans" w:cs="Open Sans"/>
          <w:color w:val="303AB2"/>
        </w:rPr>
        <w:t>En Madrid, las únicas zonas con precios por debajo de la media nacional son el distrito de Villaverde y el barrio de Entrevías en el Puente de Vallecas, mientras que en Barcelona solamente se encuentra el barrio de Ciutat Meridiana.</w:t>
      </w:r>
    </w:p>
    <w:p w14:paraId="38380859" w14:textId="77777777" w:rsidR="00381FFF" w:rsidRDefault="00C602A1">
      <w:pPr>
        <w:numPr>
          <w:ilvl w:val="0"/>
          <w:numId w:val="1"/>
        </w:numPr>
        <w:pBdr>
          <w:top w:val="nil"/>
          <w:left w:val="nil"/>
          <w:bottom w:val="nil"/>
          <w:right w:val="nil"/>
          <w:between w:val="nil"/>
        </w:pBdr>
        <w:spacing w:line="276" w:lineRule="auto"/>
        <w:jc w:val="both"/>
        <w:rPr>
          <w:rFonts w:ascii="Open Sans" w:eastAsia="Open Sans" w:hAnsi="Open Sans" w:cs="Open Sans"/>
          <w:color w:val="303AB2"/>
        </w:rPr>
      </w:pPr>
      <w:r>
        <w:rPr>
          <w:rFonts w:ascii="Open Sans" w:eastAsia="Open Sans" w:hAnsi="Open Sans" w:cs="Open Sans"/>
          <w:color w:val="303AB2"/>
        </w:rPr>
        <w:t xml:space="preserve">El gran incremento </w:t>
      </w:r>
      <w:r>
        <w:rPr>
          <w:rFonts w:ascii="Open Sans" w:eastAsia="Open Sans" w:hAnsi="Open Sans" w:cs="Open Sans"/>
          <w:color w:val="303AB2"/>
        </w:rPr>
        <w:t>interanual del precio de venta, con subidas superiores al 30%, se ha dado sobre todo en localidades de Andalucía y la Comunidad Valenciana.</w:t>
      </w:r>
    </w:p>
    <w:p w14:paraId="58A51B04" w14:textId="77777777" w:rsidR="00381FFF" w:rsidRDefault="00381FFF">
      <w:pPr>
        <w:spacing w:line="276" w:lineRule="auto"/>
        <w:ind w:right="-574"/>
        <w:rPr>
          <w:rFonts w:ascii="Open Sans Light" w:eastAsia="Open Sans Light" w:hAnsi="Open Sans Light" w:cs="Open Sans Light"/>
          <w:b/>
          <w:color w:val="303AB2"/>
          <w:highlight w:val="yellow"/>
        </w:rPr>
      </w:pPr>
    </w:p>
    <w:p w14:paraId="510A5CBE" w14:textId="5F32FFA6" w:rsidR="00381FFF" w:rsidRDefault="00C602A1">
      <w:pPr>
        <w:spacing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Madrid, 3</w:t>
      </w:r>
      <w:r w:rsidR="00245895">
        <w:rPr>
          <w:rFonts w:ascii="Open Sans Light" w:eastAsia="Open Sans Light" w:hAnsi="Open Sans Light" w:cs="Open Sans Light"/>
          <w:b/>
          <w:color w:val="303AB2"/>
        </w:rPr>
        <w:t>1</w:t>
      </w:r>
      <w:r>
        <w:rPr>
          <w:rFonts w:ascii="Open Sans Light" w:eastAsia="Open Sans Light" w:hAnsi="Open Sans Light" w:cs="Open Sans Light"/>
          <w:b/>
          <w:color w:val="303AB2"/>
        </w:rPr>
        <w:t xml:space="preserve"> de marzo de 2022</w:t>
      </w:r>
    </w:p>
    <w:p w14:paraId="1594BB45" w14:textId="77777777" w:rsidR="00381FFF" w:rsidRDefault="00381FFF">
      <w:pPr>
        <w:spacing w:line="276" w:lineRule="auto"/>
        <w:ind w:right="-574"/>
        <w:rPr>
          <w:rFonts w:ascii="Open Sans Light" w:eastAsia="Open Sans Light" w:hAnsi="Open Sans Light" w:cs="Open Sans Light"/>
          <w:color w:val="303AB2"/>
        </w:rPr>
      </w:pPr>
    </w:p>
    <w:p w14:paraId="05E0FC2B" w14:textId="77777777" w:rsidR="00381FFF" w:rsidRDefault="00C602A1">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Madrid y Barcelona son las ciudades más caras de España para comprar una vivienda y en ellas encontramos los barrios con los precios por metro cuadrado más elevados. Así, el barrio más caro del país se encuentra en Madrid y es Recoletos, en el distrito de </w:t>
      </w:r>
      <w:r>
        <w:rPr>
          <w:rFonts w:ascii="Open Sans" w:eastAsia="Open Sans" w:hAnsi="Open Sans" w:cs="Open Sans"/>
          <w:color w:val="000000"/>
          <w:sz w:val="22"/>
          <w:szCs w:val="22"/>
        </w:rPr>
        <w:t xml:space="preserve">Salamanca, con precios que multiplican por 4,5 la media nacional, según los datos del Índice Inmobiliario </w:t>
      </w:r>
      <w:hyperlink r:id="rId9">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Le siguen los barrios del Eixample y el de Diagonal Mar-Front Marítim de Barcelona, que cuadr</w:t>
      </w:r>
      <w:r>
        <w:rPr>
          <w:rFonts w:ascii="Open Sans" w:eastAsia="Open Sans" w:hAnsi="Open Sans" w:cs="Open Sans"/>
          <w:color w:val="000000"/>
          <w:sz w:val="22"/>
          <w:szCs w:val="22"/>
        </w:rPr>
        <w:t>uplican la media nacional, al igual que el barrio madrileño de Castellana.</w:t>
      </w:r>
    </w:p>
    <w:p w14:paraId="2336B6A5" w14:textId="70710C11" w:rsidR="00381FFF" w:rsidRDefault="00381FFF">
      <w:pPr>
        <w:spacing w:line="276" w:lineRule="auto"/>
        <w:ind w:right="-574"/>
        <w:jc w:val="both"/>
        <w:rPr>
          <w:rFonts w:ascii="Open Sans" w:eastAsia="Open Sans" w:hAnsi="Open Sans" w:cs="Open Sans"/>
          <w:color w:val="000000"/>
          <w:sz w:val="22"/>
          <w:szCs w:val="22"/>
        </w:rPr>
      </w:pPr>
    </w:p>
    <w:p w14:paraId="3BE8CB28" w14:textId="6CC6956B" w:rsidR="00EA6611" w:rsidRDefault="00EA6611">
      <w:pPr>
        <w:spacing w:line="276" w:lineRule="auto"/>
        <w:ind w:right="-574"/>
        <w:jc w:val="both"/>
        <w:rPr>
          <w:rFonts w:ascii="Open Sans" w:eastAsia="Open Sans" w:hAnsi="Open Sans" w:cs="Open Sans"/>
          <w:color w:val="000000"/>
          <w:sz w:val="22"/>
          <w:szCs w:val="22"/>
        </w:rPr>
      </w:pPr>
    </w:p>
    <w:p w14:paraId="195F2C8C" w14:textId="77777777" w:rsidR="00EA6611" w:rsidRDefault="00EA6611">
      <w:pPr>
        <w:spacing w:line="276" w:lineRule="auto"/>
        <w:ind w:right="-574"/>
        <w:jc w:val="both"/>
        <w:rPr>
          <w:rFonts w:ascii="Open Sans" w:eastAsia="Open Sans" w:hAnsi="Open Sans" w:cs="Open Sans"/>
          <w:color w:val="000000"/>
          <w:sz w:val="22"/>
          <w:szCs w:val="22"/>
        </w:rPr>
      </w:pPr>
    </w:p>
    <w:p w14:paraId="05099430" w14:textId="77777777" w:rsidR="00381FFF" w:rsidRDefault="00C602A1">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 xml:space="preserve">Solamente San Sebastián tiene dos barrios en el top 20, el Área Romántica y Gros. El resto lo completan barrios de Madrid y Barcelona, además del barrio de Dalt Vila en Ibiza, que </w:t>
      </w:r>
      <w:r>
        <w:rPr>
          <w:rFonts w:ascii="Open Sans" w:eastAsia="Open Sans" w:hAnsi="Open Sans" w:cs="Open Sans"/>
          <w:color w:val="000000"/>
          <w:sz w:val="22"/>
          <w:szCs w:val="22"/>
        </w:rPr>
        <w:t>ha sufrido un incremento drástico en los últimos años, a pesar de que en 2020 los precios han caído un 4,2%, debido al descenso del turismo por la pandemia.</w:t>
      </w:r>
    </w:p>
    <w:p w14:paraId="5B86AA69" w14:textId="77777777" w:rsidR="00381FFF" w:rsidRDefault="00381FFF">
      <w:pPr>
        <w:spacing w:line="276" w:lineRule="auto"/>
        <w:ind w:right="-574"/>
        <w:jc w:val="both"/>
        <w:rPr>
          <w:rFonts w:ascii="Open Sans" w:eastAsia="Open Sans" w:hAnsi="Open Sans" w:cs="Open Sans"/>
          <w:sz w:val="22"/>
          <w:szCs w:val="22"/>
        </w:rPr>
      </w:pPr>
    </w:p>
    <w:p w14:paraId="58446818" w14:textId="77777777" w:rsidR="00381FFF" w:rsidRDefault="00C602A1">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“Madrid y Barcelona son las ciudades que más habitantes acogen de nuestro país. Precisamente porqu</w:t>
      </w:r>
      <w:r>
        <w:rPr>
          <w:rFonts w:ascii="Open Sans" w:eastAsia="Open Sans" w:hAnsi="Open Sans" w:cs="Open Sans"/>
          <w:sz w:val="22"/>
          <w:szCs w:val="22"/>
        </w:rPr>
        <w:t xml:space="preserve">e ofrecen una mayor concentración de oportunidades laborales, variedad sociocultural y reclamos turísticos, lo que supone un gran atractivo para residir en ellas. Estos son factores que fomentan la demanda y empujan al alza los precios. Los cambios en los </w:t>
      </w:r>
      <w:r>
        <w:rPr>
          <w:rFonts w:ascii="Open Sans" w:eastAsia="Open Sans" w:hAnsi="Open Sans" w:cs="Open Sans"/>
          <w:sz w:val="22"/>
          <w:szCs w:val="22"/>
        </w:rPr>
        <w:t>precios de venta de vivienda en las zonas que han sido tradicionalmente más caras no han tenido descensos significativos. Sin embargo, sí hemos observado una tendencia al alza de aquellas localidades con fácil acceso a grandes ciudades pero que están situa</w:t>
      </w:r>
      <w:r>
        <w:rPr>
          <w:rFonts w:ascii="Open Sans" w:eastAsia="Open Sans" w:hAnsi="Open Sans" w:cs="Open Sans"/>
          <w:sz w:val="22"/>
          <w:szCs w:val="22"/>
        </w:rPr>
        <w:t xml:space="preserve">das en zonas cercanas a entornos naturales o que cuentan con una mayor presencia de tipologías como casas y </w:t>
      </w:r>
      <w:proofErr w:type="gramStart"/>
      <w:r>
        <w:rPr>
          <w:rFonts w:ascii="Open Sans" w:eastAsia="Open Sans" w:hAnsi="Open Sans" w:cs="Open Sans"/>
          <w:sz w:val="22"/>
          <w:szCs w:val="22"/>
        </w:rPr>
        <w:t>chalets</w:t>
      </w:r>
      <w:proofErr w:type="gramEnd"/>
      <w:r>
        <w:rPr>
          <w:rFonts w:ascii="Open Sans" w:eastAsia="Open Sans" w:hAnsi="Open Sans" w:cs="Open Sans"/>
          <w:sz w:val="22"/>
          <w:szCs w:val="22"/>
        </w:rPr>
        <w:t>. Creemos que esta tendencia se irá moderando a lo largo de 2022 con el retorno total a la normalidad tras la pandemia”, explica María Matos,</w:t>
      </w:r>
      <w:r>
        <w:rPr>
          <w:rFonts w:ascii="Open Sans" w:eastAsia="Open Sans" w:hAnsi="Open Sans" w:cs="Open Sans"/>
          <w:sz w:val="22"/>
          <w:szCs w:val="22"/>
        </w:rPr>
        <w:t xml:space="preserve"> directora de Estudios y Portavoz de </w:t>
      </w:r>
      <w:hyperlink r:id="rId10">
        <w:r>
          <w:rPr>
            <w:rFonts w:ascii="Open Sans" w:eastAsia="Open Sans" w:hAnsi="Open Sans" w:cs="Open Sans"/>
            <w:color w:val="1155CC"/>
            <w:sz w:val="22"/>
            <w:szCs w:val="22"/>
            <w:u w:val="single"/>
          </w:rPr>
          <w:t>Fotocasa</w:t>
        </w:r>
      </w:hyperlink>
      <w:r>
        <w:rPr>
          <w:rFonts w:ascii="Open Sans" w:eastAsia="Open Sans" w:hAnsi="Open Sans" w:cs="Open Sans"/>
          <w:sz w:val="22"/>
          <w:szCs w:val="22"/>
        </w:rPr>
        <w:t xml:space="preserve">. </w:t>
      </w:r>
    </w:p>
    <w:p w14:paraId="535A346A" w14:textId="77777777" w:rsidR="00381FFF" w:rsidRDefault="00381FFF">
      <w:pPr>
        <w:spacing w:line="276" w:lineRule="auto"/>
        <w:ind w:right="-574"/>
        <w:jc w:val="both"/>
        <w:rPr>
          <w:rFonts w:ascii="Open Sans Light" w:eastAsia="Open Sans Light" w:hAnsi="Open Sans Light" w:cs="Open Sans Light"/>
          <w:b/>
          <w:color w:val="303AB2"/>
          <w:sz w:val="26"/>
          <w:szCs w:val="26"/>
        </w:rPr>
      </w:pPr>
    </w:p>
    <w:p w14:paraId="46999C3A" w14:textId="77777777" w:rsidR="00381FFF" w:rsidRDefault="00C602A1">
      <w:pPr>
        <w:spacing w:line="276" w:lineRule="auto"/>
        <w:ind w:right="-574"/>
        <w:jc w:val="both"/>
        <w:rPr>
          <w:rFonts w:ascii="Open Sans" w:eastAsia="Open Sans" w:hAnsi="Open Sans" w:cs="Open Sans"/>
          <w:color w:val="000000"/>
          <w:sz w:val="22"/>
          <w:szCs w:val="22"/>
        </w:rPr>
      </w:pPr>
      <w:r>
        <w:rPr>
          <w:rFonts w:ascii="Open Sans Light" w:eastAsia="Open Sans Light" w:hAnsi="Open Sans Light" w:cs="Open Sans Light"/>
          <w:b/>
          <w:color w:val="303AB2"/>
          <w:sz w:val="26"/>
          <w:szCs w:val="26"/>
        </w:rPr>
        <w:t>Las ventajas de una gran ciudad y del campo</w:t>
      </w:r>
    </w:p>
    <w:p w14:paraId="0E0B2F1F" w14:textId="77777777" w:rsidR="00381FFF" w:rsidRDefault="00381FFF">
      <w:pPr>
        <w:spacing w:line="276" w:lineRule="auto"/>
        <w:ind w:right="-574"/>
        <w:jc w:val="both"/>
        <w:rPr>
          <w:rFonts w:ascii="Open Sans" w:eastAsia="Open Sans" w:hAnsi="Open Sans" w:cs="Open Sans"/>
          <w:color w:val="000000"/>
          <w:sz w:val="22"/>
          <w:szCs w:val="22"/>
        </w:rPr>
      </w:pPr>
    </w:p>
    <w:p w14:paraId="5E1B67C4" w14:textId="77777777" w:rsidR="00381FFF" w:rsidRDefault="00C602A1">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Los cambios de tendencia producidos en el último año arrojan interesantes conclusiones respecto a la modificación d</w:t>
      </w:r>
      <w:r>
        <w:rPr>
          <w:rFonts w:ascii="Open Sans" w:eastAsia="Open Sans" w:hAnsi="Open Sans" w:cs="Open Sans"/>
          <w:color w:val="000000"/>
          <w:sz w:val="22"/>
          <w:szCs w:val="22"/>
        </w:rPr>
        <w:t>e preferencias de los españoles en la compra de vivienda. La pandemia ha incrementado el interés por los barrios más alejados del centro y por localidades próximas a las capitales. Además del centro de las ciudades, los compradores se fijan en áreas que, s</w:t>
      </w:r>
      <w:r>
        <w:rPr>
          <w:rFonts w:ascii="Open Sans" w:eastAsia="Open Sans" w:hAnsi="Open Sans" w:cs="Open Sans"/>
          <w:color w:val="000000"/>
          <w:sz w:val="22"/>
          <w:szCs w:val="22"/>
        </w:rPr>
        <w:t>in estar en el centro, se sitúan cerca de las grandes ciudades y cuentan con núcleos urbanos de tamaño suficiente como para ofrecer un alto nivel de servicios.</w:t>
      </w:r>
    </w:p>
    <w:p w14:paraId="5C68AA2F" w14:textId="77777777" w:rsidR="00381FFF" w:rsidRDefault="00381FFF">
      <w:pPr>
        <w:spacing w:line="276" w:lineRule="auto"/>
        <w:ind w:right="-574"/>
        <w:jc w:val="both"/>
        <w:rPr>
          <w:rFonts w:ascii="Open Sans" w:eastAsia="Open Sans" w:hAnsi="Open Sans" w:cs="Open Sans"/>
          <w:color w:val="000000"/>
          <w:sz w:val="22"/>
          <w:szCs w:val="22"/>
        </w:rPr>
      </w:pPr>
    </w:p>
    <w:p w14:paraId="3655C110" w14:textId="77777777" w:rsidR="00381FFF" w:rsidRDefault="00C602A1">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Por ello, observamos un incremento superior al 10% en los precios en distritos menos céntricos </w:t>
      </w:r>
      <w:r>
        <w:rPr>
          <w:rFonts w:ascii="Open Sans" w:eastAsia="Open Sans" w:hAnsi="Open Sans" w:cs="Open Sans"/>
          <w:color w:val="000000"/>
          <w:sz w:val="22"/>
          <w:szCs w:val="22"/>
        </w:rPr>
        <w:t>como Poniente en Palma de Mallorca o Tres Olivos-Valverde en Madrid, o ciudades periféricas a grandes capitales como San Antonio – Las Arenas en Puerto de la Cruz (Tenerife) Gavà (Barcelona), Fuengirola, Marbella y Rincón de la Victoria (Málaga), Santa Pol</w:t>
      </w:r>
      <w:r>
        <w:rPr>
          <w:rFonts w:ascii="Open Sans" w:eastAsia="Open Sans" w:hAnsi="Open Sans" w:cs="Open Sans"/>
          <w:color w:val="000000"/>
          <w:sz w:val="22"/>
          <w:szCs w:val="22"/>
        </w:rPr>
        <w:t>a (Alicante), Dos Hermanas (Sevilla) o Reus (Tarragona).</w:t>
      </w:r>
    </w:p>
    <w:p w14:paraId="12DC638C" w14:textId="77777777" w:rsidR="00381FFF" w:rsidRDefault="00381FFF">
      <w:pPr>
        <w:spacing w:line="276" w:lineRule="auto"/>
        <w:ind w:right="-574"/>
        <w:jc w:val="both"/>
        <w:rPr>
          <w:rFonts w:ascii="Open Sans" w:eastAsia="Open Sans" w:hAnsi="Open Sans" w:cs="Open Sans"/>
          <w:color w:val="000000"/>
          <w:sz w:val="22"/>
          <w:szCs w:val="22"/>
        </w:rPr>
      </w:pPr>
    </w:p>
    <w:p w14:paraId="2BE3B872" w14:textId="77777777" w:rsidR="00381FFF" w:rsidRDefault="00C602A1">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consecuencia, encontramos núcleos de población con las características mencionadas anteriormente con precios cercanos al top 20 en ciudades como Getxo (Bizkaia), Calvià (Mallorca) o Sant Cugat (B</w:t>
      </w:r>
      <w:r>
        <w:rPr>
          <w:rFonts w:ascii="Open Sans" w:eastAsia="Open Sans" w:hAnsi="Open Sans" w:cs="Open Sans"/>
          <w:color w:val="000000"/>
          <w:sz w:val="22"/>
          <w:szCs w:val="22"/>
        </w:rPr>
        <w:t xml:space="preserve">arcelona), todas ellas a menos de 20 kilómetros de Bilbao, Palma de Mallorca y Barcelona, respectivamente. El precio medio de compra se sitúa en 5.099 </w:t>
      </w:r>
      <w:r>
        <w:rPr>
          <w:rFonts w:ascii="Open Sans" w:eastAsia="Open Sans" w:hAnsi="Open Sans" w:cs="Open Sans"/>
          <w:color w:val="000000"/>
          <w:sz w:val="22"/>
          <w:szCs w:val="22"/>
        </w:rPr>
        <w:lastRenderedPageBreak/>
        <w:t xml:space="preserve">€/m2 en el barrio de </w:t>
      </w:r>
      <w:proofErr w:type="spellStart"/>
      <w:r>
        <w:rPr>
          <w:rFonts w:ascii="Open Sans" w:eastAsia="Open Sans" w:hAnsi="Open Sans" w:cs="Open Sans"/>
          <w:color w:val="000000"/>
          <w:sz w:val="22"/>
          <w:szCs w:val="22"/>
        </w:rPr>
        <w:t>Usategi</w:t>
      </w:r>
      <w:proofErr w:type="spellEnd"/>
      <w:r>
        <w:rPr>
          <w:rFonts w:ascii="Open Sans" w:eastAsia="Open Sans" w:hAnsi="Open Sans" w:cs="Open Sans"/>
          <w:color w:val="000000"/>
          <w:sz w:val="22"/>
          <w:szCs w:val="22"/>
        </w:rPr>
        <w:t xml:space="preserve"> o 4.446 €/m2 en el barrio de Neguri para el caso de Getxo, 4.526 €/m2 en San</w:t>
      </w:r>
      <w:r>
        <w:rPr>
          <w:rFonts w:ascii="Open Sans" w:eastAsia="Open Sans" w:hAnsi="Open Sans" w:cs="Open Sans"/>
          <w:color w:val="000000"/>
          <w:sz w:val="22"/>
          <w:szCs w:val="22"/>
        </w:rPr>
        <w:t xml:space="preserve">ta </w:t>
      </w:r>
      <w:proofErr w:type="spellStart"/>
      <w:r>
        <w:rPr>
          <w:rFonts w:ascii="Open Sans" w:eastAsia="Open Sans" w:hAnsi="Open Sans" w:cs="Open Sans"/>
          <w:color w:val="000000"/>
          <w:sz w:val="22"/>
          <w:szCs w:val="22"/>
        </w:rPr>
        <w:t>Ponça</w:t>
      </w:r>
      <w:proofErr w:type="spellEnd"/>
      <w:r>
        <w:rPr>
          <w:rFonts w:ascii="Open Sans" w:eastAsia="Open Sans" w:hAnsi="Open Sans" w:cs="Open Sans"/>
          <w:color w:val="000000"/>
          <w:sz w:val="22"/>
          <w:szCs w:val="22"/>
        </w:rPr>
        <w:t xml:space="preserve"> (Calvià) o 4.658 €/m2 en el barrio Centre de Sant Cugat.</w:t>
      </w:r>
    </w:p>
    <w:p w14:paraId="5A27A4EF" w14:textId="77777777" w:rsidR="00381FFF" w:rsidRDefault="00381FFF">
      <w:pPr>
        <w:spacing w:line="276" w:lineRule="auto"/>
        <w:ind w:right="-574"/>
        <w:jc w:val="both"/>
        <w:rPr>
          <w:rFonts w:ascii="Open Sans" w:eastAsia="Open Sans" w:hAnsi="Open Sans" w:cs="Open Sans"/>
          <w:color w:val="000000"/>
          <w:sz w:val="22"/>
          <w:szCs w:val="22"/>
        </w:rPr>
      </w:pPr>
    </w:p>
    <w:p w14:paraId="3DEF5584" w14:textId="77777777" w:rsidR="00381FFF" w:rsidRDefault="00C602A1">
      <w:pPr>
        <w:spacing w:line="276" w:lineRule="auto"/>
        <w:ind w:right="-574"/>
        <w:jc w:val="both"/>
        <w:rPr>
          <w:rFonts w:ascii="Open Sans" w:eastAsia="Open Sans" w:hAnsi="Open Sans" w:cs="Open Sans"/>
          <w:color w:val="000000"/>
          <w:sz w:val="22"/>
          <w:szCs w:val="22"/>
        </w:rPr>
      </w:pPr>
      <w:r>
        <w:rPr>
          <w:rFonts w:ascii="Open Sans Light" w:eastAsia="Open Sans Light" w:hAnsi="Open Sans Light" w:cs="Open Sans Light"/>
          <w:b/>
          <w:color w:val="303AB2"/>
          <w:sz w:val="26"/>
          <w:szCs w:val="26"/>
        </w:rPr>
        <w:t>Subidas destacadas</w:t>
      </w:r>
    </w:p>
    <w:p w14:paraId="21B089FD" w14:textId="77777777" w:rsidR="00381FFF" w:rsidRDefault="00381FFF">
      <w:pPr>
        <w:spacing w:line="276" w:lineRule="auto"/>
        <w:ind w:right="-574"/>
        <w:jc w:val="both"/>
        <w:rPr>
          <w:rFonts w:ascii="Open Sans" w:eastAsia="Open Sans" w:hAnsi="Open Sans" w:cs="Open Sans"/>
          <w:color w:val="000000"/>
          <w:sz w:val="22"/>
          <w:szCs w:val="22"/>
        </w:rPr>
      </w:pPr>
    </w:p>
    <w:p w14:paraId="0CAA6B02" w14:textId="77777777" w:rsidR="00381FFF" w:rsidRDefault="00C602A1">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En cuanto a las mayores subidas de precio interanual, hemos detectado que se han producido en áreas muy localizadas del territorio. La subida producida en algunas regiones españolas, en ocasiones superior al 35% </w:t>
      </w:r>
      <w:r>
        <w:rPr>
          <w:rFonts w:ascii="Open Sans" w:eastAsia="Open Sans" w:hAnsi="Open Sans" w:cs="Open Sans"/>
          <w:sz w:val="22"/>
          <w:szCs w:val="22"/>
        </w:rPr>
        <w:t>interanual</w:t>
      </w:r>
      <w:r>
        <w:rPr>
          <w:rFonts w:ascii="Open Sans" w:eastAsia="Open Sans" w:hAnsi="Open Sans" w:cs="Open Sans"/>
          <w:color w:val="000000"/>
          <w:sz w:val="22"/>
          <w:szCs w:val="22"/>
        </w:rPr>
        <w:t>, se encuentra concentrada princip</w:t>
      </w:r>
      <w:r>
        <w:rPr>
          <w:rFonts w:ascii="Open Sans" w:eastAsia="Open Sans" w:hAnsi="Open Sans" w:cs="Open Sans"/>
          <w:color w:val="000000"/>
          <w:sz w:val="22"/>
          <w:szCs w:val="22"/>
        </w:rPr>
        <w:t>almente en regiones con un clima suave, próximas al Mediterráneo. Así, 6 municipios de la Comunidad Valenciana y 5 municipios de la provincia de Málaga copan el Top 20 de municipios con mayor incremento interanual en el precio de venta. Destacan Benalmáden</w:t>
      </w:r>
      <w:r>
        <w:rPr>
          <w:rFonts w:ascii="Open Sans" w:eastAsia="Open Sans" w:hAnsi="Open Sans" w:cs="Open Sans"/>
          <w:color w:val="000000"/>
          <w:sz w:val="22"/>
          <w:szCs w:val="22"/>
        </w:rPr>
        <w:t xml:space="preserve">a (45,6%), Mijas (35,7%) y Fuengirola (27,4%) en la provincia de Málaga y Villajoyosa (40,7%), </w:t>
      </w:r>
      <w:proofErr w:type="spellStart"/>
      <w:r>
        <w:rPr>
          <w:rFonts w:ascii="Open Sans" w:eastAsia="Open Sans" w:hAnsi="Open Sans" w:cs="Open Sans"/>
          <w:color w:val="000000"/>
          <w:sz w:val="22"/>
          <w:szCs w:val="22"/>
        </w:rPr>
        <w:t>Rafelbuñol</w:t>
      </w:r>
      <w:proofErr w:type="spellEnd"/>
      <w:r>
        <w:rPr>
          <w:rFonts w:ascii="Open Sans" w:eastAsia="Open Sans" w:hAnsi="Open Sans" w:cs="Open Sans"/>
          <w:color w:val="000000"/>
          <w:sz w:val="22"/>
          <w:szCs w:val="22"/>
        </w:rPr>
        <w:t xml:space="preserve"> (36,4%), Chiva (31%) y San Jorge (28,7%) en la Comunidad Valenciana. </w:t>
      </w:r>
    </w:p>
    <w:p w14:paraId="00D7D2C5" w14:textId="77777777" w:rsidR="00381FFF" w:rsidRDefault="00381FFF">
      <w:pPr>
        <w:spacing w:line="276" w:lineRule="auto"/>
        <w:ind w:right="-574"/>
        <w:jc w:val="both"/>
        <w:rPr>
          <w:rFonts w:ascii="Open Sans" w:eastAsia="Open Sans" w:hAnsi="Open Sans" w:cs="Open Sans"/>
          <w:color w:val="000000"/>
          <w:sz w:val="22"/>
          <w:szCs w:val="22"/>
        </w:rPr>
      </w:pPr>
    </w:p>
    <w:p w14:paraId="72BD7507" w14:textId="77777777" w:rsidR="00381FFF" w:rsidRDefault="00C602A1">
      <w:pPr>
        <w:spacing w:line="276" w:lineRule="auto"/>
        <w:ind w:right="-574"/>
        <w:jc w:val="both"/>
        <w:rPr>
          <w:rFonts w:ascii="Open Sans" w:eastAsia="Open Sans" w:hAnsi="Open Sans" w:cs="Open Sans"/>
          <w:color w:val="000000"/>
          <w:sz w:val="22"/>
          <w:szCs w:val="22"/>
        </w:rPr>
      </w:pPr>
      <w:r>
        <w:rPr>
          <w:rFonts w:ascii="Open Sans Light" w:eastAsia="Open Sans Light" w:hAnsi="Open Sans Light" w:cs="Open Sans Light"/>
          <w:b/>
          <w:color w:val="303AB2"/>
          <w:sz w:val="26"/>
          <w:szCs w:val="26"/>
        </w:rPr>
        <w:t>Solo seis provincias cuentan con barrios dentro del Top 50</w:t>
      </w:r>
    </w:p>
    <w:p w14:paraId="693F86DA" w14:textId="77777777" w:rsidR="00381FFF" w:rsidRDefault="00381FFF">
      <w:pPr>
        <w:spacing w:line="276" w:lineRule="auto"/>
        <w:ind w:right="-574"/>
        <w:jc w:val="both"/>
        <w:rPr>
          <w:rFonts w:ascii="Open Sans" w:eastAsia="Open Sans" w:hAnsi="Open Sans" w:cs="Open Sans"/>
          <w:color w:val="000000"/>
          <w:sz w:val="22"/>
          <w:szCs w:val="22"/>
        </w:rPr>
      </w:pPr>
    </w:p>
    <w:p w14:paraId="45254192" w14:textId="77777777" w:rsidR="00381FFF" w:rsidRDefault="00C602A1">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Únicamente Madrid, </w:t>
      </w:r>
      <w:r>
        <w:rPr>
          <w:rFonts w:ascii="Open Sans" w:eastAsia="Open Sans" w:hAnsi="Open Sans" w:cs="Open Sans"/>
          <w:color w:val="000000"/>
          <w:sz w:val="22"/>
          <w:szCs w:val="22"/>
        </w:rPr>
        <w:t xml:space="preserve">Barcelona, San Sebastián, Bilbao, Getxo, Barcelona, Gavà, Marbella, Palma de Mallorca e Ibiza cuentan con algún barrio dentro del Top 50. Por provincias, Madrid cuenta con 22, y hay 18 en Barcelona, 4 en Vizcaya, 3 en Guipúzcoa, 2 en Islas Baleares y 1 en </w:t>
      </w:r>
      <w:r>
        <w:rPr>
          <w:rFonts w:ascii="Open Sans" w:eastAsia="Open Sans" w:hAnsi="Open Sans" w:cs="Open Sans"/>
          <w:color w:val="000000"/>
          <w:sz w:val="22"/>
          <w:szCs w:val="22"/>
        </w:rPr>
        <w:t>Málaga.</w:t>
      </w:r>
    </w:p>
    <w:p w14:paraId="415158DA" w14:textId="77777777" w:rsidR="00381FFF" w:rsidRDefault="00C602A1">
      <w:pPr>
        <w:pBdr>
          <w:top w:val="nil"/>
          <w:left w:val="nil"/>
          <w:bottom w:val="nil"/>
          <w:right w:val="nil"/>
          <w:between w:val="nil"/>
        </w:pBdr>
        <w:shd w:val="clear" w:color="auto" w:fill="FFFFFF"/>
        <w:spacing w:before="280" w:after="280" w:line="276" w:lineRule="auto"/>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Top 20 - Barrios más caros de España</w:t>
      </w:r>
    </w:p>
    <w:tbl>
      <w:tblPr>
        <w:tblStyle w:val="a0"/>
        <w:tblW w:w="9067" w:type="dxa"/>
        <w:jc w:val="cente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413"/>
        <w:gridCol w:w="1843"/>
        <w:gridCol w:w="2126"/>
        <w:gridCol w:w="1701"/>
        <w:gridCol w:w="1984"/>
      </w:tblGrid>
      <w:tr w:rsidR="00381FFF" w14:paraId="581E2F3A" w14:textId="77777777" w:rsidTr="00645435">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68CA82BA" w14:textId="77777777" w:rsidR="00381FFF" w:rsidRDefault="00C602A1">
            <w:pPr>
              <w:jc w:val="center"/>
              <w:rPr>
                <w:rFonts w:ascii="Open Sans" w:eastAsia="Open Sans" w:hAnsi="Open Sans" w:cs="Open Sans"/>
                <w:sz w:val="22"/>
                <w:szCs w:val="22"/>
              </w:rPr>
            </w:pPr>
            <w:r>
              <w:rPr>
                <w:rFonts w:ascii="Open Sans" w:eastAsia="Open Sans" w:hAnsi="Open Sans" w:cs="Open Sans"/>
                <w:sz w:val="22"/>
                <w:szCs w:val="22"/>
              </w:rPr>
              <w:t>Ciudad</w:t>
            </w:r>
          </w:p>
        </w:tc>
        <w:tc>
          <w:tcPr>
            <w:tcW w:w="1843" w:type="dxa"/>
            <w:vAlign w:val="bottom"/>
          </w:tcPr>
          <w:p w14:paraId="3C060A1D" w14:textId="77777777" w:rsidR="00381FFF" w:rsidRDefault="00C602A1">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Distrito</w:t>
            </w:r>
          </w:p>
        </w:tc>
        <w:tc>
          <w:tcPr>
            <w:tcW w:w="2126" w:type="dxa"/>
            <w:vAlign w:val="bottom"/>
          </w:tcPr>
          <w:p w14:paraId="4EBECDA1" w14:textId="77777777" w:rsidR="00381FFF" w:rsidRDefault="00C602A1">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Barrio</w:t>
            </w:r>
          </w:p>
        </w:tc>
        <w:tc>
          <w:tcPr>
            <w:tcW w:w="1701" w:type="dxa"/>
            <w:vAlign w:val="bottom"/>
          </w:tcPr>
          <w:p w14:paraId="08E38431" w14:textId="77777777" w:rsidR="00381FFF" w:rsidRDefault="00C602A1">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Precio Venta</w:t>
            </w:r>
          </w:p>
        </w:tc>
        <w:tc>
          <w:tcPr>
            <w:tcW w:w="1984" w:type="dxa"/>
            <w:vAlign w:val="bottom"/>
          </w:tcPr>
          <w:p w14:paraId="1B52F217" w14:textId="77777777" w:rsidR="00381FFF" w:rsidRDefault="00C602A1">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media nacional</w:t>
            </w:r>
          </w:p>
        </w:tc>
      </w:tr>
      <w:tr w:rsidR="00381FFF" w14:paraId="1C44E482" w14:textId="77777777" w:rsidTr="0064543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DDEBF7"/>
              <w:left w:val="nil"/>
              <w:bottom w:val="single" w:sz="4" w:space="0" w:color="DDEBF7"/>
              <w:right w:val="nil"/>
            </w:tcBorders>
          </w:tcPr>
          <w:p w14:paraId="190699DE" w14:textId="77777777" w:rsidR="00381FFF" w:rsidRDefault="00C602A1">
            <w:pPr>
              <w:jc w:val="center"/>
              <w:rPr>
                <w:rFonts w:ascii="Open Sans" w:eastAsia="Open Sans" w:hAnsi="Open Sans" w:cs="Open Sans"/>
                <w:color w:val="000000"/>
                <w:sz w:val="22"/>
                <w:szCs w:val="22"/>
              </w:rPr>
            </w:pPr>
            <w:r>
              <w:rPr>
                <w:sz w:val="22"/>
                <w:szCs w:val="22"/>
              </w:rPr>
              <w:t>Madrid</w:t>
            </w:r>
          </w:p>
        </w:tc>
        <w:tc>
          <w:tcPr>
            <w:tcW w:w="1843" w:type="dxa"/>
            <w:tcBorders>
              <w:top w:val="single" w:sz="4" w:space="0" w:color="DDEBF7"/>
              <w:left w:val="nil"/>
              <w:bottom w:val="single" w:sz="4" w:space="0" w:color="DDEBF7"/>
              <w:right w:val="nil"/>
            </w:tcBorders>
            <w:shd w:val="clear" w:color="auto" w:fill="D9E2F3"/>
          </w:tcPr>
          <w:p w14:paraId="2D498C4D" w14:textId="77777777" w:rsidR="00381FFF" w:rsidRDefault="00C602A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sz w:val="22"/>
                <w:szCs w:val="22"/>
              </w:rPr>
              <w:t>Salamanca</w:t>
            </w:r>
          </w:p>
        </w:tc>
        <w:tc>
          <w:tcPr>
            <w:tcW w:w="2126" w:type="dxa"/>
            <w:tcBorders>
              <w:top w:val="single" w:sz="4" w:space="0" w:color="DDEBF7"/>
              <w:left w:val="nil"/>
              <w:bottom w:val="single" w:sz="4" w:space="0" w:color="DDEBF7"/>
              <w:right w:val="nil"/>
            </w:tcBorders>
            <w:shd w:val="clear" w:color="auto" w:fill="D9E2F3"/>
          </w:tcPr>
          <w:p w14:paraId="799837B7" w14:textId="77777777" w:rsidR="00381FFF" w:rsidRDefault="00C602A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sz w:val="22"/>
                <w:szCs w:val="22"/>
              </w:rPr>
              <w:t>Recoletos</w:t>
            </w:r>
          </w:p>
        </w:tc>
        <w:tc>
          <w:tcPr>
            <w:tcW w:w="1701" w:type="dxa"/>
            <w:tcBorders>
              <w:top w:val="single" w:sz="4" w:space="0" w:color="DDEBF7"/>
              <w:left w:val="nil"/>
              <w:bottom w:val="single" w:sz="4" w:space="0" w:color="DDEBF7"/>
              <w:right w:val="nil"/>
            </w:tcBorders>
            <w:shd w:val="clear" w:color="auto" w:fill="D9E2F3"/>
          </w:tcPr>
          <w:p w14:paraId="5F9E6E33" w14:textId="77777777" w:rsidR="00381FFF" w:rsidRDefault="00C602A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sz w:val="22"/>
                <w:szCs w:val="22"/>
              </w:rPr>
              <w:t>8.749</w:t>
            </w:r>
          </w:p>
        </w:tc>
        <w:tc>
          <w:tcPr>
            <w:tcW w:w="1984" w:type="dxa"/>
            <w:tcBorders>
              <w:top w:val="single" w:sz="4" w:space="0" w:color="DDEBF7"/>
              <w:left w:val="nil"/>
              <w:bottom w:val="single" w:sz="4" w:space="0" w:color="DDEBF7"/>
              <w:right w:val="nil"/>
            </w:tcBorders>
            <w:shd w:val="clear" w:color="auto" w:fill="D9E2F3"/>
          </w:tcPr>
          <w:p w14:paraId="5BF68B25" w14:textId="77777777" w:rsidR="00381FFF" w:rsidRDefault="00C602A1">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459%</w:t>
            </w:r>
          </w:p>
        </w:tc>
      </w:tr>
      <w:tr w:rsidR="00381FFF" w14:paraId="52AE13D0" w14:textId="77777777" w:rsidTr="00645435">
        <w:trPr>
          <w:trHeight w:val="283"/>
          <w:jc w:val="center"/>
        </w:trPr>
        <w:tc>
          <w:tcPr>
            <w:cnfStyle w:val="001000000000" w:firstRow="0" w:lastRow="0" w:firstColumn="1" w:lastColumn="0" w:oddVBand="0" w:evenVBand="0" w:oddHBand="0" w:evenHBand="0" w:firstRowFirstColumn="0" w:firstRowLastColumn="0" w:lastRowFirstColumn="0" w:lastRowLastColumn="0"/>
            <w:tcW w:w="1413" w:type="dxa"/>
            <w:tcBorders>
              <w:top w:val="nil"/>
              <w:left w:val="nil"/>
              <w:bottom w:val="single" w:sz="4" w:space="0" w:color="DDEBF7"/>
              <w:right w:val="nil"/>
            </w:tcBorders>
          </w:tcPr>
          <w:p w14:paraId="19FF0F71" w14:textId="77777777" w:rsidR="00381FFF" w:rsidRDefault="00C602A1">
            <w:pPr>
              <w:jc w:val="center"/>
              <w:rPr>
                <w:rFonts w:ascii="Open Sans" w:eastAsia="Open Sans" w:hAnsi="Open Sans" w:cs="Open Sans"/>
                <w:color w:val="000000"/>
                <w:sz w:val="22"/>
                <w:szCs w:val="22"/>
              </w:rPr>
            </w:pPr>
            <w:r>
              <w:rPr>
                <w:sz w:val="22"/>
                <w:szCs w:val="22"/>
              </w:rPr>
              <w:t>Barcelona</w:t>
            </w:r>
          </w:p>
        </w:tc>
        <w:tc>
          <w:tcPr>
            <w:tcW w:w="1843" w:type="dxa"/>
            <w:tcBorders>
              <w:top w:val="nil"/>
              <w:left w:val="nil"/>
              <w:bottom w:val="single" w:sz="4" w:space="0" w:color="DDEBF7"/>
              <w:right w:val="nil"/>
            </w:tcBorders>
            <w:shd w:val="clear" w:color="auto" w:fill="9CC3E5"/>
          </w:tcPr>
          <w:p w14:paraId="69002F13" w14:textId="77777777" w:rsidR="00381FFF" w:rsidRDefault="00C602A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sz w:val="22"/>
                <w:szCs w:val="22"/>
              </w:rPr>
              <w:t>Eixample</w:t>
            </w:r>
          </w:p>
        </w:tc>
        <w:tc>
          <w:tcPr>
            <w:tcW w:w="2126" w:type="dxa"/>
            <w:tcBorders>
              <w:top w:val="nil"/>
              <w:left w:val="nil"/>
              <w:bottom w:val="single" w:sz="4" w:space="0" w:color="DDEBF7"/>
              <w:right w:val="nil"/>
            </w:tcBorders>
            <w:shd w:val="clear" w:color="auto" w:fill="9CC3E5"/>
          </w:tcPr>
          <w:p w14:paraId="471AE19D" w14:textId="77777777" w:rsidR="00381FFF" w:rsidRDefault="00C602A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sz w:val="22"/>
                <w:szCs w:val="22"/>
              </w:rPr>
              <w:t>Eixample</w:t>
            </w:r>
          </w:p>
        </w:tc>
        <w:tc>
          <w:tcPr>
            <w:tcW w:w="1701" w:type="dxa"/>
            <w:tcBorders>
              <w:top w:val="nil"/>
              <w:left w:val="nil"/>
              <w:bottom w:val="single" w:sz="4" w:space="0" w:color="DDEBF7"/>
              <w:right w:val="nil"/>
            </w:tcBorders>
            <w:shd w:val="clear" w:color="auto" w:fill="9CC3E5"/>
          </w:tcPr>
          <w:p w14:paraId="6D4E2B95" w14:textId="77777777" w:rsidR="00381FFF" w:rsidRDefault="00C602A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sz w:val="22"/>
                <w:szCs w:val="22"/>
              </w:rPr>
              <w:t>7.787</w:t>
            </w:r>
          </w:p>
        </w:tc>
        <w:tc>
          <w:tcPr>
            <w:tcW w:w="1984" w:type="dxa"/>
            <w:tcBorders>
              <w:top w:val="nil"/>
              <w:left w:val="nil"/>
              <w:bottom w:val="single" w:sz="4" w:space="0" w:color="DDEBF7"/>
              <w:right w:val="nil"/>
            </w:tcBorders>
            <w:shd w:val="clear" w:color="auto" w:fill="9CC3E5"/>
          </w:tcPr>
          <w:p w14:paraId="6AEAF461" w14:textId="77777777" w:rsidR="00381FFF" w:rsidRDefault="00C602A1">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408%</w:t>
            </w:r>
          </w:p>
        </w:tc>
      </w:tr>
      <w:tr w:rsidR="00381FFF" w14:paraId="4623D65D" w14:textId="77777777" w:rsidTr="0064543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3" w:type="dxa"/>
            <w:tcBorders>
              <w:top w:val="nil"/>
              <w:left w:val="nil"/>
              <w:bottom w:val="single" w:sz="4" w:space="0" w:color="DDEBF7"/>
              <w:right w:val="nil"/>
            </w:tcBorders>
          </w:tcPr>
          <w:p w14:paraId="7B3B0606" w14:textId="77777777" w:rsidR="00381FFF" w:rsidRDefault="00C602A1">
            <w:pPr>
              <w:jc w:val="center"/>
              <w:rPr>
                <w:rFonts w:ascii="Open Sans" w:eastAsia="Open Sans" w:hAnsi="Open Sans" w:cs="Open Sans"/>
                <w:color w:val="000000"/>
                <w:sz w:val="22"/>
                <w:szCs w:val="22"/>
              </w:rPr>
            </w:pPr>
            <w:r>
              <w:rPr>
                <w:sz w:val="22"/>
                <w:szCs w:val="22"/>
              </w:rPr>
              <w:t>Barcelona</w:t>
            </w:r>
          </w:p>
        </w:tc>
        <w:tc>
          <w:tcPr>
            <w:tcW w:w="1843" w:type="dxa"/>
            <w:tcBorders>
              <w:top w:val="nil"/>
              <w:left w:val="nil"/>
              <w:bottom w:val="single" w:sz="4" w:space="0" w:color="DDEBF7"/>
              <w:right w:val="nil"/>
            </w:tcBorders>
            <w:shd w:val="clear" w:color="auto" w:fill="D9E2F3"/>
          </w:tcPr>
          <w:p w14:paraId="226310DD" w14:textId="77777777" w:rsidR="00381FFF" w:rsidRDefault="00C602A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sz w:val="22"/>
                <w:szCs w:val="22"/>
              </w:rPr>
              <w:t>Sant Martí</w:t>
            </w:r>
          </w:p>
        </w:tc>
        <w:tc>
          <w:tcPr>
            <w:tcW w:w="2126" w:type="dxa"/>
            <w:tcBorders>
              <w:top w:val="nil"/>
              <w:left w:val="nil"/>
              <w:bottom w:val="single" w:sz="4" w:space="0" w:color="DDEBF7"/>
              <w:right w:val="nil"/>
            </w:tcBorders>
            <w:shd w:val="clear" w:color="auto" w:fill="D9E2F3"/>
          </w:tcPr>
          <w:p w14:paraId="4D8AAB5A" w14:textId="77777777" w:rsidR="00381FFF" w:rsidRDefault="00C602A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sz w:val="22"/>
                <w:szCs w:val="22"/>
              </w:rPr>
              <w:t xml:space="preserve">Front Marítim </w:t>
            </w:r>
          </w:p>
        </w:tc>
        <w:tc>
          <w:tcPr>
            <w:tcW w:w="1701" w:type="dxa"/>
            <w:tcBorders>
              <w:top w:val="nil"/>
              <w:left w:val="nil"/>
              <w:bottom w:val="single" w:sz="4" w:space="0" w:color="DDEBF7"/>
              <w:right w:val="nil"/>
            </w:tcBorders>
            <w:shd w:val="clear" w:color="auto" w:fill="D9E2F3"/>
          </w:tcPr>
          <w:p w14:paraId="5BDC76F5" w14:textId="77777777" w:rsidR="00381FFF" w:rsidRDefault="00C602A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sz w:val="22"/>
                <w:szCs w:val="22"/>
              </w:rPr>
              <w:t>7.634</w:t>
            </w:r>
          </w:p>
        </w:tc>
        <w:tc>
          <w:tcPr>
            <w:tcW w:w="1984" w:type="dxa"/>
            <w:tcBorders>
              <w:top w:val="nil"/>
              <w:left w:val="nil"/>
              <w:bottom w:val="single" w:sz="4" w:space="0" w:color="DDEBF7"/>
              <w:right w:val="nil"/>
            </w:tcBorders>
            <w:shd w:val="clear" w:color="auto" w:fill="D9E2F3"/>
          </w:tcPr>
          <w:p w14:paraId="33CC77FC" w14:textId="77777777" w:rsidR="00381FFF" w:rsidRDefault="00C602A1">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400%</w:t>
            </w:r>
          </w:p>
        </w:tc>
      </w:tr>
      <w:tr w:rsidR="00381FFF" w14:paraId="796255BD" w14:textId="77777777" w:rsidTr="00645435">
        <w:trPr>
          <w:trHeight w:val="283"/>
          <w:jc w:val="center"/>
        </w:trPr>
        <w:tc>
          <w:tcPr>
            <w:cnfStyle w:val="001000000000" w:firstRow="0" w:lastRow="0" w:firstColumn="1" w:lastColumn="0" w:oddVBand="0" w:evenVBand="0" w:oddHBand="0" w:evenHBand="0" w:firstRowFirstColumn="0" w:firstRowLastColumn="0" w:lastRowFirstColumn="0" w:lastRowLastColumn="0"/>
            <w:tcW w:w="1413" w:type="dxa"/>
            <w:tcBorders>
              <w:top w:val="nil"/>
              <w:left w:val="nil"/>
              <w:bottom w:val="single" w:sz="4" w:space="0" w:color="DDEBF7"/>
              <w:right w:val="nil"/>
            </w:tcBorders>
          </w:tcPr>
          <w:p w14:paraId="67E38320" w14:textId="77777777" w:rsidR="00381FFF" w:rsidRDefault="00C602A1">
            <w:pPr>
              <w:jc w:val="center"/>
              <w:rPr>
                <w:rFonts w:ascii="Open Sans" w:eastAsia="Open Sans" w:hAnsi="Open Sans" w:cs="Open Sans"/>
                <w:color w:val="000000"/>
                <w:sz w:val="22"/>
                <w:szCs w:val="22"/>
              </w:rPr>
            </w:pPr>
            <w:r>
              <w:rPr>
                <w:sz w:val="22"/>
                <w:szCs w:val="22"/>
              </w:rPr>
              <w:t>Madrid</w:t>
            </w:r>
          </w:p>
        </w:tc>
        <w:tc>
          <w:tcPr>
            <w:tcW w:w="1843" w:type="dxa"/>
            <w:tcBorders>
              <w:top w:val="nil"/>
              <w:left w:val="nil"/>
              <w:bottom w:val="single" w:sz="4" w:space="0" w:color="DDEBF7"/>
              <w:right w:val="nil"/>
            </w:tcBorders>
            <w:shd w:val="clear" w:color="auto" w:fill="9CC3E5"/>
          </w:tcPr>
          <w:p w14:paraId="1E2A5E8F" w14:textId="77777777" w:rsidR="00381FFF" w:rsidRDefault="00C602A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sz w:val="22"/>
                <w:szCs w:val="22"/>
              </w:rPr>
              <w:t>Salamanca</w:t>
            </w:r>
          </w:p>
        </w:tc>
        <w:tc>
          <w:tcPr>
            <w:tcW w:w="2126" w:type="dxa"/>
            <w:tcBorders>
              <w:top w:val="nil"/>
              <w:left w:val="nil"/>
              <w:bottom w:val="single" w:sz="4" w:space="0" w:color="DDEBF7"/>
              <w:right w:val="nil"/>
            </w:tcBorders>
            <w:shd w:val="clear" w:color="auto" w:fill="9CC3E5"/>
          </w:tcPr>
          <w:p w14:paraId="5A7A580F" w14:textId="77777777" w:rsidR="00381FFF" w:rsidRDefault="00C602A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sz w:val="22"/>
                <w:szCs w:val="22"/>
              </w:rPr>
              <w:t>Castellana</w:t>
            </w:r>
          </w:p>
        </w:tc>
        <w:tc>
          <w:tcPr>
            <w:tcW w:w="1701" w:type="dxa"/>
            <w:tcBorders>
              <w:top w:val="nil"/>
              <w:left w:val="nil"/>
              <w:bottom w:val="single" w:sz="4" w:space="0" w:color="DDEBF7"/>
              <w:right w:val="nil"/>
            </w:tcBorders>
            <w:shd w:val="clear" w:color="auto" w:fill="9CC3E5"/>
          </w:tcPr>
          <w:p w14:paraId="22911590" w14:textId="77777777" w:rsidR="00381FFF" w:rsidRDefault="00C602A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sz w:val="22"/>
                <w:szCs w:val="22"/>
              </w:rPr>
              <w:t>7.629</w:t>
            </w:r>
          </w:p>
        </w:tc>
        <w:tc>
          <w:tcPr>
            <w:tcW w:w="1984" w:type="dxa"/>
            <w:tcBorders>
              <w:top w:val="nil"/>
              <w:left w:val="nil"/>
              <w:bottom w:val="single" w:sz="4" w:space="0" w:color="DDEBF7"/>
              <w:right w:val="nil"/>
            </w:tcBorders>
            <w:shd w:val="clear" w:color="auto" w:fill="9CC3E5"/>
          </w:tcPr>
          <w:p w14:paraId="32F4EE2F" w14:textId="77777777" w:rsidR="00381FFF" w:rsidRDefault="00C602A1">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400%</w:t>
            </w:r>
          </w:p>
        </w:tc>
      </w:tr>
      <w:tr w:rsidR="00381FFF" w14:paraId="7DE715CE" w14:textId="77777777" w:rsidTr="0064543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3" w:type="dxa"/>
            <w:tcBorders>
              <w:top w:val="nil"/>
              <w:left w:val="nil"/>
              <w:bottom w:val="single" w:sz="4" w:space="0" w:color="DDEBF7"/>
              <w:right w:val="nil"/>
            </w:tcBorders>
          </w:tcPr>
          <w:p w14:paraId="4C803D9A" w14:textId="77777777" w:rsidR="00381FFF" w:rsidRDefault="00C602A1">
            <w:pPr>
              <w:jc w:val="center"/>
              <w:rPr>
                <w:rFonts w:ascii="Open Sans" w:eastAsia="Open Sans" w:hAnsi="Open Sans" w:cs="Open Sans"/>
                <w:color w:val="000000"/>
                <w:sz w:val="22"/>
                <w:szCs w:val="22"/>
              </w:rPr>
            </w:pPr>
            <w:r>
              <w:rPr>
                <w:sz w:val="22"/>
                <w:szCs w:val="22"/>
              </w:rPr>
              <w:t>San Sebastián</w:t>
            </w:r>
          </w:p>
        </w:tc>
        <w:tc>
          <w:tcPr>
            <w:tcW w:w="1843" w:type="dxa"/>
            <w:tcBorders>
              <w:top w:val="nil"/>
              <w:left w:val="nil"/>
              <w:bottom w:val="single" w:sz="4" w:space="0" w:color="DDEBF7"/>
              <w:right w:val="nil"/>
            </w:tcBorders>
            <w:shd w:val="clear" w:color="auto" w:fill="D9E2F3"/>
          </w:tcPr>
          <w:p w14:paraId="6EC82638" w14:textId="77777777" w:rsidR="00381FFF" w:rsidRDefault="00C602A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sz w:val="22"/>
                <w:szCs w:val="22"/>
              </w:rPr>
              <w:t>Centro</w:t>
            </w:r>
          </w:p>
        </w:tc>
        <w:tc>
          <w:tcPr>
            <w:tcW w:w="2126" w:type="dxa"/>
            <w:tcBorders>
              <w:top w:val="nil"/>
              <w:left w:val="nil"/>
              <w:bottom w:val="single" w:sz="4" w:space="0" w:color="DDEBF7"/>
              <w:right w:val="nil"/>
            </w:tcBorders>
            <w:shd w:val="clear" w:color="auto" w:fill="D9E2F3"/>
          </w:tcPr>
          <w:p w14:paraId="0F6F140E" w14:textId="77777777" w:rsidR="00381FFF" w:rsidRDefault="00C602A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sz w:val="22"/>
                <w:szCs w:val="22"/>
              </w:rPr>
              <w:t>Área Romántica</w:t>
            </w:r>
          </w:p>
        </w:tc>
        <w:tc>
          <w:tcPr>
            <w:tcW w:w="1701" w:type="dxa"/>
            <w:tcBorders>
              <w:top w:val="nil"/>
              <w:left w:val="nil"/>
              <w:bottom w:val="single" w:sz="4" w:space="0" w:color="DDEBF7"/>
              <w:right w:val="nil"/>
            </w:tcBorders>
            <w:shd w:val="clear" w:color="auto" w:fill="D9E2F3"/>
          </w:tcPr>
          <w:p w14:paraId="33610B2B" w14:textId="77777777" w:rsidR="00381FFF" w:rsidRDefault="00C602A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sz w:val="22"/>
                <w:szCs w:val="22"/>
              </w:rPr>
              <w:t>7.350</w:t>
            </w:r>
          </w:p>
        </w:tc>
        <w:tc>
          <w:tcPr>
            <w:tcW w:w="1984" w:type="dxa"/>
            <w:tcBorders>
              <w:top w:val="nil"/>
              <w:left w:val="nil"/>
              <w:bottom w:val="single" w:sz="4" w:space="0" w:color="DDEBF7"/>
              <w:right w:val="nil"/>
            </w:tcBorders>
            <w:shd w:val="clear" w:color="auto" w:fill="D9E2F3"/>
          </w:tcPr>
          <w:p w14:paraId="2CF63F4C" w14:textId="77777777" w:rsidR="00381FFF" w:rsidRDefault="00C602A1">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385%</w:t>
            </w:r>
          </w:p>
        </w:tc>
      </w:tr>
      <w:tr w:rsidR="00381FFF" w14:paraId="7BFF0D8A" w14:textId="77777777" w:rsidTr="00645435">
        <w:trPr>
          <w:trHeight w:val="283"/>
          <w:jc w:val="center"/>
        </w:trPr>
        <w:tc>
          <w:tcPr>
            <w:cnfStyle w:val="001000000000" w:firstRow="0" w:lastRow="0" w:firstColumn="1" w:lastColumn="0" w:oddVBand="0" w:evenVBand="0" w:oddHBand="0" w:evenHBand="0" w:firstRowFirstColumn="0" w:firstRowLastColumn="0" w:lastRowFirstColumn="0" w:lastRowLastColumn="0"/>
            <w:tcW w:w="1413" w:type="dxa"/>
            <w:tcBorders>
              <w:top w:val="nil"/>
              <w:left w:val="nil"/>
              <w:bottom w:val="single" w:sz="4" w:space="0" w:color="DDEBF7"/>
              <w:right w:val="nil"/>
            </w:tcBorders>
          </w:tcPr>
          <w:p w14:paraId="253C7FD1" w14:textId="77777777" w:rsidR="00381FFF" w:rsidRDefault="00C602A1">
            <w:pPr>
              <w:jc w:val="center"/>
              <w:rPr>
                <w:rFonts w:ascii="Open Sans" w:eastAsia="Open Sans" w:hAnsi="Open Sans" w:cs="Open Sans"/>
                <w:color w:val="000000"/>
                <w:sz w:val="22"/>
                <w:szCs w:val="22"/>
              </w:rPr>
            </w:pPr>
            <w:r>
              <w:rPr>
                <w:sz w:val="22"/>
                <w:szCs w:val="22"/>
              </w:rPr>
              <w:t>Madrid</w:t>
            </w:r>
          </w:p>
        </w:tc>
        <w:tc>
          <w:tcPr>
            <w:tcW w:w="1843" w:type="dxa"/>
            <w:tcBorders>
              <w:top w:val="nil"/>
              <w:left w:val="nil"/>
              <w:bottom w:val="single" w:sz="4" w:space="0" w:color="DDEBF7"/>
              <w:right w:val="nil"/>
            </w:tcBorders>
            <w:shd w:val="clear" w:color="auto" w:fill="9CC3E5"/>
          </w:tcPr>
          <w:p w14:paraId="1D0031B2" w14:textId="77777777" w:rsidR="00381FFF" w:rsidRDefault="00C602A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sz w:val="22"/>
                <w:szCs w:val="22"/>
              </w:rPr>
              <w:t>Chamberí</w:t>
            </w:r>
          </w:p>
        </w:tc>
        <w:tc>
          <w:tcPr>
            <w:tcW w:w="2126" w:type="dxa"/>
            <w:tcBorders>
              <w:top w:val="nil"/>
              <w:left w:val="nil"/>
              <w:bottom w:val="single" w:sz="4" w:space="0" w:color="DDEBF7"/>
              <w:right w:val="nil"/>
            </w:tcBorders>
            <w:shd w:val="clear" w:color="auto" w:fill="9CC3E5"/>
          </w:tcPr>
          <w:p w14:paraId="2B7F390E" w14:textId="77777777" w:rsidR="00381FFF" w:rsidRDefault="00C602A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sz w:val="22"/>
                <w:szCs w:val="22"/>
              </w:rPr>
              <w:t>Almagro</w:t>
            </w:r>
          </w:p>
        </w:tc>
        <w:tc>
          <w:tcPr>
            <w:tcW w:w="1701" w:type="dxa"/>
            <w:tcBorders>
              <w:top w:val="nil"/>
              <w:left w:val="nil"/>
              <w:bottom w:val="single" w:sz="4" w:space="0" w:color="DDEBF7"/>
              <w:right w:val="nil"/>
            </w:tcBorders>
            <w:shd w:val="clear" w:color="auto" w:fill="9CC3E5"/>
          </w:tcPr>
          <w:p w14:paraId="4ABC9B30" w14:textId="77777777" w:rsidR="00381FFF" w:rsidRDefault="00C602A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sz w:val="22"/>
                <w:szCs w:val="22"/>
              </w:rPr>
              <w:t>6.657</w:t>
            </w:r>
          </w:p>
        </w:tc>
        <w:tc>
          <w:tcPr>
            <w:tcW w:w="1984" w:type="dxa"/>
            <w:tcBorders>
              <w:top w:val="nil"/>
              <w:left w:val="nil"/>
              <w:bottom w:val="single" w:sz="4" w:space="0" w:color="DDEBF7"/>
              <w:right w:val="nil"/>
            </w:tcBorders>
            <w:shd w:val="clear" w:color="auto" w:fill="9CC3E5"/>
          </w:tcPr>
          <w:p w14:paraId="409A56C1" w14:textId="77777777" w:rsidR="00381FFF" w:rsidRDefault="00C602A1">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349%</w:t>
            </w:r>
          </w:p>
        </w:tc>
      </w:tr>
      <w:tr w:rsidR="00381FFF" w14:paraId="4EC76A17" w14:textId="77777777" w:rsidTr="0064543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3" w:type="dxa"/>
            <w:tcBorders>
              <w:top w:val="nil"/>
              <w:left w:val="nil"/>
              <w:bottom w:val="single" w:sz="4" w:space="0" w:color="DDEBF7"/>
              <w:right w:val="nil"/>
            </w:tcBorders>
          </w:tcPr>
          <w:p w14:paraId="02B768C3" w14:textId="77777777" w:rsidR="00381FFF" w:rsidRDefault="00C602A1">
            <w:pPr>
              <w:jc w:val="center"/>
              <w:rPr>
                <w:rFonts w:ascii="Open Sans" w:eastAsia="Open Sans" w:hAnsi="Open Sans" w:cs="Open Sans"/>
                <w:color w:val="000000"/>
                <w:sz w:val="22"/>
                <w:szCs w:val="22"/>
              </w:rPr>
            </w:pPr>
            <w:r>
              <w:rPr>
                <w:sz w:val="22"/>
                <w:szCs w:val="22"/>
              </w:rPr>
              <w:t>Barcelona</w:t>
            </w:r>
          </w:p>
        </w:tc>
        <w:tc>
          <w:tcPr>
            <w:tcW w:w="1843" w:type="dxa"/>
            <w:tcBorders>
              <w:top w:val="nil"/>
              <w:left w:val="nil"/>
              <w:bottom w:val="single" w:sz="4" w:space="0" w:color="DDEBF7"/>
              <w:right w:val="nil"/>
            </w:tcBorders>
            <w:shd w:val="clear" w:color="auto" w:fill="D9E2F3"/>
          </w:tcPr>
          <w:p w14:paraId="513ABD9B" w14:textId="77777777" w:rsidR="00381FFF" w:rsidRDefault="00C602A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sz w:val="22"/>
                <w:szCs w:val="22"/>
              </w:rPr>
              <w:t>Ciutat Vella</w:t>
            </w:r>
          </w:p>
        </w:tc>
        <w:tc>
          <w:tcPr>
            <w:tcW w:w="2126" w:type="dxa"/>
            <w:tcBorders>
              <w:top w:val="nil"/>
              <w:left w:val="nil"/>
              <w:bottom w:val="single" w:sz="4" w:space="0" w:color="DDEBF7"/>
              <w:right w:val="nil"/>
            </w:tcBorders>
            <w:shd w:val="clear" w:color="auto" w:fill="D9E2F3"/>
          </w:tcPr>
          <w:p w14:paraId="5588C910" w14:textId="77777777" w:rsidR="00381FFF" w:rsidRDefault="00C602A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sz w:val="22"/>
                <w:szCs w:val="22"/>
              </w:rPr>
              <w:t>Ciutat Vella</w:t>
            </w:r>
          </w:p>
        </w:tc>
        <w:tc>
          <w:tcPr>
            <w:tcW w:w="1701" w:type="dxa"/>
            <w:tcBorders>
              <w:top w:val="nil"/>
              <w:left w:val="nil"/>
              <w:bottom w:val="single" w:sz="4" w:space="0" w:color="DDEBF7"/>
              <w:right w:val="nil"/>
            </w:tcBorders>
            <w:shd w:val="clear" w:color="auto" w:fill="D9E2F3"/>
          </w:tcPr>
          <w:p w14:paraId="7B964EEA" w14:textId="77777777" w:rsidR="00381FFF" w:rsidRDefault="00C602A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sz w:val="22"/>
                <w:szCs w:val="22"/>
              </w:rPr>
              <w:t>6.631</w:t>
            </w:r>
          </w:p>
        </w:tc>
        <w:tc>
          <w:tcPr>
            <w:tcW w:w="1984" w:type="dxa"/>
            <w:tcBorders>
              <w:top w:val="nil"/>
              <w:left w:val="nil"/>
              <w:bottom w:val="single" w:sz="4" w:space="0" w:color="DDEBF7"/>
              <w:right w:val="nil"/>
            </w:tcBorders>
            <w:shd w:val="clear" w:color="auto" w:fill="D9E2F3"/>
          </w:tcPr>
          <w:p w14:paraId="505E5A9F" w14:textId="77777777" w:rsidR="00381FFF" w:rsidRDefault="00C602A1">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348%</w:t>
            </w:r>
          </w:p>
        </w:tc>
      </w:tr>
      <w:tr w:rsidR="00381FFF" w14:paraId="0D5673DC" w14:textId="77777777" w:rsidTr="00645435">
        <w:trPr>
          <w:trHeight w:val="283"/>
          <w:jc w:val="center"/>
        </w:trPr>
        <w:tc>
          <w:tcPr>
            <w:cnfStyle w:val="001000000000" w:firstRow="0" w:lastRow="0" w:firstColumn="1" w:lastColumn="0" w:oddVBand="0" w:evenVBand="0" w:oddHBand="0" w:evenHBand="0" w:firstRowFirstColumn="0" w:firstRowLastColumn="0" w:lastRowFirstColumn="0" w:lastRowLastColumn="0"/>
            <w:tcW w:w="1413" w:type="dxa"/>
            <w:tcBorders>
              <w:top w:val="nil"/>
              <w:left w:val="nil"/>
              <w:bottom w:val="single" w:sz="4" w:space="0" w:color="DDEBF7"/>
              <w:right w:val="nil"/>
            </w:tcBorders>
          </w:tcPr>
          <w:p w14:paraId="533DD683" w14:textId="77777777" w:rsidR="00381FFF" w:rsidRDefault="00C602A1">
            <w:pPr>
              <w:jc w:val="center"/>
              <w:rPr>
                <w:rFonts w:ascii="Open Sans" w:eastAsia="Open Sans" w:hAnsi="Open Sans" w:cs="Open Sans"/>
                <w:color w:val="000000"/>
                <w:sz w:val="22"/>
                <w:szCs w:val="22"/>
              </w:rPr>
            </w:pPr>
            <w:r>
              <w:rPr>
                <w:sz w:val="22"/>
                <w:szCs w:val="22"/>
              </w:rPr>
              <w:t>Madrid</w:t>
            </w:r>
          </w:p>
        </w:tc>
        <w:tc>
          <w:tcPr>
            <w:tcW w:w="1843" w:type="dxa"/>
            <w:tcBorders>
              <w:top w:val="nil"/>
              <w:left w:val="nil"/>
              <w:bottom w:val="single" w:sz="4" w:space="0" w:color="DDEBF7"/>
              <w:right w:val="nil"/>
            </w:tcBorders>
            <w:shd w:val="clear" w:color="auto" w:fill="9CC3E5"/>
          </w:tcPr>
          <w:p w14:paraId="065B377C" w14:textId="77777777" w:rsidR="00381FFF" w:rsidRDefault="00C602A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sz w:val="22"/>
                <w:szCs w:val="22"/>
              </w:rPr>
              <w:t>Chamartín</w:t>
            </w:r>
          </w:p>
        </w:tc>
        <w:tc>
          <w:tcPr>
            <w:tcW w:w="2126" w:type="dxa"/>
            <w:tcBorders>
              <w:top w:val="nil"/>
              <w:left w:val="nil"/>
              <w:bottom w:val="single" w:sz="4" w:space="0" w:color="DDEBF7"/>
              <w:right w:val="nil"/>
            </w:tcBorders>
            <w:shd w:val="clear" w:color="auto" w:fill="9CC3E5"/>
          </w:tcPr>
          <w:p w14:paraId="746C45FE" w14:textId="77777777" w:rsidR="00381FFF" w:rsidRDefault="00C602A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sz w:val="22"/>
                <w:szCs w:val="22"/>
              </w:rPr>
              <w:t>El Viso</w:t>
            </w:r>
          </w:p>
        </w:tc>
        <w:tc>
          <w:tcPr>
            <w:tcW w:w="1701" w:type="dxa"/>
            <w:tcBorders>
              <w:top w:val="nil"/>
              <w:left w:val="nil"/>
              <w:bottom w:val="single" w:sz="4" w:space="0" w:color="DDEBF7"/>
              <w:right w:val="nil"/>
            </w:tcBorders>
            <w:shd w:val="clear" w:color="auto" w:fill="9CC3E5"/>
          </w:tcPr>
          <w:p w14:paraId="78C61915" w14:textId="77777777" w:rsidR="00381FFF" w:rsidRDefault="00C602A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sz w:val="22"/>
                <w:szCs w:val="22"/>
              </w:rPr>
              <w:t>6.606</w:t>
            </w:r>
          </w:p>
        </w:tc>
        <w:tc>
          <w:tcPr>
            <w:tcW w:w="1984" w:type="dxa"/>
            <w:tcBorders>
              <w:top w:val="nil"/>
              <w:left w:val="nil"/>
              <w:bottom w:val="single" w:sz="4" w:space="0" w:color="DDEBF7"/>
              <w:right w:val="nil"/>
            </w:tcBorders>
            <w:shd w:val="clear" w:color="auto" w:fill="9CC3E5"/>
          </w:tcPr>
          <w:p w14:paraId="62BD258D" w14:textId="77777777" w:rsidR="00381FFF" w:rsidRDefault="00C602A1">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346%</w:t>
            </w:r>
          </w:p>
        </w:tc>
      </w:tr>
      <w:tr w:rsidR="00381FFF" w14:paraId="15CEA5E0" w14:textId="77777777" w:rsidTr="0064543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3" w:type="dxa"/>
            <w:tcBorders>
              <w:top w:val="nil"/>
              <w:left w:val="nil"/>
              <w:bottom w:val="single" w:sz="4" w:space="0" w:color="DDEBF7"/>
              <w:right w:val="nil"/>
            </w:tcBorders>
          </w:tcPr>
          <w:p w14:paraId="48A76609" w14:textId="77777777" w:rsidR="00381FFF" w:rsidRDefault="00C602A1">
            <w:pPr>
              <w:jc w:val="center"/>
              <w:rPr>
                <w:rFonts w:ascii="Open Sans" w:eastAsia="Open Sans" w:hAnsi="Open Sans" w:cs="Open Sans"/>
                <w:color w:val="000000"/>
                <w:sz w:val="22"/>
                <w:szCs w:val="22"/>
              </w:rPr>
            </w:pPr>
            <w:r>
              <w:rPr>
                <w:sz w:val="22"/>
                <w:szCs w:val="22"/>
              </w:rPr>
              <w:t>Barcelona</w:t>
            </w:r>
          </w:p>
        </w:tc>
        <w:tc>
          <w:tcPr>
            <w:tcW w:w="1843" w:type="dxa"/>
            <w:tcBorders>
              <w:top w:val="nil"/>
              <w:left w:val="nil"/>
              <w:bottom w:val="single" w:sz="4" w:space="0" w:color="DDEBF7"/>
              <w:right w:val="nil"/>
            </w:tcBorders>
            <w:shd w:val="clear" w:color="auto" w:fill="D9E2F3"/>
          </w:tcPr>
          <w:p w14:paraId="59023A10" w14:textId="77777777" w:rsidR="00381FFF" w:rsidRDefault="00C602A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sz w:val="22"/>
                <w:szCs w:val="22"/>
              </w:rPr>
              <w:t>Sarrià-Sant Gervasi</w:t>
            </w:r>
          </w:p>
        </w:tc>
        <w:tc>
          <w:tcPr>
            <w:tcW w:w="2126" w:type="dxa"/>
            <w:tcBorders>
              <w:top w:val="nil"/>
              <w:left w:val="nil"/>
              <w:bottom w:val="single" w:sz="4" w:space="0" w:color="DDEBF7"/>
              <w:right w:val="nil"/>
            </w:tcBorders>
            <w:shd w:val="clear" w:color="auto" w:fill="D9E2F3"/>
          </w:tcPr>
          <w:p w14:paraId="457A6D00" w14:textId="77777777" w:rsidR="00381FFF" w:rsidRDefault="00C602A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sz w:val="22"/>
                <w:szCs w:val="22"/>
              </w:rPr>
              <w:t>Sarrià</w:t>
            </w:r>
          </w:p>
        </w:tc>
        <w:tc>
          <w:tcPr>
            <w:tcW w:w="1701" w:type="dxa"/>
            <w:tcBorders>
              <w:top w:val="nil"/>
              <w:left w:val="nil"/>
              <w:bottom w:val="single" w:sz="4" w:space="0" w:color="DDEBF7"/>
              <w:right w:val="nil"/>
            </w:tcBorders>
            <w:shd w:val="clear" w:color="auto" w:fill="D9E2F3"/>
          </w:tcPr>
          <w:p w14:paraId="04B47624" w14:textId="77777777" w:rsidR="00381FFF" w:rsidRDefault="00C602A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sz w:val="22"/>
                <w:szCs w:val="22"/>
              </w:rPr>
              <w:t>6.380</w:t>
            </w:r>
          </w:p>
        </w:tc>
        <w:tc>
          <w:tcPr>
            <w:tcW w:w="1984" w:type="dxa"/>
            <w:tcBorders>
              <w:top w:val="nil"/>
              <w:left w:val="nil"/>
              <w:bottom w:val="single" w:sz="4" w:space="0" w:color="DDEBF7"/>
              <w:right w:val="nil"/>
            </w:tcBorders>
            <w:shd w:val="clear" w:color="auto" w:fill="D9E2F3"/>
          </w:tcPr>
          <w:p w14:paraId="1A24EE17" w14:textId="77777777" w:rsidR="00381FFF" w:rsidRDefault="00C602A1">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335%</w:t>
            </w:r>
          </w:p>
        </w:tc>
      </w:tr>
      <w:tr w:rsidR="00381FFF" w14:paraId="4A22E4BE" w14:textId="77777777" w:rsidTr="00645435">
        <w:trPr>
          <w:trHeight w:val="283"/>
          <w:jc w:val="center"/>
        </w:trPr>
        <w:tc>
          <w:tcPr>
            <w:cnfStyle w:val="001000000000" w:firstRow="0" w:lastRow="0" w:firstColumn="1" w:lastColumn="0" w:oddVBand="0" w:evenVBand="0" w:oddHBand="0" w:evenHBand="0" w:firstRowFirstColumn="0" w:firstRowLastColumn="0" w:lastRowFirstColumn="0" w:lastRowLastColumn="0"/>
            <w:tcW w:w="1413" w:type="dxa"/>
            <w:tcBorders>
              <w:top w:val="nil"/>
              <w:left w:val="nil"/>
              <w:bottom w:val="single" w:sz="4" w:space="0" w:color="DDEBF7"/>
              <w:right w:val="nil"/>
            </w:tcBorders>
          </w:tcPr>
          <w:p w14:paraId="33BE3AB9" w14:textId="77777777" w:rsidR="00381FFF" w:rsidRDefault="00C602A1">
            <w:pPr>
              <w:jc w:val="center"/>
              <w:rPr>
                <w:rFonts w:ascii="Open Sans" w:eastAsia="Open Sans" w:hAnsi="Open Sans" w:cs="Open Sans"/>
                <w:color w:val="000000"/>
                <w:sz w:val="22"/>
                <w:szCs w:val="22"/>
              </w:rPr>
            </w:pPr>
            <w:r>
              <w:rPr>
                <w:sz w:val="22"/>
                <w:szCs w:val="22"/>
              </w:rPr>
              <w:t>Madrid</w:t>
            </w:r>
          </w:p>
        </w:tc>
        <w:tc>
          <w:tcPr>
            <w:tcW w:w="1843" w:type="dxa"/>
            <w:tcBorders>
              <w:top w:val="nil"/>
              <w:left w:val="nil"/>
              <w:bottom w:val="single" w:sz="4" w:space="0" w:color="DDEBF7"/>
              <w:right w:val="nil"/>
            </w:tcBorders>
            <w:shd w:val="clear" w:color="auto" w:fill="9CC3E5"/>
          </w:tcPr>
          <w:p w14:paraId="23DF9577" w14:textId="77777777" w:rsidR="00381FFF" w:rsidRDefault="00C602A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sz w:val="22"/>
                <w:szCs w:val="22"/>
              </w:rPr>
              <w:t>Salamanca</w:t>
            </w:r>
          </w:p>
        </w:tc>
        <w:tc>
          <w:tcPr>
            <w:tcW w:w="2126" w:type="dxa"/>
            <w:tcBorders>
              <w:top w:val="nil"/>
              <w:left w:val="nil"/>
              <w:bottom w:val="single" w:sz="4" w:space="0" w:color="DDEBF7"/>
              <w:right w:val="nil"/>
            </w:tcBorders>
            <w:shd w:val="clear" w:color="auto" w:fill="9CC3E5"/>
          </w:tcPr>
          <w:p w14:paraId="5375A9EE" w14:textId="77777777" w:rsidR="00381FFF" w:rsidRDefault="00C602A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sz w:val="22"/>
                <w:szCs w:val="22"/>
              </w:rPr>
              <w:t>Lista</w:t>
            </w:r>
          </w:p>
        </w:tc>
        <w:tc>
          <w:tcPr>
            <w:tcW w:w="1701" w:type="dxa"/>
            <w:tcBorders>
              <w:top w:val="nil"/>
              <w:left w:val="nil"/>
              <w:bottom w:val="single" w:sz="4" w:space="0" w:color="DDEBF7"/>
              <w:right w:val="nil"/>
            </w:tcBorders>
            <w:shd w:val="clear" w:color="auto" w:fill="9CC3E5"/>
          </w:tcPr>
          <w:p w14:paraId="6404F609" w14:textId="77777777" w:rsidR="00381FFF" w:rsidRDefault="00C602A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sz w:val="22"/>
                <w:szCs w:val="22"/>
              </w:rPr>
              <w:t>6.365</w:t>
            </w:r>
          </w:p>
        </w:tc>
        <w:tc>
          <w:tcPr>
            <w:tcW w:w="1984" w:type="dxa"/>
            <w:tcBorders>
              <w:top w:val="nil"/>
              <w:left w:val="nil"/>
              <w:bottom w:val="single" w:sz="4" w:space="0" w:color="DDEBF7"/>
              <w:right w:val="nil"/>
            </w:tcBorders>
            <w:shd w:val="clear" w:color="auto" w:fill="9CC3E5"/>
          </w:tcPr>
          <w:p w14:paraId="2D5FAAA9" w14:textId="77777777" w:rsidR="00381FFF" w:rsidRDefault="00C602A1">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334%</w:t>
            </w:r>
          </w:p>
        </w:tc>
      </w:tr>
      <w:tr w:rsidR="00381FFF" w14:paraId="16700F7C" w14:textId="77777777" w:rsidTr="0064543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3" w:type="dxa"/>
            <w:tcBorders>
              <w:top w:val="nil"/>
              <w:left w:val="nil"/>
              <w:bottom w:val="single" w:sz="4" w:space="0" w:color="DDEBF7"/>
              <w:right w:val="nil"/>
            </w:tcBorders>
          </w:tcPr>
          <w:p w14:paraId="37AE3493" w14:textId="77777777" w:rsidR="00381FFF" w:rsidRDefault="00C602A1">
            <w:pPr>
              <w:jc w:val="center"/>
              <w:rPr>
                <w:rFonts w:ascii="Open Sans" w:eastAsia="Open Sans" w:hAnsi="Open Sans" w:cs="Open Sans"/>
                <w:color w:val="000000"/>
                <w:sz w:val="22"/>
                <w:szCs w:val="22"/>
              </w:rPr>
            </w:pPr>
            <w:r>
              <w:rPr>
                <w:sz w:val="22"/>
                <w:szCs w:val="22"/>
              </w:rPr>
              <w:t>San Sebastián</w:t>
            </w:r>
          </w:p>
        </w:tc>
        <w:tc>
          <w:tcPr>
            <w:tcW w:w="1843" w:type="dxa"/>
            <w:tcBorders>
              <w:top w:val="nil"/>
              <w:left w:val="nil"/>
              <w:bottom w:val="single" w:sz="4" w:space="0" w:color="DDEBF7"/>
              <w:right w:val="nil"/>
            </w:tcBorders>
            <w:shd w:val="clear" w:color="auto" w:fill="D9E2F3"/>
          </w:tcPr>
          <w:p w14:paraId="3123C64B" w14:textId="77777777" w:rsidR="00381FFF" w:rsidRDefault="00C602A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sz w:val="22"/>
                <w:szCs w:val="22"/>
              </w:rPr>
              <w:t>Gros</w:t>
            </w:r>
          </w:p>
        </w:tc>
        <w:tc>
          <w:tcPr>
            <w:tcW w:w="2126" w:type="dxa"/>
            <w:tcBorders>
              <w:top w:val="nil"/>
              <w:left w:val="nil"/>
              <w:bottom w:val="single" w:sz="4" w:space="0" w:color="DDEBF7"/>
              <w:right w:val="nil"/>
            </w:tcBorders>
            <w:shd w:val="clear" w:color="auto" w:fill="D9E2F3"/>
          </w:tcPr>
          <w:p w14:paraId="447AEB63" w14:textId="77777777" w:rsidR="00381FFF" w:rsidRDefault="00C602A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sz w:val="22"/>
                <w:szCs w:val="22"/>
              </w:rPr>
              <w:t>Gros</w:t>
            </w:r>
          </w:p>
        </w:tc>
        <w:tc>
          <w:tcPr>
            <w:tcW w:w="1701" w:type="dxa"/>
            <w:tcBorders>
              <w:top w:val="nil"/>
              <w:left w:val="nil"/>
              <w:bottom w:val="single" w:sz="4" w:space="0" w:color="DDEBF7"/>
              <w:right w:val="nil"/>
            </w:tcBorders>
            <w:shd w:val="clear" w:color="auto" w:fill="D9E2F3"/>
          </w:tcPr>
          <w:p w14:paraId="3AA4FB06" w14:textId="77777777" w:rsidR="00381FFF" w:rsidRDefault="00C602A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sz w:val="22"/>
                <w:szCs w:val="22"/>
              </w:rPr>
              <w:t>6.266</w:t>
            </w:r>
          </w:p>
        </w:tc>
        <w:tc>
          <w:tcPr>
            <w:tcW w:w="1984" w:type="dxa"/>
            <w:tcBorders>
              <w:top w:val="nil"/>
              <w:left w:val="nil"/>
              <w:bottom w:val="single" w:sz="4" w:space="0" w:color="DDEBF7"/>
              <w:right w:val="nil"/>
            </w:tcBorders>
            <w:shd w:val="clear" w:color="auto" w:fill="D9E2F3"/>
          </w:tcPr>
          <w:p w14:paraId="663EE8A6" w14:textId="77777777" w:rsidR="00381FFF" w:rsidRDefault="00C602A1">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329%</w:t>
            </w:r>
          </w:p>
        </w:tc>
      </w:tr>
      <w:tr w:rsidR="00381FFF" w14:paraId="0C27E95B" w14:textId="77777777" w:rsidTr="00645435">
        <w:trPr>
          <w:trHeight w:val="283"/>
          <w:jc w:val="center"/>
        </w:trPr>
        <w:tc>
          <w:tcPr>
            <w:cnfStyle w:val="001000000000" w:firstRow="0" w:lastRow="0" w:firstColumn="1" w:lastColumn="0" w:oddVBand="0" w:evenVBand="0" w:oddHBand="0" w:evenHBand="0" w:firstRowFirstColumn="0" w:firstRowLastColumn="0" w:lastRowFirstColumn="0" w:lastRowLastColumn="0"/>
            <w:tcW w:w="1413" w:type="dxa"/>
            <w:tcBorders>
              <w:top w:val="nil"/>
              <w:left w:val="nil"/>
              <w:bottom w:val="single" w:sz="4" w:space="0" w:color="DDEBF7"/>
              <w:right w:val="nil"/>
            </w:tcBorders>
          </w:tcPr>
          <w:p w14:paraId="640EC017" w14:textId="77777777" w:rsidR="00381FFF" w:rsidRDefault="00C602A1">
            <w:pPr>
              <w:jc w:val="center"/>
              <w:rPr>
                <w:rFonts w:ascii="Open Sans" w:eastAsia="Open Sans" w:hAnsi="Open Sans" w:cs="Open Sans"/>
                <w:color w:val="000000"/>
                <w:sz w:val="22"/>
                <w:szCs w:val="22"/>
              </w:rPr>
            </w:pPr>
            <w:r>
              <w:rPr>
                <w:sz w:val="22"/>
                <w:szCs w:val="22"/>
              </w:rPr>
              <w:t>Barcelona</w:t>
            </w:r>
          </w:p>
        </w:tc>
        <w:tc>
          <w:tcPr>
            <w:tcW w:w="1843" w:type="dxa"/>
            <w:tcBorders>
              <w:top w:val="nil"/>
              <w:left w:val="nil"/>
              <w:bottom w:val="single" w:sz="4" w:space="0" w:color="DDEBF7"/>
              <w:right w:val="nil"/>
            </w:tcBorders>
            <w:shd w:val="clear" w:color="auto" w:fill="9CC3E5"/>
          </w:tcPr>
          <w:p w14:paraId="24EC2D77" w14:textId="77777777" w:rsidR="00381FFF" w:rsidRDefault="00C602A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sz w:val="22"/>
                <w:szCs w:val="22"/>
              </w:rPr>
              <w:t>Eixample</w:t>
            </w:r>
          </w:p>
        </w:tc>
        <w:tc>
          <w:tcPr>
            <w:tcW w:w="2126" w:type="dxa"/>
            <w:tcBorders>
              <w:top w:val="nil"/>
              <w:left w:val="nil"/>
              <w:bottom w:val="single" w:sz="4" w:space="0" w:color="DDEBF7"/>
              <w:right w:val="nil"/>
            </w:tcBorders>
            <w:shd w:val="clear" w:color="auto" w:fill="9CC3E5"/>
          </w:tcPr>
          <w:p w14:paraId="1398F26B" w14:textId="77777777" w:rsidR="00381FFF" w:rsidRDefault="00C602A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proofErr w:type="spellStart"/>
            <w:r>
              <w:rPr>
                <w:sz w:val="22"/>
                <w:szCs w:val="22"/>
              </w:rPr>
              <w:t>Dreta</w:t>
            </w:r>
            <w:proofErr w:type="spellEnd"/>
            <w:r>
              <w:rPr>
                <w:sz w:val="22"/>
                <w:szCs w:val="22"/>
              </w:rPr>
              <w:t xml:space="preserve"> de l'Eixample</w:t>
            </w:r>
          </w:p>
        </w:tc>
        <w:tc>
          <w:tcPr>
            <w:tcW w:w="1701" w:type="dxa"/>
            <w:tcBorders>
              <w:top w:val="nil"/>
              <w:left w:val="nil"/>
              <w:bottom w:val="single" w:sz="4" w:space="0" w:color="DDEBF7"/>
              <w:right w:val="nil"/>
            </w:tcBorders>
            <w:shd w:val="clear" w:color="auto" w:fill="9CC3E5"/>
          </w:tcPr>
          <w:p w14:paraId="6D98B195" w14:textId="77777777" w:rsidR="00381FFF" w:rsidRDefault="00C602A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sz w:val="22"/>
                <w:szCs w:val="22"/>
              </w:rPr>
              <w:t>6.208</w:t>
            </w:r>
          </w:p>
        </w:tc>
        <w:tc>
          <w:tcPr>
            <w:tcW w:w="1984" w:type="dxa"/>
            <w:tcBorders>
              <w:top w:val="nil"/>
              <w:left w:val="nil"/>
              <w:bottom w:val="single" w:sz="4" w:space="0" w:color="DDEBF7"/>
              <w:right w:val="nil"/>
            </w:tcBorders>
            <w:shd w:val="clear" w:color="auto" w:fill="9CC3E5"/>
          </w:tcPr>
          <w:p w14:paraId="15E1A29C" w14:textId="77777777" w:rsidR="00381FFF" w:rsidRDefault="00C602A1">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325%</w:t>
            </w:r>
          </w:p>
        </w:tc>
      </w:tr>
      <w:tr w:rsidR="00381FFF" w14:paraId="0D128748" w14:textId="77777777" w:rsidTr="0064543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3" w:type="dxa"/>
            <w:tcBorders>
              <w:top w:val="nil"/>
              <w:left w:val="nil"/>
              <w:bottom w:val="single" w:sz="4" w:space="0" w:color="DDEBF7"/>
              <w:right w:val="nil"/>
            </w:tcBorders>
          </w:tcPr>
          <w:p w14:paraId="723001C0" w14:textId="77777777" w:rsidR="00381FFF" w:rsidRDefault="00C602A1">
            <w:pPr>
              <w:jc w:val="center"/>
              <w:rPr>
                <w:rFonts w:ascii="Open Sans" w:eastAsia="Open Sans" w:hAnsi="Open Sans" w:cs="Open Sans"/>
                <w:color w:val="000000"/>
                <w:sz w:val="22"/>
                <w:szCs w:val="22"/>
              </w:rPr>
            </w:pPr>
            <w:r>
              <w:rPr>
                <w:sz w:val="22"/>
                <w:szCs w:val="22"/>
              </w:rPr>
              <w:lastRenderedPageBreak/>
              <w:t>Madrid</w:t>
            </w:r>
          </w:p>
        </w:tc>
        <w:tc>
          <w:tcPr>
            <w:tcW w:w="1843" w:type="dxa"/>
            <w:tcBorders>
              <w:top w:val="nil"/>
              <w:left w:val="nil"/>
              <w:bottom w:val="single" w:sz="4" w:space="0" w:color="DDEBF7"/>
              <w:right w:val="nil"/>
            </w:tcBorders>
            <w:shd w:val="clear" w:color="auto" w:fill="D9E2F3"/>
          </w:tcPr>
          <w:p w14:paraId="36C01DB5" w14:textId="77777777" w:rsidR="00381FFF" w:rsidRDefault="00C602A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sz w:val="22"/>
                <w:szCs w:val="22"/>
              </w:rPr>
              <w:t>Retiro</w:t>
            </w:r>
          </w:p>
        </w:tc>
        <w:tc>
          <w:tcPr>
            <w:tcW w:w="2126" w:type="dxa"/>
            <w:tcBorders>
              <w:top w:val="nil"/>
              <w:left w:val="nil"/>
              <w:bottom w:val="single" w:sz="4" w:space="0" w:color="DDEBF7"/>
              <w:right w:val="nil"/>
            </w:tcBorders>
            <w:shd w:val="clear" w:color="auto" w:fill="D9E2F3"/>
          </w:tcPr>
          <w:p w14:paraId="03408572" w14:textId="77777777" w:rsidR="00381FFF" w:rsidRDefault="00C602A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sz w:val="22"/>
                <w:szCs w:val="22"/>
              </w:rPr>
              <w:t>Jerónimos</w:t>
            </w:r>
          </w:p>
        </w:tc>
        <w:tc>
          <w:tcPr>
            <w:tcW w:w="1701" w:type="dxa"/>
            <w:tcBorders>
              <w:top w:val="nil"/>
              <w:left w:val="nil"/>
              <w:bottom w:val="single" w:sz="4" w:space="0" w:color="DDEBF7"/>
              <w:right w:val="nil"/>
            </w:tcBorders>
            <w:shd w:val="clear" w:color="auto" w:fill="D9E2F3"/>
          </w:tcPr>
          <w:p w14:paraId="5D4C0DFA" w14:textId="77777777" w:rsidR="00381FFF" w:rsidRDefault="00C602A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sz w:val="22"/>
                <w:szCs w:val="22"/>
              </w:rPr>
              <w:t>6.159</w:t>
            </w:r>
          </w:p>
        </w:tc>
        <w:tc>
          <w:tcPr>
            <w:tcW w:w="1984" w:type="dxa"/>
            <w:tcBorders>
              <w:top w:val="nil"/>
              <w:left w:val="nil"/>
              <w:bottom w:val="single" w:sz="4" w:space="0" w:color="DDEBF7"/>
              <w:right w:val="nil"/>
            </w:tcBorders>
            <w:shd w:val="clear" w:color="auto" w:fill="D9E2F3"/>
          </w:tcPr>
          <w:p w14:paraId="49C10611" w14:textId="77777777" w:rsidR="00381FFF" w:rsidRDefault="00C602A1">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323%</w:t>
            </w:r>
          </w:p>
        </w:tc>
      </w:tr>
      <w:tr w:rsidR="00381FFF" w14:paraId="65332260" w14:textId="77777777" w:rsidTr="00645435">
        <w:trPr>
          <w:trHeight w:val="283"/>
          <w:jc w:val="center"/>
        </w:trPr>
        <w:tc>
          <w:tcPr>
            <w:cnfStyle w:val="001000000000" w:firstRow="0" w:lastRow="0" w:firstColumn="1" w:lastColumn="0" w:oddVBand="0" w:evenVBand="0" w:oddHBand="0" w:evenHBand="0" w:firstRowFirstColumn="0" w:firstRowLastColumn="0" w:lastRowFirstColumn="0" w:lastRowLastColumn="0"/>
            <w:tcW w:w="1413" w:type="dxa"/>
            <w:tcBorders>
              <w:top w:val="nil"/>
              <w:left w:val="nil"/>
              <w:bottom w:val="single" w:sz="4" w:space="0" w:color="DDEBF7"/>
              <w:right w:val="nil"/>
            </w:tcBorders>
          </w:tcPr>
          <w:p w14:paraId="1ADC851D" w14:textId="77777777" w:rsidR="00381FFF" w:rsidRDefault="00C602A1">
            <w:pPr>
              <w:jc w:val="center"/>
              <w:rPr>
                <w:rFonts w:ascii="Open Sans" w:eastAsia="Open Sans" w:hAnsi="Open Sans" w:cs="Open Sans"/>
                <w:color w:val="000000"/>
                <w:sz w:val="22"/>
                <w:szCs w:val="22"/>
              </w:rPr>
            </w:pPr>
            <w:r>
              <w:rPr>
                <w:sz w:val="22"/>
                <w:szCs w:val="22"/>
              </w:rPr>
              <w:t>Madrid</w:t>
            </w:r>
          </w:p>
        </w:tc>
        <w:tc>
          <w:tcPr>
            <w:tcW w:w="1843" w:type="dxa"/>
            <w:tcBorders>
              <w:top w:val="nil"/>
              <w:left w:val="nil"/>
              <w:bottom w:val="single" w:sz="4" w:space="0" w:color="DDEBF7"/>
              <w:right w:val="nil"/>
            </w:tcBorders>
            <w:shd w:val="clear" w:color="auto" w:fill="9CC3E5"/>
          </w:tcPr>
          <w:p w14:paraId="18EB669B" w14:textId="77777777" w:rsidR="00381FFF" w:rsidRDefault="00C602A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sz w:val="22"/>
                <w:szCs w:val="22"/>
              </w:rPr>
              <w:t>Salamanca</w:t>
            </w:r>
          </w:p>
        </w:tc>
        <w:tc>
          <w:tcPr>
            <w:tcW w:w="2126" w:type="dxa"/>
            <w:tcBorders>
              <w:top w:val="nil"/>
              <w:left w:val="nil"/>
              <w:bottom w:val="single" w:sz="4" w:space="0" w:color="DDEBF7"/>
              <w:right w:val="nil"/>
            </w:tcBorders>
            <w:shd w:val="clear" w:color="auto" w:fill="9CC3E5"/>
          </w:tcPr>
          <w:p w14:paraId="19CBFD36" w14:textId="77777777" w:rsidR="00381FFF" w:rsidRDefault="00C602A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sz w:val="22"/>
                <w:szCs w:val="22"/>
              </w:rPr>
              <w:t>Goya</w:t>
            </w:r>
          </w:p>
        </w:tc>
        <w:tc>
          <w:tcPr>
            <w:tcW w:w="1701" w:type="dxa"/>
            <w:tcBorders>
              <w:top w:val="nil"/>
              <w:left w:val="nil"/>
              <w:bottom w:val="single" w:sz="4" w:space="0" w:color="DDEBF7"/>
              <w:right w:val="nil"/>
            </w:tcBorders>
            <w:shd w:val="clear" w:color="auto" w:fill="9CC3E5"/>
          </w:tcPr>
          <w:p w14:paraId="41BDBD3C" w14:textId="77777777" w:rsidR="00381FFF" w:rsidRDefault="00C602A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sz w:val="22"/>
                <w:szCs w:val="22"/>
              </w:rPr>
              <w:t>6.133</w:t>
            </w:r>
          </w:p>
        </w:tc>
        <w:tc>
          <w:tcPr>
            <w:tcW w:w="1984" w:type="dxa"/>
            <w:tcBorders>
              <w:top w:val="nil"/>
              <w:left w:val="nil"/>
              <w:bottom w:val="single" w:sz="4" w:space="0" w:color="DDEBF7"/>
              <w:right w:val="nil"/>
            </w:tcBorders>
            <w:shd w:val="clear" w:color="auto" w:fill="9CC3E5"/>
          </w:tcPr>
          <w:p w14:paraId="27117E9D" w14:textId="77777777" w:rsidR="00381FFF" w:rsidRDefault="00C602A1">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322%</w:t>
            </w:r>
          </w:p>
        </w:tc>
      </w:tr>
      <w:tr w:rsidR="00381FFF" w14:paraId="7A371B0D" w14:textId="77777777" w:rsidTr="0064543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3" w:type="dxa"/>
            <w:tcBorders>
              <w:top w:val="nil"/>
              <w:left w:val="nil"/>
              <w:bottom w:val="single" w:sz="4" w:space="0" w:color="DDEBF7"/>
              <w:right w:val="nil"/>
            </w:tcBorders>
          </w:tcPr>
          <w:p w14:paraId="75BAB8CE" w14:textId="77777777" w:rsidR="00381FFF" w:rsidRDefault="00C602A1">
            <w:pPr>
              <w:jc w:val="center"/>
              <w:rPr>
                <w:rFonts w:ascii="Open Sans" w:eastAsia="Open Sans" w:hAnsi="Open Sans" w:cs="Open Sans"/>
                <w:color w:val="000000"/>
                <w:sz w:val="22"/>
                <w:szCs w:val="22"/>
              </w:rPr>
            </w:pPr>
            <w:r>
              <w:rPr>
                <w:sz w:val="22"/>
                <w:szCs w:val="22"/>
              </w:rPr>
              <w:t>Eivissa</w:t>
            </w:r>
          </w:p>
        </w:tc>
        <w:tc>
          <w:tcPr>
            <w:tcW w:w="1843" w:type="dxa"/>
            <w:tcBorders>
              <w:top w:val="nil"/>
              <w:left w:val="nil"/>
              <w:bottom w:val="single" w:sz="4" w:space="0" w:color="DDEBF7"/>
              <w:right w:val="nil"/>
            </w:tcBorders>
            <w:shd w:val="clear" w:color="auto" w:fill="D9E2F3"/>
          </w:tcPr>
          <w:p w14:paraId="1750A150" w14:textId="77777777" w:rsidR="00381FFF" w:rsidRDefault="00C602A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sz w:val="22"/>
                <w:szCs w:val="22"/>
              </w:rPr>
              <w:t>Marina Botafoc</w:t>
            </w:r>
          </w:p>
        </w:tc>
        <w:tc>
          <w:tcPr>
            <w:tcW w:w="2126" w:type="dxa"/>
            <w:tcBorders>
              <w:top w:val="nil"/>
              <w:left w:val="nil"/>
              <w:bottom w:val="single" w:sz="4" w:space="0" w:color="DDEBF7"/>
              <w:right w:val="nil"/>
            </w:tcBorders>
            <w:shd w:val="clear" w:color="auto" w:fill="D9E2F3"/>
          </w:tcPr>
          <w:p w14:paraId="0B4931E3" w14:textId="77777777" w:rsidR="00381FFF" w:rsidRDefault="00C602A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sz w:val="22"/>
                <w:szCs w:val="22"/>
              </w:rPr>
              <w:t>Platja de Talamanca</w:t>
            </w:r>
          </w:p>
        </w:tc>
        <w:tc>
          <w:tcPr>
            <w:tcW w:w="1701" w:type="dxa"/>
            <w:tcBorders>
              <w:top w:val="nil"/>
              <w:left w:val="nil"/>
              <w:bottom w:val="single" w:sz="4" w:space="0" w:color="DDEBF7"/>
              <w:right w:val="nil"/>
            </w:tcBorders>
            <w:shd w:val="clear" w:color="auto" w:fill="D9E2F3"/>
          </w:tcPr>
          <w:p w14:paraId="120B914F" w14:textId="77777777" w:rsidR="00381FFF" w:rsidRDefault="00C602A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sz w:val="22"/>
                <w:szCs w:val="22"/>
              </w:rPr>
              <w:t>6.115</w:t>
            </w:r>
          </w:p>
        </w:tc>
        <w:tc>
          <w:tcPr>
            <w:tcW w:w="1984" w:type="dxa"/>
            <w:tcBorders>
              <w:top w:val="nil"/>
              <w:left w:val="nil"/>
              <w:bottom w:val="single" w:sz="4" w:space="0" w:color="DDEBF7"/>
              <w:right w:val="nil"/>
            </w:tcBorders>
            <w:shd w:val="clear" w:color="auto" w:fill="D9E2F3"/>
          </w:tcPr>
          <w:p w14:paraId="60D22DE2" w14:textId="77777777" w:rsidR="00381FFF" w:rsidRDefault="00C602A1">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321%</w:t>
            </w:r>
          </w:p>
        </w:tc>
      </w:tr>
      <w:tr w:rsidR="00381FFF" w14:paraId="20BEAC01" w14:textId="77777777" w:rsidTr="00645435">
        <w:trPr>
          <w:trHeight w:val="283"/>
          <w:jc w:val="center"/>
        </w:trPr>
        <w:tc>
          <w:tcPr>
            <w:cnfStyle w:val="001000000000" w:firstRow="0" w:lastRow="0" w:firstColumn="1" w:lastColumn="0" w:oddVBand="0" w:evenVBand="0" w:oddHBand="0" w:evenHBand="0" w:firstRowFirstColumn="0" w:firstRowLastColumn="0" w:lastRowFirstColumn="0" w:lastRowLastColumn="0"/>
            <w:tcW w:w="1413" w:type="dxa"/>
            <w:tcBorders>
              <w:top w:val="nil"/>
              <w:left w:val="nil"/>
              <w:bottom w:val="single" w:sz="4" w:space="0" w:color="DDEBF7"/>
              <w:right w:val="nil"/>
            </w:tcBorders>
          </w:tcPr>
          <w:p w14:paraId="2F15CDC4" w14:textId="77777777" w:rsidR="00381FFF" w:rsidRDefault="00C602A1">
            <w:pPr>
              <w:jc w:val="center"/>
              <w:rPr>
                <w:rFonts w:ascii="Open Sans" w:eastAsia="Open Sans" w:hAnsi="Open Sans" w:cs="Open Sans"/>
                <w:color w:val="000000"/>
                <w:sz w:val="22"/>
                <w:szCs w:val="22"/>
              </w:rPr>
            </w:pPr>
            <w:r>
              <w:rPr>
                <w:sz w:val="22"/>
                <w:szCs w:val="22"/>
              </w:rPr>
              <w:t>Barcelona</w:t>
            </w:r>
          </w:p>
        </w:tc>
        <w:tc>
          <w:tcPr>
            <w:tcW w:w="1843" w:type="dxa"/>
            <w:tcBorders>
              <w:top w:val="nil"/>
              <w:left w:val="nil"/>
              <w:bottom w:val="single" w:sz="4" w:space="0" w:color="DDEBF7"/>
              <w:right w:val="nil"/>
            </w:tcBorders>
            <w:shd w:val="clear" w:color="auto" w:fill="9CC3E5"/>
          </w:tcPr>
          <w:p w14:paraId="72839E68" w14:textId="77777777" w:rsidR="00381FFF" w:rsidRDefault="00C602A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sz w:val="22"/>
                <w:szCs w:val="22"/>
              </w:rPr>
              <w:t>Les Corts</w:t>
            </w:r>
          </w:p>
        </w:tc>
        <w:tc>
          <w:tcPr>
            <w:tcW w:w="2126" w:type="dxa"/>
            <w:tcBorders>
              <w:top w:val="nil"/>
              <w:left w:val="nil"/>
              <w:bottom w:val="single" w:sz="4" w:space="0" w:color="DDEBF7"/>
              <w:right w:val="nil"/>
            </w:tcBorders>
            <w:shd w:val="clear" w:color="auto" w:fill="9CC3E5"/>
          </w:tcPr>
          <w:p w14:paraId="3E61038D" w14:textId="77777777" w:rsidR="00381FFF" w:rsidRDefault="00C602A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sz w:val="22"/>
                <w:szCs w:val="22"/>
              </w:rPr>
              <w:t>Pedralbes</w:t>
            </w:r>
          </w:p>
        </w:tc>
        <w:tc>
          <w:tcPr>
            <w:tcW w:w="1701" w:type="dxa"/>
            <w:tcBorders>
              <w:top w:val="nil"/>
              <w:left w:val="nil"/>
              <w:bottom w:val="single" w:sz="4" w:space="0" w:color="DDEBF7"/>
              <w:right w:val="nil"/>
            </w:tcBorders>
            <w:shd w:val="clear" w:color="auto" w:fill="9CC3E5"/>
          </w:tcPr>
          <w:p w14:paraId="2AD21729" w14:textId="77777777" w:rsidR="00381FFF" w:rsidRDefault="00C602A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sz w:val="22"/>
                <w:szCs w:val="22"/>
              </w:rPr>
              <w:t>6.092</w:t>
            </w:r>
          </w:p>
        </w:tc>
        <w:tc>
          <w:tcPr>
            <w:tcW w:w="1984" w:type="dxa"/>
            <w:tcBorders>
              <w:top w:val="nil"/>
              <w:left w:val="nil"/>
              <w:bottom w:val="single" w:sz="4" w:space="0" w:color="DDEBF7"/>
              <w:right w:val="nil"/>
            </w:tcBorders>
            <w:shd w:val="clear" w:color="auto" w:fill="9CC3E5"/>
          </w:tcPr>
          <w:p w14:paraId="58CF38B0" w14:textId="77777777" w:rsidR="00381FFF" w:rsidRDefault="00C602A1">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319%</w:t>
            </w:r>
          </w:p>
        </w:tc>
      </w:tr>
      <w:tr w:rsidR="00381FFF" w14:paraId="4BA2AABD" w14:textId="77777777" w:rsidTr="0064543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3" w:type="dxa"/>
            <w:tcBorders>
              <w:top w:val="nil"/>
              <w:left w:val="nil"/>
              <w:bottom w:val="single" w:sz="4" w:space="0" w:color="DDEBF7"/>
              <w:right w:val="nil"/>
            </w:tcBorders>
          </w:tcPr>
          <w:p w14:paraId="4DD963B3" w14:textId="77777777" w:rsidR="00381FFF" w:rsidRDefault="00C602A1">
            <w:pPr>
              <w:jc w:val="center"/>
              <w:rPr>
                <w:rFonts w:ascii="Open Sans" w:eastAsia="Open Sans" w:hAnsi="Open Sans" w:cs="Open Sans"/>
                <w:color w:val="000000"/>
                <w:sz w:val="22"/>
                <w:szCs w:val="22"/>
              </w:rPr>
            </w:pPr>
            <w:r>
              <w:rPr>
                <w:sz w:val="22"/>
                <w:szCs w:val="22"/>
              </w:rPr>
              <w:t>Barcelona</w:t>
            </w:r>
          </w:p>
        </w:tc>
        <w:tc>
          <w:tcPr>
            <w:tcW w:w="1843" w:type="dxa"/>
            <w:tcBorders>
              <w:top w:val="nil"/>
              <w:left w:val="nil"/>
              <w:bottom w:val="single" w:sz="4" w:space="0" w:color="DDEBF7"/>
              <w:right w:val="nil"/>
            </w:tcBorders>
            <w:shd w:val="clear" w:color="auto" w:fill="D9E2F3"/>
          </w:tcPr>
          <w:p w14:paraId="27D2B2DB" w14:textId="77777777" w:rsidR="00381FFF" w:rsidRDefault="00C602A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sz w:val="22"/>
                <w:szCs w:val="22"/>
              </w:rPr>
              <w:t>Sarrià-Sant Gervasi</w:t>
            </w:r>
          </w:p>
        </w:tc>
        <w:tc>
          <w:tcPr>
            <w:tcW w:w="2126" w:type="dxa"/>
            <w:tcBorders>
              <w:top w:val="nil"/>
              <w:left w:val="nil"/>
              <w:bottom w:val="single" w:sz="4" w:space="0" w:color="DDEBF7"/>
              <w:right w:val="nil"/>
            </w:tcBorders>
            <w:shd w:val="clear" w:color="auto" w:fill="D9E2F3"/>
          </w:tcPr>
          <w:p w14:paraId="59243374" w14:textId="77777777" w:rsidR="00381FFF" w:rsidRDefault="00C602A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sz w:val="22"/>
                <w:szCs w:val="22"/>
              </w:rPr>
              <w:t>Les Tres Torres</w:t>
            </w:r>
          </w:p>
        </w:tc>
        <w:tc>
          <w:tcPr>
            <w:tcW w:w="1701" w:type="dxa"/>
            <w:tcBorders>
              <w:top w:val="nil"/>
              <w:left w:val="nil"/>
              <w:bottom w:val="single" w:sz="4" w:space="0" w:color="DDEBF7"/>
              <w:right w:val="nil"/>
            </w:tcBorders>
            <w:shd w:val="clear" w:color="auto" w:fill="D9E2F3"/>
          </w:tcPr>
          <w:p w14:paraId="5CD6D64F" w14:textId="77777777" w:rsidR="00381FFF" w:rsidRDefault="00C602A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sz w:val="22"/>
                <w:szCs w:val="22"/>
              </w:rPr>
              <w:t>6.091</w:t>
            </w:r>
          </w:p>
        </w:tc>
        <w:tc>
          <w:tcPr>
            <w:tcW w:w="1984" w:type="dxa"/>
            <w:tcBorders>
              <w:top w:val="nil"/>
              <w:left w:val="nil"/>
              <w:bottom w:val="single" w:sz="4" w:space="0" w:color="DDEBF7"/>
              <w:right w:val="nil"/>
            </w:tcBorders>
            <w:shd w:val="clear" w:color="auto" w:fill="D9E2F3"/>
          </w:tcPr>
          <w:p w14:paraId="38E8877D" w14:textId="77777777" w:rsidR="00381FFF" w:rsidRDefault="00C602A1">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319%</w:t>
            </w:r>
          </w:p>
        </w:tc>
      </w:tr>
      <w:tr w:rsidR="00381FFF" w14:paraId="4181C41F" w14:textId="77777777" w:rsidTr="00645435">
        <w:trPr>
          <w:trHeight w:val="283"/>
          <w:jc w:val="center"/>
        </w:trPr>
        <w:tc>
          <w:tcPr>
            <w:cnfStyle w:val="001000000000" w:firstRow="0" w:lastRow="0" w:firstColumn="1" w:lastColumn="0" w:oddVBand="0" w:evenVBand="0" w:oddHBand="0" w:evenHBand="0" w:firstRowFirstColumn="0" w:firstRowLastColumn="0" w:lastRowFirstColumn="0" w:lastRowLastColumn="0"/>
            <w:tcW w:w="1413" w:type="dxa"/>
            <w:tcBorders>
              <w:top w:val="nil"/>
              <w:left w:val="nil"/>
              <w:bottom w:val="single" w:sz="4" w:space="0" w:color="DDEBF7"/>
              <w:right w:val="nil"/>
            </w:tcBorders>
          </w:tcPr>
          <w:p w14:paraId="3A7CF6D1" w14:textId="77777777" w:rsidR="00381FFF" w:rsidRDefault="00C602A1">
            <w:pPr>
              <w:jc w:val="center"/>
              <w:rPr>
                <w:rFonts w:ascii="Open Sans" w:eastAsia="Open Sans" w:hAnsi="Open Sans" w:cs="Open Sans"/>
                <w:color w:val="000000"/>
                <w:sz w:val="22"/>
                <w:szCs w:val="22"/>
              </w:rPr>
            </w:pPr>
            <w:r>
              <w:rPr>
                <w:sz w:val="22"/>
                <w:szCs w:val="22"/>
              </w:rPr>
              <w:t>Madrid</w:t>
            </w:r>
          </w:p>
        </w:tc>
        <w:tc>
          <w:tcPr>
            <w:tcW w:w="1843" w:type="dxa"/>
            <w:tcBorders>
              <w:top w:val="nil"/>
              <w:left w:val="nil"/>
              <w:bottom w:val="single" w:sz="4" w:space="0" w:color="DDEBF7"/>
              <w:right w:val="nil"/>
            </w:tcBorders>
            <w:shd w:val="clear" w:color="auto" w:fill="9CC3E5"/>
          </w:tcPr>
          <w:p w14:paraId="671587D1" w14:textId="77777777" w:rsidR="00381FFF" w:rsidRDefault="00C602A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sz w:val="22"/>
                <w:szCs w:val="22"/>
              </w:rPr>
              <w:t>Centro</w:t>
            </w:r>
          </w:p>
        </w:tc>
        <w:tc>
          <w:tcPr>
            <w:tcW w:w="2126" w:type="dxa"/>
            <w:tcBorders>
              <w:top w:val="nil"/>
              <w:left w:val="nil"/>
              <w:bottom w:val="single" w:sz="4" w:space="0" w:color="DDEBF7"/>
              <w:right w:val="nil"/>
            </w:tcBorders>
            <w:shd w:val="clear" w:color="auto" w:fill="9CC3E5"/>
          </w:tcPr>
          <w:p w14:paraId="4008393D" w14:textId="77777777" w:rsidR="00381FFF" w:rsidRDefault="00C602A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sz w:val="22"/>
                <w:szCs w:val="22"/>
              </w:rPr>
              <w:t>Justicia - Chueca</w:t>
            </w:r>
          </w:p>
        </w:tc>
        <w:tc>
          <w:tcPr>
            <w:tcW w:w="1701" w:type="dxa"/>
            <w:tcBorders>
              <w:top w:val="nil"/>
              <w:left w:val="nil"/>
              <w:bottom w:val="single" w:sz="4" w:space="0" w:color="DDEBF7"/>
              <w:right w:val="nil"/>
            </w:tcBorders>
            <w:shd w:val="clear" w:color="auto" w:fill="9CC3E5"/>
          </w:tcPr>
          <w:p w14:paraId="1688AA9C" w14:textId="77777777" w:rsidR="00381FFF" w:rsidRDefault="00C602A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sz w:val="22"/>
                <w:szCs w:val="22"/>
              </w:rPr>
              <w:t>6.040</w:t>
            </w:r>
          </w:p>
        </w:tc>
        <w:tc>
          <w:tcPr>
            <w:tcW w:w="1984" w:type="dxa"/>
            <w:tcBorders>
              <w:top w:val="nil"/>
              <w:left w:val="nil"/>
              <w:bottom w:val="single" w:sz="4" w:space="0" w:color="DDEBF7"/>
              <w:right w:val="nil"/>
            </w:tcBorders>
            <w:shd w:val="clear" w:color="auto" w:fill="9CC3E5"/>
          </w:tcPr>
          <w:p w14:paraId="1405E729" w14:textId="77777777" w:rsidR="00381FFF" w:rsidRDefault="00C602A1">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317%</w:t>
            </w:r>
          </w:p>
        </w:tc>
      </w:tr>
      <w:tr w:rsidR="00381FFF" w14:paraId="5FF3A1D9" w14:textId="77777777" w:rsidTr="0064543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3" w:type="dxa"/>
            <w:tcBorders>
              <w:top w:val="nil"/>
              <w:left w:val="nil"/>
              <w:bottom w:val="single" w:sz="4" w:space="0" w:color="DDEBF7"/>
              <w:right w:val="nil"/>
            </w:tcBorders>
          </w:tcPr>
          <w:p w14:paraId="2A4DA3E4" w14:textId="77777777" w:rsidR="00381FFF" w:rsidRDefault="00C602A1">
            <w:pPr>
              <w:jc w:val="center"/>
              <w:rPr>
                <w:rFonts w:ascii="Open Sans" w:eastAsia="Open Sans" w:hAnsi="Open Sans" w:cs="Open Sans"/>
                <w:color w:val="000000"/>
                <w:sz w:val="22"/>
                <w:szCs w:val="22"/>
              </w:rPr>
            </w:pPr>
            <w:r>
              <w:rPr>
                <w:sz w:val="22"/>
                <w:szCs w:val="22"/>
              </w:rPr>
              <w:t>Madrid</w:t>
            </w:r>
          </w:p>
        </w:tc>
        <w:tc>
          <w:tcPr>
            <w:tcW w:w="1843" w:type="dxa"/>
            <w:tcBorders>
              <w:top w:val="nil"/>
              <w:left w:val="nil"/>
              <w:bottom w:val="single" w:sz="4" w:space="0" w:color="DDEBF7"/>
              <w:right w:val="nil"/>
            </w:tcBorders>
            <w:shd w:val="clear" w:color="auto" w:fill="D9E2F3"/>
          </w:tcPr>
          <w:p w14:paraId="7F95385E" w14:textId="77777777" w:rsidR="00381FFF" w:rsidRDefault="00C602A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sz w:val="22"/>
                <w:szCs w:val="22"/>
              </w:rPr>
              <w:t>Chamartín</w:t>
            </w:r>
          </w:p>
        </w:tc>
        <w:tc>
          <w:tcPr>
            <w:tcW w:w="2126" w:type="dxa"/>
            <w:tcBorders>
              <w:top w:val="nil"/>
              <w:left w:val="nil"/>
              <w:bottom w:val="single" w:sz="4" w:space="0" w:color="DDEBF7"/>
              <w:right w:val="nil"/>
            </w:tcBorders>
            <w:shd w:val="clear" w:color="auto" w:fill="D9E2F3"/>
          </w:tcPr>
          <w:p w14:paraId="1AA0667C" w14:textId="77777777" w:rsidR="00381FFF" w:rsidRDefault="00C602A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sz w:val="22"/>
                <w:szCs w:val="22"/>
              </w:rPr>
              <w:t>Nueva España</w:t>
            </w:r>
          </w:p>
        </w:tc>
        <w:tc>
          <w:tcPr>
            <w:tcW w:w="1701" w:type="dxa"/>
            <w:tcBorders>
              <w:top w:val="nil"/>
              <w:left w:val="nil"/>
              <w:bottom w:val="single" w:sz="4" w:space="0" w:color="DDEBF7"/>
              <w:right w:val="nil"/>
            </w:tcBorders>
            <w:shd w:val="clear" w:color="auto" w:fill="D9E2F3"/>
          </w:tcPr>
          <w:p w14:paraId="16887219" w14:textId="77777777" w:rsidR="00381FFF" w:rsidRDefault="00C602A1">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sz w:val="22"/>
                <w:szCs w:val="22"/>
              </w:rPr>
              <w:t>6.022</w:t>
            </w:r>
          </w:p>
        </w:tc>
        <w:tc>
          <w:tcPr>
            <w:tcW w:w="1984" w:type="dxa"/>
            <w:tcBorders>
              <w:top w:val="nil"/>
              <w:left w:val="nil"/>
              <w:bottom w:val="single" w:sz="4" w:space="0" w:color="DDEBF7"/>
              <w:right w:val="nil"/>
            </w:tcBorders>
            <w:shd w:val="clear" w:color="auto" w:fill="D9E2F3"/>
          </w:tcPr>
          <w:p w14:paraId="0B8DF4C3" w14:textId="77777777" w:rsidR="00381FFF" w:rsidRDefault="00C602A1">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316%</w:t>
            </w:r>
          </w:p>
        </w:tc>
      </w:tr>
      <w:tr w:rsidR="00381FFF" w14:paraId="76EA944C" w14:textId="77777777" w:rsidTr="00645435">
        <w:trPr>
          <w:trHeight w:val="283"/>
          <w:jc w:val="center"/>
        </w:trPr>
        <w:tc>
          <w:tcPr>
            <w:cnfStyle w:val="001000000000" w:firstRow="0" w:lastRow="0" w:firstColumn="1" w:lastColumn="0" w:oddVBand="0" w:evenVBand="0" w:oddHBand="0" w:evenHBand="0" w:firstRowFirstColumn="0" w:firstRowLastColumn="0" w:lastRowFirstColumn="0" w:lastRowLastColumn="0"/>
            <w:tcW w:w="1413" w:type="dxa"/>
            <w:tcBorders>
              <w:top w:val="nil"/>
              <w:left w:val="nil"/>
              <w:bottom w:val="single" w:sz="4" w:space="0" w:color="DDEBF7"/>
              <w:right w:val="nil"/>
            </w:tcBorders>
          </w:tcPr>
          <w:p w14:paraId="2094E6D6" w14:textId="77777777" w:rsidR="00381FFF" w:rsidRDefault="00C602A1">
            <w:pPr>
              <w:jc w:val="center"/>
              <w:rPr>
                <w:rFonts w:ascii="Open Sans" w:eastAsia="Open Sans" w:hAnsi="Open Sans" w:cs="Open Sans"/>
                <w:color w:val="000000"/>
                <w:sz w:val="22"/>
                <w:szCs w:val="22"/>
              </w:rPr>
            </w:pPr>
            <w:r>
              <w:rPr>
                <w:sz w:val="22"/>
                <w:szCs w:val="22"/>
              </w:rPr>
              <w:t>San Sebastián</w:t>
            </w:r>
          </w:p>
        </w:tc>
        <w:tc>
          <w:tcPr>
            <w:tcW w:w="1843" w:type="dxa"/>
            <w:tcBorders>
              <w:top w:val="nil"/>
              <w:left w:val="nil"/>
              <w:bottom w:val="single" w:sz="4" w:space="0" w:color="DDEBF7"/>
              <w:right w:val="nil"/>
            </w:tcBorders>
            <w:shd w:val="clear" w:color="auto" w:fill="9CC3E5"/>
          </w:tcPr>
          <w:p w14:paraId="0B6873E4" w14:textId="77777777" w:rsidR="00381FFF" w:rsidRDefault="00C602A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sz w:val="22"/>
                <w:szCs w:val="22"/>
              </w:rPr>
              <w:t>Parte Vieja</w:t>
            </w:r>
          </w:p>
        </w:tc>
        <w:tc>
          <w:tcPr>
            <w:tcW w:w="2126" w:type="dxa"/>
            <w:tcBorders>
              <w:top w:val="nil"/>
              <w:left w:val="nil"/>
              <w:bottom w:val="single" w:sz="4" w:space="0" w:color="DDEBF7"/>
              <w:right w:val="nil"/>
            </w:tcBorders>
            <w:shd w:val="clear" w:color="auto" w:fill="9CC3E5"/>
          </w:tcPr>
          <w:p w14:paraId="4132A4A1" w14:textId="77777777" w:rsidR="00381FFF" w:rsidRDefault="00C602A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sz w:val="22"/>
                <w:szCs w:val="22"/>
              </w:rPr>
              <w:t>Parte Vieja</w:t>
            </w:r>
          </w:p>
        </w:tc>
        <w:tc>
          <w:tcPr>
            <w:tcW w:w="1701" w:type="dxa"/>
            <w:tcBorders>
              <w:top w:val="nil"/>
              <w:left w:val="nil"/>
              <w:bottom w:val="single" w:sz="4" w:space="0" w:color="DDEBF7"/>
              <w:right w:val="nil"/>
            </w:tcBorders>
            <w:shd w:val="clear" w:color="auto" w:fill="9CC3E5"/>
          </w:tcPr>
          <w:p w14:paraId="4EE2942C" w14:textId="77777777" w:rsidR="00381FFF" w:rsidRDefault="00C602A1">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sz w:val="22"/>
                <w:szCs w:val="22"/>
              </w:rPr>
              <w:t>5.939</w:t>
            </w:r>
          </w:p>
        </w:tc>
        <w:tc>
          <w:tcPr>
            <w:tcW w:w="1984" w:type="dxa"/>
            <w:tcBorders>
              <w:top w:val="nil"/>
              <w:left w:val="nil"/>
              <w:bottom w:val="single" w:sz="4" w:space="0" w:color="DDEBF7"/>
              <w:right w:val="nil"/>
            </w:tcBorders>
            <w:shd w:val="clear" w:color="auto" w:fill="9CC3E5"/>
          </w:tcPr>
          <w:p w14:paraId="655B3419" w14:textId="77777777" w:rsidR="00381FFF" w:rsidRDefault="00C602A1">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311%</w:t>
            </w:r>
          </w:p>
        </w:tc>
      </w:tr>
    </w:tbl>
    <w:p w14:paraId="2048130F" w14:textId="77777777" w:rsidR="00381FFF" w:rsidRDefault="00381FFF">
      <w:pPr>
        <w:spacing w:line="276" w:lineRule="auto"/>
        <w:ind w:right="-716"/>
        <w:rPr>
          <w:rFonts w:ascii="Open Sans Light" w:eastAsia="Open Sans Light" w:hAnsi="Open Sans Light" w:cs="Open Sans Light"/>
          <w:b/>
          <w:color w:val="303AB2"/>
        </w:rPr>
      </w:pPr>
    </w:p>
    <w:p w14:paraId="080FEC36" w14:textId="77777777" w:rsidR="00381FFF" w:rsidRDefault="00C602A1">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65E58B36" w14:textId="77777777" w:rsidR="00381FFF" w:rsidRDefault="00C602A1">
      <w:pPr>
        <w:pBdr>
          <w:top w:val="nil"/>
          <w:left w:val="nil"/>
          <w:bottom w:val="nil"/>
          <w:right w:val="nil"/>
          <w:between w:val="nil"/>
        </w:pBdr>
        <w:shd w:val="clear" w:color="auto" w:fill="FFFFFF"/>
        <w:spacing w:before="280" w:after="28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1">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w:t>
      </w:r>
    </w:p>
    <w:bookmarkStart w:id="1" w:name="_heading=h.1fob9te" w:colFirst="0" w:colLast="0"/>
    <w:bookmarkEnd w:id="1"/>
    <w:p w14:paraId="321A8E47" w14:textId="77777777" w:rsidR="00381FFF" w:rsidRDefault="00C602A1">
      <w:pPr>
        <w:pBdr>
          <w:top w:val="nil"/>
          <w:left w:val="nil"/>
          <w:bottom w:val="nil"/>
          <w:right w:val="nil"/>
          <w:between w:val="nil"/>
        </w:pBdr>
        <w:shd w:val="clear" w:color="auto" w:fill="FFFFFF"/>
        <w:spacing w:before="280" w:after="280"/>
        <w:ind w:right="-716"/>
        <w:jc w:val="both"/>
        <w:rPr>
          <w:rFonts w:ascii="Open Sans" w:eastAsia="Open Sans" w:hAnsi="Open Sans" w:cs="Open Sans"/>
          <w:color w:val="000000"/>
          <w:sz w:val="22"/>
          <w:szCs w:val="22"/>
        </w:rPr>
      </w:pPr>
      <w:r>
        <w:fldChar w:fldCharType="begin"/>
      </w:r>
      <w:r>
        <w:instrText xml:space="preserve"> HYPERLINK "http://www.fotocasa.es/" \h </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proofErr w:type="spellStart"/>
      <w:r>
        <w:fldChar w:fldCharType="begin"/>
      </w:r>
      <w:r>
        <w:instrText xml:space="preserve"> HYPERLINK "https://www.adevinta.com/" \h </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Marketplace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del sector a nivel mundial. Con presencia en 12 países de Europa, América Latina y África del Norte, el conjunto de sus plataformas locales recibe un promedio de 1.500 millo</w:t>
      </w:r>
      <w:r>
        <w:rPr>
          <w:rFonts w:ascii="Open Sans" w:eastAsia="Open Sans" w:hAnsi="Open Sans" w:cs="Open Sans"/>
          <w:color w:val="000000"/>
          <w:sz w:val="22"/>
          <w:szCs w:val="22"/>
        </w:rPr>
        <w:t>nes de visitas cada mes.</w:t>
      </w:r>
    </w:p>
    <w:p w14:paraId="3FD116B4" w14:textId="77777777" w:rsidR="00381FFF" w:rsidRDefault="00C602A1">
      <w:pPr>
        <w:pBdr>
          <w:top w:val="nil"/>
          <w:left w:val="nil"/>
          <w:bottom w:val="nil"/>
          <w:right w:val="nil"/>
          <w:between w:val="nil"/>
        </w:pBdr>
        <w:shd w:val="clear" w:color="auto" w:fill="FFFFFF"/>
        <w:spacing w:before="280" w:after="280"/>
        <w:ind w:right="-716"/>
        <w:jc w:val="both"/>
        <w:rPr>
          <w:rFonts w:ascii="Times New Roman" w:eastAsia="Times New Roman" w:hAnsi="Times New Roman" w:cs="Times New Roman"/>
          <w:color w:val="222222"/>
          <w:sz w:val="22"/>
          <w:szCs w:val="22"/>
        </w:rPr>
      </w:pPr>
      <w:hyperlink r:id="rId12">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w:t>
      </w:r>
    </w:p>
    <w:p w14:paraId="5360DA38" w14:textId="77777777" w:rsidR="00381FFF" w:rsidRDefault="00C602A1">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En España, </w:t>
      </w:r>
      <w:proofErr w:type="spellStart"/>
      <w:r>
        <w:fldChar w:fldCharType="begin"/>
      </w:r>
      <w:r>
        <w:instrText xml:space="preserve"> HYPERLINK "https://www.adevinta.com/" \h </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antes Schibsted </w:t>
      </w:r>
      <w:proofErr w:type="spellStart"/>
      <w:r>
        <w:rPr>
          <w:rFonts w:ascii="Open Sans" w:eastAsia="Open Sans" w:hAnsi="Open Sans" w:cs="Open Sans"/>
          <w:color w:val="000000"/>
          <w:sz w:val="22"/>
          <w:szCs w:val="22"/>
        </w:rPr>
        <w:t>Spain</w:t>
      </w:r>
      <w:proofErr w:type="spellEnd"/>
      <w:r>
        <w:rPr>
          <w:rFonts w:ascii="Open Sans" w:eastAsia="Open Sans" w:hAnsi="Open Sans" w:cs="Open Sans"/>
          <w:color w:val="000000"/>
          <w:sz w:val="22"/>
          <w:szCs w:val="22"/>
        </w:rPr>
        <w:t xml:space="preserve">, es una de las principales empresas del sector tecnológico del país y un referente de transformación digital. En sus 40 años de trayectoria en el mercado español de clasificados, 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w:t>
      </w:r>
      <w:r>
        <w:rPr>
          <w:rFonts w:ascii="Open Sans" w:eastAsia="Open Sans" w:hAnsi="Open Sans" w:cs="Open Sans"/>
          <w:color w:val="000000"/>
          <w:sz w:val="22"/>
          <w:szCs w:val="22"/>
        </w:rPr>
        <w:t>l online hasta convertirse en el referente de Internet en sectores relevantes como inmobiliaria (</w:t>
      </w:r>
      <w:hyperlink r:id="rId13">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y </w:t>
      </w:r>
      <w:proofErr w:type="spellStart"/>
      <w:r>
        <w:fldChar w:fldCharType="begin"/>
      </w:r>
      <w:r>
        <w:instrText xml:space="preserve"> HYPERLINK "https://www.habitaclia.com/" \h </w:instrText>
      </w:r>
      <w:r>
        <w:fldChar w:fldCharType="separate"/>
      </w:r>
      <w:r>
        <w:rPr>
          <w:rFonts w:ascii="Open Sans" w:eastAsia="Open Sans" w:hAnsi="Open Sans" w:cs="Open Sans"/>
          <w:color w:val="0000FF"/>
          <w:sz w:val="22"/>
          <w:szCs w:val="22"/>
          <w:u w:val="single"/>
        </w:rPr>
        <w:t>habitaclia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empleo (</w:t>
      </w:r>
      <w:hyperlink r:id="rId14">
        <w:r>
          <w:rPr>
            <w:rFonts w:ascii="Open Sans" w:eastAsia="Open Sans" w:hAnsi="Open Sans" w:cs="Open Sans"/>
            <w:color w:val="0000FF"/>
            <w:sz w:val="22"/>
            <w:szCs w:val="22"/>
            <w:u w:val="single"/>
          </w:rPr>
          <w:t>Infojobs.net</w:t>
        </w:r>
      </w:hyperlink>
      <w:r>
        <w:rPr>
          <w:rFonts w:ascii="Open Sans" w:eastAsia="Open Sans" w:hAnsi="Open Sans" w:cs="Open Sans"/>
          <w:color w:val="000000"/>
          <w:sz w:val="22"/>
          <w:szCs w:val="22"/>
        </w:rPr>
        <w:t>), motor (</w:t>
      </w:r>
      <w:hyperlink r:id="rId15">
        <w:r>
          <w:rPr>
            <w:rFonts w:ascii="Open Sans" w:eastAsia="Open Sans" w:hAnsi="Open Sans" w:cs="Open Sans"/>
            <w:color w:val="0000FF"/>
            <w:sz w:val="22"/>
            <w:szCs w:val="22"/>
            <w:u w:val="single"/>
          </w:rPr>
          <w:t>coches.net</w:t>
        </w:r>
      </w:hyperlink>
      <w:r>
        <w:rPr>
          <w:rFonts w:ascii="Open Sans" w:eastAsia="Open Sans" w:hAnsi="Open Sans" w:cs="Open Sans"/>
          <w:color w:val="000000"/>
          <w:sz w:val="22"/>
          <w:szCs w:val="22"/>
        </w:rPr>
        <w:t> y </w:t>
      </w:r>
      <w:hyperlink r:id="rId16">
        <w:r>
          <w:rPr>
            <w:rFonts w:ascii="Open Sans" w:eastAsia="Open Sans" w:hAnsi="Open Sans" w:cs="Open Sans"/>
            <w:color w:val="0000FF"/>
            <w:sz w:val="22"/>
            <w:szCs w:val="22"/>
            <w:u w:val="single"/>
          </w:rPr>
          <w:t>motos.ne</w:t>
        </w:r>
      </w:hyperlink>
      <w:r>
        <w:rPr>
          <w:rFonts w:ascii="Open Sans" w:eastAsia="Open Sans" w:hAnsi="Open Sans" w:cs="Open Sans"/>
          <w:color w:val="0000FF"/>
          <w:sz w:val="22"/>
          <w:szCs w:val="22"/>
          <w:u w:val="single"/>
        </w:rPr>
        <w:t>t</w:t>
      </w:r>
      <w:r>
        <w:rPr>
          <w:rFonts w:ascii="Open Sans" w:eastAsia="Open Sans" w:hAnsi="Open Sans" w:cs="Open Sans"/>
          <w:color w:val="000000"/>
          <w:sz w:val="22"/>
          <w:szCs w:val="22"/>
        </w:rPr>
        <w:t>) y segunda mano (</w:t>
      </w:r>
      <w:proofErr w:type="spellStart"/>
      <w:r>
        <w:fldChar w:fldCharType="begin"/>
      </w:r>
      <w:r>
        <w:instrText xml:space="preserve"> HYPERLINK "https://www.milanuncios.es/" \h </w:instrText>
      </w:r>
      <w:r>
        <w:fldChar w:fldCharType="separate"/>
      </w:r>
      <w:r>
        <w:rPr>
          <w:rFonts w:ascii="Open Sans" w:eastAsia="Open Sans" w:hAnsi="Open Sans" w:cs="Open Sans"/>
          <w:color w:val="0000FF"/>
          <w:sz w:val="22"/>
          <w:szCs w:val="22"/>
          <w:u w:val="single"/>
        </w:rPr>
        <w:t>Milanuncios</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Sus más de 18 millones de usuarios al</w:t>
      </w:r>
      <w:r>
        <w:rPr>
          <w:rFonts w:ascii="Open Sans" w:eastAsia="Open Sans" w:hAnsi="Open Sans" w:cs="Open Sans"/>
          <w:color w:val="000000"/>
          <w:sz w:val="22"/>
          <w:szCs w:val="22"/>
        </w:rPr>
        <w:t xml:space="preserve"> mes sitúan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entre las diez compañías con mayor audiencia de Internet en España (y la mayor empresa digital española).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cuenta en la actualidad con una plantilla de más de 1.000 empleados en España. </w:t>
      </w:r>
    </w:p>
    <w:p w14:paraId="45A08696" w14:textId="77777777" w:rsidR="00381FFF" w:rsidRDefault="00381FFF">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1"/>
          <w:szCs w:val="21"/>
        </w:rPr>
      </w:pPr>
    </w:p>
    <w:p w14:paraId="3A580614" w14:textId="77777777" w:rsidR="00381FFF" w:rsidRDefault="00C602A1">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1"/>
          <w:szCs w:val="21"/>
        </w:rPr>
      </w:pPr>
      <w:r>
        <w:rPr>
          <w:rFonts w:ascii="Open Sans" w:eastAsia="Open Sans" w:hAnsi="Open Sans" w:cs="Open Sans"/>
          <w:color w:val="000000"/>
          <w:sz w:val="21"/>
          <w:szCs w:val="21"/>
        </w:rPr>
        <w:t>Toda nuestra información la puedes enco</w:t>
      </w:r>
      <w:r>
        <w:rPr>
          <w:rFonts w:ascii="Open Sans" w:eastAsia="Open Sans" w:hAnsi="Open Sans" w:cs="Open Sans"/>
          <w:color w:val="000000"/>
          <w:sz w:val="21"/>
          <w:szCs w:val="21"/>
        </w:rPr>
        <w:t xml:space="preserve">ntrar en nuestra </w:t>
      </w:r>
      <w:hyperlink r:id="rId17">
        <w:r>
          <w:rPr>
            <w:rFonts w:ascii="Open Sans" w:eastAsia="Open Sans" w:hAnsi="Open Sans" w:cs="Open Sans"/>
            <w:color w:val="0000FF"/>
            <w:sz w:val="21"/>
            <w:szCs w:val="21"/>
            <w:u w:val="single"/>
          </w:rPr>
          <w:t>Sala de Prensa</w:t>
        </w:r>
      </w:hyperlink>
      <w:r>
        <w:rPr>
          <w:rFonts w:ascii="Open Sans" w:eastAsia="Open Sans" w:hAnsi="Open Sans" w:cs="Open Sans"/>
          <w:color w:val="000000"/>
          <w:sz w:val="21"/>
          <w:szCs w:val="21"/>
        </w:rPr>
        <w:t xml:space="preserve">. </w:t>
      </w:r>
    </w:p>
    <w:p w14:paraId="5DEE0215" w14:textId="3C449718" w:rsidR="00381FFF" w:rsidRDefault="00381FFF">
      <w:pPr>
        <w:spacing w:line="276" w:lineRule="auto"/>
        <w:ind w:right="-716"/>
        <w:rPr>
          <w:rFonts w:ascii="Open Sans Light" w:eastAsia="Open Sans Light" w:hAnsi="Open Sans Light" w:cs="Open Sans Light"/>
          <w:b/>
          <w:color w:val="303AB2"/>
          <w:sz w:val="22"/>
          <w:szCs w:val="22"/>
        </w:rPr>
      </w:pPr>
    </w:p>
    <w:p w14:paraId="2E6554E7" w14:textId="0076EBF4" w:rsidR="00645435" w:rsidRDefault="00645435">
      <w:pPr>
        <w:spacing w:line="276" w:lineRule="auto"/>
        <w:ind w:right="-716"/>
        <w:rPr>
          <w:rFonts w:ascii="Open Sans Light" w:eastAsia="Open Sans Light" w:hAnsi="Open Sans Light" w:cs="Open Sans Light"/>
          <w:b/>
          <w:color w:val="303AB2"/>
          <w:sz w:val="22"/>
          <w:szCs w:val="22"/>
        </w:rPr>
      </w:pPr>
    </w:p>
    <w:p w14:paraId="6D468E6F" w14:textId="46D32B44" w:rsidR="00645435" w:rsidRDefault="00645435">
      <w:pPr>
        <w:spacing w:line="276" w:lineRule="auto"/>
        <w:ind w:right="-716"/>
        <w:rPr>
          <w:rFonts w:ascii="Open Sans Light" w:eastAsia="Open Sans Light" w:hAnsi="Open Sans Light" w:cs="Open Sans Light"/>
          <w:b/>
          <w:color w:val="303AB2"/>
          <w:sz w:val="22"/>
          <w:szCs w:val="22"/>
        </w:rPr>
      </w:pPr>
    </w:p>
    <w:p w14:paraId="2E2FA725" w14:textId="7C57DFA3" w:rsidR="00645435" w:rsidRDefault="00645435">
      <w:pPr>
        <w:spacing w:line="276" w:lineRule="auto"/>
        <w:ind w:right="-716"/>
        <w:rPr>
          <w:rFonts w:ascii="Open Sans Light" w:eastAsia="Open Sans Light" w:hAnsi="Open Sans Light" w:cs="Open Sans Light"/>
          <w:b/>
          <w:color w:val="303AB2"/>
          <w:sz w:val="22"/>
          <w:szCs w:val="22"/>
        </w:rPr>
      </w:pPr>
    </w:p>
    <w:p w14:paraId="522B5E5C" w14:textId="77777777" w:rsidR="00645435" w:rsidRDefault="00645435">
      <w:pPr>
        <w:spacing w:line="276" w:lineRule="auto"/>
        <w:ind w:right="-716"/>
        <w:rPr>
          <w:rFonts w:ascii="Open Sans Light" w:eastAsia="Open Sans Light" w:hAnsi="Open Sans Light" w:cs="Open Sans Light"/>
          <w:b/>
          <w:color w:val="303AB2"/>
          <w:sz w:val="22"/>
          <w:szCs w:val="22"/>
        </w:rPr>
      </w:pPr>
    </w:p>
    <w:p w14:paraId="0ED2D126" w14:textId="60F0436F" w:rsidR="00381FFF" w:rsidRDefault="00C602A1">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rPr>
        <w:lastRenderedPageBreak/>
        <w:t xml:space="preserve">Llorente y Cuenca    </w:t>
      </w:r>
      <w:r>
        <w:rPr>
          <w:rFonts w:ascii="Open Sans Light" w:eastAsia="Open Sans Light" w:hAnsi="Open Sans Light" w:cs="Open Sans Light"/>
          <w:b/>
          <w:color w:val="303AB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rPr>
        <w:t>Departamento Comunicación Fotocasa</w:t>
      </w:r>
    </w:p>
    <w:p w14:paraId="48AE5966" w14:textId="77777777" w:rsidR="00381FFF" w:rsidRDefault="00C602A1">
      <w:pPr>
        <w:pBdr>
          <w:top w:val="nil"/>
          <w:left w:val="nil"/>
          <w:bottom w:val="nil"/>
          <w:right w:val="nil"/>
          <w:between w:val="nil"/>
        </w:pBdr>
        <w:shd w:val="clear" w:color="auto" w:fill="FFFFFF"/>
        <w:spacing w:line="276" w:lineRule="auto"/>
        <w:ind w:right="-716"/>
        <w:rPr>
          <w:rFonts w:ascii="Open Sans" w:eastAsia="Open Sans" w:hAnsi="Open Sans" w:cs="Open Sans"/>
          <w:b/>
          <w:color w:val="000000"/>
          <w:sz w:val="19"/>
          <w:szCs w:val="19"/>
        </w:rPr>
      </w:pPr>
      <w:r>
        <w:rPr>
          <w:rFonts w:ascii="Open Sans" w:eastAsia="Open Sans" w:hAnsi="Open Sans" w:cs="Open Sans"/>
          <w:b/>
          <w:color w:val="000000"/>
          <w:sz w:val="19"/>
          <w:szCs w:val="19"/>
        </w:rPr>
        <w:t>Ramon Torné</w:t>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t xml:space="preserve">            </w:t>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 xml:space="preserve">                            Anaïs López </w:t>
      </w:r>
    </w:p>
    <w:p w14:paraId="63A8798A" w14:textId="77777777" w:rsidR="00381FFF" w:rsidRDefault="00C602A1">
      <w:pPr>
        <w:pBdr>
          <w:top w:val="nil"/>
          <w:left w:val="nil"/>
          <w:bottom w:val="nil"/>
          <w:right w:val="nil"/>
          <w:between w:val="nil"/>
        </w:pBdr>
        <w:shd w:val="clear" w:color="auto" w:fill="FFFFFF"/>
        <w:spacing w:line="276" w:lineRule="auto"/>
        <w:ind w:right="-716"/>
        <w:rPr>
          <w:rFonts w:ascii="Open Sans" w:eastAsia="Open Sans" w:hAnsi="Open Sans" w:cs="Open Sans"/>
          <w:color w:val="0000FF"/>
          <w:sz w:val="19"/>
          <w:szCs w:val="19"/>
          <w:u w:val="single"/>
        </w:rPr>
      </w:pPr>
      <w:hyperlink r:id="rId18">
        <w:r>
          <w:rPr>
            <w:rFonts w:ascii="Open Sans" w:eastAsia="Open Sans" w:hAnsi="Open Sans" w:cs="Open Sans"/>
            <w:color w:val="0000FF"/>
            <w:sz w:val="19"/>
            <w:szCs w:val="19"/>
            <w:u w:val="single"/>
          </w:rPr>
          <w:t>rtorne@llorenteycuenca.com</w:t>
        </w:r>
      </w:hyperlink>
      <w:r>
        <w:rPr>
          <w:rFonts w:ascii="Open Sans" w:eastAsia="Open Sans" w:hAnsi="Open Sans" w:cs="Open Sans"/>
          <w:color w:val="0000FF"/>
          <w:sz w:val="19"/>
          <w:szCs w:val="19"/>
        </w:rPr>
        <w:tab/>
      </w:r>
      <w:r>
        <w:rPr>
          <w:rFonts w:ascii="Open Sans" w:eastAsia="Open Sans" w:hAnsi="Open Sans" w:cs="Open Sans"/>
          <w:color w:val="0000FF"/>
          <w:sz w:val="19"/>
          <w:szCs w:val="19"/>
        </w:rPr>
        <w:tab/>
        <w:t xml:space="preserve">                                                             </w:t>
      </w:r>
      <w:hyperlink r:id="rId19">
        <w:r>
          <w:rPr>
            <w:rFonts w:ascii="Open Sans" w:eastAsia="Open Sans" w:hAnsi="Open Sans" w:cs="Open Sans"/>
            <w:color w:val="0000FF"/>
            <w:sz w:val="19"/>
            <w:szCs w:val="19"/>
            <w:u w:val="single"/>
          </w:rPr>
          <w:t>comunicacion@fotocasa.</w:t>
        </w:r>
        <w:r>
          <w:rPr>
            <w:rFonts w:ascii="Open Sans" w:eastAsia="Open Sans" w:hAnsi="Open Sans" w:cs="Open Sans"/>
            <w:color w:val="0000FF"/>
            <w:sz w:val="19"/>
            <w:szCs w:val="19"/>
            <w:u w:val="single"/>
          </w:rPr>
          <w:t>es</w:t>
        </w:r>
      </w:hyperlink>
    </w:p>
    <w:p w14:paraId="514B9B04" w14:textId="77777777" w:rsidR="00381FFF" w:rsidRDefault="00C602A1">
      <w:pPr>
        <w:pBdr>
          <w:top w:val="nil"/>
          <w:left w:val="nil"/>
          <w:bottom w:val="nil"/>
          <w:right w:val="nil"/>
          <w:between w:val="nil"/>
        </w:pBdr>
        <w:shd w:val="clear" w:color="auto" w:fill="FFFFFF"/>
        <w:spacing w:line="276" w:lineRule="auto"/>
        <w:ind w:right="-716"/>
        <w:rPr>
          <w:rFonts w:ascii="Open Sans" w:eastAsia="Open Sans" w:hAnsi="Open Sans" w:cs="Open Sans"/>
          <w:color w:val="000000"/>
          <w:sz w:val="19"/>
          <w:szCs w:val="19"/>
        </w:rPr>
      </w:pPr>
      <w:r>
        <w:rPr>
          <w:rFonts w:ascii="Open Sans" w:eastAsia="Open Sans" w:hAnsi="Open Sans" w:cs="Open Sans"/>
          <w:color w:val="000000"/>
          <w:sz w:val="19"/>
          <w:szCs w:val="19"/>
        </w:rPr>
        <w:t xml:space="preserve">638 68 19 85      </w:t>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t xml:space="preserve">                            620 66 29 26</w:t>
      </w:r>
    </w:p>
    <w:p w14:paraId="5C86DA45" w14:textId="77777777" w:rsidR="00381FFF" w:rsidRDefault="00C602A1">
      <w:pPr>
        <w:shd w:val="clear" w:color="auto" w:fill="FFFFFF"/>
        <w:ind w:right="-716"/>
        <w:rPr>
          <w:rFonts w:ascii="Open Sans" w:eastAsia="Open Sans" w:hAnsi="Open Sans" w:cs="Open Sans"/>
          <w:color w:val="0000FF"/>
          <w:sz w:val="19"/>
          <w:szCs w:val="19"/>
          <w:u w:val="single"/>
        </w:rPr>
      </w:pPr>
      <w:r>
        <w:rPr>
          <w:rFonts w:ascii="Arial" w:eastAsia="Arial" w:hAnsi="Arial" w:cs="Arial"/>
          <w:color w:val="222222"/>
          <w:sz w:val="22"/>
          <w:szCs w:val="22"/>
        </w:rPr>
        <w:tab/>
      </w:r>
      <w:r>
        <w:rPr>
          <w:rFonts w:ascii="Arial" w:eastAsia="Arial" w:hAnsi="Arial" w:cs="Arial"/>
          <w:color w:val="222222"/>
          <w:sz w:val="22"/>
          <w:szCs w:val="22"/>
        </w:rPr>
        <w:tab/>
        <w:t xml:space="preserve">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 xml:space="preserve">     </w:t>
      </w:r>
    </w:p>
    <w:p w14:paraId="3C705F89" w14:textId="77777777" w:rsidR="00381FFF" w:rsidRDefault="00C602A1">
      <w:pPr>
        <w:shd w:val="clear" w:color="auto" w:fill="FFFFFF"/>
        <w:ind w:right="-716"/>
        <w:rPr>
          <w:rFonts w:ascii="Open Sans" w:eastAsia="Open Sans" w:hAnsi="Open Sans" w:cs="Open Sans"/>
          <w:b/>
          <w:color w:val="000000"/>
          <w:sz w:val="19"/>
          <w:szCs w:val="19"/>
        </w:rPr>
      </w:pPr>
      <w:r>
        <w:rPr>
          <w:rFonts w:ascii="Open Sans" w:eastAsia="Open Sans" w:hAnsi="Open Sans" w:cs="Open Sans"/>
          <w:b/>
          <w:color w:val="000000"/>
          <w:sz w:val="19"/>
          <w:szCs w:val="19"/>
        </w:rPr>
        <w:t>Fanny Merino</w:t>
      </w:r>
    </w:p>
    <w:p w14:paraId="3E0DD5C6" w14:textId="77777777" w:rsidR="00381FFF" w:rsidRDefault="00C602A1">
      <w:pPr>
        <w:shd w:val="clear" w:color="auto" w:fill="FFFFFF"/>
        <w:ind w:right="-716"/>
        <w:rPr>
          <w:rFonts w:ascii="Open Sans" w:eastAsia="Open Sans" w:hAnsi="Open Sans" w:cs="Open Sans"/>
          <w:color w:val="0000FF"/>
          <w:sz w:val="19"/>
          <w:szCs w:val="19"/>
        </w:rPr>
      </w:pPr>
      <w:hyperlink r:id="rId20">
        <w:r>
          <w:rPr>
            <w:rFonts w:ascii="Open Sans" w:eastAsia="Open Sans" w:hAnsi="Open Sans" w:cs="Open Sans"/>
            <w:color w:val="0000FF"/>
            <w:sz w:val="19"/>
            <w:szCs w:val="19"/>
          </w:rPr>
          <w:t>emerino@llorenteycuenca.com</w:t>
        </w:r>
      </w:hyperlink>
    </w:p>
    <w:p w14:paraId="33CEDFF4" w14:textId="77777777" w:rsidR="00381FFF" w:rsidRDefault="00C602A1">
      <w:pPr>
        <w:shd w:val="clear" w:color="auto" w:fill="FFFFFF"/>
        <w:ind w:right="-716"/>
        <w:rPr>
          <w:rFonts w:ascii="Open Sans" w:eastAsia="Open Sans" w:hAnsi="Open Sans" w:cs="Open Sans"/>
          <w:color w:val="000000"/>
          <w:sz w:val="19"/>
          <w:szCs w:val="19"/>
        </w:rPr>
      </w:pPr>
      <w:r>
        <w:rPr>
          <w:rFonts w:ascii="Open Sans" w:eastAsia="Open Sans" w:hAnsi="Open Sans" w:cs="Open Sans"/>
          <w:color w:val="000000"/>
          <w:sz w:val="19"/>
          <w:szCs w:val="19"/>
        </w:rPr>
        <w:t>663 35 69 75 </w:t>
      </w:r>
    </w:p>
    <w:p w14:paraId="22725102" w14:textId="77777777" w:rsidR="00381FFF" w:rsidRDefault="00381FFF">
      <w:pPr>
        <w:shd w:val="clear" w:color="auto" w:fill="FFFFFF"/>
        <w:ind w:right="-716"/>
        <w:rPr>
          <w:rFonts w:ascii="Open Sans" w:eastAsia="Open Sans" w:hAnsi="Open Sans" w:cs="Open Sans"/>
          <w:color w:val="000000"/>
          <w:sz w:val="21"/>
          <w:szCs w:val="21"/>
        </w:rPr>
      </w:pPr>
    </w:p>
    <w:sectPr w:rsidR="00381FFF">
      <w:footerReference w:type="default" r:id="rId21"/>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F2CCA" w14:textId="77777777" w:rsidR="00C602A1" w:rsidRDefault="00C602A1">
      <w:r>
        <w:separator/>
      </w:r>
    </w:p>
  </w:endnote>
  <w:endnote w:type="continuationSeparator" w:id="0">
    <w:p w14:paraId="308FF8A1" w14:textId="77777777" w:rsidR="00C602A1" w:rsidRDefault="00C60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panose1 w:val="00000000000000000000"/>
    <w:charset w:val="4D"/>
    <w:family w:val="auto"/>
    <w:notTrueType/>
    <w:pitch w:val="variable"/>
    <w:sig w:usb0="00000001" w:usb1="5000207B" w:usb2="00000010" w:usb3="00000000" w:csb0="0000009B" w:csb1="00000000"/>
  </w:font>
  <w:font w:name="Open Sans">
    <w:altName w:val="Segoe UI"/>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19ED7" w14:textId="77777777" w:rsidR="00381FFF" w:rsidRDefault="00C602A1">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0" locked="0" layoutInCell="1" hidden="0" allowOverlap="1" wp14:anchorId="6492FF6F" wp14:editId="765E442D">
          <wp:simplePos x="0" y="0"/>
          <wp:positionH relativeFrom="column">
            <wp:posOffset>-1068068</wp:posOffset>
          </wp:positionH>
          <wp:positionV relativeFrom="paragraph">
            <wp:posOffset>174608</wp:posOffset>
          </wp:positionV>
          <wp:extent cx="7670550" cy="451315"/>
          <wp:effectExtent l="0" t="0" r="0" b="0"/>
          <wp:wrapSquare wrapText="bothSides" distT="0" distB="0" distL="0" distR="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9FE26" w14:textId="77777777" w:rsidR="00C602A1" w:rsidRDefault="00C602A1">
      <w:r>
        <w:separator/>
      </w:r>
    </w:p>
  </w:footnote>
  <w:footnote w:type="continuationSeparator" w:id="0">
    <w:p w14:paraId="3DBF1429" w14:textId="77777777" w:rsidR="00C602A1" w:rsidRDefault="00C602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D7AB3"/>
    <w:multiLevelType w:val="multilevel"/>
    <w:tmpl w:val="026E8B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FFF"/>
    <w:rsid w:val="00245895"/>
    <w:rsid w:val="00381FFF"/>
    <w:rsid w:val="00645435"/>
    <w:rsid w:val="00C602A1"/>
    <w:rsid w:val="00D04072"/>
    <w:rsid w:val="00EA66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35CD7"/>
  <w15:docId w15:val="{2E447C74-462B-4A9B-A4FB-98C881B9C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D4A"/>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character" w:styleId="Mencinsinresolver">
    <w:name w:val="Unresolved Mention"/>
    <w:basedOn w:val="Fuentedeprrafopredeter"/>
    <w:uiPriority w:val="99"/>
    <w:semiHidden/>
    <w:unhideWhenUsed/>
    <w:rsid w:val="00E84EE3"/>
    <w:rPr>
      <w:color w:val="605E5C"/>
      <w:shd w:val="clear" w:color="auto" w:fill="E1DFDD"/>
    </w:rPr>
  </w:style>
  <w:style w:type="paragraph" w:customStyle="1" w:styleId="Cuerpo">
    <w:name w:val="Cuerpo"/>
    <w:rsid w:val="0014415E"/>
    <w:rPr>
      <w:rFonts w:ascii="Times New Roman" w:eastAsia="Arial Unicode MS" w:hAnsi="Times New Roman" w:cs="Arial Unicode MS"/>
      <w:color w:val="000000"/>
      <w:u w:color="000000"/>
      <w:lang w:val="en-US"/>
    </w:rPr>
  </w:style>
  <w:style w:type="character" w:customStyle="1" w:styleId="Ninguno">
    <w:name w:val="Ninguno"/>
    <w:rsid w:val="0014415E"/>
    <w:rPr>
      <w:lang w:val="es-ES_tradnl"/>
    </w:rPr>
  </w:style>
  <w:style w:type="table" w:styleId="Tablaconcuadrcula5oscura-nfasis1">
    <w:name w:val="Grid Table 5 Dark Accent 1"/>
    <w:basedOn w:val="Tablanormal"/>
    <w:uiPriority w:val="50"/>
    <w:rsid w:val="0014415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Texto">
    <w:name w:val="Texto"/>
    <w:basedOn w:val="Normal"/>
    <w:uiPriority w:val="99"/>
    <w:rsid w:val="0014415E"/>
    <w:rPr>
      <w:rFonts w:ascii="Gill Sans MT" w:eastAsia="Times New Roman" w:hAnsi="Gill Sans MT" w:cs="Arial"/>
      <w:sz w:val="22"/>
      <w:szCs w:val="22"/>
      <w:lang w:val="pt-BR"/>
    </w:rPr>
  </w:style>
  <w:style w:type="paragraph" w:customStyle="1" w:styleId="Listavistosa-nfasis11">
    <w:name w:val="Lista vistosa - Énfasis 11"/>
    <w:basedOn w:val="Normal"/>
    <w:qFormat/>
    <w:rsid w:val="0014415E"/>
    <w:pPr>
      <w:ind w:left="708"/>
    </w:pPr>
    <w:rPr>
      <w:rFonts w:ascii="Times New Roman" w:eastAsia="Times New Roman" w:hAnsi="Times New Roman" w:cs="Times New Roman"/>
    </w:rPr>
  </w:style>
  <w:style w:type="character" w:styleId="nfasis">
    <w:name w:val="Emphasis"/>
    <w:qFormat/>
    <w:rsid w:val="0014415E"/>
    <w:rPr>
      <w:i/>
      <w:iCs/>
    </w:rPr>
  </w:style>
  <w:style w:type="character" w:styleId="Hipervnculovisitado">
    <w:name w:val="FollowedHyperlink"/>
    <w:basedOn w:val="Fuentedeprrafopredeter"/>
    <w:uiPriority w:val="99"/>
    <w:semiHidden/>
    <w:unhideWhenUsed/>
    <w:rsid w:val="009807A2"/>
    <w:rPr>
      <w:color w:val="954F72"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styleId="Revisin">
    <w:name w:val="Revision"/>
    <w:hidden/>
    <w:uiPriority w:val="99"/>
    <w:semiHidden/>
    <w:rsid w:val="006A66C4"/>
  </w:style>
  <w:style w:type="paragraph" w:styleId="Asuntodelcomentario">
    <w:name w:val="annotation subject"/>
    <w:basedOn w:val="Textocomentario"/>
    <w:next w:val="Textocomentario"/>
    <w:link w:val="AsuntodelcomentarioCar"/>
    <w:uiPriority w:val="99"/>
    <w:semiHidden/>
    <w:unhideWhenUsed/>
    <w:rsid w:val="005018AE"/>
    <w:rPr>
      <w:b/>
      <w:bCs/>
    </w:rPr>
  </w:style>
  <w:style w:type="character" w:customStyle="1" w:styleId="AsuntodelcomentarioCar">
    <w:name w:val="Asunto del comentario Car"/>
    <w:basedOn w:val="TextocomentarioCar"/>
    <w:link w:val="Asuntodelcomentario"/>
    <w:uiPriority w:val="99"/>
    <w:semiHidden/>
    <w:rsid w:val="005018AE"/>
    <w:rPr>
      <w:b/>
      <w:bCs/>
      <w:sz w:val="20"/>
      <w:szCs w:val="20"/>
    </w:rPr>
  </w:style>
  <w:style w:type="table" w:customStyle="1" w:styleId="a0">
    <w:basedOn w:val="TableNormal0"/>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otocasa.es/" TargetMode="External"/><Relationship Id="rId18" Type="http://schemas.openxmlformats.org/officeDocument/2006/relationships/hyperlink" Target="mailto:rtorne@llorenteycuenca.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fotocasa.es/es/quienes-somos/" TargetMode="External"/><Relationship Id="rId17" Type="http://schemas.openxmlformats.org/officeDocument/2006/relationships/hyperlink" Target="http://prensa.fotocasa.es" TargetMode="External"/><Relationship Id="rId2" Type="http://schemas.openxmlformats.org/officeDocument/2006/relationships/numbering" Target="numbering.xml"/><Relationship Id="rId16" Type="http://schemas.openxmlformats.org/officeDocument/2006/relationships/hyperlink" Target="https://motos.coches.net/" TargetMode="External"/><Relationship Id="rId20" Type="http://schemas.openxmlformats.org/officeDocument/2006/relationships/hyperlink" Target="mailto:emerino@llorenteycuenc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indice/" TargetMode="External"/><Relationship Id="rId5" Type="http://schemas.openxmlformats.org/officeDocument/2006/relationships/webSettings" Target="webSettings.xml"/><Relationship Id="rId15" Type="http://schemas.openxmlformats.org/officeDocument/2006/relationships/hyperlink" Target="https://www.coches.net/" TargetMode="External"/><Relationship Id="rId23" Type="http://schemas.openxmlformats.org/officeDocument/2006/relationships/theme" Target="theme/theme1.xml"/><Relationship Id="rId10" Type="http://schemas.openxmlformats.org/officeDocument/2006/relationships/hyperlink" Target="https://www.fotocasa.es/es/" TargetMode="External"/><Relationship Id="rId19" Type="http://schemas.openxmlformats.org/officeDocument/2006/relationships/hyperlink" Target="mailto:comunicacion@fotocasa.es" TargetMode="External"/><Relationship Id="rId4" Type="http://schemas.openxmlformats.org/officeDocument/2006/relationships/settings" Target="settings.xml"/><Relationship Id="rId9" Type="http://schemas.openxmlformats.org/officeDocument/2006/relationships/hyperlink" Target="https://www.fotocasa.es/es/" TargetMode="External"/><Relationship Id="rId14" Type="http://schemas.openxmlformats.org/officeDocument/2006/relationships/hyperlink" Target="https://www.infojobs.net/"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DSFi5U8/KLi+H4fLk9jBLggW7A==">AMUW2mXwDpv8KjFcTF4yySNYdcP72UsFQjmvHyYAm8wmF01ljf6eVLkdL55maTxxAwqYSQbKOtaZaP03fCx/rZWG/NBWGNp2PQ7o/hmbQfH2B3rKgi3oKKZmssXwyOc1YwCXye+Qyy4m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1356</Words>
  <Characters>7460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4</cp:revision>
  <cp:lastPrinted>2022-03-31T06:23:00Z</cp:lastPrinted>
  <dcterms:created xsi:type="dcterms:W3CDTF">2021-03-17T10:21:00Z</dcterms:created>
  <dcterms:modified xsi:type="dcterms:W3CDTF">2022-03-31T06:26:00Z</dcterms:modified>
</cp:coreProperties>
</file>