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D2DB" w14:textId="381348DE" w:rsidR="00A84CA7" w:rsidRDefault="00034E35" w:rsidP="007937D5">
      <w:pPr>
        <w:ind w:right="-574"/>
      </w:pPr>
      <w:r w:rsidRPr="008C4E00">
        <w:rPr>
          <w:b/>
          <w:noProof/>
          <w:sz w:val="32"/>
        </w:rPr>
        <w:drawing>
          <wp:anchor distT="0" distB="0" distL="114300" distR="114300" simplePos="0" relativeHeight="251653120" behindDoc="0" locked="0" layoutInCell="1" allowOverlap="1" wp14:anchorId="7B7A2095" wp14:editId="470A4815">
            <wp:simplePos x="0" y="0"/>
            <wp:positionH relativeFrom="column">
              <wp:posOffset>-705781</wp:posOffset>
            </wp:positionH>
            <wp:positionV relativeFrom="paragraph">
              <wp:posOffset>-62507</wp:posOffset>
            </wp:positionV>
            <wp:extent cx="1748621" cy="400050"/>
            <wp:effectExtent l="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62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2ED0D652" wp14:editId="1CBADAAA">
            <wp:simplePos x="0" y="0"/>
            <wp:positionH relativeFrom="column">
              <wp:posOffset>4057015</wp:posOffset>
            </wp:positionH>
            <wp:positionV relativeFrom="paragraph">
              <wp:posOffset>-321945</wp:posOffset>
            </wp:positionV>
            <wp:extent cx="2431065" cy="658946"/>
            <wp:effectExtent l="0" t="0" r="762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949" cy="668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2FF5D" w14:textId="77777777" w:rsidR="000034A6" w:rsidRDefault="000034A6" w:rsidP="007937D5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158B6A87" w14:textId="77777777" w:rsidR="00A84CA7" w:rsidRDefault="00A84CA7" w:rsidP="007937D5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4B2B618F" w14:textId="2F68661B" w:rsidR="00DE052F" w:rsidRPr="00DE052F" w:rsidRDefault="00CD1A17" w:rsidP="007937D5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30"/>
          <w:lang w:val="es-ES"/>
        </w:rPr>
      </w:pPr>
      <w:r>
        <w:rPr>
          <w:rFonts w:ascii="National" w:hAnsi="National"/>
          <w:b/>
          <w:bCs/>
          <w:iCs/>
          <w:color w:val="1DBDC5"/>
          <w:sz w:val="30"/>
          <w:lang w:val="es-ES"/>
        </w:rPr>
        <w:t xml:space="preserve">ANÁLISIS </w:t>
      </w:r>
      <w:r w:rsidR="0091359C">
        <w:rPr>
          <w:rFonts w:ascii="National" w:hAnsi="National"/>
          <w:b/>
          <w:bCs/>
          <w:iCs/>
          <w:color w:val="1DBDC5"/>
          <w:sz w:val="30"/>
          <w:lang w:val="es-ES"/>
        </w:rPr>
        <w:t>ACUMULATIVO PRECIO DE LA VIVIENDA</w:t>
      </w:r>
      <w:r>
        <w:rPr>
          <w:rFonts w:ascii="National" w:hAnsi="National"/>
          <w:b/>
          <w:bCs/>
          <w:iCs/>
          <w:color w:val="1DBDC5"/>
          <w:sz w:val="30"/>
          <w:lang w:val="es-ES"/>
        </w:rPr>
        <w:t xml:space="preserve"> EN ESPAÑA</w:t>
      </w:r>
    </w:p>
    <w:p w14:paraId="487D1690" w14:textId="118B478D" w:rsidR="00475CA1" w:rsidRDefault="00475CA1" w:rsidP="00475CA1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56"/>
          <w:szCs w:val="144"/>
          <w:lang w:val="es-ES"/>
        </w:rPr>
      </w:pPr>
      <w:r>
        <w:rPr>
          <w:rFonts w:ascii="National" w:hAnsi="National"/>
          <w:b/>
          <w:bCs/>
          <w:iCs/>
          <w:color w:val="303AB2"/>
          <w:sz w:val="56"/>
          <w:szCs w:val="144"/>
          <w:lang w:val="es-ES"/>
        </w:rPr>
        <w:t xml:space="preserve">El </w:t>
      </w:r>
      <w:r w:rsidR="008D250C">
        <w:rPr>
          <w:rFonts w:ascii="National" w:hAnsi="National"/>
          <w:b/>
          <w:bCs/>
          <w:iCs/>
          <w:color w:val="303AB2"/>
          <w:sz w:val="56"/>
          <w:szCs w:val="144"/>
          <w:lang w:val="es-ES"/>
        </w:rPr>
        <w:t xml:space="preserve">precio del </w:t>
      </w:r>
      <w:r w:rsidR="00F65787">
        <w:rPr>
          <w:rFonts w:ascii="National" w:hAnsi="National"/>
          <w:b/>
          <w:bCs/>
          <w:iCs/>
          <w:color w:val="303AB2"/>
          <w:sz w:val="56"/>
          <w:szCs w:val="144"/>
          <w:lang w:val="es-ES"/>
        </w:rPr>
        <w:t xml:space="preserve">alquiler </w:t>
      </w:r>
      <w:r w:rsidR="008D250C">
        <w:rPr>
          <w:rFonts w:ascii="National" w:hAnsi="National"/>
          <w:b/>
          <w:bCs/>
          <w:iCs/>
          <w:color w:val="303AB2"/>
          <w:sz w:val="56"/>
          <w:szCs w:val="144"/>
          <w:lang w:val="es-ES"/>
        </w:rPr>
        <w:t xml:space="preserve">ha subido un </w:t>
      </w:r>
      <w:r>
        <w:rPr>
          <w:rFonts w:ascii="National" w:hAnsi="National"/>
          <w:b/>
          <w:bCs/>
          <w:iCs/>
          <w:color w:val="303AB2"/>
          <w:sz w:val="56"/>
          <w:szCs w:val="144"/>
          <w:lang w:val="es-ES"/>
        </w:rPr>
        <w:t xml:space="preserve">37% </w:t>
      </w:r>
      <w:r w:rsidR="008D250C">
        <w:rPr>
          <w:rFonts w:ascii="National" w:hAnsi="National"/>
          <w:b/>
          <w:bCs/>
          <w:iCs/>
          <w:color w:val="303AB2"/>
          <w:sz w:val="56"/>
          <w:szCs w:val="144"/>
          <w:lang w:val="es-ES"/>
        </w:rPr>
        <w:t>en España en los últimos 5 años</w:t>
      </w:r>
    </w:p>
    <w:p w14:paraId="4B9D3214" w14:textId="77777777" w:rsidR="005F6A96" w:rsidRDefault="005F6A96" w:rsidP="005F6A96">
      <w:pPr>
        <w:pStyle w:val="Prrafodelista"/>
        <w:spacing w:line="276" w:lineRule="auto"/>
        <w:ind w:left="284" w:right="-574"/>
        <w:jc w:val="both"/>
        <w:rPr>
          <w:rFonts w:ascii="Open Sans" w:hAnsi="Open Sans" w:cs="Open Sans"/>
          <w:sz w:val="22"/>
          <w:szCs w:val="22"/>
        </w:rPr>
      </w:pPr>
    </w:p>
    <w:p w14:paraId="376D667E" w14:textId="3FD3376E" w:rsidR="00ED419C" w:rsidRPr="00736472" w:rsidRDefault="0014287C" w:rsidP="009E08E6">
      <w:pPr>
        <w:pStyle w:val="Prrafodelista"/>
        <w:numPr>
          <w:ilvl w:val="0"/>
          <w:numId w:val="8"/>
        </w:numPr>
        <w:spacing w:line="276" w:lineRule="auto"/>
        <w:ind w:left="284" w:right="-57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En 202</w:t>
      </w:r>
      <w:r w:rsidR="009C2303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 xml:space="preserve"> se ha pagado por una </w:t>
      </w:r>
      <w:r w:rsidR="00ED419C">
        <w:rPr>
          <w:rFonts w:ascii="Open Sans" w:hAnsi="Open Sans" w:cs="Open Sans"/>
          <w:sz w:val="22"/>
          <w:szCs w:val="22"/>
        </w:rPr>
        <w:t xml:space="preserve">vivienda en alquiler en España </w:t>
      </w:r>
      <w:r>
        <w:rPr>
          <w:rFonts w:ascii="Open Sans" w:hAnsi="Open Sans" w:cs="Open Sans"/>
          <w:sz w:val="22"/>
          <w:szCs w:val="22"/>
        </w:rPr>
        <w:t xml:space="preserve">un </w:t>
      </w:r>
      <w:r w:rsidR="009C2303">
        <w:rPr>
          <w:rFonts w:ascii="Open Sans" w:hAnsi="Open Sans" w:cs="Open Sans"/>
          <w:sz w:val="22"/>
          <w:szCs w:val="22"/>
        </w:rPr>
        <w:t>37</w:t>
      </w:r>
      <w:r>
        <w:rPr>
          <w:rFonts w:ascii="Open Sans" w:hAnsi="Open Sans" w:cs="Open Sans"/>
          <w:sz w:val="22"/>
          <w:szCs w:val="22"/>
        </w:rPr>
        <w:t xml:space="preserve">% más que </w:t>
      </w:r>
      <w:r w:rsidR="008D250C">
        <w:rPr>
          <w:rFonts w:ascii="Open Sans" w:hAnsi="Open Sans" w:cs="Open Sans"/>
          <w:sz w:val="22"/>
          <w:szCs w:val="22"/>
        </w:rPr>
        <w:t>hace</w:t>
      </w:r>
      <w:r w:rsidR="002537FA">
        <w:rPr>
          <w:rFonts w:ascii="Open Sans" w:hAnsi="Open Sans" w:cs="Open Sans"/>
          <w:sz w:val="22"/>
          <w:szCs w:val="22"/>
        </w:rPr>
        <w:t xml:space="preserve"> 5 años (2016)</w:t>
      </w:r>
      <w:r>
        <w:rPr>
          <w:rFonts w:ascii="Open Sans" w:hAnsi="Open Sans" w:cs="Open Sans"/>
          <w:sz w:val="22"/>
          <w:szCs w:val="22"/>
        </w:rPr>
        <w:t xml:space="preserve">, </w:t>
      </w:r>
      <w:r w:rsidRPr="00736472">
        <w:rPr>
          <w:rFonts w:ascii="Open Sans" w:hAnsi="Open Sans" w:cs="Open Sans"/>
          <w:sz w:val="22"/>
          <w:szCs w:val="22"/>
        </w:rPr>
        <w:t xml:space="preserve">mientras que </w:t>
      </w:r>
      <w:r w:rsidR="009C2303">
        <w:rPr>
          <w:rFonts w:ascii="Open Sans" w:hAnsi="Open Sans" w:cs="Open Sans"/>
          <w:sz w:val="22"/>
          <w:szCs w:val="22"/>
        </w:rPr>
        <w:t xml:space="preserve">en 2021 se produce un descenso del alquiler de un -3,6% </w:t>
      </w:r>
      <w:r w:rsidRPr="00736472">
        <w:rPr>
          <w:rFonts w:ascii="Open Sans" w:hAnsi="Open Sans" w:cs="Open Sans"/>
          <w:sz w:val="22"/>
          <w:szCs w:val="22"/>
        </w:rPr>
        <w:t xml:space="preserve"> </w:t>
      </w:r>
    </w:p>
    <w:p w14:paraId="00D3E7E4" w14:textId="4CB25FCA" w:rsidR="002537FA" w:rsidRDefault="002537FA" w:rsidP="009E08E6">
      <w:pPr>
        <w:pStyle w:val="Prrafodelista"/>
        <w:numPr>
          <w:ilvl w:val="0"/>
          <w:numId w:val="8"/>
        </w:numPr>
        <w:spacing w:line="276" w:lineRule="auto"/>
        <w:ind w:left="284" w:right="-57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En 5 años el precio de la vivienda en alquiler ha subido más del 40% para los </w:t>
      </w:r>
      <w:r w:rsidR="00AB1B5B">
        <w:rPr>
          <w:rFonts w:ascii="Open Sans" w:hAnsi="Open Sans" w:cs="Open Sans"/>
          <w:sz w:val="22"/>
          <w:szCs w:val="22"/>
        </w:rPr>
        <w:t xml:space="preserve">valencianos, </w:t>
      </w:r>
      <w:r>
        <w:rPr>
          <w:rFonts w:ascii="Open Sans" w:hAnsi="Open Sans" w:cs="Open Sans"/>
          <w:sz w:val="22"/>
          <w:szCs w:val="22"/>
        </w:rPr>
        <w:t xml:space="preserve">riojanos, canarios y navarros </w:t>
      </w:r>
    </w:p>
    <w:p w14:paraId="2215ADD6" w14:textId="77777777" w:rsidR="00F65A5B" w:rsidRPr="00F65A5B" w:rsidRDefault="00F65A5B" w:rsidP="005E255E">
      <w:pPr>
        <w:pStyle w:val="Prrafodelista"/>
        <w:spacing w:line="276" w:lineRule="auto"/>
        <w:ind w:left="284"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591FA1E5" w14:textId="2773CF61" w:rsidR="002A35C0" w:rsidRPr="009553A0" w:rsidRDefault="002D35EA" w:rsidP="008D250C">
      <w:pPr>
        <w:pStyle w:val="Prrafodelista"/>
        <w:spacing w:line="276" w:lineRule="auto"/>
        <w:ind w:left="0" w:right="-574"/>
        <w:rPr>
          <w:rFonts w:ascii="Open Sans Light" w:hAnsi="Open Sans Light" w:cs="Open Sans Light"/>
          <w:bCs/>
          <w:iCs/>
          <w:color w:val="303AB2"/>
          <w:szCs w:val="20"/>
          <w:lang w:val="es-ES"/>
        </w:rPr>
      </w:pPr>
      <w:r w:rsidRPr="009553A0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Madrid</w:t>
      </w:r>
      <w:r w:rsidR="00753088" w:rsidRPr="009553A0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, </w:t>
      </w:r>
      <w:r w:rsidR="00C31EC9" w:rsidRPr="009553A0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7</w:t>
      </w:r>
      <w:r w:rsidR="00A70933" w:rsidRPr="009553A0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de </w:t>
      </w:r>
      <w:r w:rsidR="00703E9B" w:rsidRPr="009553A0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marzo</w:t>
      </w:r>
      <w:r w:rsidR="002A35C0" w:rsidRPr="009553A0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de 20</w:t>
      </w:r>
      <w:r w:rsidR="007937D5" w:rsidRPr="009553A0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2</w:t>
      </w:r>
      <w:r w:rsidR="00703E9B" w:rsidRPr="009553A0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2</w:t>
      </w:r>
    </w:p>
    <w:p w14:paraId="32D1BEA4" w14:textId="2297D08A" w:rsidR="00833BF4" w:rsidRDefault="00A36820" w:rsidP="00BD2FBF">
      <w:pPr>
        <w:pStyle w:val="NormalWeb"/>
        <w:shd w:val="clear" w:color="auto" w:fill="FFFFFF"/>
        <w:spacing w:after="225" w:line="276" w:lineRule="auto"/>
        <w:ind w:right="-574"/>
        <w:jc w:val="both"/>
        <w:rPr>
          <w:color w:val="000000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El precio acumulativo de la vivienda en </w:t>
      </w:r>
      <w:r w:rsidR="00833BF4">
        <w:rPr>
          <w:rFonts w:ascii="Open Sans" w:hAnsi="Open Sans" w:cs="Open Sans"/>
          <w:color w:val="000000"/>
          <w:sz w:val="22"/>
          <w:szCs w:val="22"/>
        </w:rPr>
        <w:t>alquiler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4D0E4B" w:rsidRPr="008D20D0">
        <w:rPr>
          <w:rFonts w:ascii="Open Sans" w:hAnsi="Open Sans" w:cs="Open Sans"/>
          <w:color w:val="0D0D0D" w:themeColor="text1" w:themeTint="F2"/>
          <w:sz w:val="22"/>
          <w:szCs w:val="22"/>
        </w:rPr>
        <w:t>ha subido</w:t>
      </w:r>
      <w:r w:rsidRPr="008D20D0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en </w:t>
      </w:r>
      <w:r>
        <w:rPr>
          <w:rFonts w:ascii="Open Sans" w:hAnsi="Open Sans" w:cs="Open Sans"/>
          <w:color w:val="000000"/>
          <w:sz w:val="22"/>
          <w:szCs w:val="22"/>
        </w:rPr>
        <w:t xml:space="preserve">España un </w:t>
      </w:r>
      <w:r w:rsidR="000F4532">
        <w:rPr>
          <w:rFonts w:ascii="Open Sans" w:hAnsi="Open Sans" w:cs="Open Sans"/>
          <w:color w:val="000000"/>
          <w:sz w:val="22"/>
          <w:szCs w:val="22"/>
        </w:rPr>
        <w:t>37</w:t>
      </w:r>
      <w:r>
        <w:rPr>
          <w:rFonts w:ascii="Open Sans" w:hAnsi="Open Sans" w:cs="Open Sans"/>
          <w:color w:val="000000"/>
          <w:sz w:val="22"/>
          <w:szCs w:val="22"/>
        </w:rPr>
        <w:t xml:space="preserve">% </w:t>
      </w:r>
      <w:r w:rsidR="00C31EC9">
        <w:rPr>
          <w:rFonts w:ascii="Open Sans" w:hAnsi="Open Sans" w:cs="Open Sans"/>
          <w:color w:val="000000"/>
          <w:sz w:val="22"/>
          <w:szCs w:val="22"/>
        </w:rPr>
        <w:t xml:space="preserve">en </w:t>
      </w:r>
      <w:r w:rsidR="000F4532">
        <w:rPr>
          <w:rFonts w:ascii="Open Sans" w:hAnsi="Open Sans" w:cs="Open Sans"/>
          <w:color w:val="000000"/>
          <w:sz w:val="22"/>
          <w:szCs w:val="22"/>
        </w:rPr>
        <w:t>5</w:t>
      </w:r>
      <w:r w:rsidR="00C31EC9">
        <w:rPr>
          <w:rFonts w:ascii="Open Sans" w:hAnsi="Open Sans" w:cs="Open Sans"/>
          <w:color w:val="000000"/>
          <w:sz w:val="22"/>
          <w:szCs w:val="22"/>
        </w:rPr>
        <w:t xml:space="preserve"> años</w:t>
      </w:r>
      <w:r w:rsidR="000F4532">
        <w:rPr>
          <w:rFonts w:ascii="Open Sans" w:hAnsi="Open Sans" w:cs="Open Sans"/>
          <w:color w:val="000000"/>
          <w:sz w:val="22"/>
          <w:szCs w:val="22"/>
        </w:rPr>
        <w:t xml:space="preserve"> y un 36% en </w:t>
      </w:r>
      <w:r w:rsidR="00C31EC9">
        <w:rPr>
          <w:rFonts w:ascii="Open Sans" w:hAnsi="Open Sans" w:cs="Open Sans"/>
          <w:color w:val="000000"/>
          <w:sz w:val="22"/>
          <w:szCs w:val="22"/>
        </w:rPr>
        <w:t>10 años</w:t>
      </w:r>
      <w:r w:rsidR="00833BF4">
        <w:rPr>
          <w:rFonts w:ascii="Open Sans" w:hAnsi="Open Sans" w:cs="Open Sans"/>
          <w:color w:val="000000"/>
          <w:sz w:val="22"/>
          <w:szCs w:val="22"/>
        </w:rPr>
        <w:t>,</w:t>
      </w:r>
      <w:r w:rsidR="00C31EC9">
        <w:rPr>
          <w:rFonts w:ascii="Open Sans" w:hAnsi="Open Sans" w:cs="Open Sans"/>
          <w:color w:val="000000"/>
          <w:sz w:val="22"/>
          <w:szCs w:val="22"/>
        </w:rPr>
        <w:t xml:space="preserve"> mientras que el acumulativo de hace un año </w:t>
      </w:r>
      <w:r w:rsidR="000F4532">
        <w:rPr>
          <w:rFonts w:ascii="Open Sans" w:hAnsi="Open Sans" w:cs="Open Sans"/>
          <w:color w:val="000000"/>
          <w:sz w:val="22"/>
          <w:szCs w:val="22"/>
        </w:rPr>
        <w:t>(2020) ha descendido un -3,6%,</w:t>
      </w:r>
      <w:r w:rsidR="00833BF4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8376CF">
        <w:rPr>
          <w:rFonts w:ascii="Open Sans" w:hAnsi="Open Sans" w:cs="Open Sans"/>
          <w:color w:val="000000"/>
          <w:sz w:val="22"/>
          <w:szCs w:val="22"/>
        </w:rPr>
        <w:t xml:space="preserve">según el estudio </w:t>
      </w:r>
      <w:r w:rsidRPr="008376CF">
        <w:rPr>
          <w:rFonts w:ascii="Open Sans" w:hAnsi="Open Sans" w:cs="Open Sans"/>
          <w:b/>
          <w:bCs/>
          <w:color w:val="000000"/>
          <w:sz w:val="22"/>
          <w:szCs w:val="22"/>
        </w:rPr>
        <w:t>“</w:t>
      </w:r>
      <w:r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>Variación acumulativa de la vivienda</w:t>
      </w:r>
      <w:r w:rsidR="007F702A"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 xml:space="preserve"> en España</w:t>
      </w:r>
      <w:r w:rsidR="00376DE0"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 xml:space="preserve"> en 202</w:t>
      </w:r>
      <w:r w:rsidR="000F4532"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>1</w:t>
      </w:r>
      <w:proofErr w:type="gramStart"/>
      <w:r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>”</w:t>
      </w:r>
      <w:r w:rsidR="00C31EC9"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>,</w:t>
      </w:r>
      <w:r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 xml:space="preserve"> </w:t>
      </w:r>
      <w:r w:rsidRPr="008376CF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basado</w:t>
      </w:r>
      <w:proofErr w:type="gramEnd"/>
      <w:r>
        <w:rPr>
          <w:rFonts w:ascii="Open Sans" w:hAnsi="Open Sans" w:cs="Open Sans"/>
          <w:color w:val="000000"/>
          <w:sz w:val="22"/>
          <w:szCs w:val="22"/>
        </w:rPr>
        <w:t xml:space="preserve"> en</w:t>
      </w:r>
      <w:r w:rsidRPr="008376CF">
        <w:rPr>
          <w:rFonts w:ascii="Open Sans" w:hAnsi="Open Sans" w:cs="Open Sans"/>
          <w:color w:val="000000"/>
          <w:sz w:val="22"/>
          <w:szCs w:val="22"/>
        </w:rPr>
        <w:t xml:space="preserve"> los </w:t>
      </w:r>
      <w:r w:rsidR="00C31EC9">
        <w:rPr>
          <w:rFonts w:ascii="Open Sans" w:hAnsi="Open Sans" w:cs="Open Sans"/>
          <w:color w:val="000000"/>
          <w:sz w:val="22"/>
          <w:szCs w:val="22"/>
        </w:rPr>
        <w:t>precios de la vivienda en alquiler</w:t>
      </w:r>
      <w:r w:rsidRPr="008376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d</w:t>
      </w:r>
      <w:r w:rsidR="009309B9">
        <w:rPr>
          <w:rFonts w:ascii="Open Sans" w:hAnsi="Open Sans" w:cs="Open Sans"/>
          <w:color w:val="000000"/>
          <w:sz w:val="22"/>
          <w:szCs w:val="22"/>
        </w:rPr>
        <w:t>el mes de diciembre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9309B9">
        <w:rPr>
          <w:rFonts w:ascii="Open Sans" w:hAnsi="Open Sans" w:cs="Open Sans"/>
          <w:color w:val="000000"/>
          <w:sz w:val="22"/>
          <w:szCs w:val="22"/>
        </w:rPr>
        <w:t>de los últimos 1</w:t>
      </w:r>
      <w:r w:rsidR="000F4532">
        <w:rPr>
          <w:rFonts w:ascii="Open Sans" w:hAnsi="Open Sans" w:cs="Open Sans"/>
          <w:color w:val="000000"/>
          <w:sz w:val="22"/>
          <w:szCs w:val="22"/>
        </w:rPr>
        <w:t>5</w:t>
      </w:r>
      <w:r w:rsidR="009309B9">
        <w:rPr>
          <w:rFonts w:ascii="Open Sans" w:hAnsi="Open Sans" w:cs="Open Sans"/>
          <w:color w:val="000000"/>
          <w:sz w:val="22"/>
          <w:szCs w:val="22"/>
        </w:rPr>
        <w:t xml:space="preserve"> años del </w:t>
      </w:r>
      <w:r w:rsidRPr="008376CF">
        <w:rPr>
          <w:rFonts w:ascii="Open Sans" w:hAnsi="Open Sans" w:cs="Open Sans"/>
          <w:color w:val="000000"/>
          <w:sz w:val="22"/>
          <w:szCs w:val="22"/>
        </w:rPr>
        <w:t xml:space="preserve">Índice Inmobiliario </w:t>
      </w:r>
      <w:hyperlink r:id="rId10" w:history="1">
        <w:r w:rsidRPr="008376CF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 w:rsidR="001651B5">
        <w:rPr>
          <w:rStyle w:val="Hipervnculo"/>
          <w:rFonts w:ascii="Open Sans" w:hAnsi="Open Sans" w:cs="Open Sans"/>
          <w:sz w:val="22"/>
          <w:szCs w:val="22"/>
        </w:rPr>
        <w:t>.</w:t>
      </w:r>
      <w:r w:rsidR="001651B5" w:rsidRPr="001651B5">
        <w:rPr>
          <w:color w:val="000000"/>
        </w:rPr>
        <w:t xml:space="preserve"> </w:t>
      </w:r>
    </w:p>
    <w:p w14:paraId="6AC062E5" w14:textId="77777777" w:rsidR="007B4A86" w:rsidRDefault="00CE47E3" w:rsidP="00583D8D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</w:rPr>
      </w:pPr>
      <w:r>
        <w:rPr>
          <w:rFonts w:ascii="National" w:hAnsi="National"/>
          <w:b/>
          <w:bCs/>
          <w:iCs/>
          <w:color w:val="303AB2"/>
          <w:sz w:val="28"/>
          <w:szCs w:val="160"/>
        </w:rPr>
        <w:t>Variación acumulativa</w:t>
      </w:r>
      <w:r w:rsidR="00833BF4">
        <w:rPr>
          <w:rFonts w:ascii="National" w:hAnsi="National"/>
          <w:b/>
          <w:bCs/>
          <w:iCs/>
          <w:color w:val="303AB2"/>
          <w:sz w:val="28"/>
          <w:szCs w:val="160"/>
        </w:rPr>
        <w:t xml:space="preserve"> (%) por </w:t>
      </w:r>
      <w:r>
        <w:rPr>
          <w:rFonts w:ascii="National" w:hAnsi="National"/>
          <w:b/>
          <w:bCs/>
          <w:iCs/>
          <w:color w:val="303AB2"/>
          <w:sz w:val="28"/>
          <w:szCs w:val="160"/>
        </w:rPr>
        <w:t xml:space="preserve">años </w:t>
      </w:r>
      <w:r w:rsidR="0037410B">
        <w:rPr>
          <w:rFonts w:ascii="National" w:hAnsi="National"/>
          <w:b/>
          <w:bCs/>
          <w:iCs/>
          <w:color w:val="303AB2"/>
          <w:sz w:val="28"/>
          <w:szCs w:val="160"/>
        </w:rPr>
        <w:t>en España</w:t>
      </w:r>
    </w:p>
    <w:p w14:paraId="7B938E6A" w14:textId="0AAB5AA0" w:rsidR="00583D8D" w:rsidRDefault="000F4532" w:rsidP="00583D8D">
      <w:pPr>
        <w:pStyle w:val="NormalWeb"/>
        <w:shd w:val="clear" w:color="auto" w:fill="FFFFFF"/>
        <w:spacing w:after="225" w:line="276" w:lineRule="auto"/>
        <w:ind w:right="-574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1E7FE48" wp14:editId="5FAFFF03">
            <wp:extent cx="5364480" cy="2419350"/>
            <wp:effectExtent l="0" t="0" r="762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D914368D-93BE-4BB9-8027-2AA886413C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AD99A73" w14:textId="77777777" w:rsidR="008D250C" w:rsidRDefault="008D250C" w:rsidP="006A3C97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4142100" w14:textId="77777777" w:rsidR="008D250C" w:rsidRDefault="008D250C" w:rsidP="006A3C97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72F7F42" w14:textId="659F8FF3" w:rsidR="00351A42" w:rsidRDefault="00351A42" w:rsidP="006A3C97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“Estos datos muestran que el precio del alquiler ha subido con fuera durante los últimos cinco años en nuestro país, en concreto un 37%. En cambio, si miramos los datos respecto a hace 10 años el precio ha subido una décima menos, un 36%. No obstante, a finales de 2021 el precio del alquiler en nuestro país ha cambiado totalmente de tendencia y ha cerrado el año con una caída del -3,6%, la caída más acusada que se registra en el alquiler en la última década. Todo indica que el precio del alquiler irá fluctuando durante 2022, con pequeñas bajadas y es posible que volvamos a ver algún pequeño incremento de precios a nivel generalizado, pero sin volver a las grandes subidas de años atrás”, explica María Matos, directora de Estudios de </w:t>
      </w:r>
      <w:hyperlink r:id="rId12" w:history="1">
        <w:r w:rsidRPr="008376CF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7EF7AFD0" w14:textId="61F3F5F4" w:rsidR="007B4A86" w:rsidRDefault="007B4A86" w:rsidP="006A3C97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Los españoles en 2016 debían pagar por el alquiler de una vivienda de 80 m</w:t>
      </w:r>
      <w:r w:rsidRPr="002C2F40">
        <w:rPr>
          <w:rFonts w:ascii="Open Sans" w:hAnsi="Open Sans" w:cs="Open Sans"/>
          <w:color w:val="000000"/>
          <w:sz w:val="22"/>
          <w:szCs w:val="22"/>
          <w:vertAlign w:val="superscript"/>
        </w:rPr>
        <w:t>2</w:t>
      </w:r>
      <w:r>
        <w:rPr>
          <w:rFonts w:ascii="Open Sans" w:hAnsi="Open Sans" w:cs="Open Sans"/>
          <w:color w:val="000000"/>
          <w:sz w:val="22"/>
          <w:szCs w:val="22"/>
        </w:rPr>
        <w:t xml:space="preserve"> una media de 601 euros/mes frente a los 822 euros </w:t>
      </w:r>
      <w:r w:rsidRPr="007B4A86">
        <w:rPr>
          <w:rFonts w:ascii="Open Sans" w:hAnsi="Open Sans" w:cs="Open Sans"/>
          <w:color w:val="000000"/>
          <w:sz w:val="22"/>
          <w:szCs w:val="22"/>
        </w:rPr>
        <w:t>que se paga como media en España en 2021. Así, a</w:t>
      </w:r>
      <w:r w:rsidR="00152120" w:rsidRPr="007B4A86">
        <w:rPr>
          <w:rFonts w:ascii="Open Sans" w:hAnsi="Open Sans" w:cs="Open Sans"/>
          <w:color w:val="000000" w:themeColor="text1"/>
          <w:sz w:val="22"/>
          <w:szCs w:val="22"/>
        </w:rPr>
        <w:t>nalizando los</w:t>
      </w:r>
      <w:r w:rsidR="00524A6B" w:rsidRPr="007B4A86">
        <w:rPr>
          <w:rFonts w:ascii="Open Sans" w:hAnsi="Open Sans" w:cs="Open Sans"/>
          <w:color w:val="000000" w:themeColor="text1"/>
          <w:sz w:val="22"/>
          <w:szCs w:val="22"/>
        </w:rPr>
        <w:t xml:space="preserve"> precios que se pagaban por el alquiler en 201</w:t>
      </w:r>
      <w:r w:rsidR="000F4532" w:rsidRPr="007B4A86">
        <w:rPr>
          <w:rFonts w:ascii="Open Sans" w:hAnsi="Open Sans" w:cs="Open Sans"/>
          <w:color w:val="000000" w:themeColor="text1"/>
          <w:sz w:val="22"/>
          <w:szCs w:val="22"/>
        </w:rPr>
        <w:t>6</w:t>
      </w:r>
      <w:r w:rsidR="00524A6B" w:rsidRPr="007B4A86">
        <w:rPr>
          <w:rFonts w:ascii="Open Sans" w:hAnsi="Open Sans" w:cs="Open Sans"/>
          <w:color w:val="000000" w:themeColor="text1"/>
          <w:sz w:val="22"/>
          <w:szCs w:val="22"/>
        </w:rPr>
        <w:t>,</w:t>
      </w:r>
      <w:r w:rsidR="00152120" w:rsidRPr="007B4A86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7B4A86">
        <w:rPr>
          <w:rFonts w:ascii="Open Sans" w:hAnsi="Open Sans" w:cs="Open Sans"/>
          <w:color w:val="000000" w:themeColor="text1"/>
          <w:sz w:val="22"/>
          <w:szCs w:val="22"/>
        </w:rPr>
        <w:t>el precio medio del metro cuadrado de la vivienda en alquiler</w:t>
      </w:r>
      <w:r w:rsidRPr="008D12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ha pasado de 7,51 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>euros/m</w:t>
      </w:r>
      <w:r w:rsidRPr="005C5838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2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al mes 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>en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diciembre de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 201</w:t>
      </w:r>
      <w:r>
        <w:rPr>
          <w:rFonts w:ascii="Open Sans" w:hAnsi="Open Sans" w:cs="Open Sans"/>
          <w:color w:val="000000" w:themeColor="text1"/>
          <w:sz w:val="22"/>
          <w:szCs w:val="22"/>
        </w:rPr>
        <w:t>6,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 a </w:t>
      </w:r>
      <w:r>
        <w:rPr>
          <w:rFonts w:ascii="Open Sans" w:hAnsi="Open Sans" w:cs="Open Sans"/>
          <w:color w:val="000000" w:themeColor="text1"/>
          <w:sz w:val="22"/>
          <w:szCs w:val="22"/>
        </w:rPr>
        <w:t>los 10,27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 euros/m</w:t>
      </w:r>
      <w:r w:rsidRPr="005C5838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2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al mes 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en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diciembre 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>de 20</w:t>
      </w:r>
      <w:r>
        <w:rPr>
          <w:rFonts w:ascii="Open Sans" w:hAnsi="Open Sans" w:cs="Open Sans"/>
          <w:color w:val="000000" w:themeColor="text1"/>
          <w:sz w:val="22"/>
          <w:szCs w:val="22"/>
        </w:rPr>
        <w:t>21 (incremento del 37% en 5 años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>)</w:t>
      </w:r>
      <w:r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0831D63B" w14:textId="15FAC5C9" w:rsidR="00583D8D" w:rsidRDefault="00FB61E9" w:rsidP="00583D8D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CCAA con p</w:t>
      </w:r>
      <w:r w:rsidR="00583D8D" w:rsidRPr="00D82713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orcentajes (%) </w:t>
      </w:r>
      <w:r w:rsidR="00583D8D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acumulativo</w:t>
      </w:r>
      <w:r w:rsidR="00014CED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 </w:t>
      </w:r>
      <w:r w:rsidR="00583D8D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 </w:t>
      </w:r>
    </w:p>
    <w:p w14:paraId="7AF4375F" w14:textId="77777777" w:rsidR="00583D8D" w:rsidRDefault="00583D8D" w:rsidP="00583D8D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30"/>
          <w:szCs w:val="180"/>
          <w:lang w:val="es-ES"/>
        </w:rPr>
      </w:pPr>
    </w:p>
    <w:tbl>
      <w:tblPr>
        <w:tblW w:w="8875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268"/>
        <w:gridCol w:w="2126"/>
        <w:gridCol w:w="2081"/>
      </w:tblGrid>
      <w:tr w:rsidR="006E1AA8" w:rsidRPr="006E1AA8" w14:paraId="20F3689B" w14:textId="77777777" w:rsidTr="00312FDC">
        <w:trPr>
          <w:trHeight w:val="767"/>
        </w:trPr>
        <w:tc>
          <w:tcPr>
            <w:tcW w:w="2400" w:type="dxa"/>
            <w:shd w:val="clear" w:color="auto" w:fill="ACB9CA"/>
            <w:vAlign w:val="center"/>
            <w:hideMark/>
          </w:tcPr>
          <w:p w14:paraId="05FD4295" w14:textId="77777777" w:rsidR="006E1AA8" w:rsidRPr="00074685" w:rsidRDefault="006E1AA8" w:rsidP="006E1AA8">
            <w:pPr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>CCAA</w:t>
            </w:r>
          </w:p>
        </w:tc>
        <w:tc>
          <w:tcPr>
            <w:tcW w:w="2268" w:type="dxa"/>
            <w:shd w:val="clear" w:color="auto" w:fill="ACB9CA"/>
            <w:vAlign w:val="center"/>
            <w:hideMark/>
          </w:tcPr>
          <w:p w14:paraId="290A521F" w14:textId="77777777" w:rsidR="00074685" w:rsidRDefault="006E1AA8" w:rsidP="006E1AA8">
            <w:pPr>
              <w:jc w:val="center"/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 xml:space="preserve">(%) Acumulativo      10 años        </w:t>
            </w:r>
          </w:p>
          <w:p w14:paraId="5FF00666" w14:textId="0BFD44E9" w:rsidR="006E1AA8" w:rsidRPr="00074685" w:rsidRDefault="006E1AA8" w:rsidP="00074685">
            <w:pPr>
              <w:rPr>
                <w:rFonts w:ascii="Open Sans" w:eastAsia="Times New Roman" w:hAnsi="Open Sans" w:cs="Open Sans"/>
                <w:color w:val="0D0D0D" w:themeColor="text1" w:themeTint="F2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 xml:space="preserve">     (202</w:t>
            </w:r>
            <w:r w:rsidR="007B4A86"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>1</w:t>
            </w:r>
            <w:r w:rsidR="00983C68"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 xml:space="preserve"> vs </w:t>
            </w:r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>201</w:t>
            </w:r>
            <w:r w:rsidR="007B4A86"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>1</w:t>
            </w:r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CB9CA"/>
            <w:vAlign w:val="center"/>
            <w:hideMark/>
          </w:tcPr>
          <w:p w14:paraId="163260B5" w14:textId="658DD375" w:rsidR="006E1AA8" w:rsidRPr="00074685" w:rsidRDefault="006E1AA8" w:rsidP="006E1AA8">
            <w:pPr>
              <w:jc w:val="center"/>
              <w:rPr>
                <w:rFonts w:ascii="Open Sans" w:eastAsia="Times New Roman" w:hAnsi="Open Sans" w:cs="Open Sans"/>
                <w:color w:val="0D0D0D" w:themeColor="text1" w:themeTint="F2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 xml:space="preserve">(%) Acumulativo      5 años          </w:t>
            </w:r>
            <w:proofErr w:type="gramStart"/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 xml:space="preserve">   (</w:t>
            </w:r>
            <w:proofErr w:type="gramEnd"/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>202</w:t>
            </w:r>
            <w:r w:rsidR="007B4A86"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>1</w:t>
            </w:r>
            <w:r w:rsidR="00983C68"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 xml:space="preserve"> vs </w:t>
            </w:r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>201</w:t>
            </w:r>
            <w:r w:rsidR="007B4A86"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>6</w:t>
            </w:r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2081" w:type="dxa"/>
            <w:shd w:val="clear" w:color="auto" w:fill="ACB9CA" w:themeFill="text2" w:themeFillTint="66"/>
            <w:vAlign w:val="center"/>
          </w:tcPr>
          <w:p w14:paraId="25B4B794" w14:textId="5FEFCA42" w:rsidR="006E1AA8" w:rsidRPr="00074685" w:rsidRDefault="006E1AA8" w:rsidP="006E1AA8">
            <w:pPr>
              <w:jc w:val="center"/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 xml:space="preserve">(%) Acumulativo      1 año         </w:t>
            </w:r>
            <w:r w:rsidR="007B4A86"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 xml:space="preserve">  </w:t>
            </w:r>
            <w:proofErr w:type="gramStart"/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 xml:space="preserve">   (</w:t>
            </w:r>
            <w:proofErr w:type="gramEnd"/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>202</w:t>
            </w:r>
            <w:r w:rsidR="007B4A86"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>1</w:t>
            </w:r>
            <w:r w:rsidR="00983C68"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 xml:space="preserve"> vs </w:t>
            </w:r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>20</w:t>
            </w:r>
            <w:r w:rsidR="007B4A86"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>20</w:t>
            </w:r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>)</w:t>
            </w:r>
          </w:p>
        </w:tc>
      </w:tr>
      <w:tr w:rsidR="007B4A86" w:rsidRPr="006E1AA8" w14:paraId="3075E1D6" w14:textId="77777777" w:rsidTr="00312FDC">
        <w:trPr>
          <w:trHeight w:val="224"/>
        </w:trPr>
        <w:tc>
          <w:tcPr>
            <w:tcW w:w="2400" w:type="dxa"/>
            <w:shd w:val="clear" w:color="auto" w:fill="auto"/>
            <w:vAlign w:val="bottom"/>
            <w:hideMark/>
          </w:tcPr>
          <w:p w14:paraId="3500D2DC" w14:textId="5B4D691E" w:rsidR="007B4A86" w:rsidRPr="006E1AA8" w:rsidRDefault="007B4A86" w:rsidP="007B4A8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Comunitat Valenciana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BA5FF82" w14:textId="6E5E6979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A482A45" w14:textId="433F8DD1" w:rsidR="007B4A86" w:rsidRPr="007B4A86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B4A8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51%</w:t>
            </w:r>
          </w:p>
        </w:tc>
        <w:tc>
          <w:tcPr>
            <w:tcW w:w="2081" w:type="dxa"/>
            <w:vAlign w:val="bottom"/>
          </w:tcPr>
          <w:p w14:paraId="2D8A5F47" w14:textId="737CA609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5,7%</w:t>
            </w:r>
          </w:p>
        </w:tc>
      </w:tr>
      <w:tr w:rsidR="007B4A86" w:rsidRPr="006E1AA8" w14:paraId="3700186F" w14:textId="77777777" w:rsidTr="00312FDC">
        <w:trPr>
          <w:trHeight w:val="224"/>
        </w:trPr>
        <w:tc>
          <w:tcPr>
            <w:tcW w:w="2400" w:type="dxa"/>
            <w:shd w:val="clear" w:color="auto" w:fill="auto"/>
            <w:vAlign w:val="bottom"/>
            <w:hideMark/>
          </w:tcPr>
          <w:p w14:paraId="3565ADAD" w14:textId="33C3AB73" w:rsidR="007B4A86" w:rsidRPr="006E1AA8" w:rsidRDefault="007B4A86" w:rsidP="007B4A8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La Rioja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8C4A502" w14:textId="1DB8618D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AFB0B6D" w14:textId="535B8E64" w:rsidR="007B4A86" w:rsidRPr="007B4A86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B4A8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081" w:type="dxa"/>
            <w:vAlign w:val="bottom"/>
          </w:tcPr>
          <w:p w14:paraId="1BF23C4D" w14:textId="167AF374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6,5%</w:t>
            </w:r>
          </w:p>
        </w:tc>
      </w:tr>
      <w:tr w:rsidR="007B4A86" w:rsidRPr="006E1AA8" w14:paraId="7E636DC1" w14:textId="77777777" w:rsidTr="00312FDC">
        <w:trPr>
          <w:trHeight w:val="224"/>
        </w:trPr>
        <w:tc>
          <w:tcPr>
            <w:tcW w:w="2400" w:type="dxa"/>
            <w:shd w:val="clear" w:color="auto" w:fill="auto"/>
            <w:vAlign w:val="bottom"/>
            <w:hideMark/>
          </w:tcPr>
          <w:p w14:paraId="19B63896" w14:textId="1A2A6D6B" w:rsidR="007B4A86" w:rsidRPr="006E1AA8" w:rsidRDefault="007B4A86" w:rsidP="007B4A8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Canarias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EA5994C" w14:textId="286D050D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51%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1F6EB67" w14:textId="13AA964D" w:rsidR="007B4A86" w:rsidRPr="007B4A86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B4A8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42%</w:t>
            </w:r>
          </w:p>
        </w:tc>
        <w:tc>
          <w:tcPr>
            <w:tcW w:w="2081" w:type="dxa"/>
            <w:vAlign w:val="bottom"/>
          </w:tcPr>
          <w:p w14:paraId="68B18C62" w14:textId="5B625183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2,4%</w:t>
            </w:r>
          </w:p>
        </w:tc>
      </w:tr>
      <w:tr w:rsidR="007B4A86" w:rsidRPr="006E1AA8" w14:paraId="69512D6F" w14:textId="77777777" w:rsidTr="00312FDC">
        <w:trPr>
          <w:trHeight w:val="224"/>
        </w:trPr>
        <w:tc>
          <w:tcPr>
            <w:tcW w:w="2400" w:type="dxa"/>
            <w:shd w:val="clear" w:color="auto" w:fill="auto"/>
            <w:vAlign w:val="bottom"/>
            <w:hideMark/>
          </w:tcPr>
          <w:p w14:paraId="4776835E" w14:textId="6C996234" w:rsidR="007B4A86" w:rsidRPr="006E1AA8" w:rsidRDefault="007B4A86" w:rsidP="007B4A8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Navarra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89A8989" w14:textId="0F07C02B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B9B252F" w14:textId="0F3EB769" w:rsidR="007B4A86" w:rsidRPr="007B4A86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B4A8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081" w:type="dxa"/>
            <w:vAlign w:val="bottom"/>
          </w:tcPr>
          <w:p w14:paraId="19EE62CE" w14:textId="7D904D4E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</w:tr>
      <w:tr w:rsidR="007B4A86" w:rsidRPr="006E1AA8" w14:paraId="266AA6AA" w14:textId="77777777" w:rsidTr="00312FDC">
        <w:trPr>
          <w:trHeight w:val="224"/>
        </w:trPr>
        <w:tc>
          <w:tcPr>
            <w:tcW w:w="2400" w:type="dxa"/>
            <w:shd w:val="clear" w:color="auto" w:fill="auto"/>
            <w:vAlign w:val="bottom"/>
            <w:hideMark/>
          </w:tcPr>
          <w:p w14:paraId="6A48E8CB" w14:textId="26296B3F" w:rsidR="007B4A86" w:rsidRPr="006E1AA8" w:rsidRDefault="007B4A86" w:rsidP="007B4A8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Galicia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A179C0D" w14:textId="310851BE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6CA4C34" w14:textId="29812332" w:rsidR="007B4A86" w:rsidRPr="007B4A86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B4A8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37%</w:t>
            </w:r>
          </w:p>
        </w:tc>
        <w:tc>
          <w:tcPr>
            <w:tcW w:w="2081" w:type="dxa"/>
            <w:vAlign w:val="bottom"/>
          </w:tcPr>
          <w:p w14:paraId="59DA4A8B" w14:textId="010FC74A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3,1%</w:t>
            </w:r>
          </w:p>
        </w:tc>
      </w:tr>
      <w:tr w:rsidR="007B4A86" w:rsidRPr="006E1AA8" w14:paraId="67809EBD" w14:textId="77777777" w:rsidTr="00312FDC">
        <w:trPr>
          <w:trHeight w:val="224"/>
        </w:trPr>
        <w:tc>
          <w:tcPr>
            <w:tcW w:w="2400" w:type="dxa"/>
            <w:shd w:val="clear" w:color="auto" w:fill="auto"/>
            <w:vAlign w:val="bottom"/>
            <w:hideMark/>
          </w:tcPr>
          <w:p w14:paraId="64889E5F" w14:textId="1C972639" w:rsidR="007B4A86" w:rsidRPr="006E1AA8" w:rsidRDefault="007B4A86" w:rsidP="007B4A8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Andalucía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830A1D0" w14:textId="6E4E6480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CBC99B5" w14:textId="4FD9F581" w:rsidR="007B4A86" w:rsidRPr="007B4A86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B4A8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37%</w:t>
            </w:r>
          </w:p>
        </w:tc>
        <w:tc>
          <w:tcPr>
            <w:tcW w:w="2081" w:type="dxa"/>
            <w:vAlign w:val="bottom"/>
          </w:tcPr>
          <w:p w14:paraId="5A6172DE" w14:textId="25ABA72C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</w:tr>
      <w:tr w:rsidR="007B4A86" w:rsidRPr="006E1AA8" w14:paraId="142FBBF1" w14:textId="77777777" w:rsidTr="00312FDC">
        <w:trPr>
          <w:trHeight w:val="224"/>
        </w:trPr>
        <w:tc>
          <w:tcPr>
            <w:tcW w:w="2400" w:type="dxa"/>
            <w:shd w:val="clear" w:color="auto" w:fill="auto"/>
            <w:vAlign w:val="bottom"/>
            <w:hideMark/>
          </w:tcPr>
          <w:p w14:paraId="4C56AEAC" w14:textId="01912103" w:rsidR="007B4A86" w:rsidRPr="006E1AA8" w:rsidRDefault="007B4A86" w:rsidP="007B4A8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477D98C" w14:textId="3AF11DE0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4E19A43" w14:textId="4D24E14A" w:rsidR="007B4A86" w:rsidRPr="007B4A86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B4A8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34%</w:t>
            </w:r>
          </w:p>
        </w:tc>
        <w:tc>
          <w:tcPr>
            <w:tcW w:w="2081" w:type="dxa"/>
            <w:vAlign w:val="bottom"/>
          </w:tcPr>
          <w:p w14:paraId="0DE7E458" w14:textId="2A057578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4,0%</w:t>
            </w:r>
          </w:p>
        </w:tc>
      </w:tr>
      <w:tr w:rsidR="007B4A86" w:rsidRPr="006E1AA8" w14:paraId="31B42FEE" w14:textId="77777777" w:rsidTr="00312FDC">
        <w:trPr>
          <w:trHeight w:val="224"/>
        </w:trPr>
        <w:tc>
          <w:tcPr>
            <w:tcW w:w="2400" w:type="dxa"/>
            <w:shd w:val="clear" w:color="auto" w:fill="auto"/>
            <w:vAlign w:val="bottom"/>
            <w:hideMark/>
          </w:tcPr>
          <w:p w14:paraId="0649DA55" w14:textId="601717C8" w:rsidR="007B4A86" w:rsidRPr="006E1AA8" w:rsidRDefault="007B4A86" w:rsidP="007B4A8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Región de Murcia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A4990D2" w14:textId="57488CA3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345ACFE" w14:textId="0C221A00" w:rsidR="007B4A86" w:rsidRPr="007B4A86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B4A8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34%</w:t>
            </w:r>
          </w:p>
        </w:tc>
        <w:tc>
          <w:tcPr>
            <w:tcW w:w="2081" w:type="dxa"/>
            <w:vAlign w:val="bottom"/>
          </w:tcPr>
          <w:p w14:paraId="330A6AE9" w14:textId="6E65A709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6,4%</w:t>
            </w:r>
          </w:p>
        </w:tc>
      </w:tr>
      <w:tr w:rsidR="007B4A86" w:rsidRPr="006E1AA8" w14:paraId="090F9AF7" w14:textId="77777777" w:rsidTr="00312FDC">
        <w:trPr>
          <w:trHeight w:val="224"/>
        </w:trPr>
        <w:tc>
          <w:tcPr>
            <w:tcW w:w="2400" w:type="dxa"/>
            <w:shd w:val="clear" w:color="auto" w:fill="auto"/>
            <w:vAlign w:val="bottom"/>
            <w:hideMark/>
          </w:tcPr>
          <w:p w14:paraId="689F9BA5" w14:textId="7D74819B" w:rsidR="007B4A86" w:rsidRPr="006E1AA8" w:rsidRDefault="007B4A86" w:rsidP="007B4A8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Asturias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E22EF25" w14:textId="645E5F6D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D3D2EFE" w14:textId="269F50D5" w:rsidR="007B4A86" w:rsidRPr="007B4A86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B4A8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30%</w:t>
            </w:r>
          </w:p>
        </w:tc>
        <w:tc>
          <w:tcPr>
            <w:tcW w:w="2081" w:type="dxa"/>
            <w:vAlign w:val="bottom"/>
          </w:tcPr>
          <w:p w14:paraId="1F4083DE" w14:textId="3F668668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2,7%</w:t>
            </w:r>
          </w:p>
        </w:tc>
      </w:tr>
      <w:tr w:rsidR="007B4A86" w:rsidRPr="006E1AA8" w14:paraId="44BC40D9" w14:textId="77777777" w:rsidTr="00312FDC">
        <w:trPr>
          <w:trHeight w:val="224"/>
        </w:trPr>
        <w:tc>
          <w:tcPr>
            <w:tcW w:w="2400" w:type="dxa"/>
            <w:shd w:val="clear" w:color="auto" w:fill="auto"/>
            <w:vAlign w:val="bottom"/>
            <w:hideMark/>
          </w:tcPr>
          <w:p w14:paraId="36B8BBDD" w14:textId="18E6E1FF" w:rsidR="007B4A86" w:rsidRPr="006E1AA8" w:rsidRDefault="007B4A86" w:rsidP="007B4A8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Castilla y León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80BE7B9" w14:textId="1E0FDD91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BC58744" w14:textId="49B95FFB" w:rsidR="007B4A86" w:rsidRPr="007B4A86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B4A8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28%</w:t>
            </w:r>
          </w:p>
        </w:tc>
        <w:tc>
          <w:tcPr>
            <w:tcW w:w="2081" w:type="dxa"/>
            <w:vAlign w:val="bottom"/>
          </w:tcPr>
          <w:p w14:paraId="53E2F420" w14:textId="1AE09127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3,4%</w:t>
            </w:r>
          </w:p>
        </w:tc>
      </w:tr>
      <w:tr w:rsidR="007B4A86" w:rsidRPr="006E1AA8" w14:paraId="65914DEE" w14:textId="77777777" w:rsidTr="00312FDC">
        <w:trPr>
          <w:trHeight w:val="224"/>
        </w:trPr>
        <w:tc>
          <w:tcPr>
            <w:tcW w:w="2400" w:type="dxa"/>
            <w:shd w:val="clear" w:color="auto" w:fill="auto"/>
            <w:vAlign w:val="bottom"/>
            <w:hideMark/>
          </w:tcPr>
          <w:p w14:paraId="05109AC7" w14:textId="6E8FB419" w:rsidR="007B4A86" w:rsidRPr="006E1AA8" w:rsidRDefault="007B4A86" w:rsidP="007B4A8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Castilla-La Mancha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90E84E1" w14:textId="4897A472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D0C9B9B" w14:textId="3626BFB1" w:rsidR="007B4A86" w:rsidRPr="007B4A86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B4A8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27%</w:t>
            </w:r>
          </w:p>
        </w:tc>
        <w:tc>
          <w:tcPr>
            <w:tcW w:w="2081" w:type="dxa"/>
            <w:vAlign w:val="bottom"/>
          </w:tcPr>
          <w:p w14:paraId="17BA6A6B" w14:textId="6E406E14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</w:tr>
      <w:tr w:rsidR="007B4A86" w:rsidRPr="006E1AA8" w14:paraId="5B3065F0" w14:textId="77777777" w:rsidTr="00312FDC">
        <w:trPr>
          <w:trHeight w:val="224"/>
        </w:trPr>
        <w:tc>
          <w:tcPr>
            <w:tcW w:w="2400" w:type="dxa"/>
            <w:shd w:val="clear" w:color="auto" w:fill="auto"/>
            <w:vAlign w:val="bottom"/>
            <w:hideMark/>
          </w:tcPr>
          <w:p w14:paraId="1267931B" w14:textId="1C541AE5" w:rsidR="007B4A86" w:rsidRPr="006E1AA8" w:rsidRDefault="007B4A86" w:rsidP="007B4A8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Aragón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A833F03" w14:textId="02AED8B1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8152584" w14:textId="2244209E" w:rsidR="007B4A86" w:rsidRPr="007B4A86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B4A8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26%</w:t>
            </w:r>
          </w:p>
        </w:tc>
        <w:tc>
          <w:tcPr>
            <w:tcW w:w="2081" w:type="dxa"/>
            <w:vAlign w:val="bottom"/>
          </w:tcPr>
          <w:p w14:paraId="2E4D011C" w14:textId="74206046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1,6%</w:t>
            </w:r>
          </w:p>
        </w:tc>
      </w:tr>
      <w:tr w:rsidR="007B4A86" w:rsidRPr="006E1AA8" w14:paraId="60F7897D" w14:textId="77777777" w:rsidTr="00312FDC">
        <w:trPr>
          <w:trHeight w:val="224"/>
        </w:trPr>
        <w:tc>
          <w:tcPr>
            <w:tcW w:w="2400" w:type="dxa"/>
            <w:shd w:val="clear" w:color="auto" w:fill="auto"/>
            <w:vAlign w:val="bottom"/>
            <w:hideMark/>
          </w:tcPr>
          <w:p w14:paraId="6AC38F10" w14:textId="319FE933" w:rsidR="007B4A86" w:rsidRPr="006E1AA8" w:rsidRDefault="007B4A86" w:rsidP="007B4A8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Extremadura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B5441B6" w14:textId="1F7D800E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A69C859" w14:textId="06D633D2" w:rsidR="007B4A86" w:rsidRPr="007B4A86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B4A8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25%</w:t>
            </w:r>
          </w:p>
        </w:tc>
        <w:tc>
          <w:tcPr>
            <w:tcW w:w="2081" w:type="dxa"/>
            <w:vAlign w:val="bottom"/>
          </w:tcPr>
          <w:p w14:paraId="6737C117" w14:textId="155912CE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3,7%</w:t>
            </w:r>
          </w:p>
        </w:tc>
      </w:tr>
      <w:tr w:rsidR="007B4A86" w:rsidRPr="006E1AA8" w14:paraId="69CFB4F8" w14:textId="77777777" w:rsidTr="00312FDC">
        <w:trPr>
          <w:trHeight w:val="224"/>
        </w:trPr>
        <w:tc>
          <w:tcPr>
            <w:tcW w:w="2400" w:type="dxa"/>
            <w:shd w:val="clear" w:color="auto" w:fill="auto"/>
            <w:vAlign w:val="bottom"/>
            <w:hideMark/>
          </w:tcPr>
          <w:p w14:paraId="13625D19" w14:textId="56021F48" w:rsidR="007B4A86" w:rsidRPr="006E1AA8" w:rsidRDefault="007B4A86" w:rsidP="007B4A8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País Vasco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F9A5602" w14:textId="6405E3EA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EE260F9" w14:textId="5A110AC4" w:rsidR="007B4A86" w:rsidRPr="007B4A86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B4A8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25%</w:t>
            </w:r>
          </w:p>
        </w:tc>
        <w:tc>
          <w:tcPr>
            <w:tcW w:w="2081" w:type="dxa"/>
            <w:vAlign w:val="bottom"/>
          </w:tcPr>
          <w:p w14:paraId="6DAEE68E" w14:textId="007B5CB7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</w:tr>
      <w:tr w:rsidR="007B4A86" w:rsidRPr="006E1AA8" w14:paraId="34BB975D" w14:textId="77777777" w:rsidTr="00312FDC">
        <w:trPr>
          <w:trHeight w:val="224"/>
        </w:trPr>
        <w:tc>
          <w:tcPr>
            <w:tcW w:w="2400" w:type="dxa"/>
            <w:shd w:val="clear" w:color="auto" w:fill="auto"/>
            <w:vAlign w:val="bottom"/>
            <w:hideMark/>
          </w:tcPr>
          <w:p w14:paraId="605E70C6" w14:textId="2E40B98B" w:rsidR="007B4A86" w:rsidRPr="006E1AA8" w:rsidRDefault="007B4A86" w:rsidP="007B4A8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2193E3D" w14:textId="03853A6F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D7569A0" w14:textId="34162E22" w:rsidR="007B4A86" w:rsidRPr="007B4A86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B4A8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23%</w:t>
            </w:r>
          </w:p>
        </w:tc>
        <w:tc>
          <w:tcPr>
            <w:tcW w:w="2081" w:type="dxa"/>
            <w:vAlign w:val="bottom"/>
          </w:tcPr>
          <w:p w14:paraId="5C61F331" w14:textId="31A1A483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-3,4%</w:t>
            </w:r>
          </w:p>
        </w:tc>
      </w:tr>
      <w:tr w:rsidR="007B4A86" w:rsidRPr="006E1AA8" w14:paraId="72C7FC36" w14:textId="77777777" w:rsidTr="00312FDC">
        <w:trPr>
          <w:trHeight w:val="224"/>
        </w:trPr>
        <w:tc>
          <w:tcPr>
            <w:tcW w:w="2400" w:type="dxa"/>
            <w:shd w:val="clear" w:color="auto" w:fill="auto"/>
            <w:vAlign w:val="bottom"/>
            <w:hideMark/>
          </w:tcPr>
          <w:p w14:paraId="1BAA883B" w14:textId="14B02184" w:rsidR="007B4A86" w:rsidRPr="006E1AA8" w:rsidRDefault="007B4A86" w:rsidP="007B4A8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Cataluña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838F0CF" w14:textId="723DDFBA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B7B29F0" w14:textId="46F0AA2B" w:rsidR="007B4A86" w:rsidRPr="007B4A86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B4A8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23%</w:t>
            </w:r>
          </w:p>
        </w:tc>
        <w:tc>
          <w:tcPr>
            <w:tcW w:w="2081" w:type="dxa"/>
            <w:vAlign w:val="bottom"/>
          </w:tcPr>
          <w:p w14:paraId="7F04B606" w14:textId="04ABDA31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</w:tr>
      <w:tr w:rsidR="007B4A86" w:rsidRPr="006E1AA8" w14:paraId="0BA5E7C4" w14:textId="77777777" w:rsidTr="00312FDC">
        <w:trPr>
          <w:trHeight w:val="224"/>
        </w:trPr>
        <w:tc>
          <w:tcPr>
            <w:tcW w:w="2400" w:type="dxa"/>
            <w:shd w:val="clear" w:color="auto" w:fill="auto"/>
            <w:vAlign w:val="bottom"/>
            <w:hideMark/>
          </w:tcPr>
          <w:p w14:paraId="7D23A384" w14:textId="2D688A6B" w:rsidR="007B4A86" w:rsidRPr="006E1AA8" w:rsidRDefault="007B4A86" w:rsidP="007B4A8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Baleares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B45018D" w14:textId="19271DE5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1596F25" w14:textId="3978C4B7" w:rsidR="007B4A86" w:rsidRPr="007B4A86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B4A86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18%</w:t>
            </w:r>
          </w:p>
        </w:tc>
        <w:tc>
          <w:tcPr>
            <w:tcW w:w="2081" w:type="dxa"/>
            <w:vAlign w:val="bottom"/>
          </w:tcPr>
          <w:p w14:paraId="5F0987A7" w14:textId="774B5178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6,5%</w:t>
            </w:r>
          </w:p>
        </w:tc>
      </w:tr>
      <w:tr w:rsidR="007B4A86" w:rsidRPr="006E1AA8" w14:paraId="656E1A7D" w14:textId="77777777" w:rsidTr="00312FDC">
        <w:trPr>
          <w:trHeight w:val="224"/>
        </w:trPr>
        <w:tc>
          <w:tcPr>
            <w:tcW w:w="2400" w:type="dxa"/>
            <w:shd w:val="clear" w:color="auto" w:fill="ACB9CA" w:themeFill="text2" w:themeFillTint="66"/>
            <w:vAlign w:val="bottom"/>
            <w:hideMark/>
          </w:tcPr>
          <w:p w14:paraId="76B8FDD3" w14:textId="29431E45" w:rsidR="007B4A86" w:rsidRPr="006E1AA8" w:rsidRDefault="007B4A86" w:rsidP="007B4A86">
            <w:pPr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España</w:t>
            </w:r>
          </w:p>
        </w:tc>
        <w:tc>
          <w:tcPr>
            <w:tcW w:w="2268" w:type="dxa"/>
            <w:shd w:val="clear" w:color="auto" w:fill="ACB9CA" w:themeFill="text2" w:themeFillTint="66"/>
            <w:vAlign w:val="bottom"/>
            <w:hideMark/>
          </w:tcPr>
          <w:p w14:paraId="31EE8DA0" w14:textId="3EB2F911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2126" w:type="dxa"/>
            <w:shd w:val="clear" w:color="auto" w:fill="ACB9CA" w:themeFill="text2" w:themeFillTint="66"/>
            <w:vAlign w:val="bottom"/>
            <w:hideMark/>
          </w:tcPr>
          <w:p w14:paraId="27BC0446" w14:textId="5B3B2499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37%</w:t>
            </w:r>
          </w:p>
        </w:tc>
        <w:tc>
          <w:tcPr>
            <w:tcW w:w="2081" w:type="dxa"/>
            <w:shd w:val="clear" w:color="auto" w:fill="ACB9CA" w:themeFill="text2" w:themeFillTint="66"/>
            <w:vAlign w:val="bottom"/>
          </w:tcPr>
          <w:p w14:paraId="72FCC067" w14:textId="71A3221F" w:rsidR="007B4A86" w:rsidRPr="006E1AA8" w:rsidRDefault="007B4A86" w:rsidP="007B4A86">
            <w:pPr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-3,6%</w:t>
            </w:r>
          </w:p>
        </w:tc>
      </w:tr>
    </w:tbl>
    <w:p w14:paraId="655D233F" w14:textId="77777777" w:rsidR="00044A00" w:rsidRDefault="00044A00" w:rsidP="009553A0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  <w:bookmarkStart w:id="0" w:name="_Hlk46655914"/>
    </w:p>
    <w:p w14:paraId="2E73F10D" w14:textId="77777777" w:rsidR="00351A42" w:rsidRDefault="00351A42" w:rsidP="009553A0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</w:p>
    <w:p w14:paraId="26052E87" w14:textId="6B6C227C" w:rsidR="009553A0" w:rsidRDefault="009553A0" w:rsidP="009553A0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FF0000"/>
          <w:sz w:val="28"/>
          <w:szCs w:val="160"/>
          <w:lang w:val="es-ES"/>
        </w:rPr>
      </w:pP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lastRenderedPageBreak/>
        <w:t>CCAA con precios del alquiler por años</w:t>
      </w:r>
      <w:r w:rsidRPr="001C6AC4">
        <w:rPr>
          <w:rFonts w:ascii="National" w:hAnsi="National"/>
          <w:b/>
          <w:bCs/>
          <w:iCs/>
          <w:color w:val="FF0000"/>
          <w:sz w:val="28"/>
          <w:szCs w:val="160"/>
          <w:lang w:val="es-ES"/>
        </w:rPr>
        <w:t xml:space="preserve"> </w:t>
      </w:r>
    </w:p>
    <w:p w14:paraId="2FD6AE30" w14:textId="77777777" w:rsidR="009553A0" w:rsidRDefault="009553A0" w:rsidP="009553A0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30"/>
          <w:szCs w:val="180"/>
        </w:rPr>
      </w:pPr>
    </w:p>
    <w:tbl>
      <w:tblPr>
        <w:tblW w:w="8965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1848"/>
        <w:gridCol w:w="1733"/>
        <w:gridCol w:w="1683"/>
        <w:gridCol w:w="1745"/>
      </w:tblGrid>
      <w:tr w:rsidR="009553A0" w:rsidRPr="006E1AA8" w14:paraId="3802FD29" w14:textId="77777777" w:rsidTr="00497B34">
        <w:trPr>
          <w:trHeight w:val="745"/>
        </w:trPr>
        <w:tc>
          <w:tcPr>
            <w:tcW w:w="1956" w:type="dxa"/>
            <w:shd w:val="clear" w:color="auto" w:fill="ACB9CA"/>
            <w:vAlign w:val="center"/>
            <w:hideMark/>
          </w:tcPr>
          <w:p w14:paraId="59E5234E" w14:textId="77777777" w:rsidR="009553A0" w:rsidRPr="00074685" w:rsidRDefault="009553A0" w:rsidP="00497B34">
            <w:pPr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es-ES" w:eastAsia="es-ES"/>
              </w:rPr>
              <w:t>CCAA</w:t>
            </w:r>
          </w:p>
        </w:tc>
        <w:tc>
          <w:tcPr>
            <w:tcW w:w="1848" w:type="dxa"/>
            <w:shd w:val="clear" w:color="auto" w:fill="ACB9CA"/>
            <w:vAlign w:val="center"/>
            <w:hideMark/>
          </w:tcPr>
          <w:p w14:paraId="46884632" w14:textId="77777777" w:rsidR="009553A0" w:rsidRPr="00074685" w:rsidRDefault="009553A0" w:rsidP="00497B34">
            <w:pPr>
              <w:jc w:val="center"/>
              <w:rPr>
                <w:rFonts w:ascii="Open Sans" w:eastAsia="Times New Roman" w:hAnsi="Open Sans" w:cs="Open Sans"/>
                <w:color w:val="0D0D0D" w:themeColor="text1" w:themeTint="F2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Precio de la vivienda en alquiler</w:t>
            </w:r>
            <w:r w:rsidRPr="00545FCB"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 xml:space="preserve">en </w:t>
            </w:r>
            <w:r w:rsidRPr="00545FCB"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2011</w:t>
            </w:r>
          </w:p>
        </w:tc>
        <w:tc>
          <w:tcPr>
            <w:tcW w:w="1733" w:type="dxa"/>
            <w:shd w:val="clear" w:color="auto" w:fill="ACB9CA"/>
          </w:tcPr>
          <w:p w14:paraId="74F9C45A" w14:textId="77777777" w:rsidR="009553A0" w:rsidRPr="00074685" w:rsidRDefault="009553A0" w:rsidP="00497B34">
            <w:pPr>
              <w:jc w:val="center"/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Precio de la vivienda en alquiler</w:t>
            </w:r>
            <w:r w:rsidRPr="00545FCB"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 xml:space="preserve">en </w:t>
            </w:r>
            <w:r w:rsidRPr="00545FCB"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201</w:t>
            </w: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1683" w:type="dxa"/>
            <w:shd w:val="clear" w:color="auto" w:fill="ACB9CA"/>
            <w:vAlign w:val="center"/>
            <w:hideMark/>
          </w:tcPr>
          <w:p w14:paraId="2CEEA8E2" w14:textId="77777777" w:rsidR="009553A0" w:rsidRPr="00074685" w:rsidRDefault="009553A0" w:rsidP="00497B34">
            <w:pPr>
              <w:jc w:val="center"/>
              <w:rPr>
                <w:rFonts w:ascii="Open Sans" w:eastAsia="Times New Roman" w:hAnsi="Open Sans" w:cs="Open Sans"/>
                <w:color w:val="0D0D0D" w:themeColor="text1" w:themeTint="F2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Precio de la vivienda en alquiler</w:t>
            </w:r>
            <w:r w:rsidRPr="00545FCB"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 xml:space="preserve">en </w:t>
            </w:r>
            <w:r w:rsidRPr="00545FCB"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20</w:t>
            </w: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745" w:type="dxa"/>
            <w:shd w:val="clear" w:color="auto" w:fill="ACB9CA" w:themeFill="text2" w:themeFillTint="66"/>
            <w:vAlign w:val="center"/>
          </w:tcPr>
          <w:p w14:paraId="5AD1A710" w14:textId="77777777" w:rsidR="009553A0" w:rsidRPr="00074685" w:rsidRDefault="009553A0" w:rsidP="00497B34">
            <w:pPr>
              <w:jc w:val="center"/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Precio de la vivienda en alquiler</w:t>
            </w:r>
            <w:r w:rsidRPr="00545FCB"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 xml:space="preserve">en </w:t>
            </w:r>
            <w:r w:rsidRPr="00545FCB"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20</w:t>
            </w: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21</w:t>
            </w:r>
          </w:p>
        </w:tc>
      </w:tr>
      <w:tr w:rsidR="009553A0" w:rsidRPr="006E1AA8" w14:paraId="408C08B5" w14:textId="77777777" w:rsidTr="00497B34">
        <w:trPr>
          <w:trHeight w:val="217"/>
        </w:trPr>
        <w:tc>
          <w:tcPr>
            <w:tcW w:w="1956" w:type="dxa"/>
            <w:shd w:val="clear" w:color="auto" w:fill="auto"/>
            <w:vAlign w:val="bottom"/>
            <w:hideMark/>
          </w:tcPr>
          <w:p w14:paraId="65B6DA65" w14:textId="77777777" w:rsidR="009553A0" w:rsidRPr="006E1AA8" w:rsidRDefault="009553A0" w:rsidP="00497B3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Comunitat Valenciana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32E53FFD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5,77 € </w:t>
            </w:r>
          </w:p>
        </w:tc>
        <w:tc>
          <w:tcPr>
            <w:tcW w:w="1733" w:type="dxa"/>
            <w:vAlign w:val="bottom"/>
          </w:tcPr>
          <w:p w14:paraId="1FD4AAF3" w14:textId="77777777" w:rsidR="009553A0" w:rsidRPr="00044A00" w:rsidRDefault="009553A0" w:rsidP="00497B34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44A0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   5,79 € 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3CAEDE2E" w14:textId="77777777" w:rsidR="009553A0" w:rsidRPr="007B4A86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8,28 € </w:t>
            </w:r>
          </w:p>
        </w:tc>
        <w:tc>
          <w:tcPr>
            <w:tcW w:w="1745" w:type="dxa"/>
            <w:vAlign w:val="bottom"/>
          </w:tcPr>
          <w:p w14:paraId="1B8E6381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8,75 € </w:t>
            </w:r>
          </w:p>
        </w:tc>
      </w:tr>
      <w:tr w:rsidR="009553A0" w:rsidRPr="006E1AA8" w14:paraId="3C90E4F1" w14:textId="77777777" w:rsidTr="00497B34">
        <w:trPr>
          <w:trHeight w:val="217"/>
        </w:trPr>
        <w:tc>
          <w:tcPr>
            <w:tcW w:w="1956" w:type="dxa"/>
            <w:shd w:val="clear" w:color="auto" w:fill="auto"/>
            <w:vAlign w:val="bottom"/>
            <w:hideMark/>
          </w:tcPr>
          <w:p w14:paraId="5736CE1C" w14:textId="77777777" w:rsidR="009553A0" w:rsidRPr="006E1AA8" w:rsidRDefault="009553A0" w:rsidP="00497B3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La Rioja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6C8DF783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6,03 € </w:t>
            </w:r>
          </w:p>
        </w:tc>
        <w:tc>
          <w:tcPr>
            <w:tcW w:w="1733" w:type="dxa"/>
            <w:vAlign w:val="bottom"/>
          </w:tcPr>
          <w:p w14:paraId="1D5D59A6" w14:textId="77777777" w:rsidR="009553A0" w:rsidRPr="00044A00" w:rsidRDefault="009553A0" w:rsidP="00497B34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44A0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   5,13 € 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2144EEED" w14:textId="77777777" w:rsidR="009553A0" w:rsidRPr="007B4A86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6,95 € </w:t>
            </w:r>
          </w:p>
        </w:tc>
        <w:tc>
          <w:tcPr>
            <w:tcW w:w="1745" w:type="dxa"/>
            <w:vAlign w:val="bottom"/>
          </w:tcPr>
          <w:p w14:paraId="6C8EC7B9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7,40 € </w:t>
            </w:r>
          </w:p>
        </w:tc>
      </w:tr>
      <w:tr w:rsidR="009553A0" w:rsidRPr="006E1AA8" w14:paraId="3A79C889" w14:textId="77777777" w:rsidTr="00497B34">
        <w:trPr>
          <w:trHeight w:val="217"/>
        </w:trPr>
        <w:tc>
          <w:tcPr>
            <w:tcW w:w="1956" w:type="dxa"/>
            <w:shd w:val="clear" w:color="auto" w:fill="auto"/>
            <w:vAlign w:val="bottom"/>
            <w:hideMark/>
          </w:tcPr>
          <w:p w14:paraId="1DABB836" w14:textId="77777777" w:rsidR="009553A0" w:rsidRPr="006E1AA8" w:rsidRDefault="009553A0" w:rsidP="00497B3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Canarias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5FC6AE1B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6,38 € </w:t>
            </w:r>
          </w:p>
        </w:tc>
        <w:tc>
          <w:tcPr>
            <w:tcW w:w="1733" w:type="dxa"/>
            <w:vAlign w:val="bottom"/>
          </w:tcPr>
          <w:p w14:paraId="64122E61" w14:textId="77777777" w:rsidR="009553A0" w:rsidRPr="00044A00" w:rsidRDefault="009553A0" w:rsidP="00497B34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44A0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   6,79 € 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288A20A6" w14:textId="77777777" w:rsidR="009553A0" w:rsidRPr="007B4A86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9,40 € </w:t>
            </w:r>
          </w:p>
        </w:tc>
        <w:tc>
          <w:tcPr>
            <w:tcW w:w="1745" w:type="dxa"/>
            <w:vAlign w:val="bottom"/>
          </w:tcPr>
          <w:p w14:paraId="561338E0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9,63 € </w:t>
            </w:r>
          </w:p>
        </w:tc>
      </w:tr>
      <w:tr w:rsidR="009553A0" w:rsidRPr="006E1AA8" w14:paraId="20F15D59" w14:textId="77777777" w:rsidTr="00497B34">
        <w:trPr>
          <w:trHeight w:val="217"/>
        </w:trPr>
        <w:tc>
          <w:tcPr>
            <w:tcW w:w="1956" w:type="dxa"/>
            <w:shd w:val="clear" w:color="auto" w:fill="auto"/>
            <w:vAlign w:val="bottom"/>
            <w:hideMark/>
          </w:tcPr>
          <w:p w14:paraId="6D0EFD78" w14:textId="77777777" w:rsidR="009553A0" w:rsidRPr="006E1AA8" w:rsidRDefault="009553A0" w:rsidP="00497B3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Navarra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731ECC4B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7,73 € </w:t>
            </w:r>
          </w:p>
        </w:tc>
        <w:tc>
          <w:tcPr>
            <w:tcW w:w="1733" w:type="dxa"/>
            <w:vAlign w:val="bottom"/>
          </w:tcPr>
          <w:p w14:paraId="7F904211" w14:textId="77777777" w:rsidR="009553A0" w:rsidRPr="00044A00" w:rsidRDefault="009553A0" w:rsidP="00497B34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44A0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   7,00 € 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5C438ADF" w14:textId="77777777" w:rsidR="009553A0" w:rsidRPr="007B4A86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10,00 € </w:t>
            </w:r>
          </w:p>
        </w:tc>
        <w:tc>
          <w:tcPr>
            <w:tcW w:w="1745" w:type="dxa"/>
            <w:vAlign w:val="bottom"/>
          </w:tcPr>
          <w:p w14:paraId="2633813A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9,83 € </w:t>
            </w:r>
          </w:p>
        </w:tc>
      </w:tr>
      <w:tr w:rsidR="009553A0" w:rsidRPr="006E1AA8" w14:paraId="6572A838" w14:textId="77777777" w:rsidTr="00497B34">
        <w:trPr>
          <w:trHeight w:val="217"/>
        </w:trPr>
        <w:tc>
          <w:tcPr>
            <w:tcW w:w="1956" w:type="dxa"/>
            <w:shd w:val="clear" w:color="auto" w:fill="auto"/>
            <w:vAlign w:val="bottom"/>
            <w:hideMark/>
          </w:tcPr>
          <w:p w14:paraId="6696D98D" w14:textId="77777777" w:rsidR="009553A0" w:rsidRPr="006E1AA8" w:rsidRDefault="009553A0" w:rsidP="00497B3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Galicia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4424D53B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5,95 € </w:t>
            </w:r>
          </w:p>
        </w:tc>
        <w:tc>
          <w:tcPr>
            <w:tcW w:w="1733" w:type="dxa"/>
            <w:vAlign w:val="bottom"/>
          </w:tcPr>
          <w:p w14:paraId="54151E8F" w14:textId="77777777" w:rsidR="009553A0" w:rsidRPr="00044A00" w:rsidRDefault="009553A0" w:rsidP="00497B34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44A0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   5,40 € 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494243E4" w14:textId="77777777" w:rsidR="009553A0" w:rsidRPr="007B4A86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7,20 € </w:t>
            </w:r>
          </w:p>
        </w:tc>
        <w:tc>
          <w:tcPr>
            <w:tcW w:w="1745" w:type="dxa"/>
            <w:vAlign w:val="bottom"/>
          </w:tcPr>
          <w:p w14:paraId="0E3369E8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7,42 € </w:t>
            </w:r>
          </w:p>
        </w:tc>
      </w:tr>
      <w:tr w:rsidR="009553A0" w:rsidRPr="006E1AA8" w14:paraId="522B6F3A" w14:textId="77777777" w:rsidTr="00497B34">
        <w:trPr>
          <w:trHeight w:val="217"/>
        </w:trPr>
        <w:tc>
          <w:tcPr>
            <w:tcW w:w="1956" w:type="dxa"/>
            <w:shd w:val="clear" w:color="auto" w:fill="auto"/>
            <w:vAlign w:val="bottom"/>
            <w:hideMark/>
          </w:tcPr>
          <w:p w14:paraId="7AAC5C5C" w14:textId="77777777" w:rsidR="009553A0" w:rsidRPr="006E1AA8" w:rsidRDefault="009553A0" w:rsidP="00497B3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Andalucía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41602477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6,43 € </w:t>
            </w:r>
          </w:p>
        </w:tc>
        <w:tc>
          <w:tcPr>
            <w:tcW w:w="1733" w:type="dxa"/>
            <w:vAlign w:val="bottom"/>
          </w:tcPr>
          <w:p w14:paraId="2063CA91" w14:textId="77777777" w:rsidR="009553A0" w:rsidRPr="00044A00" w:rsidRDefault="009553A0" w:rsidP="00497B34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44A0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   6,28 € 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2F5ECE48" w14:textId="77777777" w:rsidR="009553A0" w:rsidRPr="007B4A86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8,59 € </w:t>
            </w:r>
          </w:p>
        </w:tc>
        <w:tc>
          <w:tcPr>
            <w:tcW w:w="1745" w:type="dxa"/>
            <w:vAlign w:val="bottom"/>
          </w:tcPr>
          <w:p w14:paraId="631C5D12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8,60 € </w:t>
            </w:r>
          </w:p>
        </w:tc>
      </w:tr>
      <w:tr w:rsidR="009553A0" w:rsidRPr="006E1AA8" w14:paraId="6DC92401" w14:textId="77777777" w:rsidTr="00497B34">
        <w:trPr>
          <w:trHeight w:val="217"/>
        </w:trPr>
        <w:tc>
          <w:tcPr>
            <w:tcW w:w="1956" w:type="dxa"/>
            <w:shd w:val="clear" w:color="auto" w:fill="auto"/>
            <w:vAlign w:val="bottom"/>
            <w:hideMark/>
          </w:tcPr>
          <w:p w14:paraId="6756EF4A" w14:textId="77777777" w:rsidR="009553A0" w:rsidRPr="006E1AA8" w:rsidRDefault="009553A0" w:rsidP="00497B3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Cantabria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0D26E751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7,27 € </w:t>
            </w:r>
          </w:p>
        </w:tc>
        <w:tc>
          <w:tcPr>
            <w:tcW w:w="1733" w:type="dxa"/>
            <w:vAlign w:val="bottom"/>
          </w:tcPr>
          <w:p w14:paraId="2884C473" w14:textId="77777777" w:rsidR="009553A0" w:rsidRPr="00044A00" w:rsidRDefault="009553A0" w:rsidP="00497B34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44A0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   6,74 € 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08714832" w14:textId="77777777" w:rsidR="009553A0" w:rsidRPr="007B4A86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8,71 € </w:t>
            </w:r>
          </w:p>
        </w:tc>
        <w:tc>
          <w:tcPr>
            <w:tcW w:w="1745" w:type="dxa"/>
            <w:vAlign w:val="bottom"/>
          </w:tcPr>
          <w:p w14:paraId="7CEB6686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9,06 € </w:t>
            </w:r>
          </w:p>
        </w:tc>
      </w:tr>
      <w:tr w:rsidR="009553A0" w:rsidRPr="006E1AA8" w14:paraId="326A8399" w14:textId="77777777" w:rsidTr="00497B34">
        <w:trPr>
          <w:trHeight w:val="217"/>
        </w:trPr>
        <w:tc>
          <w:tcPr>
            <w:tcW w:w="1956" w:type="dxa"/>
            <w:shd w:val="clear" w:color="auto" w:fill="auto"/>
            <w:vAlign w:val="bottom"/>
            <w:hideMark/>
          </w:tcPr>
          <w:p w14:paraId="587727FB" w14:textId="77777777" w:rsidR="009553A0" w:rsidRPr="006E1AA8" w:rsidRDefault="009553A0" w:rsidP="00497B3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Región de Murcia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6E45BE7E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5,59 € </w:t>
            </w:r>
          </w:p>
        </w:tc>
        <w:tc>
          <w:tcPr>
            <w:tcW w:w="1733" w:type="dxa"/>
            <w:vAlign w:val="bottom"/>
          </w:tcPr>
          <w:p w14:paraId="04A9E0B6" w14:textId="77777777" w:rsidR="009553A0" w:rsidRPr="00044A00" w:rsidRDefault="009553A0" w:rsidP="00497B34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44A0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   5,35 € 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041E6031" w14:textId="77777777" w:rsidR="009553A0" w:rsidRPr="007B4A86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6,74 € </w:t>
            </w:r>
          </w:p>
        </w:tc>
        <w:tc>
          <w:tcPr>
            <w:tcW w:w="1745" w:type="dxa"/>
            <w:vAlign w:val="bottom"/>
          </w:tcPr>
          <w:p w14:paraId="1C5CE283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7,17 € </w:t>
            </w:r>
          </w:p>
        </w:tc>
      </w:tr>
      <w:tr w:rsidR="009553A0" w:rsidRPr="006E1AA8" w14:paraId="0E805B3B" w14:textId="77777777" w:rsidTr="00497B34">
        <w:trPr>
          <w:trHeight w:val="217"/>
        </w:trPr>
        <w:tc>
          <w:tcPr>
            <w:tcW w:w="1956" w:type="dxa"/>
            <w:shd w:val="clear" w:color="auto" w:fill="auto"/>
            <w:vAlign w:val="bottom"/>
            <w:hideMark/>
          </w:tcPr>
          <w:p w14:paraId="3B474D6A" w14:textId="77777777" w:rsidR="009553A0" w:rsidRPr="006E1AA8" w:rsidRDefault="009553A0" w:rsidP="00497B3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Asturias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3971A444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7,19 € </w:t>
            </w:r>
          </w:p>
        </w:tc>
        <w:tc>
          <w:tcPr>
            <w:tcW w:w="1733" w:type="dxa"/>
            <w:vAlign w:val="bottom"/>
          </w:tcPr>
          <w:p w14:paraId="57B7867D" w14:textId="77777777" w:rsidR="009553A0" w:rsidRPr="00044A00" w:rsidRDefault="009553A0" w:rsidP="00497B34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44A0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   6,22 € 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36AF55AF" w14:textId="77777777" w:rsidR="009553A0" w:rsidRPr="007B4A86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7,86 € </w:t>
            </w:r>
          </w:p>
        </w:tc>
        <w:tc>
          <w:tcPr>
            <w:tcW w:w="1745" w:type="dxa"/>
            <w:vAlign w:val="bottom"/>
          </w:tcPr>
          <w:p w14:paraId="7F76E01B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8,07 € </w:t>
            </w:r>
          </w:p>
        </w:tc>
      </w:tr>
      <w:tr w:rsidR="009553A0" w:rsidRPr="006E1AA8" w14:paraId="0C85C541" w14:textId="77777777" w:rsidTr="00497B34">
        <w:trPr>
          <w:trHeight w:val="217"/>
        </w:trPr>
        <w:tc>
          <w:tcPr>
            <w:tcW w:w="1956" w:type="dxa"/>
            <w:shd w:val="clear" w:color="auto" w:fill="auto"/>
            <w:vAlign w:val="bottom"/>
            <w:hideMark/>
          </w:tcPr>
          <w:p w14:paraId="6D389DCE" w14:textId="77777777" w:rsidR="009553A0" w:rsidRPr="006E1AA8" w:rsidRDefault="009553A0" w:rsidP="00497B3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Castilla y León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300ACA98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6,06 € </w:t>
            </w:r>
          </w:p>
        </w:tc>
        <w:tc>
          <w:tcPr>
            <w:tcW w:w="1733" w:type="dxa"/>
            <w:vAlign w:val="bottom"/>
          </w:tcPr>
          <w:p w14:paraId="290AEC48" w14:textId="77777777" w:rsidR="009553A0" w:rsidRPr="00044A00" w:rsidRDefault="009553A0" w:rsidP="00497B34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44A0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   5,74 € 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23174F70" w14:textId="77777777" w:rsidR="009553A0" w:rsidRPr="007B4A86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7,09 € </w:t>
            </w:r>
          </w:p>
        </w:tc>
        <w:tc>
          <w:tcPr>
            <w:tcW w:w="1745" w:type="dxa"/>
            <w:vAlign w:val="bottom"/>
          </w:tcPr>
          <w:p w14:paraId="504F47E4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7,33 € </w:t>
            </w:r>
          </w:p>
        </w:tc>
      </w:tr>
      <w:tr w:rsidR="009553A0" w:rsidRPr="006E1AA8" w14:paraId="2FA2FDEA" w14:textId="77777777" w:rsidTr="00497B34">
        <w:trPr>
          <w:trHeight w:val="217"/>
        </w:trPr>
        <w:tc>
          <w:tcPr>
            <w:tcW w:w="1956" w:type="dxa"/>
            <w:shd w:val="clear" w:color="auto" w:fill="auto"/>
            <w:vAlign w:val="bottom"/>
            <w:hideMark/>
          </w:tcPr>
          <w:p w14:paraId="02ED16C6" w14:textId="77777777" w:rsidR="009553A0" w:rsidRPr="006E1AA8" w:rsidRDefault="009553A0" w:rsidP="00497B3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Castilla-La Mancha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5C8F5A55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5,53 € </w:t>
            </w:r>
          </w:p>
        </w:tc>
        <w:tc>
          <w:tcPr>
            <w:tcW w:w="1733" w:type="dxa"/>
            <w:vAlign w:val="bottom"/>
          </w:tcPr>
          <w:p w14:paraId="028955C3" w14:textId="77777777" w:rsidR="009553A0" w:rsidRPr="00044A00" w:rsidRDefault="009553A0" w:rsidP="00497B34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44A0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   4,60 € 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69ABCD03" w14:textId="77777777" w:rsidR="009553A0" w:rsidRPr="007B4A86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5,91 € </w:t>
            </w:r>
          </w:p>
        </w:tc>
        <w:tc>
          <w:tcPr>
            <w:tcW w:w="1745" w:type="dxa"/>
            <w:vAlign w:val="bottom"/>
          </w:tcPr>
          <w:p w14:paraId="7EE4EE9D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5,85 € </w:t>
            </w:r>
          </w:p>
        </w:tc>
      </w:tr>
      <w:tr w:rsidR="009553A0" w:rsidRPr="006E1AA8" w14:paraId="40EB1498" w14:textId="77777777" w:rsidTr="00497B34">
        <w:trPr>
          <w:trHeight w:val="217"/>
        </w:trPr>
        <w:tc>
          <w:tcPr>
            <w:tcW w:w="1956" w:type="dxa"/>
            <w:shd w:val="clear" w:color="auto" w:fill="auto"/>
            <w:vAlign w:val="bottom"/>
            <w:hideMark/>
          </w:tcPr>
          <w:p w14:paraId="1AF3BDAC" w14:textId="77777777" w:rsidR="009553A0" w:rsidRPr="006E1AA8" w:rsidRDefault="009553A0" w:rsidP="00497B3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Aragón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13C023CA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7,23 € </w:t>
            </w:r>
          </w:p>
        </w:tc>
        <w:tc>
          <w:tcPr>
            <w:tcW w:w="1733" w:type="dxa"/>
            <w:vAlign w:val="bottom"/>
          </w:tcPr>
          <w:p w14:paraId="4D29A79E" w14:textId="77777777" w:rsidR="009553A0" w:rsidRPr="00044A00" w:rsidRDefault="009553A0" w:rsidP="00497B34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44A0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   6,72 € 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52102AD2" w14:textId="77777777" w:rsidR="009553A0" w:rsidRPr="007B4A86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8,35 € </w:t>
            </w:r>
          </w:p>
        </w:tc>
        <w:tc>
          <w:tcPr>
            <w:tcW w:w="1745" w:type="dxa"/>
            <w:vAlign w:val="bottom"/>
          </w:tcPr>
          <w:p w14:paraId="51478CA2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8,48 € </w:t>
            </w:r>
          </w:p>
        </w:tc>
      </w:tr>
      <w:tr w:rsidR="009553A0" w:rsidRPr="006E1AA8" w14:paraId="22E5F6E1" w14:textId="77777777" w:rsidTr="00497B34">
        <w:trPr>
          <w:trHeight w:val="217"/>
        </w:trPr>
        <w:tc>
          <w:tcPr>
            <w:tcW w:w="1956" w:type="dxa"/>
            <w:shd w:val="clear" w:color="auto" w:fill="auto"/>
            <w:vAlign w:val="bottom"/>
            <w:hideMark/>
          </w:tcPr>
          <w:p w14:paraId="1581DAB8" w14:textId="77777777" w:rsidR="009553A0" w:rsidRPr="006E1AA8" w:rsidRDefault="009553A0" w:rsidP="00497B3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Extremadura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31B093F8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4,87 € </w:t>
            </w:r>
          </w:p>
        </w:tc>
        <w:tc>
          <w:tcPr>
            <w:tcW w:w="1733" w:type="dxa"/>
            <w:vAlign w:val="bottom"/>
          </w:tcPr>
          <w:p w14:paraId="5E2963BD" w14:textId="77777777" w:rsidR="009553A0" w:rsidRPr="00044A00" w:rsidRDefault="009553A0" w:rsidP="00497B34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44A0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   4,44 € 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74E430E9" w14:textId="77777777" w:rsidR="009553A0" w:rsidRPr="007B4A86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5,36 € </w:t>
            </w:r>
          </w:p>
        </w:tc>
        <w:tc>
          <w:tcPr>
            <w:tcW w:w="1745" w:type="dxa"/>
            <w:vAlign w:val="bottom"/>
          </w:tcPr>
          <w:p w14:paraId="71354005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5,56 € </w:t>
            </w:r>
          </w:p>
        </w:tc>
      </w:tr>
      <w:tr w:rsidR="009553A0" w:rsidRPr="006E1AA8" w14:paraId="1368C8E0" w14:textId="77777777" w:rsidTr="00497B34">
        <w:trPr>
          <w:trHeight w:val="217"/>
        </w:trPr>
        <w:tc>
          <w:tcPr>
            <w:tcW w:w="1956" w:type="dxa"/>
            <w:shd w:val="clear" w:color="auto" w:fill="auto"/>
            <w:vAlign w:val="bottom"/>
            <w:hideMark/>
          </w:tcPr>
          <w:p w14:paraId="6B3CE157" w14:textId="77777777" w:rsidR="009553A0" w:rsidRPr="006E1AA8" w:rsidRDefault="009553A0" w:rsidP="00497B3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País Vasco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199DAB03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11,34 € </w:t>
            </w:r>
          </w:p>
        </w:tc>
        <w:tc>
          <w:tcPr>
            <w:tcW w:w="1733" w:type="dxa"/>
            <w:vAlign w:val="bottom"/>
          </w:tcPr>
          <w:p w14:paraId="50B654DA" w14:textId="77777777" w:rsidR="009553A0" w:rsidRPr="00044A00" w:rsidRDefault="009553A0" w:rsidP="00497B34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44A0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 10,51 € 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7DE202F6" w14:textId="77777777" w:rsidR="009553A0" w:rsidRPr="007B4A86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13,18 € </w:t>
            </w:r>
          </w:p>
        </w:tc>
        <w:tc>
          <w:tcPr>
            <w:tcW w:w="1745" w:type="dxa"/>
            <w:vAlign w:val="bottom"/>
          </w:tcPr>
          <w:p w14:paraId="62989A6A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13,13 € </w:t>
            </w:r>
          </w:p>
        </w:tc>
      </w:tr>
      <w:tr w:rsidR="009553A0" w:rsidRPr="006E1AA8" w14:paraId="51A5F57C" w14:textId="77777777" w:rsidTr="00497B34">
        <w:trPr>
          <w:trHeight w:val="217"/>
        </w:trPr>
        <w:tc>
          <w:tcPr>
            <w:tcW w:w="1956" w:type="dxa"/>
            <w:shd w:val="clear" w:color="auto" w:fill="auto"/>
            <w:vAlign w:val="bottom"/>
            <w:hideMark/>
          </w:tcPr>
          <w:p w14:paraId="35EEF039" w14:textId="77777777" w:rsidR="009553A0" w:rsidRPr="006E1AA8" w:rsidRDefault="009553A0" w:rsidP="00497B3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2A82930D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10,23 € </w:t>
            </w:r>
          </w:p>
        </w:tc>
        <w:tc>
          <w:tcPr>
            <w:tcW w:w="1733" w:type="dxa"/>
            <w:vAlign w:val="bottom"/>
          </w:tcPr>
          <w:p w14:paraId="6E50131D" w14:textId="77777777" w:rsidR="009553A0" w:rsidRPr="00044A00" w:rsidRDefault="009553A0" w:rsidP="00497B34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44A0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 11,04 € 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10FA44FC" w14:textId="77777777" w:rsidR="009553A0" w:rsidRPr="007B4A86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14,10 € </w:t>
            </w:r>
          </w:p>
        </w:tc>
        <w:tc>
          <w:tcPr>
            <w:tcW w:w="1745" w:type="dxa"/>
            <w:vAlign w:val="bottom"/>
          </w:tcPr>
          <w:p w14:paraId="6C353E5A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13,62 € </w:t>
            </w:r>
          </w:p>
        </w:tc>
      </w:tr>
      <w:tr w:rsidR="009553A0" w:rsidRPr="006E1AA8" w14:paraId="415FD50F" w14:textId="77777777" w:rsidTr="00497B34">
        <w:trPr>
          <w:trHeight w:val="217"/>
        </w:trPr>
        <w:tc>
          <w:tcPr>
            <w:tcW w:w="1956" w:type="dxa"/>
            <w:shd w:val="clear" w:color="auto" w:fill="auto"/>
            <w:vAlign w:val="bottom"/>
            <w:hideMark/>
          </w:tcPr>
          <w:p w14:paraId="66C77A60" w14:textId="77777777" w:rsidR="009553A0" w:rsidRPr="006E1AA8" w:rsidRDefault="009553A0" w:rsidP="00497B3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Cataluña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0DAE9709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9,54 € </w:t>
            </w:r>
          </w:p>
        </w:tc>
        <w:tc>
          <w:tcPr>
            <w:tcW w:w="1733" w:type="dxa"/>
            <w:vAlign w:val="bottom"/>
          </w:tcPr>
          <w:p w14:paraId="7DE4E5CB" w14:textId="77777777" w:rsidR="009553A0" w:rsidRPr="00044A00" w:rsidRDefault="009553A0" w:rsidP="00497B34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44A0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 11,44 € 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51509F6C" w14:textId="77777777" w:rsidR="009553A0" w:rsidRPr="007B4A86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14,00 € </w:t>
            </w:r>
          </w:p>
        </w:tc>
        <w:tc>
          <w:tcPr>
            <w:tcW w:w="1745" w:type="dxa"/>
            <w:vAlign w:val="bottom"/>
          </w:tcPr>
          <w:p w14:paraId="1D00C3AF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14,06 € </w:t>
            </w:r>
          </w:p>
        </w:tc>
      </w:tr>
      <w:tr w:rsidR="009553A0" w:rsidRPr="006E1AA8" w14:paraId="379F2094" w14:textId="77777777" w:rsidTr="00497B34">
        <w:trPr>
          <w:trHeight w:val="217"/>
        </w:trPr>
        <w:tc>
          <w:tcPr>
            <w:tcW w:w="1956" w:type="dxa"/>
            <w:shd w:val="clear" w:color="auto" w:fill="auto"/>
            <w:vAlign w:val="bottom"/>
            <w:hideMark/>
          </w:tcPr>
          <w:p w14:paraId="147D7B0A" w14:textId="77777777" w:rsidR="009553A0" w:rsidRPr="006E1AA8" w:rsidRDefault="009553A0" w:rsidP="00497B34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Baleares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2CE5F943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7,56 € </w:t>
            </w:r>
          </w:p>
        </w:tc>
        <w:tc>
          <w:tcPr>
            <w:tcW w:w="1733" w:type="dxa"/>
            <w:vAlign w:val="bottom"/>
          </w:tcPr>
          <w:p w14:paraId="0D9855E3" w14:textId="77777777" w:rsidR="009553A0" w:rsidRPr="00044A00" w:rsidRDefault="009553A0" w:rsidP="00497B34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44A0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 10,11 € 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28239113" w14:textId="77777777" w:rsidR="009553A0" w:rsidRPr="007B4A86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11,25 € </w:t>
            </w:r>
          </w:p>
        </w:tc>
        <w:tc>
          <w:tcPr>
            <w:tcW w:w="1745" w:type="dxa"/>
            <w:vAlign w:val="bottom"/>
          </w:tcPr>
          <w:p w14:paraId="778154CC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11,98 € </w:t>
            </w:r>
          </w:p>
        </w:tc>
      </w:tr>
      <w:tr w:rsidR="009553A0" w:rsidRPr="006E1AA8" w14:paraId="18C0ABA0" w14:textId="77777777" w:rsidTr="00497B34">
        <w:trPr>
          <w:trHeight w:val="217"/>
        </w:trPr>
        <w:tc>
          <w:tcPr>
            <w:tcW w:w="1956" w:type="dxa"/>
            <w:shd w:val="clear" w:color="auto" w:fill="ACB9CA" w:themeFill="text2" w:themeFillTint="66"/>
            <w:vAlign w:val="bottom"/>
            <w:hideMark/>
          </w:tcPr>
          <w:p w14:paraId="6EB19B04" w14:textId="77777777" w:rsidR="009553A0" w:rsidRPr="006E1AA8" w:rsidRDefault="009553A0" w:rsidP="00497B34">
            <w:pPr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España</w:t>
            </w:r>
          </w:p>
        </w:tc>
        <w:tc>
          <w:tcPr>
            <w:tcW w:w="1848" w:type="dxa"/>
            <w:shd w:val="clear" w:color="auto" w:fill="ACB9CA" w:themeFill="text2" w:themeFillTint="66"/>
            <w:vAlign w:val="bottom"/>
            <w:hideMark/>
          </w:tcPr>
          <w:p w14:paraId="2E94CCB5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7,57 € </w:t>
            </w:r>
          </w:p>
        </w:tc>
        <w:tc>
          <w:tcPr>
            <w:tcW w:w="1733" w:type="dxa"/>
            <w:shd w:val="clear" w:color="auto" w:fill="ACB9CA" w:themeFill="text2" w:themeFillTint="66"/>
            <w:vAlign w:val="bottom"/>
          </w:tcPr>
          <w:p w14:paraId="1D7E1718" w14:textId="77777777" w:rsidR="009553A0" w:rsidRPr="00044A00" w:rsidRDefault="009553A0" w:rsidP="00497B34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044A00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 xml:space="preserve">    7,51 € </w:t>
            </w:r>
          </w:p>
        </w:tc>
        <w:tc>
          <w:tcPr>
            <w:tcW w:w="1683" w:type="dxa"/>
            <w:shd w:val="clear" w:color="auto" w:fill="ACB9CA" w:themeFill="text2" w:themeFillTint="66"/>
            <w:vAlign w:val="bottom"/>
            <w:hideMark/>
          </w:tcPr>
          <w:p w14:paraId="0948B74F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10,65 € </w:t>
            </w:r>
          </w:p>
        </w:tc>
        <w:tc>
          <w:tcPr>
            <w:tcW w:w="1745" w:type="dxa"/>
            <w:shd w:val="clear" w:color="auto" w:fill="ACB9CA" w:themeFill="text2" w:themeFillTint="66"/>
            <w:vAlign w:val="bottom"/>
          </w:tcPr>
          <w:p w14:paraId="45ACFF08" w14:textId="77777777" w:rsidR="009553A0" w:rsidRPr="006E1AA8" w:rsidRDefault="009553A0" w:rsidP="00497B34">
            <w:pPr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10,27 € </w:t>
            </w:r>
          </w:p>
        </w:tc>
      </w:tr>
    </w:tbl>
    <w:p w14:paraId="1AED17D6" w14:textId="1A312D4B" w:rsidR="003F535B" w:rsidRDefault="00D41C3C" w:rsidP="00782B87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</w:pPr>
      <w:r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Los</w:t>
      </w:r>
      <w:r w:rsidR="003F535B" w:rsidRPr="00D41C3C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 valencianos</w:t>
      </w:r>
      <w:r w:rsidR="00403021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 </w:t>
      </w:r>
      <w:r w:rsidRPr="00D41C3C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son los más afectados por el </w:t>
      </w:r>
      <w:r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incremento del </w:t>
      </w:r>
      <w:r w:rsidRPr="00D41C3C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alquiler</w:t>
      </w:r>
    </w:p>
    <w:bookmarkEnd w:id="0"/>
    <w:p w14:paraId="3D703EF5" w14:textId="3C293C79" w:rsidR="005B11DB" w:rsidRDefault="00D41C3C" w:rsidP="00B53ED5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De</w:t>
      </w:r>
      <w:r w:rsidRPr="00662836">
        <w:rPr>
          <w:rFonts w:ascii="Open Sans" w:hAnsi="Open Sans" w:cs="Open Sans"/>
          <w:color w:val="000000"/>
          <w:sz w:val="22"/>
          <w:szCs w:val="22"/>
        </w:rPr>
        <w:t xml:space="preserve"> las </w:t>
      </w:r>
      <w:r w:rsidR="009D4647">
        <w:rPr>
          <w:rFonts w:ascii="Open Sans" w:hAnsi="Open Sans" w:cs="Open Sans"/>
          <w:color w:val="000000"/>
          <w:sz w:val="22"/>
          <w:szCs w:val="22"/>
        </w:rPr>
        <w:t>c</w:t>
      </w:r>
      <w:r w:rsidRPr="00662836">
        <w:rPr>
          <w:rFonts w:ascii="Open Sans" w:hAnsi="Open Sans" w:cs="Open Sans"/>
          <w:color w:val="000000"/>
          <w:sz w:val="22"/>
          <w:szCs w:val="22"/>
        </w:rPr>
        <w:t xml:space="preserve">omunidades </w:t>
      </w:r>
      <w:r w:rsidR="009D4647">
        <w:rPr>
          <w:rFonts w:ascii="Open Sans" w:hAnsi="Open Sans" w:cs="Open Sans"/>
          <w:color w:val="000000"/>
          <w:sz w:val="22"/>
          <w:szCs w:val="22"/>
        </w:rPr>
        <w:t>a</w:t>
      </w:r>
      <w:r w:rsidRPr="00662836">
        <w:rPr>
          <w:rFonts w:ascii="Open Sans" w:hAnsi="Open Sans" w:cs="Open Sans"/>
          <w:color w:val="000000"/>
          <w:sz w:val="22"/>
          <w:szCs w:val="22"/>
        </w:rPr>
        <w:t xml:space="preserve">utónomas </w:t>
      </w:r>
      <w:r>
        <w:rPr>
          <w:rFonts w:ascii="Open Sans" w:hAnsi="Open Sans" w:cs="Open Sans"/>
          <w:color w:val="000000"/>
          <w:sz w:val="22"/>
          <w:szCs w:val="22"/>
        </w:rPr>
        <w:t>que más se han visto afecta</w:t>
      </w:r>
      <w:r w:rsidR="00B3267F">
        <w:rPr>
          <w:rFonts w:ascii="Open Sans" w:hAnsi="Open Sans" w:cs="Open Sans"/>
          <w:color w:val="000000"/>
          <w:sz w:val="22"/>
          <w:szCs w:val="22"/>
        </w:rPr>
        <w:t>da</w:t>
      </w:r>
      <w:r>
        <w:rPr>
          <w:rFonts w:ascii="Open Sans" w:hAnsi="Open Sans" w:cs="Open Sans"/>
          <w:color w:val="000000"/>
          <w:sz w:val="22"/>
          <w:szCs w:val="22"/>
        </w:rPr>
        <w:t xml:space="preserve">s por el incremento del alquiler estos últimos </w:t>
      </w:r>
      <w:r w:rsidR="00CE4DD8">
        <w:rPr>
          <w:rFonts w:ascii="Open Sans" w:hAnsi="Open Sans" w:cs="Open Sans"/>
          <w:color w:val="000000"/>
          <w:sz w:val="22"/>
          <w:szCs w:val="22"/>
        </w:rPr>
        <w:t>5</w:t>
      </w:r>
      <w:r>
        <w:rPr>
          <w:rFonts w:ascii="Open Sans" w:hAnsi="Open Sans" w:cs="Open Sans"/>
          <w:color w:val="000000"/>
          <w:sz w:val="22"/>
          <w:szCs w:val="22"/>
        </w:rPr>
        <w:t xml:space="preserve"> años, </w:t>
      </w:r>
      <w:r w:rsidR="005B11DB">
        <w:rPr>
          <w:rFonts w:ascii="Open Sans" w:hAnsi="Open Sans" w:cs="Open Sans"/>
          <w:color w:val="000000"/>
          <w:sz w:val="22"/>
          <w:szCs w:val="22"/>
        </w:rPr>
        <w:t>cuatro</w:t>
      </w:r>
      <w:r>
        <w:rPr>
          <w:rFonts w:ascii="Open Sans" w:hAnsi="Open Sans" w:cs="Open Sans"/>
          <w:color w:val="000000"/>
          <w:sz w:val="22"/>
          <w:szCs w:val="22"/>
        </w:rPr>
        <w:t xml:space="preserve"> de ellas superan el </w:t>
      </w:r>
      <w:r w:rsidR="00CE4DD8">
        <w:rPr>
          <w:rFonts w:ascii="Open Sans" w:hAnsi="Open Sans" w:cs="Open Sans"/>
          <w:color w:val="000000"/>
          <w:sz w:val="22"/>
          <w:szCs w:val="22"/>
        </w:rPr>
        <w:t>4</w:t>
      </w:r>
      <w:r>
        <w:rPr>
          <w:rFonts w:ascii="Open Sans" w:hAnsi="Open Sans" w:cs="Open Sans"/>
          <w:color w:val="000000"/>
          <w:sz w:val="22"/>
          <w:szCs w:val="22"/>
        </w:rPr>
        <w:t>0% de incremento desde 201</w:t>
      </w:r>
      <w:r w:rsidR="00CE4DD8">
        <w:rPr>
          <w:rFonts w:ascii="Open Sans" w:hAnsi="Open Sans" w:cs="Open Sans"/>
          <w:color w:val="000000"/>
          <w:sz w:val="22"/>
          <w:szCs w:val="22"/>
        </w:rPr>
        <w:t>6</w:t>
      </w:r>
      <w:r>
        <w:rPr>
          <w:rFonts w:ascii="Open Sans" w:hAnsi="Open Sans" w:cs="Open Sans"/>
          <w:color w:val="000000"/>
          <w:sz w:val="22"/>
          <w:szCs w:val="22"/>
        </w:rPr>
        <w:t>, según el</w:t>
      </w:r>
      <w:r w:rsidRPr="00132340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estudio</w:t>
      </w:r>
      <w:r w:rsidRPr="00132340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de </w:t>
      </w:r>
      <w:hyperlink r:id="rId13" w:history="1">
        <w:r w:rsidRPr="00132340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 w:rsidRPr="00A909FF">
        <w:rPr>
          <w:rFonts w:ascii="Open Sans" w:hAnsi="Open Sans" w:cs="Open Sans"/>
          <w:sz w:val="22"/>
          <w:szCs w:val="22"/>
        </w:rPr>
        <w:t>.</w:t>
      </w:r>
      <w:r w:rsidRPr="00410875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4F7931" w:rsidRPr="004F7931">
        <w:rPr>
          <w:rFonts w:ascii="Open Sans" w:hAnsi="Open Sans" w:cs="Open Sans"/>
          <w:color w:val="000000"/>
          <w:sz w:val="22"/>
          <w:szCs w:val="22"/>
        </w:rPr>
        <w:t>Para los valencianos, e</w:t>
      </w:r>
      <w:r w:rsidRPr="004F7931">
        <w:rPr>
          <w:rFonts w:ascii="Open Sans" w:hAnsi="Open Sans" w:cs="Open Sans"/>
          <w:color w:val="000000"/>
          <w:sz w:val="22"/>
          <w:szCs w:val="22"/>
        </w:rPr>
        <w:t>l</w:t>
      </w:r>
      <w:r w:rsidRPr="00EE257F">
        <w:rPr>
          <w:rFonts w:ascii="Open Sans" w:hAnsi="Open Sans" w:cs="Open Sans"/>
          <w:sz w:val="22"/>
          <w:szCs w:val="22"/>
        </w:rPr>
        <w:t xml:space="preserve"> precio de la vivienda </w:t>
      </w:r>
      <w:r>
        <w:rPr>
          <w:rFonts w:ascii="Open Sans" w:hAnsi="Open Sans" w:cs="Open Sans"/>
          <w:sz w:val="22"/>
          <w:szCs w:val="22"/>
        </w:rPr>
        <w:t>de</w:t>
      </w:r>
      <w:r w:rsidRPr="00EE257F">
        <w:rPr>
          <w:rFonts w:ascii="Open Sans" w:hAnsi="Open Sans" w:cs="Open Sans"/>
          <w:sz w:val="22"/>
          <w:szCs w:val="22"/>
        </w:rPr>
        <w:t xml:space="preserve"> </w:t>
      </w:r>
      <w:r w:rsidR="00BA7479">
        <w:rPr>
          <w:rFonts w:ascii="Open Sans" w:hAnsi="Open Sans" w:cs="Open Sans"/>
          <w:sz w:val="22"/>
          <w:szCs w:val="22"/>
        </w:rPr>
        <w:t>alquiler</w:t>
      </w:r>
      <w:r w:rsidRPr="00EE257F">
        <w:rPr>
          <w:rFonts w:ascii="Open Sans" w:hAnsi="Open Sans" w:cs="Open Sans"/>
          <w:sz w:val="22"/>
          <w:szCs w:val="22"/>
        </w:rPr>
        <w:t xml:space="preserve"> en </w:t>
      </w:r>
      <w:r w:rsidR="004F7931">
        <w:rPr>
          <w:rFonts w:ascii="Open Sans" w:hAnsi="Open Sans" w:cs="Open Sans"/>
          <w:sz w:val="22"/>
          <w:szCs w:val="22"/>
        </w:rPr>
        <w:t xml:space="preserve">5 años </w:t>
      </w:r>
      <w:r>
        <w:rPr>
          <w:rFonts w:ascii="Open Sans" w:hAnsi="Open Sans" w:cs="Open Sans"/>
          <w:sz w:val="22"/>
          <w:szCs w:val="22"/>
        </w:rPr>
        <w:t>ha pasado de</w:t>
      </w:r>
      <w:r w:rsidR="001361DC">
        <w:rPr>
          <w:rFonts w:ascii="Open Sans" w:hAnsi="Open Sans" w:cs="Open Sans"/>
          <w:sz w:val="22"/>
          <w:szCs w:val="22"/>
        </w:rPr>
        <w:t xml:space="preserve"> 5,</w:t>
      </w:r>
      <w:r w:rsidR="004F7931">
        <w:rPr>
          <w:rFonts w:ascii="Open Sans" w:hAnsi="Open Sans" w:cs="Open Sans"/>
          <w:sz w:val="22"/>
          <w:szCs w:val="22"/>
        </w:rPr>
        <w:t>79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1361DC">
        <w:rPr>
          <w:rFonts w:ascii="Open Sans" w:hAnsi="Open Sans" w:cs="Open Sans"/>
          <w:sz w:val="22"/>
          <w:szCs w:val="22"/>
        </w:rPr>
        <w:t>€/m</w:t>
      </w:r>
      <w:r w:rsidR="001361DC" w:rsidRPr="001361DC">
        <w:rPr>
          <w:rFonts w:ascii="Open Sans" w:hAnsi="Open Sans" w:cs="Open Sans"/>
          <w:sz w:val="22"/>
          <w:szCs w:val="22"/>
          <w:vertAlign w:val="superscript"/>
        </w:rPr>
        <w:t>2</w:t>
      </w:r>
      <w:r w:rsidR="001361DC">
        <w:rPr>
          <w:rFonts w:ascii="Open Sans" w:hAnsi="Open Sans" w:cs="Open Sans"/>
          <w:sz w:val="22"/>
          <w:szCs w:val="22"/>
        </w:rPr>
        <w:t xml:space="preserve"> al mes </w:t>
      </w:r>
      <w:r>
        <w:rPr>
          <w:rFonts w:ascii="Open Sans" w:hAnsi="Open Sans" w:cs="Open Sans"/>
          <w:sz w:val="22"/>
          <w:szCs w:val="22"/>
        </w:rPr>
        <w:t xml:space="preserve">en </w:t>
      </w:r>
      <w:r w:rsidR="00B53ED5">
        <w:rPr>
          <w:rFonts w:ascii="Open Sans" w:hAnsi="Open Sans" w:cs="Open Sans"/>
          <w:sz w:val="22"/>
          <w:szCs w:val="22"/>
        </w:rPr>
        <w:t>diciembre</w:t>
      </w:r>
      <w:r>
        <w:rPr>
          <w:rFonts w:ascii="Open Sans" w:hAnsi="Open Sans" w:cs="Open Sans"/>
          <w:sz w:val="22"/>
          <w:szCs w:val="22"/>
        </w:rPr>
        <w:t xml:space="preserve"> de 201</w:t>
      </w:r>
      <w:r w:rsidR="004F7931">
        <w:rPr>
          <w:rFonts w:ascii="Open Sans" w:hAnsi="Open Sans" w:cs="Open Sans"/>
          <w:sz w:val="22"/>
          <w:szCs w:val="22"/>
        </w:rPr>
        <w:t>6</w:t>
      </w:r>
      <w:r>
        <w:rPr>
          <w:rFonts w:ascii="Open Sans" w:hAnsi="Open Sans" w:cs="Open Sans"/>
          <w:sz w:val="22"/>
          <w:szCs w:val="22"/>
        </w:rPr>
        <w:t xml:space="preserve"> a </w:t>
      </w:r>
      <w:r w:rsidR="001361DC">
        <w:rPr>
          <w:rFonts w:ascii="Open Sans" w:hAnsi="Open Sans" w:cs="Open Sans"/>
          <w:sz w:val="22"/>
          <w:szCs w:val="22"/>
        </w:rPr>
        <w:t>8,</w:t>
      </w:r>
      <w:r w:rsidR="004F7931">
        <w:rPr>
          <w:rFonts w:ascii="Open Sans" w:hAnsi="Open Sans" w:cs="Open Sans"/>
          <w:sz w:val="22"/>
          <w:szCs w:val="22"/>
        </w:rPr>
        <w:t>75</w:t>
      </w:r>
      <w:r w:rsidR="001361DC">
        <w:rPr>
          <w:rFonts w:ascii="Open Sans" w:hAnsi="Open Sans" w:cs="Open Sans"/>
          <w:sz w:val="22"/>
          <w:szCs w:val="22"/>
        </w:rPr>
        <w:t xml:space="preserve"> €/m</w:t>
      </w:r>
      <w:r w:rsidR="001361DC" w:rsidRPr="001361DC">
        <w:rPr>
          <w:rFonts w:ascii="Open Sans" w:hAnsi="Open Sans" w:cs="Open Sans"/>
          <w:sz w:val="22"/>
          <w:szCs w:val="22"/>
          <w:vertAlign w:val="superscript"/>
        </w:rPr>
        <w:t>2</w:t>
      </w:r>
      <w:r w:rsidR="001361DC">
        <w:rPr>
          <w:rFonts w:ascii="Open Sans" w:hAnsi="Open Sans" w:cs="Open Sans"/>
          <w:sz w:val="22"/>
          <w:szCs w:val="22"/>
        </w:rPr>
        <w:t xml:space="preserve"> al mes</w:t>
      </w:r>
      <w:r>
        <w:rPr>
          <w:rFonts w:ascii="Open Sans" w:hAnsi="Open Sans" w:cs="Open Sans"/>
          <w:sz w:val="22"/>
          <w:szCs w:val="22"/>
        </w:rPr>
        <w:t xml:space="preserve"> en </w:t>
      </w:r>
      <w:r w:rsidR="00B53ED5">
        <w:rPr>
          <w:rFonts w:ascii="Open Sans" w:hAnsi="Open Sans" w:cs="Open Sans"/>
          <w:sz w:val="22"/>
          <w:szCs w:val="22"/>
        </w:rPr>
        <w:t xml:space="preserve">diciembre </w:t>
      </w:r>
      <w:r>
        <w:rPr>
          <w:rFonts w:ascii="Open Sans" w:hAnsi="Open Sans" w:cs="Open Sans"/>
          <w:sz w:val="22"/>
          <w:szCs w:val="22"/>
        </w:rPr>
        <w:t>de 202</w:t>
      </w:r>
      <w:r w:rsidR="004F7931">
        <w:rPr>
          <w:rFonts w:ascii="Open Sans" w:hAnsi="Open Sans" w:cs="Open Sans"/>
          <w:sz w:val="22"/>
          <w:szCs w:val="22"/>
        </w:rPr>
        <w:t>1</w:t>
      </w:r>
      <w:r w:rsidR="002252B3">
        <w:rPr>
          <w:rFonts w:ascii="Open Sans" w:hAnsi="Open Sans" w:cs="Open Sans"/>
          <w:sz w:val="22"/>
          <w:szCs w:val="22"/>
        </w:rPr>
        <w:t xml:space="preserve"> (</w:t>
      </w:r>
      <w:r w:rsidR="00B53ED5">
        <w:rPr>
          <w:rFonts w:ascii="Open Sans" w:hAnsi="Open Sans" w:cs="Open Sans"/>
          <w:sz w:val="22"/>
          <w:szCs w:val="22"/>
        </w:rPr>
        <w:t>5</w:t>
      </w:r>
      <w:r w:rsidR="004F7931">
        <w:rPr>
          <w:rFonts w:ascii="Open Sans" w:hAnsi="Open Sans" w:cs="Open Sans"/>
          <w:sz w:val="22"/>
          <w:szCs w:val="22"/>
        </w:rPr>
        <w:t>1</w:t>
      </w:r>
      <w:r w:rsidR="002252B3">
        <w:rPr>
          <w:rFonts w:ascii="Open Sans" w:hAnsi="Open Sans" w:cs="Open Sans"/>
          <w:sz w:val="22"/>
          <w:szCs w:val="22"/>
        </w:rPr>
        <w:t>% de incremento)</w:t>
      </w:r>
      <w:r w:rsidR="005B11DB">
        <w:rPr>
          <w:rFonts w:ascii="Open Sans" w:hAnsi="Open Sans" w:cs="Open Sans"/>
          <w:sz w:val="22"/>
          <w:szCs w:val="22"/>
        </w:rPr>
        <w:t>.</w:t>
      </w:r>
    </w:p>
    <w:p w14:paraId="217BEE52" w14:textId="77777777" w:rsidR="00466110" w:rsidRDefault="00D41C3C" w:rsidP="009C5DED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</w:pPr>
      <w:r>
        <w:rPr>
          <w:rFonts w:ascii="Open Sans" w:hAnsi="Open Sans" w:cs="Open Sans"/>
          <w:sz w:val="22"/>
          <w:szCs w:val="22"/>
        </w:rPr>
        <w:t xml:space="preserve">El orden de las CCAA </w:t>
      </w:r>
      <w:r w:rsidR="00736472">
        <w:rPr>
          <w:rFonts w:ascii="Open Sans" w:hAnsi="Open Sans" w:cs="Open Sans"/>
          <w:sz w:val="22"/>
          <w:szCs w:val="22"/>
        </w:rPr>
        <w:t>según el</w:t>
      </w:r>
      <w:r w:rsidRPr="008D20D0">
        <w:rPr>
          <w:rFonts w:ascii="Open Sans" w:hAnsi="Open Sans" w:cs="Open Sans"/>
          <w:sz w:val="22"/>
          <w:szCs w:val="22"/>
        </w:rPr>
        <w:t xml:space="preserve"> incremento acumulativo</w:t>
      </w:r>
      <w:r w:rsidRPr="001C6AC4"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de </w:t>
      </w:r>
      <w:r w:rsidR="00736472">
        <w:rPr>
          <w:rFonts w:ascii="Open Sans" w:hAnsi="Open Sans" w:cs="Open Sans"/>
          <w:sz w:val="22"/>
          <w:szCs w:val="22"/>
        </w:rPr>
        <w:t>sus</w:t>
      </w:r>
      <w:r>
        <w:rPr>
          <w:rFonts w:ascii="Open Sans" w:hAnsi="Open Sans" w:cs="Open Sans"/>
          <w:sz w:val="22"/>
          <w:szCs w:val="22"/>
        </w:rPr>
        <w:t xml:space="preserve"> alquileres </w:t>
      </w:r>
      <w:r w:rsidR="00B53ED5">
        <w:rPr>
          <w:rFonts w:ascii="Open Sans" w:hAnsi="Open Sans" w:cs="Open Sans"/>
          <w:sz w:val="22"/>
          <w:szCs w:val="22"/>
        </w:rPr>
        <w:t>de los último</w:t>
      </w:r>
      <w:r w:rsidR="00736472">
        <w:rPr>
          <w:rFonts w:ascii="Open Sans" w:hAnsi="Open Sans" w:cs="Open Sans"/>
          <w:sz w:val="22"/>
          <w:szCs w:val="22"/>
        </w:rPr>
        <w:t>s</w:t>
      </w:r>
      <w:r w:rsidR="00B53ED5">
        <w:rPr>
          <w:rFonts w:ascii="Open Sans" w:hAnsi="Open Sans" w:cs="Open Sans"/>
          <w:sz w:val="22"/>
          <w:szCs w:val="22"/>
        </w:rPr>
        <w:t xml:space="preserve"> 5 años </w:t>
      </w:r>
      <w:r>
        <w:rPr>
          <w:rFonts w:ascii="Open Sans" w:hAnsi="Open Sans" w:cs="Open Sans"/>
          <w:sz w:val="22"/>
          <w:szCs w:val="22"/>
        </w:rPr>
        <w:t>en España es:</w:t>
      </w:r>
      <w:r w:rsidRPr="009C5DED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9C5DED" w:rsidRPr="009C5DED">
        <w:rPr>
          <w:rFonts w:ascii="Open Sans" w:hAnsi="Open Sans" w:cs="Open Sans"/>
          <w:sz w:val="22"/>
          <w:szCs w:val="22"/>
        </w:rPr>
        <w:t>Comunitat</w:t>
      </w:r>
      <w:proofErr w:type="spellEnd"/>
      <w:r w:rsidR="009C5DED" w:rsidRPr="009C5DED">
        <w:rPr>
          <w:rFonts w:ascii="Open Sans" w:hAnsi="Open Sans" w:cs="Open Sans"/>
          <w:sz w:val="22"/>
          <w:szCs w:val="22"/>
        </w:rPr>
        <w:t xml:space="preserve"> Valenciana</w:t>
      </w:r>
      <w:r w:rsidR="009C5DED">
        <w:rPr>
          <w:rFonts w:ascii="Open Sans" w:hAnsi="Open Sans" w:cs="Open Sans"/>
          <w:sz w:val="22"/>
          <w:szCs w:val="22"/>
        </w:rPr>
        <w:t xml:space="preserve"> </w:t>
      </w:r>
      <w:r w:rsidR="009C5DED" w:rsidRPr="00B53ED5">
        <w:rPr>
          <w:rFonts w:ascii="Open Sans" w:hAnsi="Open Sans" w:cs="Open Sans"/>
          <w:sz w:val="22"/>
          <w:szCs w:val="22"/>
        </w:rPr>
        <w:t>(</w:t>
      </w:r>
      <w:r w:rsidR="009C5DED" w:rsidRPr="009C5DED">
        <w:rPr>
          <w:rFonts w:ascii="Open Sans" w:hAnsi="Open Sans" w:cs="Open Sans"/>
          <w:sz w:val="22"/>
          <w:szCs w:val="22"/>
        </w:rPr>
        <w:t>51%</w:t>
      </w:r>
      <w:r w:rsidR="009C5DED">
        <w:rPr>
          <w:rFonts w:ascii="Open Sans" w:hAnsi="Open Sans" w:cs="Open Sans"/>
          <w:sz w:val="22"/>
          <w:szCs w:val="22"/>
        </w:rPr>
        <w:t xml:space="preserve">), </w:t>
      </w:r>
      <w:r w:rsidR="009C5DED" w:rsidRPr="009C5DED">
        <w:rPr>
          <w:rFonts w:ascii="Open Sans" w:hAnsi="Open Sans" w:cs="Open Sans"/>
          <w:sz w:val="22"/>
          <w:szCs w:val="22"/>
        </w:rPr>
        <w:t>La Rioja</w:t>
      </w:r>
      <w:r w:rsidR="009C5DED">
        <w:rPr>
          <w:rFonts w:ascii="Open Sans" w:hAnsi="Open Sans" w:cs="Open Sans"/>
          <w:sz w:val="22"/>
          <w:szCs w:val="22"/>
        </w:rPr>
        <w:t xml:space="preserve"> </w:t>
      </w:r>
      <w:r w:rsidR="009C5DED" w:rsidRPr="00B53ED5">
        <w:rPr>
          <w:rFonts w:ascii="Open Sans" w:hAnsi="Open Sans" w:cs="Open Sans"/>
          <w:sz w:val="22"/>
          <w:szCs w:val="22"/>
        </w:rPr>
        <w:t>(</w:t>
      </w:r>
      <w:r w:rsidR="009C5DED" w:rsidRPr="009C5DED">
        <w:rPr>
          <w:rFonts w:ascii="Open Sans" w:hAnsi="Open Sans" w:cs="Open Sans"/>
          <w:sz w:val="22"/>
          <w:szCs w:val="22"/>
        </w:rPr>
        <w:t>44%</w:t>
      </w:r>
      <w:r w:rsidR="009C5DED">
        <w:rPr>
          <w:rFonts w:ascii="Open Sans" w:hAnsi="Open Sans" w:cs="Open Sans"/>
          <w:sz w:val="22"/>
          <w:szCs w:val="22"/>
        </w:rPr>
        <w:t xml:space="preserve">), </w:t>
      </w:r>
      <w:r w:rsidR="009C5DED" w:rsidRPr="009C5DED">
        <w:rPr>
          <w:rFonts w:ascii="Open Sans" w:hAnsi="Open Sans" w:cs="Open Sans"/>
          <w:sz w:val="22"/>
          <w:szCs w:val="22"/>
        </w:rPr>
        <w:t>Canarias</w:t>
      </w:r>
      <w:r w:rsidR="009C5DED">
        <w:rPr>
          <w:rFonts w:ascii="Open Sans" w:hAnsi="Open Sans" w:cs="Open Sans"/>
          <w:sz w:val="22"/>
          <w:szCs w:val="22"/>
        </w:rPr>
        <w:t xml:space="preserve"> </w:t>
      </w:r>
      <w:r w:rsidR="009C5DED" w:rsidRPr="00B53ED5">
        <w:rPr>
          <w:rFonts w:ascii="Open Sans" w:hAnsi="Open Sans" w:cs="Open Sans"/>
          <w:sz w:val="22"/>
          <w:szCs w:val="22"/>
        </w:rPr>
        <w:t>(</w:t>
      </w:r>
      <w:r w:rsidR="009C5DED" w:rsidRPr="009C5DED">
        <w:rPr>
          <w:rFonts w:ascii="Open Sans" w:hAnsi="Open Sans" w:cs="Open Sans"/>
          <w:sz w:val="22"/>
          <w:szCs w:val="22"/>
        </w:rPr>
        <w:t>42%</w:t>
      </w:r>
      <w:r w:rsidR="009C5DED">
        <w:rPr>
          <w:rFonts w:ascii="Open Sans" w:hAnsi="Open Sans" w:cs="Open Sans"/>
          <w:sz w:val="22"/>
          <w:szCs w:val="22"/>
        </w:rPr>
        <w:t xml:space="preserve">), </w:t>
      </w:r>
      <w:r w:rsidR="009C5DED" w:rsidRPr="009C5DED">
        <w:rPr>
          <w:rFonts w:ascii="Open Sans" w:hAnsi="Open Sans" w:cs="Open Sans"/>
          <w:sz w:val="22"/>
          <w:szCs w:val="22"/>
        </w:rPr>
        <w:t>Navarra</w:t>
      </w:r>
      <w:r w:rsidR="009C5DED">
        <w:rPr>
          <w:rFonts w:ascii="Open Sans" w:hAnsi="Open Sans" w:cs="Open Sans"/>
          <w:sz w:val="22"/>
          <w:szCs w:val="22"/>
        </w:rPr>
        <w:t xml:space="preserve"> </w:t>
      </w:r>
      <w:r w:rsidR="009C5DED" w:rsidRPr="00B53ED5">
        <w:rPr>
          <w:rFonts w:ascii="Open Sans" w:hAnsi="Open Sans" w:cs="Open Sans"/>
          <w:sz w:val="22"/>
          <w:szCs w:val="22"/>
        </w:rPr>
        <w:t>(</w:t>
      </w:r>
      <w:r w:rsidR="009C5DED" w:rsidRPr="009C5DED">
        <w:rPr>
          <w:rFonts w:ascii="Open Sans" w:hAnsi="Open Sans" w:cs="Open Sans"/>
          <w:sz w:val="22"/>
          <w:szCs w:val="22"/>
        </w:rPr>
        <w:t>40%</w:t>
      </w:r>
      <w:r w:rsidR="009C5DED">
        <w:rPr>
          <w:rFonts w:ascii="Open Sans" w:hAnsi="Open Sans" w:cs="Open Sans"/>
          <w:sz w:val="22"/>
          <w:szCs w:val="22"/>
        </w:rPr>
        <w:t xml:space="preserve">), </w:t>
      </w:r>
      <w:r w:rsidR="009C5DED" w:rsidRPr="009C5DED">
        <w:rPr>
          <w:rFonts w:ascii="Open Sans" w:hAnsi="Open Sans" w:cs="Open Sans"/>
          <w:sz w:val="22"/>
          <w:szCs w:val="22"/>
        </w:rPr>
        <w:t>Galicia</w:t>
      </w:r>
      <w:r w:rsidR="009C5DED">
        <w:rPr>
          <w:rFonts w:ascii="Open Sans" w:hAnsi="Open Sans" w:cs="Open Sans"/>
          <w:sz w:val="22"/>
          <w:szCs w:val="22"/>
        </w:rPr>
        <w:t xml:space="preserve"> </w:t>
      </w:r>
      <w:r w:rsidR="009C5DED" w:rsidRPr="00B53ED5">
        <w:rPr>
          <w:rFonts w:ascii="Open Sans" w:hAnsi="Open Sans" w:cs="Open Sans"/>
          <w:sz w:val="22"/>
          <w:szCs w:val="22"/>
        </w:rPr>
        <w:t>(</w:t>
      </w:r>
      <w:r w:rsidR="009C5DED" w:rsidRPr="009C5DED">
        <w:rPr>
          <w:rFonts w:ascii="Open Sans" w:hAnsi="Open Sans" w:cs="Open Sans"/>
          <w:sz w:val="22"/>
          <w:szCs w:val="22"/>
        </w:rPr>
        <w:t>37%</w:t>
      </w:r>
      <w:r w:rsidR="009C5DED">
        <w:rPr>
          <w:rFonts w:ascii="Open Sans" w:hAnsi="Open Sans" w:cs="Open Sans"/>
          <w:sz w:val="22"/>
          <w:szCs w:val="22"/>
        </w:rPr>
        <w:t xml:space="preserve">), </w:t>
      </w:r>
      <w:r w:rsidR="009C5DED" w:rsidRPr="009C5DED">
        <w:rPr>
          <w:rFonts w:ascii="Open Sans" w:hAnsi="Open Sans" w:cs="Open Sans"/>
          <w:sz w:val="22"/>
          <w:szCs w:val="22"/>
        </w:rPr>
        <w:t>Andalucía</w:t>
      </w:r>
      <w:r w:rsidR="009C5DED">
        <w:rPr>
          <w:rFonts w:ascii="Open Sans" w:hAnsi="Open Sans" w:cs="Open Sans"/>
          <w:sz w:val="22"/>
          <w:szCs w:val="22"/>
        </w:rPr>
        <w:t xml:space="preserve"> </w:t>
      </w:r>
      <w:r w:rsidR="009C5DED" w:rsidRPr="00B53ED5">
        <w:rPr>
          <w:rFonts w:ascii="Open Sans" w:hAnsi="Open Sans" w:cs="Open Sans"/>
          <w:sz w:val="22"/>
          <w:szCs w:val="22"/>
        </w:rPr>
        <w:t>(</w:t>
      </w:r>
      <w:r w:rsidR="009C5DED" w:rsidRPr="009C5DED">
        <w:rPr>
          <w:rFonts w:ascii="Open Sans" w:hAnsi="Open Sans" w:cs="Open Sans"/>
          <w:sz w:val="22"/>
          <w:szCs w:val="22"/>
        </w:rPr>
        <w:t>37%</w:t>
      </w:r>
      <w:r w:rsidR="009C5DED">
        <w:rPr>
          <w:rFonts w:ascii="Open Sans" w:hAnsi="Open Sans" w:cs="Open Sans"/>
          <w:sz w:val="22"/>
          <w:szCs w:val="22"/>
        </w:rPr>
        <w:t xml:space="preserve">), </w:t>
      </w:r>
      <w:r w:rsidR="009C5DED" w:rsidRPr="009C5DED">
        <w:rPr>
          <w:rFonts w:ascii="Open Sans" w:hAnsi="Open Sans" w:cs="Open Sans"/>
          <w:sz w:val="22"/>
          <w:szCs w:val="22"/>
        </w:rPr>
        <w:t>Cantabria</w:t>
      </w:r>
      <w:r w:rsidR="009C5DED">
        <w:rPr>
          <w:rFonts w:ascii="Open Sans" w:hAnsi="Open Sans" w:cs="Open Sans"/>
          <w:sz w:val="22"/>
          <w:szCs w:val="22"/>
        </w:rPr>
        <w:t xml:space="preserve"> </w:t>
      </w:r>
      <w:r w:rsidR="009C5DED" w:rsidRPr="00B53ED5">
        <w:rPr>
          <w:rFonts w:ascii="Open Sans" w:hAnsi="Open Sans" w:cs="Open Sans"/>
          <w:sz w:val="22"/>
          <w:szCs w:val="22"/>
        </w:rPr>
        <w:t>(</w:t>
      </w:r>
      <w:r w:rsidR="009C5DED" w:rsidRPr="009C5DED">
        <w:rPr>
          <w:rFonts w:ascii="Open Sans" w:hAnsi="Open Sans" w:cs="Open Sans"/>
          <w:sz w:val="22"/>
          <w:szCs w:val="22"/>
        </w:rPr>
        <w:t>34%</w:t>
      </w:r>
      <w:r w:rsidR="009C5DED">
        <w:rPr>
          <w:rFonts w:ascii="Open Sans" w:hAnsi="Open Sans" w:cs="Open Sans"/>
          <w:sz w:val="22"/>
          <w:szCs w:val="22"/>
        </w:rPr>
        <w:t xml:space="preserve">), </w:t>
      </w:r>
      <w:r w:rsidR="009C5DED" w:rsidRPr="009C5DED">
        <w:rPr>
          <w:rFonts w:ascii="Open Sans" w:hAnsi="Open Sans" w:cs="Open Sans"/>
          <w:sz w:val="22"/>
          <w:szCs w:val="22"/>
        </w:rPr>
        <w:t>Región de Murcia</w:t>
      </w:r>
      <w:r w:rsidR="009C5DED">
        <w:rPr>
          <w:rFonts w:ascii="Open Sans" w:hAnsi="Open Sans" w:cs="Open Sans"/>
          <w:sz w:val="22"/>
          <w:szCs w:val="22"/>
        </w:rPr>
        <w:t xml:space="preserve"> </w:t>
      </w:r>
      <w:r w:rsidR="009C5DED" w:rsidRPr="00B53ED5">
        <w:rPr>
          <w:rFonts w:ascii="Open Sans" w:hAnsi="Open Sans" w:cs="Open Sans"/>
          <w:sz w:val="22"/>
          <w:szCs w:val="22"/>
        </w:rPr>
        <w:t>(</w:t>
      </w:r>
      <w:r w:rsidR="009C5DED" w:rsidRPr="009C5DED">
        <w:rPr>
          <w:rFonts w:ascii="Open Sans" w:hAnsi="Open Sans" w:cs="Open Sans"/>
          <w:sz w:val="22"/>
          <w:szCs w:val="22"/>
        </w:rPr>
        <w:t>34%</w:t>
      </w:r>
      <w:r w:rsidR="009C5DED">
        <w:rPr>
          <w:rFonts w:ascii="Open Sans" w:hAnsi="Open Sans" w:cs="Open Sans"/>
          <w:sz w:val="22"/>
          <w:szCs w:val="22"/>
        </w:rPr>
        <w:t xml:space="preserve">), </w:t>
      </w:r>
      <w:r w:rsidR="009C5DED" w:rsidRPr="009C5DED">
        <w:rPr>
          <w:rFonts w:ascii="Open Sans" w:hAnsi="Open Sans" w:cs="Open Sans"/>
          <w:sz w:val="22"/>
          <w:szCs w:val="22"/>
        </w:rPr>
        <w:t>Asturias</w:t>
      </w:r>
      <w:r w:rsidR="009C5DED">
        <w:rPr>
          <w:rFonts w:ascii="Open Sans" w:hAnsi="Open Sans" w:cs="Open Sans"/>
          <w:sz w:val="22"/>
          <w:szCs w:val="22"/>
        </w:rPr>
        <w:t xml:space="preserve"> </w:t>
      </w:r>
      <w:r w:rsidR="009C5DED" w:rsidRPr="00B53ED5">
        <w:rPr>
          <w:rFonts w:ascii="Open Sans" w:hAnsi="Open Sans" w:cs="Open Sans"/>
          <w:sz w:val="22"/>
          <w:szCs w:val="22"/>
        </w:rPr>
        <w:t>(</w:t>
      </w:r>
      <w:r w:rsidR="009C5DED" w:rsidRPr="009C5DED">
        <w:rPr>
          <w:rFonts w:ascii="Open Sans" w:hAnsi="Open Sans" w:cs="Open Sans"/>
          <w:sz w:val="22"/>
          <w:szCs w:val="22"/>
        </w:rPr>
        <w:t>30%</w:t>
      </w:r>
      <w:r w:rsidR="009C5DED">
        <w:rPr>
          <w:rFonts w:ascii="Open Sans" w:hAnsi="Open Sans" w:cs="Open Sans"/>
          <w:sz w:val="22"/>
          <w:szCs w:val="22"/>
        </w:rPr>
        <w:t xml:space="preserve">), </w:t>
      </w:r>
      <w:r w:rsidR="009C5DED" w:rsidRPr="009C5DED">
        <w:rPr>
          <w:rFonts w:ascii="Open Sans" w:hAnsi="Open Sans" w:cs="Open Sans"/>
          <w:sz w:val="22"/>
          <w:szCs w:val="22"/>
        </w:rPr>
        <w:t>Castilla y León</w:t>
      </w:r>
      <w:r w:rsidR="009C5DED">
        <w:rPr>
          <w:rFonts w:ascii="Open Sans" w:hAnsi="Open Sans" w:cs="Open Sans"/>
          <w:sz w:val="22"/>
          <w:szCs w:val="22"/>
        </w:rPr>
        <w:t xml:space="preserve"> </w:t>
      </w:r>
      <w:r w:rsidR="009C5DED" w:rsidRPr="00B53ED5">
        <w:rPr>
          <w:rFonts w:ascii="Open Sans" w:hAnsi="Open Sans" w:cs="Open Sans"/>
          <w:sz w:val="22"/>
          <w:szCs w:val="22"/>
        </w:rPr>
        <w:t>(</w:t>
      </w:r>
      <w:r w:rsidR="009C5DED" w:rsidRPr="009C5DED">
        <w:rPr>
          <w:rFonts w:ascii="Open Sans" w:hAnsi="Open Sans" w:cs="Open Sans"/>
          <w:sz w:val="22"/>
          <w:szCs w:val="22"/>
        </w:rPr>
        <w:t>28%</w:t>
      </w:r>
      <w:r w:rsidR="009C5DED">
        <w:rPr>
          <w:rFonts w:ascii="Open Sans" w:hAnsi="Open Sans" w:cs="Open Sans"/>
          <w:sz w:val="22"/>
          <w:szCs w:val="22"/>
        </w:rPr>
        <w:t xml:space="preserve">), </w:t>
      </w:r>
      <w:r w:rsidR="009C5DED" w:rsidRPr="009C5DED">
        <w:rPr>
          <w:rFonts w:ascii="Open Sans" w:hAnsi="Open Sans" w:cs="Open Sans"/>
          <w:sz w:val="22"/>
          <w:szCs w:val="22"/>
        </w:rPr>
        <w:t>Castilla-La Mancha</w:t>
      </w:r>
      <w:r w:rsidR="009C5DED">
        <w:rPr>
          <w:rFonts w:ascii="Open Sans" w:hAnsi="Open Sans" w:cs="Open Sans"/>
          <w:sz w:val="22"/>
          <w:szCs w:val="22"/>
        </w:rPr>
        <w:t xml:space="preserve"> </w:t>
      </w:r>
      <w:r w:rsidR="009C5DED" w:rsidRPr="00B53ED5">
        <w:rPr>
          <w:rFonts w:ascii="Open Sans" w:hAnsi="Open Sans" w:cs="Open Sans"/>
          <w:sz w:val="22"/>
          <w:szCs w:val="22"/>
        </w:rPr>
        <w:t>(</w:t>
      </w:r>
      <w:r w:rsidR="009C5DED" w:rsidRPr="009C5DED">
        <w:rPr>
          <w:rFonts w:ascii="Open Sans" w:hAnsi="Open Sans" w:cs="Open Sans"/>
          <w:sz w:val="22"/>
          <w:szCs w:val="22"/>
        </w:rPr>
        <w:t>27%</w:t>
      </w:r>
      <w:r w:rsidR="009C5DED">
        <w:rPr>
          <w:rFonts w:ascii="Open Sans" w:hAnsi="Open Sans" w:cs="Open Sans"/>
          <w:sz w:val="22"/>
          <w:szCs w:val="22"/>
        </w:rPr>
        <w:t xml:space="preserve">), </w:t>
      </w:r>
      <w:r w:rsidR="009C5DED" w:rsidRPr="009C5DED">
        <w:rPr>
          <w:rFonts w:ascii="Open Sans" w:hAnsi="Open Sans" w:cs="Open Sans"/>
          <w:sz w:val="22"/>
          <w:szCs w:val="22"/>
        </w:rPr>
        <w:t>Aragón</w:t>
      </w:r>
      <w:r w:rsidR="009C5DED">
        <w:rPr>
          <w:rFonts w:ascii="Open Sans" w:hAnsi="Open Sans" w:cs="Open Sans"/>
          <w:sz w:val="22"/>
          <w:szCs w:val="22"/>
        </w:rPr>
        <w:t xml:space="preserve"> </w:t>
      </w:r>
      <w:r w:rsidR="009C5DED" w:rsidRPr="00B53ED5">
        <w:rPr>
          <w:rFonts w:ascii="Open Sans" w:hAnsi="Open Sans" w:cs="Open Sans"/>
          <w:sz w:val="22"/>
          <w:szCs w:val="22"/>
        </w:rPr>
        <w:t>(</w:t>
      </w:r>
      <w:r w:rsidR="009C5DED" w:rsidRPr="009C5DED">
        <w:rPr>
          <w:rFonts w:ascii="Open Sans" w:hAnsi="Open Sans" w:cs="Open Sans"/>
          <w:sz w:val="22"/>
          <w:szCs w:val="22"/>
        </w:rPr>
        <w:t>26%</w:t>
      </w:r>
      <w:r w:rsidR="009C5DED">
        <w:rPr>
          <w:rFonts w:ascii="Open Sans" w:hAnsi="Open Sans" w:cs="Open Sans"/>
          <w:sz w:val="22"/>
          <w:szCs w:val="22"/>
        </w:rPr>
        <w:t xml:space="preserve">), </w:t>
      </w:r>
      <w:r w:rsidR="009C5DED" w:rsidRPr="009C5DED">
        <w:rPr>
          <w:rFonts w:ascii="Open Sans" w:hAnsi="Open Sans" w:cs="Open Sans"/>
          <w:sz w:val="22"/>
          <w:szCs w:val="22"/>
        </w:rPr>
        <w:t>Extremadura</w:t>
      </w:r>
      <w:r w:rsidR="009C5DED">
        <w:rPr>
          <w:rFonts w:ascii="Open Sans" w:hAnsi="Open Sans" w:cs="Open Sans"/>
          <w:sz w:val="22"/>
          <w:szCs w:val="22"/>
        </w:rPr>
        <w:t xml:space="preserve"> </w:t>
      </w:r>
      <w:r w:rsidR="009C5DED" w:rsidRPr="00B53ED5">
        <w:rPr>
          <w:rFonts w:ascii="Open Sans" w:hAnsi="Open Sans" w:cs="Open Sans"/>
          <w:sz w:val="22"/>
          <w:szCs w:val="22"/>
        </w:rPr>
        <w:t>(</w:t>
      </w:r>
      <w:r w:rsidR="009C5DED" w:rsidRPr="009C5DED">
        <w:rPr>
          <w:rFonts w:ascii="Open Sans" w:hAnsi="Open Sans" w:cs="Open Sans"/>
          <w:sz w:val="22"/>
          <w:szCs w:val="22"/>
        </w:rPr>
        <w:t>25%</w:t>
      </w:r>
      <w:r w:rsidR="009C5DED">
        <w:rPr>
          <w:rFonts w:ascii="Open Sans" w:hAnsi="Open Sans" w:cs="Open Sans"/>
          <w:sz w:val="22"/>
          <w:szCs w:val="22"/>
        </w:rPr>
        <w:t xml:space="preserve">), </w:t>
      </w:r>
      <w:r w:rsidR="009C5DED" w:rsidRPr="009C5DED">
        <w:rPr>
          <w:rFonts w:ascii="Open Sans" w:hAnsi="Open Sans" w:cs="Open Sans"/>
          <w:sz w:val="22"/>
          <w:szCs w:val="22"/>
        </w:rPr>
        <w:t>País Vasco</w:t>
      </w:r>
      <w:r w:rsidR="009C5DED">
        <w:rPr>
          <w:rFonts w:ascii="Open Sans" w:hAnsi="Open Sans" w:cs="Open Sans"/>
          <w:sz w:val="22"/>
          <w:szCs w:val="22"/>
        </w:rPr>
        <w:t xml:space="preserve"> </w:t>
      </w:r>
      <w:r w:rsidR="009C5DED" w:rsidRPr="00B53ED5">
        <w:rPr>
          <w:rFonts w:ascii="Open Sans" w:hAnsi="Open Sans" w:cs="Open Sans"/>
          <w:sz w:val="22"/>
          <w:szCs w:val="22"/>
        </w:rPr>
        <w:t>(</w:t>
      </w:r>
      <w:r w:rsidR="009C5DED" w:rsidRPr="009C5DED">
        <w:rPr>
          <w:rFonts w:ascii="Open Sans" w:hAnsi="Open Sans" w:cs="Open Sans"/>
          <w:sz w:val="22"/>
          <w:szCs w:val="22"/>
        </w:rPr>
        <w:t>25%</w:t>
      </w:r>
      <w:r w:rsidR="009C5DED">
        <w:rPr>
          <w:rFonts w:ascii="Open Sans" w:hAnsi="Open Sans" w:cs="Open Sans"/>
          <w:sz w:val="22"/>
          <w:szCs w:val="22"/>
        </w:rPr>
        <w:t xml:space="preserve">), </w:t>
      </w:r>
      <w:r w:rsidR="009C5DED" w:rsidRPr="009C5DED">
        <w:rPr>
          <w:rFonts w:ascii="Open Sans" w:hAnsi="Open Sans" w:cs="Open Sans"/>
          <w:sz w:val="22"/>
          <w:szCs w:val="22"/>
        </w:rPr>
        <w:t>Madrid</w:t>
      </w:r>
      <w:r w:rsidR="009C5DED">
        <w:rPr>
          <w:rFonts w:ascii="Open Sans" w:hAnsi="Open Sans" w:cs="Open Sans"/>
          <w:sz w:val="22"/>
          <w:szCs w:val="22"/>
        </w:rPr>
        <w:t xml:space="preserve"> </w:t>
      </w:r>
      <w:r w:rsidR="009C5DED" w:rsidRPr="00B53ED5">
        <w:rPr>
          <w:rFonts w:ascii="Open Sans" w:hAnsi="Open Sans" w:cs="Open Sans"/>
          <w:sz w:val="22"/>
          <w:szCs w:val="22"/>
        </w:rPr>
        <w:t>(</w:t>
      </w:r>
      <w:r w:rsidR="009C5DED" w:rsidRPr="009C5DED">
        <w:rPr>
          <w:rFonts w:ascii="Open Sans" w:hAnsi="Open Sans" w:cs="Open Sans"/>
          <w:sz w:val="22"/>
          <w:szCs w:val="22"/>
        </w:rPr>
        <w:t>23%</w:t>
      </w:r>
      <w:r w:rsidR="009C5DED">
        <w:rPr>
          <w:rFonts w:ascii="Open Sans" w:hAnsi="Open Sans" w:cs="Open Sans"/>
          <w:sz w:val="22"/>
          <w:szCs w:val="22"/>
        </w:rPr>
        <w:t xml:space="preserve">), </w:t>
      </w:r>
      <w:r w:rsidR="009C5DED" w:rsidRPr="009C5DED">
        <w:rPr>
          <w:rFonts w:ascii="Open Sans" w:hAnsi="Open Sans" w:cs="Open Sans"/>
          <w:sz w:val="22"/>
          <w:szCs w:val="22"/>
        </w:rPr>
        <w:t>Cataluña</w:t>
      </w:r>
      <w:r w:rsidR="009C5DED">
        <w:rPr>
          <w:rFonts w:ascii="Open Sans" w:hAnsi="Open Sans" w:cs="Open Sans"/>
          <w:sz w:val="22"/>
          <w:szCs w:val="22"/>
        </w:rPr>
        <w:t xml:space="preserve"> </w:t>
      </w:r>
      <w:r w:rsidR="009C5DED" w:rsidRPr="00B53ED5">
        <w:rPr>
          <w:rFonts w:ascii="Open Sans" w:hAnsi="Open Sans" w:cs="Open Sans"/>
          <w:sz w:val="22"/>
          <w:szCs w:val="22"/>
        </w:rPr>
        <w:t>(</w:t>
      </w:r>
      <w:r w:rsidR="009C5DED" w:rsidRPr="009C5DED">
        <w:rPr>
          <w:rFonts w:ascii="Open Sans" w:hAnsi="Open Sans" w:cs="Open Sans"/>
          <w:sz w:val="22"/>
          <w:szCs w:val="22"/>
        </w:rPr>
        <w:t>23%</w:t>
      </w:r>
      <w:r w:rsidR="009C5DED">
        <w:rPr>
          <w:rFonts w:ascii="Open Sans" w:hAnsi="Open Sans" w:cs="Open Sans"/>
          <w:sz w:val="22"/>
          <w:szCs w:val="22"/>
        </w:rPr>
        <w:t xml:space="preserve">) y </w:t>
      </w:r>
      <w:r w:rsidR="009C5DED" w:rsidRPr="009C5DED">
        <w:rPr>
          <w:rFonts w:ascii="Open Sans" w:hAnsi="Open Sans" w:cs="Open Sans"/>
          <w:sz w:val="22"/>
          <w:szCs w:val="22"/>
        </w:rPr>
        <w:t>Baleares</w:t>
      </w:r>
      <w:r w:rsidR="009C5DED">
        <w:rPr>
          <w:rFonts w:ascii="Open Sans" w:hAnsi="Open Sans" w:cs="Open Sans"/>
          <w:sz w:val="22"/>
          <w:szCs w:val="22"/>
        </w:rPr>
        <w:t xml:space="preserve"> </w:t>
      </w:r>
      <w:r w:rsidR="009C5DED" w:rsidRPr="00B53ED5">
        <w:rPr>
          <w:rFonts w:ascii="Open Sans" w:hAnsi="Open Sans" w:cs="Open Sans"/>
          <w:sz w:val="22"/>
          <w:szCs w:val="22"/>
        </w:rPr>
        <w:t>(</w:t>
      </w:r>
      <w:r w:rsidR="009C5DED" w:rsidRPr="009C5DED">
        <w:rPr>
          <w:rFonts w:ascii="Open Sans" w:hAnsi="Open Sans" w:cs="Open Sans"/>
          <w:sz w:val="22"/>
          <w:szCs w:val="22"/>
        </w:rPr>
        <w:t>18%</w:t>
      </w:r>
      <w:r w:rsidR="009C5DED">
        <w:rPr>
          <w:rFonts w:ascii="Open Sans" w:hAnsi="Open Sans" w:cs="Open Sans"/>
          <w:sz w:val="22"/>
          <w:szCs w:val="22"/>
        </w:rPr>
        <w:t>).</w:t>
      </w:r>
      <w:r w:rsidR="00466110" w:rsidRPr="00466110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 </w:t>
      </w:r>
    </w:p>
    <w:p w14:paraId="7E784B43" w14:textId="77777777" w:rsidR="001D7467" w:rsidRDefault="001D7467" w:rsidP="00023DBF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</w:pPr>
    </w:p>
    <w:p w14:paraId="6C97E4CB" w14:textId="77777777" w:rsidR="001D7467" w:rsidRDefault="001D7467" w:rsidP="00023DBF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</w:pPr>
    </w:p>
    <w:p w14:paraId="3CC0051F" w14:textId="67EC3AC7" w:rsidR="009C5DED" w:rsidRPr="009C5DED" w:rsidRDefault="00466110" w:rsidP="00023DBF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" w:hAnsi="Open Sans" w:cs="Open Sans"/>
          <w:sz w:val="22"/>
          <w:szCs w:val="22"/>
        </w:rPr>
      </w:pPr>
      <w:r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lastRenderedPageBreak/>
        <w:t>Comparativa del acumulativo del alquiler en España</w:t>
      </w:r>
    </w:p>
    <w:p w14:paraId="71C8BCE7" w14:textId="31E10198" w:rsidR="00AA2566" w:rsidRDefault="00466110" w:rsidP="00466110">
      <w:pPr>
        <w:pStyle w:val="NormalWeb"/>
        <w:shd w:val="clear" w:color="auto" w:fill="FFFFFF"/>
        <w:spacing w:after="225" w:line="276" w:lineRule="auto"/>
        <w:ind w:right="-574"/>
        <w:rPr>
          <w:noProof/>
        </w:rPr>
      </w:pPr>
      <w:r>
        <w:rPr>
          <w:rFonts w:ascii="National" w:eastAsiaTheme="minorHAnsi" w:hAnsi="National" w:cstheme="minorBidi"/>
          <w:b/>
          <w:bCs/>
          <w:iCs/>
          <w:noProof/>
          <w:color w:val="303AB2"/>
          <w:sz w:val="30"/>
          <w:szCs w:val="180"/>
          <w:lang w:eastAsia="en-US"/>
        </w:rPr>
        <w:drawing>
          <wp:inline distT="0" distB="0" distL="0" distR="0" wp14:anchorId="6AA2FFBF" wp14:editId="5EBAAD21">
            <wp:extent cx="5534889" cy="2434856"/>
            <wp:effectExtent l="0" t="0" r="8890" b="381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755" cy="243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4CD16D" w14:textId="2938A91E" w:rsidR="00DB36B2" w:rsidRDefault="00466110" w:rsidP="00466110">
      <w:pPr>
        <w:pStyle w:val="NormalWeb"/>
        <w:shd w:val="clear" w:color="auto" w:fill="FFFFFF"/>
        <w:spacing w:after="225"/>
        <w:ind w:right="-574"/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</w:pPr>
      <w:r>
        <w:rPr>
          <w:rFonts w:ascii="National" w:eastAsiaTheme="minorHAnsi" w:hAnsi="National" w:cstheme="minorBidi"/>
          <w:b/>
          <w:bCs/>
          <w:iCs/>
          <w:noProof/>
          <w:color w:val="303AB2"/>
          <w:sz w:val="30"/>
          <w:szCs w:val="180"/>
          <w:lang w:eastAsia="en-US"/>
        </w:rPr>
        <w:drawing>
          <wp:inline distT="0" distB="0" distL="0" distR="0" wp14:anchorId="7510684D" wp14:editId="154BF46D">
            <wp:extent cx="5580353" cy="2227801"/>
            <wp:effectExtent l="0" t="0" r="1905" b="127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98" cy="2237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5B187" w14:textId="1DECBCF6" w:rsidR="00ED419C" w:rsidRDefault="00ED419C" w:rsidP="009004F0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</w:pPr>
    </w:p>
    <w:p w14:paraId="3DA9096E" w14:textId="066C9A9E" w:rsidR="0014007A" w:rsidRDefault="0014007A" w:rsidP="0014007A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14007A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 xml:space="preserve">Por </w:t>
      </w:r>
      <w:r w:rsidR="00B54B63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capital</w:t>
      </w:r>
      <w:r w:rsidR="00AD3095">
        <w:rPr>
          <w:rFonts w:ascii="National" w:eastAsiaTheme="minorHAnsi" w:hAnsi="National" w:cstheme="minorBidi"/>
          <w:b/>
          <w:bCs/>
          <w:iCs/>
          <w:color w:val="303AB2"/>
          <w:sz w:val="30"/>
          <w:szCs w:val="180"/>
          <w:lang w:eastAsia="en-US"/>
        </w:rPr>
        <w:t>es de provincia</w:t>
      </w:r>
    </w:p>
    <w:p w14:paraId="57AFECB0" w14:textId="0A72F51E" w:rsidR="00585A32" w:rsidRDefault="00753AE9" w:rsidP="00CE563D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  <w:r w:rsidRPr="005650F4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La capital de Santa Cruz de Tenerife </w:t>
      </w:r>
      <w:r w:rsidR="00DB36B2" w:rsidRPr="005650F4">
        <w:rPr>
          <w:rFonts w:ascii="Open Sans" w:hAnsi="Open Sans" w:cs="Open Sans"/>
          <w:b/>
          <w:bCs/>
          <w:color w:val="000000"/>
          <w:sz w:val="22"/>
          <w:szCs w:val="22"/>
        </w:rPr>
        <w:t>es la única ciudad de España cuyo incremento acumulativo</w:t>
      </w:r>
      <w:r w:rsidRPr="005650F4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del precio de la vivienda en alquiler</w:t>
      </w:r>
      <w:r w:rsidR="00DB36B2" w:rsidRPr="005650F4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es</w:t>
      </w:r>
      <w:r w:rsidRPr="005650F4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un </w:t>
      </w:r>
      <w:r w:rsidR="00DB36B2" w:rsidRPr="005650F4">
        <w:rPr>
          <w:rFonts w:ascii="Open Sans" w:hAnsi="Open Sans" w:cs="Open Sans"/>
          <w:b/>
          <w:bCs/>
          <w:color w:val="000000"/>
          <w:sz w:val="22"/>
          <w:szCs w:val="22"/>
        </w:rPr>
        <w:t>50%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B341A0">
        <w:rPr>
          <w:rFonts w:ascii="Open Sans" w:hAnsi="Open Sans" w:cs="Open Sans"/>
          <w:color w:val="000000"/>
          <w:sz w:val="22"/>
          <w:szCs w:val="22"/>
        </w:rPr>
        <w:t xml:space="preserve">más </w:t>
      </w:r>
      <w:r>
        <w:rPr>
          <w:rFonts w:ascii="Open Sans" w:hAnsi="Open Sans" w:cs="Open Sans"/>
          <w:color w:val="000000"/>
          <w:sz w:val="22"/>
          <w:szCs w:val="22"/>
        </w:rPr>
        <w:t>que hace 5 años (2016)</w:t>
      </w:r>
      <w:r w:rsidR="00D00F1E">
        <w:rPr>
          <w:rFonts w:ascii="Open Sans" w:hAnsi="Open Sans" w:cs="Open Sans"/>
          <w:color w:val="000000"/>
          <w:sz w:val="22"/>
          <w:szCs w:val="22"/>
        </w:rPr>
        <w:t>, según el</w:t>
      </w:r>
      <w:r w:rsidR="00D00F1E" w:rsidRPr="0013234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D00F1E">
        <w:rPr>
          <w:rFonts w:ascii="Open Sans" w:hAnsi="Open Sans" w:cs="Open Sans"/>
          <w:color w:val="000000"/>
          <w:sz w:val="22"/>
          <w:szCs w:val="22"/>
        </w:rPr>
        <w:t>estudio</w:t>
      </w:r>
      <w:r w:rsidR="00D00F1E" w:rsidRPr="0013234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D00F1E">
        <w:rPr>
          <w:rFonts w:ascii="Open Sans" w:hAnsi="Open Sans" w:cs="Open Sans"/>
          <w:color w:val="000000"/>
          <w:sz w:val="22"/>
          <w:szCs w:val="22"/>
        </w:rPr>
        <w:t xml:space="preserve">de </w:t>
      </w:r>
      <w:hyperlink r:id="rId16" w:history="1">
        <w:r w:rsidR="00D00F1E" w:rsidRPr="00132340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 w:rsidR="00D00F1E" w:rsidRPr="00A909FF">
        <w:rPr>
          <w:rFonts w:ascii="Open Sans" w:hAnsi="Open Sans" w:cs="Open Sans"/>
          <w:sz w:val="22"/>
          <w:szCs w:val="22"/>
        </w:rPr>
        <w:t>.</w:t>
      </w:r>
      <w:r w:rsidR="00D00F1E">
        <w:rPr>
          <w:rFonts w:ascii="Open Sans" w:hAnsi="Open Sans" w:cs="Open Sans"/>
          <w:sz w:val="22"/>
          <w:szCs w:val="22"/>
        </w:rPr>
        <w:t xml:space="preserve"> </w:t>
      </w:r>
      <w:r w:rsidR="00585A32">
        <w:rPr>
          <w:rFonts w:ascii="Open Sans" w:hAnsi="Open Sans" w:cs="Open Sans"/>
          <w:sz w:val="22"/>
          <w:szCs w:val="22"/>
        </w:rPr>
        <w:t>P</w:t>
      </w:r>
      <w:r w:rsidR="00E43CE5">
        <w:rPr>
          <w:rFonts w:ascii="Open Sans" w:hAnsi="Open Sans" w:cs="Open Sans"/>
          <w:sz w:val="22"/>
          <w:szCs w:val="22"/>
        </w:rPr>
        <w:t xml:space="preserve">or una vivienda de 80 metros cuadrados en régimen de alquiler en </w:t>
      </w:r>
      <w:r w:rsidR="00B341A0" w:rsidRPr="00B341A0">
        <w:rPr>
          <w:rFonts w:ascii="Open Sans" w:hAnsi="Open Sans" w:cs="Open Sans"/>
          <w:sz w:val="22"/>
          <w:szCs w:val="22"/>
        </w:rPr>
        <w:t>Santa Cruz de Tenerife capital</w:t>
      </w:r>
      <w:r w:rsidR="00B341A0">
        <w:rPr>
          <w:rFonts w:ascii="Open Sans" w:hAnsi="Open Sans" w:cs="Open Sans"/>
          <w:sz w:val="22"/>
          <w:szCs w:val="22"/>
        </w:rPr>
        <w:t xml:space="preserve"> </w:t>
      </w:r>
      <w:r w:rsidR="00E43CE5">
        <w:rPr>
          <w:rFonts w:ascii="Open Sans" w:hAnsi="Open Sans" w:cs="Open Sans"/>
          <w:sz w:val="22"/>
          <w:szCs w:val="22"/>
        </w:rPr>
        <w:t>se pagaba 4</w:t>
      </w:r>
      <w:r w:rsidR="00B341A0">
        <w:rPr>
          <w:rFonts w:ascii="Open Sans" w:hAnsi="Open Sans" w:cs="Open Sans"/>
          <w:sz w:val="22"/>
          <w:szCs w:val="22"/>
        </w:rPr>
        <w:t>94</w:t>
      </w:r>
      <w:r w:rsidR="00E43CE5">
        <w:rPr>
          <w:rFonts w:ascii="Open Sans" w:hAnsi="Open Sans" w:cs="Open Sans"/>
          <w:sz w:val="22"/>
          <w:szCs w:val="22"/>
        </w:rPr>
        <w:t xml:space="preserve"> euros al mes hace 5 años (</w:t>
      </w:r>
      <w:r w:rsidR="00B341A0">
        <w:rPr>
          <w:rFonts w:ascii="Open Sans" w:hAnsi="Open Sans" w:cs="Open Sans"/>
          <w:sz w:val="22"/>
          <w:szCs w:val="22"/>
        </w:rPr>
        <w:t>6,17</w:t>
      </w:r>
      <w:r w:rsidR="00E43CE5">
        <w:rPr>
          <w:rFonts w:ascii="Open Sans" w:hAnsi="Open Sans" w:cs="Open Sans"/>
          <w:sz w:val="22"/>
          <w:szCs w:val="22"/>
        </w:rPr>
        <w:t xml:space="preserve"> €/m</w:t>
      </w:r>
      <w:r w:rsidR="00E43CE5" w:rsidRPr="00E43CE5">
        <w:rPr>
          <w:rFonts w:ascii="Open Sans" w:hAnsi="Open Sans" w:cs="Open Sans"/>
          <w:sz w:val="22"/>
          <w:szCs w:val="22"/>
          <w:vertAlign w:val="superscript"/>
        </w:rPr>
        <w:t>2</w:t>
      </w:r>
      <w:r w:rsidR="00E43CE5">
        <w:rPr>
          <w:rFonts w:ascii="Open Sans" w:hAnsi="Open Sans" w:cs="Open Sans"/>
          <w:sz w:val="22"/>
          <w:szCs w:val="22"/>
        </w:rPr>
        <w:t xml:space="preserve"> al mes en 201</w:t>
      </w:r>
      <w:r w:rsidR="00B341A0">
        <w:rPr>
          <w:rFonts w:ascii="Open Sans" w:hAnsi="Open Sans" w:cs="Open Sans"/>
          <w:sz w:val="22"/>
          <w:szCs w:val="22"/>
        </w:rPr>
        <w:t>6</w:t>
      </w:r>
      <w:r w:rsidR="00E43CE5">
        <w:rPr>
          <w:rFonts w:ascii="Open Sans" w:hAnsi="Open Sans" w:cs="Open Sans"/>
          <w:sz w:val="22"/>
          <w:szCs w:val="22"/>
        </w:rPr>
        <w:t>), mientras que en 202</w:t>
      </w:r>
      <w:r w:rsidR="00B341A0">
        <w:rPr>
          <w:rFonts w:ascii="Open Sans" w:hAnsi="Open Sans" w:cs="Open Sans"/>
          <w:sz w:val="22"/>
          <w:szCs w:val="22"/>
        </w:rPr>
        <w:t>1</w:t>
      </w:r>
      <w:r w:rsidR="00E43CE5">
        <w:rPr>
          <w:rFonts w:ascii="Open Sans" w:hAnsi="Open Sans" w:cs="Open Sans"/>
          <w:sz w:val="22"/>
          <w:szCs w:val="22"/>
        </w:rPr>
        <w:t xml:space="preserve"> se ha pagado </w:t>
      </w:r>
      <w:r w:rsidR="00B341A0">
        <w:rPr>
          <w:rFonts w:ascii="Open Sans" w:hAnsi="Open Sans" w:cs="Open Sans"/>
          <w:sz w:val="22"/>
          <w:szCs w:val="22"/>
        </w:rPr>
        <w:t>740</w:t>
      </w:r>
      <w:r w:rsidR="00E43CE5">
        <w:rPr>
          <w:rFonts w:ascii="Open Sans" w:hAnsi="Open Sans" w:cs="Open Sans"/>
          <w:sz w:val="22"/>
          <w:szCs w:val="22"/>
        </w:rPr>
        <w:t xml:space="preserve"> euros al mes (9,</w:t>
      </w:r>
      <w:r w:rsidR="00B341A0">
        <w:rPr>
          <w:rFonts w:ascii="Open Sans" w:hAnsi="Open Sans" w:cs="Open Sans"/>
          <w:sz w:val="22"/>
          <w:szCs w:val="22"/>
        </w:rPr>
        <w:t>2</w:t>
      </w:r>
      <w:r w:rsidR="00E43CE5">
        <w:rPr>
          <w:rFonts w:ascii="Open Sans" w:hAnsi="Open Sans" w:cs="Open Sans"/>
          <w:sz w:val="22"/>
          <w:szCs w:val="22"/>
        </w:rPr>
        <w:t>5 €/m</w:t>
      </w:r>
      <w:r w:rsidR="00E43CE5" w:rsidRPr="00E43CE5">
        <w:rPr>
          <w:rFonts w:ascii="Open Sans" w:hAnsi="Open Sans" w:cs="Open Sans"/>
          <w:sz w:val="22"/>
          <w:szCs w:val="22"/>
          <w:vertAlign w:val="superscript"/>
        </w:rPr>
        <w:t>2</w:t>
      </w:r>
      <w:r w:rsidR="00E43CE5">
        <w:rPr>
          <w:rFonts w:ascii="Open Sans" w:hAnsi="Open Sans" w:cs="Open Sans"/>
          <w:sz w:val="22"/>
          <w:szCs w:val="22"/>
        </w:rPr>
        <w:t xml:space="preserve"> al mes en 20</w:t>
      </w:r>
      <w:r w:rsidR="00B772CA">
        <w:rPr>
          <w:rFonts w:ascii="Open Sans" w:hAnsi="Open Sans" w:cs="Open Sans"/>
          <w:sz w:val="22"/>
          <w:szCs w:val="22"/>
        </w:rPr>
        <w:t>2</w:t>
      </w:r>
      <w:r w:rsidR="00B341A0">
        <w:rPr>
          <w:rFonts w:ascii="Open Sans" w:hAnsi="Open Sans" w:cs="Open Sans"/>
          <w:sz w:val="22"/>
          <w:szCs w:val="22"/>
        </w:rPr>
        <w:t>1</w:t>
      </w:r>
      <w:r w:rsidR="00E43CE5">
        <w:rPr>
          <w:rFonts w:ascii="Open Sans" w:hAnsi="Open Sans" w:cs="Open Sans"/>
          <w:sz w:val="22"/>
          <w:szCs w:val="22"/>
        </w:rPr>
        <w:t>).</w:t>
      </w:r>
    </w:p>
    <w:p w14:paraId="18CC8A03" w14:textId="2289791D" w:rsidR="00585A32" w:rsidRDefault="00585A32" w:rsidP="00CE563D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Por otro lado, la única capital de provincia en el que el precio del alquiler </w:t>
      </w:r>
      <w:r w:rsidRPr="005650F4">
        <w:rPr>
          <w:rFonts w:ascii="Open Sans" w:hAnsi="Open Sans" w:cs="Open Sans"/>
          <w:b/>
          <w:bCs/>
          <w:sz w:val="22"/>
          <w:szCs w:val="22"/>
        </w:rPr>
        <w:t>desciende en estos últimos 5 años es Barcelona capital con un -0,4%.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Así, los barceloneses en 2016 debían pagar por el alquiler de una vivienda de 80 m</w:t>
      </w:r>
      <w:r w:rsidRPr="002C2F40">
        <w:rPr>
          <w:rFonts w:ascii="Open Sans" w:hAnsi="Open Sans" w:cs="Open Sans"/>
          <w:color w:val="000000"/>
          <w:sz w:val="22"/>
          <w:szCs w:val="22"/>
          <w:vertAlign w:val="superscript"/>
        </w:rPr>
        <w:t>2</w:t>
      </w:r>
      <w:r>
        <w:rPr>
          <w:rFonts w:ascii="Open Sans" w:hAnsi="Open Sans" w:cs="Open Sans"/>
          <w:color w:val="000000"/>
          <w:sz w:val="22"/>
          <w:szCs w:val="22"/>
        </w:rPr>
        <w:t xml:space="preserve"> una media de 1.350 euros/mes frente a los 1.346 euros </w:t>
      </w:r>
      <w:r w:rsidRPr="007B4A86">
        <w:rPr>
          <w:rFonts w:ascii="Open Sans" w:hAnsi="Open Sans" w:cs="Open Sans"/>
          <w:color w:val="000000"/>
          <w:sz w:val="22"/>
          <w:szCs w:val="22"/>
        </w:rPr>
        <w:t>que se paga como media en 2021. A</w:t>
      </w:r>
      <w:r w:rsidRPr="007B4A86">
        <w:rPr>
          <w:rFonts w:ascii="Open Sans" w:hAnsi="Open Sans" w:cs="Open Sans"/>
          <w:color w:val="000000" w:themeColor="text1"/>
          <w:sz w:val="22"/>
          <w:szCs w:val="22"/>
        </w:rPr>
        <w:t xml:space="preserve">nalizando los precios que se </w:t>
      </w:r>
      <w:r w:rsidRPr="007B4A86">
        <w:rPr>
          <w:rFonts w:ascii="Open Sans" w:hAnsi="Open Sans" w:cs="Open Sans"/>
          <w:color w:val="000000" w:themeColor="text1"/>
          <w:sz w:val="22"/>
          <w:szCs w:val="22"/>
        </w:rPr>
        <w:lastRenderedPageBreak/>
        <w:t>pagaban por el alquiler en 2016, el precio medio del metro cuadrado de la vivienda en alquiler</w:t>
      </w:r>
      <w:r w:rsidRPr="008D12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ha pasado de 16,88 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>euros/m</w:t>
      </w:r>
      <w:r w:rsidRPr="005C5838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2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al mes 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>en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diciembre de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 201</w:t>
      </w:r>
      <w:r>
        <w:rPr>
          <w:rFonts w:ascii="Open Sans" w:hAnsi="Open Sans" w:cs="Open Sans"/>
          <w:color w:val="000000" w:themeColor="text1"/>
          <w:sz w:val="22"/>
          <w:szCs w:val="22"/>
        </w:rPr>
        <w:t>6,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 a </w:t>
      </w:r>
      <w:r>
        <w:rPr>
          <w:rFonts w:ascii="Open Sans" w:hAnsi="Open Sans" w:cs="Open Sans"/>
          <w:color w:val="000000" w:themeColor="text1"/>
          <w:sz w:val="22"/>
          <w:szCs w:val="22"/>
        </w:rPr>
        <w:t>los 16,82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 euros/m</w:t>
      </w:r>
      <w:r w:rsidRPr="005C5838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2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al mes 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 xml:space="preserve">en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diciembre 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>de 20</w:t>
      </w:r>
      <w:r>
        <w:rPr>
          <w:rFonts w:ascii="Open Sans" w:hAnsi="Open Sans" w:cs="Open Sans"/>
          <w:color w:val="000000" w:themeColor="text1"/>
          <w:sz w:val="22"/>
          <w:szCs w:val="22"/>
        </w:rPr>
        <w:t>21 (</w:t>
      </w:r>
      <w:r w:rsidR="00755126">
        <w:rPr>
          <w:rFonts w:ascii="Open Sans" w:hAnsi="Open Sans" w:cs="Open Sans"/>
          <w:color w:val="000000" w:themeColor="text1"/>
          <w:sz w:val="22"/>
          <w:szCs w:val="22"/>
        </w:rPr>
        <w:t>descenso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del </w:t>
      </w:r>
      <w:r w:rsidR="00755126">
        <w:rPr>
          <w:rFonts w:ascii="Open Sans" w:hAnsi="Open Sans" w:cs="Open Sans"/>
          <w:color w:val="000000" w:themeColor="text1"/>
          <w:sz w:val="22"/>
          <w:szCs w:val="22"/>
        </w:rPr>
        <w:t>-0,4</w:t>
      </w:r>
      <w:r>
        <w:rPr>
          <w:rFonts w:ascii="Open Sans" w:hAnsi="Open Sans" w:cs="Open Sans"/>
          <w:color w:val="000000" w:themeColor="text1"/>
          <w:sz w:val="22"/>
          <w:szCs w:val="22"/>
        </w:rPr>
        <w:t>% en 5 años</w:t>
      </w:r>
      <w:r w:rsidRPr="005C5838">
        <w:rPr>
          <w:rFonts w:ascii="Open Sans" w:hAnsi="Open Sans" w:cs="Open Sans"/>
          <w:color w:val="000000" w:themeColor="text1"/>
          <w:sz w:val="22"/>
          <w:szCs w:val="22"/>
        </w:rPr>
        <w:t>)</w:t>
      </w:r>
      <w:r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2885059E" w14:textId="50539B0C" w:rsidR="007F3DDC" w:rsidRDefault="00D00F1E" w:rsidP="00CE563D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Las diez ciudades con mayor incremento acumulativo de los alquileres en España son:</w:t>
      </w:r>
      <w:r w:rsidRPr="00CE563D">
        <w:rPr>
          <w:rFonts w:ascii="Open Sans" w:hAnsi="Open Sans" w:cs="Open Sans"/>
          <w:sz w:val="22"/>
          <w:szCs w:val="22"/>
        </w:rPr>
        <w:t xml:space="preserve"> </w:t>
      </w:r>
      <w:r w:rsidR="007F3DDC" w:rsidRPr="007F3DDC">
        <w:rPr>
          <w:rFonts w:ascii="Open Sans" w:hAnsi="Open Sans" w:cs="Open Sans"/>
          <w:sz w:val="22"/>
          <w:szCs w:val="22"/>
        </w:rPr>
        <w:t xml:space="preserve">Santa Cruz de Tenerife capital </w:t>
      </w:r>
      <w:r w:rsidR="00CE563D">
        <w:rPr>
          <w:rFonts w:ascii="Open Sans" w:hAnsi="Open Sans" w:cs="Open Sans"/>
          <w:sz w:val="22"/>
          <w:szCs w:val="22"/>
        </w:rPr>
        <w:t>(</w:t>
      </w:r>
      <w:r w:rsidR="007F3DDC">
        <w:rPr>
          <w:rFonts w:ascii="Open Sans" w:hAnsi="Open Sans" w:cs="Open Sans"/>
          <w:sz w:val="22"/>
          <w:szCs w:val="22"/>
        </w:rPr>
        <w:t>50</w:t>
      </w:r>
      <w:r w:rsidR="00CE563D" w:rsidRPr="00CE563D">
        <w:rPr>
          <w:rFonts w:ascii="Open Sans" w:hAnsi="Open Sans" w:cs="Open Sans"/>
          <w:sz w:val="22"/>
          <w:szCs w:val="22"/>
        </w:rPr>
        <w:t>%</w:t>
      </w:r>
      <w:r w:rsidR="00CE563D">
        <w:rPr>
          <w:rFonts w:ascii="Open Sans" w:hAnsi="Open Sans" w:cs="Open Sans"/>
          <w:sz w:val="22"/>
          <w:szCs w:val="22"/>
        </w:rPr>
        <w:t>),</w:t>
      </w:r>
      <w:r w:rsidR="007F3DDC">
        <w:rPr>
          <w:rFonts w:ascii="Open Sans" w:hAnsi="Open Sans" w:cs="Open Sans"/>
          <w:sz w:val="22"/>
          <w:szCs w:val="22"/>
        </w:rPr>
        <w:t xml:space="preserve"> Lleida capital (39%), Murcia capital (38%), Valencia</w:t>
      </w:r>
      <w:r w:rsidR="007F3DDC" w:rsidRPr="007F3DDC">
        <w:rPr>
          <w:rFonts w:ascii="Open Sans" w:hAnsi="Open Sans" w:cs="Open Sans"/>
          <w:sz w:val="22"/>
          <w:szCs w:val="22"/>
        </w:rPr>
        <w:t xml:space="preserve"> </w:t>
      </w:r>
      <w:r w:rsidR="007F3DDC">
        <w:rPr>
          <w:rFonts w:ascii="Open Sans" w:hAnsi="Open Sans" w:cs="Open Sans"/>
          <w:sz w:val="22"/>
          <w:szCs w:val="22"/>
        </w:rPr>
        <w:t>capital (38%), Cádiz capital (35%), Castellón de la Plana (34%), Almería</w:t>
      </w:r>
      <w:r w:rsidR="007F3DDC" w:rsidRPr="007F3DDC">
        <w:rPr>
          <w:rFonts w:ascii="Open Sans" w:hAnsi="Open Sans" w:cs="Open Sans"/>
          <w:sz w:val="22"/>
          <w:szCs w:val="22"/>
        </w:rPr>
        <w:t xml:space="preserve"> </w:t>
      </w:r>
      <w:r w:rsidR="007F3DDC">
        <w:rPr>
          <w:rFonts w:ascii="Open Sans" w:hAnsi="Open Sans" w:cs="Open Sans"/>
          <w:sz w:val="22"/>
          <w:szCs w:val="22"/>
        </w:rPr>
        <w:t>capital (33%), Pamplona capital (32%), Girona</w:t>
      </w:r>
      <w:r w:rsidR="007F3DDC" w:rsidRPr="007F3DDC">
        <w:rPr>
          <w:rFonts w:ascii="Open Sans" w:hAnsi="Open Sans" w:cs="Open Sans"/>
          <w:sz w:val="22"/>
          <w:szCs w:val="22"/>
        </w:rPr>
        <w:t xml:space="preserve"> </w:t>
      </w:r>
      <w:r w:rsidR="007F3DDC">
        <w:rPr>
          <w:rFonts w:ascii="Open Sans" w:hAnsi="Open Sans" w:cs="Open Sans"/>
          <w:sz w:val="22"/>
          <w:szCs w:val="22"/>
        </w:rPr>
        <w:t>capital (32%) y A Coruña</w:t>
      </w:r>
      <w:r w:rsidR="007F3DDC" w:rsidRPr="007F3DDC">
        <w:rPr>
          <w:rFonts w:ascii="Open Sans" w:hAnsi="Open Sans" w:cs="Open Sans"/>
          <w:sz w:val="22"/>
          <w:szCs w:val="22"/>
        </w:rPr>
        <w:t xml:space="preserve"> </w:t>
      </w:r>
      <w:r w:rsidR="007F3DDC">
        <w:rPr>
          <w:rFonts w:ascii="Open Sans" w:hAnsi="Open Sans" w:cs="Open Sans"/>
          <w:sz w:val="22"/>
          <w:szCs w:val="22"/>
        </w:rPr>
        <w:t>capital (31%).</w:t>
      </w:r>
    </w:p>
    <w:p w14:paraId="73D15F2A" w14:textId="06E32BEB" w:rsidR="00585A32" w:rsidRDefault="00D00F1E" w:rsidP="00585A32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Por otro lado, las diez ciudades menos afectadas </w:t>
      </w:r>
      <w:r w:rsidR="001C6AC4">
        <w:rPr>
          <w:rFonts w:ascii="Open Sans" w:hAnsi="Open Sans" w:cs="Open Sans"/>
          <w:sz w:val="22"/>
          <w:szCs w:val="22"/>
        </w:rPr>
        <w:t>por</w:t>
      </w:r>
      <w:r>
        <w:rPr>
          <w:rFonts w:ascii="Open Sans" w:hAnsi="Open Sans" w:cs="Open Sans"/>
          <w:sz w:val="22"/>
          <w:szCs w:val="22"/>
        </w:rPr>
        <w:t xml:space="preserve"> el incremento del alquiler desde 201</w:t>
      </w:r>
      <w:r w:rsidR="00585A32">
        <w:rPr>
          <w:rFonts w:ascii="Open Sans" w:hAnsi="Open Sans" w:cs="Open Sans"/>
          <w:sz w:val="22"/>
          <w:szCs w:val="22"/>
        </w:rPr>
        <w:t>6</w:t>
      </w:r>
      <w:r>
        <w:rPr>
          <w:rFonts w:ascii="Open Sans" w:hAnsi="Open Sans" w:cs="Open Sans"/>
          <w:sz w:val="22"/>
          <w:szCs w:val="22"/>
        </w:rPr>
        <w:t xml:space="preserve"> son:</w:t>
      </w:r>
      <w:r w:rsidR="00585A32">
        <w:rPr>
          <w:rFonts w:ascii="Open Sans" w:hAnsi="Open Sans" w:cs="Open Sans"/>
          <w:sz w:val="22"/>
          <w:szCs w:val="22"/>
        </w:rPr>
        <w:t xml:space="preserve"> </w:t>
      </w:r>
      <w:r w:rsidR="00585A32" w:rsidRPr="00585A32">
        <w:rPr>
          <w:rFonts w:ascii="Open Sans" w:hAnsi="Open Sans" w:cs="Open Sans"/>
          <w:sz w:val="22"/>
          <w:szCs w:val="22"/>
        </w:rPr>
        <w:t>Córdoba capital</w:t>
      </w:r>
      <w:r w:rsidR="00585A32">
        <w:rPr>
          <w:rFonts w:ascii="Open Sans" w:hAnsi="Open Sans" w:cs="Open Sans"/>
          <w:sz w:val="22"/>
          <w:szCs w:val="22"/>
        </w:rPr>
        <w:t xml:space="preserve"> (</w:t>
      </w:r>
      <w:r w:rsidR="00585A32" w:rsidRPr="00585A32">
        <w:rPr>
          <w:rFonts w:ascii="Open Sans" w:hAnsi="Open Sans" w:cs="Open Sans"/>
          <w:sz w:val="22"/>
          <w:szCs w:val="22"/>
        </w:rPr>
        <w:t>10%</w:t>
      </w:r>
      <w:r w:rsidR="00585A32">
        <w:rPr>
          <w:rFonts w:ascii="Open Sans" w:hAnsi="Open Sans" w:cs="Open Sans"/>
          <w:sz w:val="22"/>
          <w:szCs w:val="22"/>
        </w:rPr>
        <w:t xml:space="preserve">), </w:t>
      </w:r>
      <w:r w:rsidR="00585A32" w:rsidRPr="00585A32">
        <w:rPr>
          <w:rFonts w:ascii="Open Sans" w:hAnsi="Open Sans" w:cs="Open Sans"/>
          <w:sz w:val="22"/>
          <w:szCs w:val="22"/>
        </w:rPr>
        <w:t>Palma de Mallorca</w:t>
      </w:r>
      <w:r w:rsidR="00585A32">
        <w:rPr>
          <w:rFonts w:ascii="Open Sans" w:hAnsi="Open Sans" w:cs="Open Sans"/>
          <w:sz w:val="22"/>
          <w:szCs w:val="22"/>
        </w:rPr>
        <w:t xml:space="preserve"> (</w:t>
      </w:r>
      <w:r w:rsidR="00585A32" w:rsidRPr="00585A32">
        <w:rPr>
          <w:rFonts w:ascii="Open Sans" w:hAnsi="Open Sans" w:cs="Open Sans"/>
          <w:sz w:val="22"/>
          <w:szCs w:val="22"/>
        </w:rPr>
        <w:t>10%</w:t>
      </w:r>
      <w:r w:rsidR="00585A32">
        <w:rPr>
          <w:rFonts w:ascii="Open Sans" w:hAnsi="Open Sans" w:cs="Open Sans"/>
          <w:sz w:val="22"/>
          <w:szCs w:val="22"/>
        </w:rPr>
        <w:t xml:space="preserve">), </w:t>
      </w:r>
      <w:r w:rsidR="00585A32" w:rsidRPr="00585A32">
        <w:rPr>
          <w:rFonts w:ascii="Open Sans" w:hAnsi="Open Sans" w:cs="Open Sans"/>
          <w:sz w:val="22"/>
          <w:szCs w:val="22"/>
        </w:rPr>
        <w:t>Ciudad Real capital</w:t>
      </w:r>
      <w:r w:rsidR="00585A32">
        <w:rPr>
          <w:rFonts w:ascii="Open Sans" w:hAnsi="Open Sans" w:cs="Open Sans"/>
          <w:sz w:val="22"/>
          <w:szCs w:val="22"/>
        </w:rPr>
        <w:t xml:space="preserve"> (</w:t>
      </w:r>
      <w:r w:rsidR="00585A32" w:rsidRPr="00585A32">
        <w:rPr>
          <w:rFonts w:ascii="Open Sans" w:hAnsi="Open Sans" w:cs="Open Sans"/>
          <w:sz w:val="22"/>
          <w:szCs w:val="22"/>
        </w:rPr>
        <w:t>11%</w:t>
      </w:r>
      <w:r w:rsidR="00585A32">
        <w:rPr>
          <w:rFonts w:ascii="Open Sans" w:hAnsi="Open Sans" w:cs="Open Sans"/>
          <w:sz w:val="22"/>
          <w:szCs w:val="22"/>
        </w:rPr>
        <w:t xml:space="preserve">), </w:t>
      </w:r>
      <w:r w:rsidR="00585A32" w:rsidRPr="00585A32">
        <w:rPr>
          <w:rFonts w:ascii="Open Sans" w:hAnsi="Open Sans" w:cs="Open Sans"/>
          <w:sz w:val="22"/>
          <w:szCs w:val="22"/>
        </w:rPr>
        <w:t>Melilla capital</w:t>
      </w:r>
      <w:r w:rsidR="00585A32">
        <w:rPr>
          <w:rFonts w:ascii="Open Sans" w:hAnsi="Open Sans" w:cs="Open Sans"/>
          <w:sz w:val="22"/>
          <w:szCs w:val="22"/>
        </w:rPr>
        <w:t xml:space="preserve"> (</w:t>
      </w:r>
      <w:r w:rsidR="00585A32" w:rsidRPr="00585A32">
        <w:rPr>
          <w:rFonts w:ascii="Open Sans" w:hAnsi="Open Sans" w:cs="Open Sans"/>
          <w:sz w:val="22"/>
          <w:szCs w:val="22"/>
        </w:rPr>
        <w:t>11%</w:t>
      </w:r>
      <w:r w:rsidR="00585A32">
        <w:rPr>
          <w:rFonts w:ascii="Open Sans" w:hAnsi="Open Sans" w:cs="Open Sans"/>
          <w:sz w:val="22"/>
          <w:szCs w:val="22"/>
        </w:rPr>
        <w:t xml:space="preserve">), </w:t>
      </w:r>
      <w:r w:rsidR="00585A32" w:rsidRPr="00585A32">
        <w:rPr>
          <w:rFonts w:ascii="Open Sans" w:hAnsi="Open Sans" w:cs="Open Sans"/>
          <w:sz w:val="22"/>
          <w:szCs w:val="22"/>
        </w:rPr>
        <w:t>Madrid capital</w:t>
      </w:r>
      <w:r w:rsidR="00585A32">
        <w:rPr>
          <w:rFonts w:ascii="Open Sans" w:hAnsi="Open Sans" w:cs="Open Sans"/>
          <w:sz w:val="22"/>
          <w:szCs w:val="22"/>
        </w:rPr>
        <w:t xml:space="preserve"> (</w:t>
      </w:r>
      <w:r w:rsidR="00585A32" w:rsidRPr="00585A32">
        <w:rPr>
          <w:rFonts w:ascii="Open Sans" w:hAnsi="Open Sans" w:cs="Open Sans"/>
          <w:sz w:val="22"/>
          <w:szCs w:val="22"/>
        </w:rPr>
        <w:t>12%</w:t>
      </w:r>
      <w:r w:rsidR="00585A32">
        <w:rPr>
          <w:rFonts w:ascii="Open Sans" w:hAnsi="Open Sans" w:cs="Open Sans"/>
          <w:sz w:val="22"/>
          <w:szCs w:val="22"/>
        </w:rPr>
        <w:t xml:space="preserve">), </w:t>
      </w:r>
      <w:r w:rsidR="00585A32" w:rsidRPr="00585A32">
        <w:rPr>
          <w:rFonts w:ascii="Open Sans" w:hAnsi="Open Sans" w:cs="Open Sans"/>
          <w:sz w:val="22"/>
          <w:szCs w:val="22"/>
        </w:rPr>
        <w:t>Palencia capital</w:t>
      </w:r>
      <w:r w:rsidR="00585A32">
        <w:rPr>
          <w:rFonts w:ascii="Open Sans" w:hAnsi="Open Sans" w:cs="Open Sans"/>
          <w:sz w:val="22"/>
          <w:szCs w:val="22"/>
        </w:rPr>
        <w:t xml:space="preserve"> (</w:t>
      </w:r>
      <w:r w:rsidR="00585A32" w:rsidRPr="00585A32">
        <w:rPr>
          <w:rFonts w:ascii="Open Sans" w:hAnsi="Open Sans" w:cs="Open Sans"/>
          <w:sz w:val="22"/>
          <w:szCs w:val="22"/>
        </w:rPr>
        <w:t>13%</w:t>
      </w:r>
      <w:r w:rsidR="00585A32">
        <w:rPr>
          <w:rFonts w:ascii="Open Sans" w:hAnsi="Open Sans" w:cs="Open Sans"/>
          <w:sz w:val="22"/>
          <w:szCs w:val="22"/>
        </w:rPr>
        <w:t xml:space="preserve">), </w:t>
      </w:r>
      <w:r w:rsidR="00585A32" w:rsidRPr="00585A32">
        <w:rPr>
          <w:rFonts w:ascii="Open Sans" w:hAnsi="Open Sans" w:cs="Open Sans"/>
          <w:sz w:val="22"/>
          <w:szCs w:val="22"/>
        </w:rPr>
        <w:t>Bilbao</w:t>
      </w:r>
      <w:r w:rsidR="00585A32">
        <w:rPr>
          <w:rFonts w:ascii="Open Sans" w:hAnsi="Open Sans" w:cs="Open Sans"/>
          <w:sz w:val="22"/>
          <w:szCs w:val="22"/>
        </w:rPr>
        <w:t xml:space="preserve"> (</w:t>
      </w:r>
      <w:r w:rsidR="00585A32" w:rsidRPr="00585A32">
        <w:rPr>
          <w:rFonts w:ascii="Open Sans" w:hAnsi="Open Sans" w:cs="Open Sans"/>
          <w:sz w:val="22"/>
          <w:szCs w:val="22"/>
        </w:rPr>
        <w:t>14%</w:t>
      </w:r>
      <w:r w:rsidR="00585A32">
        <w:rPr>
          <w:rFonts w:ascii="Open Sans" w:hAnsi="Open Sans" w:cs="Open Sans"/>
          <w:sz w:val="22"/>
          <w:szCs w:val="22"/>
        </w:rPr>
        <w:t xml:space="preserve">), </w:t>
      </w:r>
      <w:r w:rsidR="00585A32" w:rsidRPr="00585A32">
        <w:rPr>
          <w:rFonts w:ascii="Open Sans" w:hAnsi="Open Sans" w:cs="Open Sans"/>
          <w:sz w:val="22"/>
          <w:szCs w:val="22"/>
        </w:rPr>
        <w:t>Salamanca capital</w:t>
      </w:r>
      <w:r w:rsidR="00585A32">
        <w:rPr>
          <w:rFonts w:ascii="Open Sans" w:hAnsi="Open Sans" w:cs="Open Sans"/>
          <w:sz w:val="22"/>
          <w:szCs w:val="22"/>
        </w:rPr>
        <w:t xml:space="preserve"> (</w:t>
      </w:r>
      <w:r w:rsidR="00585A32" w:rsidRPr="00585A32">
        <w:rPr>
          <w:rFonts w:ascii="Open Sans" w:hAnsi="Open Sans" w:cs="Open Sans"/>
          <w:sz w:val="22"/>
          <w:szCs w:val="22"/>
        </w:rPr>
        <w:t>14%</w:t>
      </w:r>
      <w:r w:rsidR="00585A32">
        <w:rPr>
          <w:rFonts w:ascii="Open Sans" w:hAnsi="Open Sans" w:cs="Open Sans"/>
          <w:sz w:val="22"/>
          <w:szCs w:val="22"/>
        </w:rPr>
        <w:t xml:space="preserve">), </w:t>
      </w:r>
      <w:r w:rsidR="00585A32" w:rsidRPr="00585A32">
        <w:rPr>
          <w:rFonts w:ascii="Open Sans" w:hAnsi="Open Sans" w:cs="Open Sans"/>
          <w:sz w:val="22"/>
          <w:szCs w:val="22"/>
        </w:rPr>
        <w:t>Tarragona capital</w:t>
      </w:r>
      <w:r w:rsidR="00585A32">
        <w:rPr>
          <w:rFonts w:ascii="Open Sans" w:hAnsi="Open Sans" w:cs="Open Sans"/>
          <w:sz w:val="22"/>
          <w:szCs w:val="22"/>
        </w:rPr>
        <w:t xml:space="preserve"> (</w:t>
      </w:r>
      <w:r w:rsidR="00585A32" w:rsidRPr="00585A32">
        <w:rPr>
          <w:rFonts w:ascii="Open Sans" w:hAnsi="Open Sans" w:cs="Open Sans"/>
          <w:sz w:val="22"/>
          <w:szCs w:val="22"/>
        </w:rPr>
        <w:t>19%</w:t>
      </w:r>
      <w:r w:rsidR="00585A32">
        <w:rPr>
          <w:rFonts w:ascii="Open Sans" w:hAnsi="Open Sans" w:cs="Open Sans"/>
          <w:sz w:val="22"/>
          <w:szCs w:val="22"/>
        </w:rPr>
        <w:t xml:space="preserve">) y </w:t>
      </w:r>
      <w:r w:rsidR="00585A32" w:rsidRPr="00585A32">
        <w:rPr>
          <w:rFonts w:ascii="Open Sans" w:hAnsi="Open Sans" w:cs="Open Sans"/>
          <w:sz w:val="22"/>
          <w:szCs w:val="22"/>
        </w:rPr>
        <w:t>Donostia - San Sebastián</w:t>
      </w:r>
      <w:r w:rsidR="00585A32">
        <w:rPr>
          <w:rFonts w:ascii="Open Sans" w:hAnsi="Open Sans" w:cs="Open Sans"/>
          <w:sz w:val="22"/>
          <w:szCs w:val="22"/>
        </w:rPr>
        <w:t xml:space="preserve"> (</w:t>
      </w:r>
      <w:r w:rsidR="00585A32" w:rsidRPr="00585A32">
        <w:rPr>
          <w:rFonts w:ascii="Open Sans" w:hAnsi="Open Sans" w:cs="Open Sans"/>
          <w:sz w:val="22"/>
          <w:szCs w:val="22"/>
        </w:rPr>
        <w:t>20%</w:t>
      </w:r>
      <w:r w:rsidR="00585A32">
        <w:rPr>
          <w:rFonts w:ascii="Open Sans" w:hAnsi="Open Sans" w:cs="Open Sans"/>
          <w:sz w:val="22"/>
          <w:szCs w:val="22"/>
        </w:rPr>
        <w:t>).</w:t>
      </w:r>
    </w:p>
    <w:p w14:paraId="77EAD465" w14:textId="77777777" w:rsidR="008D250C" w:rsidRDefault="008D250C" w:rsidP="002C1563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</w:p>
    <w:p w14:paraId="6DDFE6C3" w14:textId="4342E227" w:rsidR="00A449CC" w:rsidRDefault="00B54B63" w:rsidP="002C1563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Capital</w:t>
      </w:r>
      <w:r w:rsidR="00AD3095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es </w:t>
      </w:r>
      <w:r w:rsidR="00FB61E9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con p</w:t>
      </w:r>
      <w:r w:rsidR="00FB61E9" w:rsidRPr="00D82713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 xml:space="preserve">orcentaje (%) </w:t>
      </w:r>
      <w:r w:rsidR="00FB61E9" w:rsidRPr="004419C5"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acumulativo</w:t>
      </w:r>
      <w:r w:rsidR="00FB61E9" w:rsidRPr="001C6AC4">
        <w:rPr>
          <w:rFonts w:ascii="National" w:hAnsi="National"/>
          <w:b/>
          <w:bCs/>
          <w:iCs/>
          <w:color w:val="FF0000"/>
          <w:sz w:val="28"/>
          <w:szCs w:val="160"/>
          <w:lang w:val="es-ES"/>
        </w:rPr>
        <w:t xml:space="preserve"> </w:t>
      </w:r>
    </w:p>
    <w:p w14:paraId="381EC2A0" w14:textId="77777777" w:rsidR="00E94830" w:rsidRDefault="00E94830" w:rsidP="002C1563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30"/>
          <w:szCs w:val="180"/>
          <w:lang w:val="es-ES"/>
        </w:rPr>
      </w:pPr>
    </w:p>
    <w:tbl>
      <w:tblPr>
        <w:tblW w:w="9194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9"/>
        <w:gridCol w:w="1988"/>
        <w:gridCol w:w="1984"/>
        <w:gridCol w:w="1833"/>
      </w:tblGrid>
      <w:tr w:rsidR="00074685" w:rsidRPr="00074685" w14:paraId="73B9FF49" w14:textId="77777777" w:rsidTr="00E94830">
        <w:trPr>
          <w:trHeight w:val="780"/>
        </w:trPr>
        <w:tc>
          <w:tcPr>
            <w:tcW w:w="3389" w:type="dxa"/>
            <w:shd w:val="clear" w:color="auto" w:fill="ACB9CA"/>
            <w:vAlign w:val="center"/>
          </w:tcPr>
          <w:p w14:paraId="0737157A" w14:textId="122428D0" w:rsidR="00074685" w:rsidRPr="00074685" w:rsidRDefault="00074685" w:rsidP="00074685">
            <w:pPr>
              <w:rPr>
                <w:rFonts w:ascii="Open Sans" w:eastAsia="Times New Roman" w:hAnsi="Open Sans" w:cs="Open Sans"/>
                <w:color w:val="0D0D0D" w:themeColor="text1" w:themeTint="F2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eastAsia="Times New Roman" w:hAnsi="Open Sans" w:cs="Open Sans"/>
                <w:color w:val="0D0D0D" w:themeColor="text1" w:themeTint="F2"/>
                <w:sz w:val="22"/>
                <w:szCs w:val="22"/>
                <w:lang w:val="es-ES" w:eastAsia="es-ES"/>
              </w:rPr>
              <w:t>Ciudad</w:t>
            </w:r>
          </w:p>
        </w:tc>
        <w:tc>
          <w:tcPr>
            <w:tcW w:w="1988" w:type="dxa"/>
            <w:shd w:val="clear" w:color="auto" w:fill="ACB9CA"/>
            <w:vAlign w:val="center"/>
          </w:tcPr>
          <w:p w14:paraId="6C4A72A7" w14:textId="6C512EBC" w:rsidR="00074685" w:rsidRPr="00074685" w:rsidRDefault="00074685" w:rsidP="00074685">
            <w:pPr>
              <w:jc w:val="center"/>
              <w:rPr>
                <w:rFonts w:ascii="Open Sans" w:eastAsia="Times New Roman" w:hAnsi="Open Sans" w:cs="Open Sans"/>
                <w:color w:val="0D0D0D" w:themeColor="text1" w:themeTint="F2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 xml:space="preserve">(%) Acumulativo      10 años          </w:t>
            </w:r>
            <w:proofErr w:type="gramStart"/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 xml:space="preserve">   (</w:t>
            </w:r>
            <w:proofErr w:type="gramEnd"/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>2021 vs 2011)</w:t>
            </w:r>
          </w:p>
        </w:tc>
        <w:tc>
          <w:tcPr>
            <w:tcW w:w="1984" w:type="dxa"/>
            <w:shd w:val="clear" w:color="auto" w:fill="ACB9CA"/>
            <w:vAlign w:val="center"/>
            <w:hideMark/>
          </w:tcPr>
          <w:p w14:paraId="673F8AD0" w14:textId="60E02ACC" w:rsidR="00074685" w:rsidRPr="00B4196E" w:rsidRDefault="00074685" w:rsidP="00074685">
            <w:pPr>
              <w:jc w:val="center"/>
              <w:rPr>
                <w:rFonts w:ascii="Open Sans" w:eastAsia="Times New Roman" w:hAnsi="Open Sans" w:cs="Open Sans"/>
                <w:color w:val="0D0D0D" w:themeColor="text1" w:themeTint="F2"/>
                <w:sz w:val="22"/>
                <w:szCs w:val="22"/>
                <w:lang w:val="es-ES" w:eastAsia="es-ES"/>
              </w:rPr>
            </w:pPr>
            <w:r w:rsidRPr="00B4196E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 xml:space="preserve">(%) Acumulativo      5 años          </w:t>
            </w:r>
            <w:proofErr w:type="gramStart"/>
            <w:r w:rsidRPr="00B4196E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 xml:space="preserve">   (</w:t>
            </w:r>
            <w:proofErr w:type="gramEnd"/>
            <w:r w:rsidRPr="00B4196E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>2021 vs 2016)</w:t>
            </w:r>
          </w:p>
        </w:tc>
        <w:tc>
          <w:tcPr>
            <w:tcW w:w="1833" w:type="dxa"/>
            <w:shd w:val="clear" w:color="auto" w:fill="ACB9CA" w:themeFill="text2" w:themeFillTint="66"/>
            <w:vAlign w:val="center"/>
          </w:tcPr>
          <w:p w14:paraId="0BBD2ED3" w14:textId="56260380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 xml:space="preserve">(%) Acumulativo      1 año           </w:t>
            </w:r>
            <w:proofErr w:type="gramStart"/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 xml:space="preserve">   (</w:t>
            </w:r>
            <w:proofErr w:type="gramEnd"/>
            <w:r w:rsidRPr="00074685">
              <w:rPr>
                <w:rFonts w:ascii="Open Sans" w:hAnsi="Open Sans" w:cs="Open Sans"/>
                <w:color w:val="0D0D0D" w:themeColor="text1" w:themeTint="F2"/>
                <w:sz w:val="22"/>
                <w:szCs w:val="22"/>
              </w:rPr>
              <w:t>2021 vs 2020)</w:t>
            </w:r>
          </w:p>
        </w:tc>
      </w:tr>
      <w:tr w:rsidR="00074685" w:rsidRPr="00074685" w14:paraId="54395A4E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6FC70DA6" w14:textId="19B9DD68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Santa Cruz de Tenerife capital</w:t>
            </w:r>
          </w:p>
        </w:tc>
        <w:tc>
          <w:tcPr>
            <w:tcW w:w="1988" w:type="dxa"/>
            <w:vAlign w:val="bottom"/>
          </w:tcPr>
          <w:p w14:paraId="42639B75" w14:textId="55B5CAE4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24F9E9D" w14:textId="2EC47361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833" w:type="dxa"/>
            <w:vAlign w:val="bottom"/>
          </w:tcPr>
          <w:p w14:paraId="4384AEF9" w14:textId="236B5931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10,6%</w:t>
            </w:r>
          </w:p>
        </w:tc>
      </w:tr>
      <w:tr w:rsidR="00074685" w:rsidRPr="00074685" w14:paraId="77531F54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351EA597" w14:textId="75EE9846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Lleida capital</w:t>
            </w:r>
          </w:p>
        </w:tc>
        <w:tc>
          <w:tcPr>
            <w:tcW w:w="1988" w:type="dxa"/>
            <w:vAlign w:val="bottom"/>
          </w:tcPr>
          <w:p w14:paraId="73C3694B" w14:textId="51C4AC55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22%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AAB617A" w14:textId="7961370C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39%</w:t>
            </w:r>
          </w:p>
        </w:tc>
        <w:tc>
          <w:tcPr>
            <w:tcW w:w="1833" w:type="dxa"/>
            <w:vAlign w:val="bottom"/>
          </w:tcPr>
          <w:p w14:paraId="0BC74949" w14:textId="620AD4F2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8,2%</w:t>
            </w:r>
          </w:p>
        </w:tc>
      </w:tr>
      <w:tr w:rsidR="00074685" w:rsidRPr="00074685" w14:paraId="65E83C97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6B29A444" w14:textId="1502829A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Murcia capital</w:t>
            </w:r>
          </w:p>
        </w:tc>
        <w:tc>
          <w:tcPr>
            <w:tcW w:w="1988" w:type="dxa"/>
            <w:vAlign w:val="bottom"/>
          </w:tcPr>
          <w:p w14:paraId="378FB64C" w14:textId="26054694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F51432D" w14:textId="1FB44FC5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38%</w:t>
            </w:r>
          </w:p>
        </w:tc>
        <w:tc>
          <w:tcPr>
            <w:tcW w:w="1833" w:type="dxa"/>
            <w:vAlign w:val="bottom"/>
          </w:tcPr>
          <w:p w14:paraId="0B8AC65B" w14:textId="6E89D5CC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6,3%</w:t>
            </w:r>
          </w:p>
        </w:tc>
      </w:tr>
      <w:tr w:rsidR="00074685" w:rsidRPr="00074685" w14:paraId="04534D0A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79DAA907" w14:textId="1C3C8D8F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Valencia capital</w:t>
            </w:r>
          </w:p>
        </w:tc>
        <w:tc>
          <w:tcPr>
            <w:tcW w:w="1988" w:type="dxa"/>
            <w:vAlign w:val="bottom"/>
          </w:tcPr>
          <w:p w14:paraId="549364C8" w14:textId="06A95BAC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58E3495" w14:textId="5690F3CE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38%</w:t>
            </w:r>
          </w:p>
        </w:tc>
        <w:tc>
          <w:tcPr>
            <w:tcW w:w="1833" w:type="dxa"/>
            <w:vAlign w:val="bottom"/>
          </w:tcPr>
          <w:p w14:paraId="2B840F7F" w14:textId="64D9466F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6,2%</w:t>
            </w:r>
          </w:p>
        </w:tc>
      </w:tr>
      <w:tr w:rsidR="00074685" w:rsidRPr="00074685" w14:paraId="344BE44A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605CFEC0" w14:textId="19F8BA2D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Cádiz capital</w:t>
            </w:r>
          </w:p>
        </w:tc>
        <w:tc>
          <w:tcPr>
            <w:tcW w:w="1988" w:type="dxa"/>
            <w:vAlign w:val="bottom"/>
          </w:tcPr>
          <w:p w14:paraId="6AA5FEFD" w14:textId="3635F169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D3417AF" w14:textId="618D36A9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35%</w:t>
            </w:r>
          </w:p>
        </w:tc>
        <w:tc>
          <w:tcPr>
            <w:tcW w:w="1833" w:type="dxa"/>
            <w:vAlign w:val="bottom"/>
          </w:tcPr>
          <w:p w14:paraId="527D845E" w14:textId="29B019D1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9,9%</w:t>
            </w:r>
          </w:p>
        </w:tc>
      </w:tr>
      <w:tr w:rsidR="00074685" w:rsidRPr="00074685" w14:paraId="6B40BC70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3098FF15" w14:textId="23DFF650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Castellón de la Plana / Castelló de la Plana</w:t>
            </w:r>
          </w:p>
        </w:tc>
        <w:tc>
          <w:tcPr>
            <w:tcW w:w="1988" w:type="dxa"/>
            <w:vAlign w:val="bottom"/>
          </w:tcPr>
          <w:p w14:paraId="787E9859" w14:textId="747EBD4C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BA798BA" w14:textId="1E3E13E1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34%</w:t>
            </w:r>
          </w:p>
        </w:tc>
        <w:tc>
          <w:tcPr>
            <w:tcW w:w="1833" w:type="dxa"/>
            <w:vAlign w:val="bottom"/>
          </w:tcPr>
          <w:p w14:paraId="579ADDED" w14:textId="687C687C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</w:tr>
      <w:tr w:rsidR="00074685" w:rsidRPr="00074685" w14:paraId="2A5D7941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24D78602" w14:textId="2C47C371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Almería capital</w:t>
            </w:r>
          </w:p>
        </w:tc>
        <w:tc>
          <w:tcPr>
            <w:tcW w:w="1988" w:type="dxa"/>
            <w:vAlign w:val="bottom"/>
          </w:tcPr>
          <w:p w14:paraId="7B3CC859" w14:textId="75F56301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5DF056D" w14:textId="05946958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33%</w:t>
            </w:r>
          </w:p>
        </w:tc>
        <w:tc>
          <w:tcPr>
            <w:tcW w:w="1833" w:type="dxa"/>
            <w:vAlign w:val="bottom"/>
          </w:tcPr>
          <w:p w14:paraId="37E0139E" w14:textId="1B6BE83E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4,1%</w:t>
            </w:r>
          </w:p>
        </w:tc>
      </w:tr>
      <w:tr w:rsidR="00074685" w:rsidRPr="00074685" w14:paraId="471FB2E8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5684F1B2" w14:textId="1B78D117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Pamplona / Iruña</w:t>
            </w:r>
          </w:p>
        </w:tc>
        <w:tc>
          <w:tcPr>
            <w:tcW w:w="1988" w:type="dxa"/>
            <w:vAlign w:val="bottom"/>
          </w:tcPr>
          <w:p w14:paraId="45391899" w14:textId="65EC6805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A7184BE" w14:textId="1BEFF32C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32%</w:t>
            </w:r>
          </w:p>
        </w:tc>
        <w:tc>
          <w:tcPr>
            <w:tcW w:w="1833" w:type="dxa"/>
            <w:vAlign w:val="bottom"/>
          </w:tcPr>
          <w:p w14:paraId="2FFE3ABA" w14:textId="005A78B1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9C0006"/>
                <w:sz w:val="22"/>
                <w:szCs w:val="22"/>
              </w:rPr>
              <w:t>-2,9%</w:t>
            </w:r>
          </w:p>
        </w:tc>
      </w:tr>
      <w:tr w:rsidR="00074685" w:rsidRPr="00074685" w14:paraId="153EC312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1B5D8512" w14:textId="0C20DF7B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Girona capital</w:t>
            </w:r>
          </w:p>
        </w:tc>
        <w:tc>
          <w:tcPr>
            <w:tcW w:w="1988" w:type="dxa"/>
            <w:vAlign w:val="bottom"/>
          </w:tcPr>
          <w:p w14:paraId="6DC6CA58" w14:textId="38EDFD5D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E4D84C1" w14:textId="13F09D1D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32%</w:t>
            </w:r>
          </w:p>
        </w:tc>
        <w:tc>
          <w:tcPr>
            <w:tcW w:w="1833" w:type="dxa"/>
            <w:vAlign w:val="bottom"/>
          </w:tcPr>
          <w:p w14:paraId="7EEAEACD" w14:textId="6594848D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8,2%</w:t>
            </w:r>
          </w:p>
        </w:tc>
      </w:tr>
      <w:tr w:rsidR="00074685" w:rsidRPr="00074685" w14:paraId="2FFB2759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3ACB0B55" w14:textId="408CDFCF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A Coruña capital</w:t>
            </w:r>
          </w:p>
        </w:tc>
        <w:tc>
          <w:tcPr>
            <w:tcW w:w="1988" w:type="dxa"/>
            <w:vAlign w:val="bottom"/>
          </w:tcPr>
          <w:p w14:paraId="1A7E8995" w14:textId="30585F93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370DA78" w14:textId="34E1DBE9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31%</w:t>
            </w:r>
          </w:p>
        </w:tc>
        <w:tc>
          <w:tcPr>
            <w:tcW w:w="1833" w:type="dxa"/>
            <w:vAlign w:val="bottom"/>
          </w:tcPr>
          <w:p w14:paraId="1B79F00F" w14:textId="6503C71F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2,0%</w:t>
            </w:r>
          </w:p>
        </w:tc>
      </w:tr>
      <w:tr w:rsidR="00074685" w:rsidRPr="00074685" w14:paraId="46A34A81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04D95982" w14:textId="0AB5C992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Toledo capital</w:t>
            </w:r>
          </w:p>
        </w:tc>
        <w:tc>
          <w:tcPr>
            <w:tcW w:w="1988" w:type="dxa"/>
            <w:vAlign w:val="bottom"/>
          </w:tcPr>
          <w:p w14:paraId="214B8E32" w14:textId="3A00F407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A9ACFF4" w14:textId="4858387C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29%</w:t>
            </w:r>
          </w:p>
        </w:tc>
        <w:tc>
          <w:tcPr>
            <w:tcW w:w="1833" w:type="dxa"/>
            <w:vAlign w:val="bottom"/>
          </w:tcPr>
          <w:p w14:paraId="5028C1E5" w14:textId="1D478C30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2,1%</w:t>
            </w:r>
          </w:p>
        </w:tc>
      </w:tr>
      <w:tr w:rsidR="00074685" w:rsidRPr="00074685" w14:paraId="2AC5530D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7541A98B" w14:textId="2C227524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Alicante /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</w:t>
            </w: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lacant</w:t>
            </w:r>
          </w:p>
        </w:tc>
        <w:tc>
          <w:tcPr>
            <w:tcW w:w="1988" w:type="dxa"/>
            <w:vAlign w:val="bottom"/>
          </w:tcPr>
          <w:p w14:paraId="73123A72" w14:textId="69DB2D13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D592406" w14:textId="45A0BDCC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29%</w:t>
            </w:r>
          </w:p>
        </w:tc>
        <w:tc>
          <w:tcPr>
            <w:tcW w:w="1833" w:type="dxa"/>
            <w:vAlign w:val="bottom"/>
          </w:tcPr>
          <w:p w14:paraId="7FC7B059" w14:textId="2A34D263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7,4%</w:t>
            </w:r>
          </w:p>
        </w:tc>
      </w:tr>
      <w:tr w:rsidR="00074685" w:rsidRPr="00074685" w14:paraId="5581BBA3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4CF7E6EC" w14:textId="500F27E5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Albacete capital</w:t>
            </w:r>
          </w:p>
        </w:tc>
        <w:tc>
          <w:tcPr>
            <w:tcW w:w="1988" w:type="dxa"/>
            <w:vAlign w:val="bottom"/>
          </w:tcPr>
          <w:p w14:paraId="5D62CA11" w14:textId="7E03674B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1EEE251" w14:textId="56D9AABC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29%</w:t>
            </w:r>
          </w:p>
        </w:tc>
        <w:tc>
          <w:tcPr>
            <w:tcW w:w="1833" w:type="dxa"/>
            <w:vAlign w:val="bottom"/>
          </w:tcPr>
          <w:p w14:paraId="346D05BC" w14:textId="5D9249B8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1,5%</w:t>
            </w:r>
          </w:p>
        </w:tc>
      </w:tr>
      <w:tr w:rsidR="00074685" w:rsidRPr="00074685" w14:paraId="2F9C0C46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6FC6807A" w14:textId="23625EA1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Ourense capital</w:t>
            </w:r>
          </w:p>
        </w:tc>
        <w:tc>
          <w:tcPr>
            <w:tcW w:w="1988" w:type="dxa"/>
            <w:vAlign w:val="bottom"/>
          </w:tcPr>
          <w:p w14:paraId="2D3BCD05" w14:textId="713D360D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A3506AA" w14:textId="08C5C4E3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28%</w:t>
            </w:r>
          </w:p>
        </w:tc>
        <w:tc>
          <w:tcPr>
            <w:tcW w:w="1833" w:type="dxa"/>
            <w:vAlign w:val="bottom"/>
          </w:tcPr>
          <w:p w14:paraId="0F4D9D66" w14:textId="680053D9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9C0006"/>
                <w:sz w:val="22"/>
                <w:szCs w:val="22"/>
              </w:rPr>
              <w:t>-3,4%</w:t>
            </w:r>
          </w:p>
        </w:tc>
      </w:tr>
      <w:tr w:rsidR="00074685" w:rsidRPr="00074685" w14:paraId="780E7435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74A386D0" w14:textId="793E421F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Ávila capital</w:t>
            </w:r>
          </w:p>
        </w:tc>
        <w:tc>
          <w:tcPr>
            <w:tcW w:w="1988" w:type="dxa"/>
            <w:vAlign w:val="bottom"/>
          </w:tcPr>
          <w:p w14:paraId="4077C981" w14:textId="2E4B4A3D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7A4217" w14:textId="5A12D675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27%</w:t>
            </w:r>
          </w:p>
        </w:tc>
        <w:tc>
          <w:tcPr>
            <w:tcW w:w="1833" w:type="dxa"/>
            <w:vAlign w:val="bottom"/>
          </w:tcPr>
          <w:p w14:paraId="4346393B" w14:textId="0B0C52EA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3,9%</w:t>
            </w:r>
          </w:p>
        </w:tc>
      </w:tr>
      <w:tr w:rsidR="00074685" w:rsidRPr="00074685" w14:paraId="6FC581CF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06077781" w14:textId="76482279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Las Palmas de Gran Canaria</w:t>
            </w:r>
          </w:p>
        </w:tc>
        <w:tc>
          <w:tcPr>
            <w:tcW w:w="1988" w:type="dxa"/>
            <w:vAlign w:val="bottom"/>
          </w:tcPr>
          <w:p w14:paraId="678030AE" w14:textId="67F2A977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49%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D8727B" w14:textId="60A58F40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26%</w:t>
            </w:r>
          </w:p>
        </w:tc>
        <w:tc>
          <w:tcPr>
            <w:tcW w:w="1833" w:type="dxa"/>
            <w:vAlign w:val="bottom"/>
          </w:tcPr>
          <w:p w14:paraId="79ACA867" w14:textId="08BEDA95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3,3%</w:t>
            </w:r>
          </w:p>
        </w:tc>
      </w:tr>
      <w:tr w:rsidR="00074685" w:rsidRPr="00074685" w14:paraId="42AA1CFA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4E636C74" w14:textId="11D1E694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Segovia capital</w:t>
            </w:r>
          </w:p>
        </w:tc>
        <w:tc>
          <w:tcPr>
            <w:tcW w:w="1988" w:type="dxa"/>
            <w:vAlign w:val="bottom"/>
          </w:tcPr>
          <w:p w14:paraId="57447295" w14:textId="43AC329D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7ECB32A" w14:textId="6C80BF0A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26%</w:t>
            </w:r>
          </w:p>
        </w:tc>
        <w:tc>
          <w:tcPr>
            <w:tcW w:w="1833" w:type="dxa"/>
            <w:vAlign w:val="bottom"/>
          </w:tcPr>
          <w:p w14:paraId="4EA247D2" w14:textId="1296594C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</w:tr>
      <w:tr w:rsidR="00074685" w:rsidRPr="00074685" w14:paraId="5E163028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48F8F501" w14:textId="3497FA1E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Granada capital</w:t>
            </w:r>
          </w:p>
        </w:tc>
        <w:tc>
          <w:tcPr>
            <w:tcW w:w="1988" w:type="dxa"/>
            <w:vAlign w:val="bottom"/>
          </w:tcPr>
          <w:p w14:paraId="11DBF4D8" w14:textId="13947E30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E4CAEE7" w14:textId="69FDEC3C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26%</w:t>
            </w:r>
          </w:p>
        </w:tc>
        <w:tc>
          <w:tcPr>
            <w:tcW w:w="1833" w:type="dxa"/>
            <w:vAlign w:val="bottom"/>
          </w:tcPr>
          <w:p w14:paraId="1EDEA2BF" w14:textId="06098D83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9C0006"/>
                <w:sz w:val="22"/>
                <w:szCs w:val="22"/>
              </w:rPr>
              <w:t>-1,2%</w:t>
            </w:r>
          </w:p>
        </w:tc>
      </w:tr>
      <w:tr w:rsidR="00074685" w:rsidRPr="00074685" w14:paraId="72D3009F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525A2295" w14:textId="056BE8DE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Oviedo</w:t>
            </w:r>
          </w:p>
        </w:tc>
        <w:tc>
          <w:tcPr>
            <w:tcW w:w="1988" w:type="dxa"/>
            <w:vAlign w:val="bottom"/>
          </w:tcPr>
          <w:p w14:paraId="66ED8CD6" w14:textId="054E6CF5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240DE5C" w14:textId="787EF2EF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833" w:type="dxa"/>
            <w:vAlign w:val="bottom"/>
          </w:tcPr>
          <w:p w14:paraId="4D9F497C" w14:textId="3F63FB17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3,5%</w:t>
            </w:r>
          </w:p>
        </w:tc>
      </w:tr>
      <w:tr w:rsidR="00074685" w:rsidRPr="00074685" w14:paraId="1D4BE3AC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5BA3F284" w14:textId="4FB01327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Badajoz capital</w:t>
            </w:r>
          </w:p>
        </w:tc>
        <w:tc>
          <w:tcPr>
            <w:tcW w:w="1988" w:type="dxa"/>
            <w:vAlign w:val="bottom"/>
          </w:tcPr>
          <w:p w14:paraId="3B9B9981" w14:textId="2A463AEF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B5CC4C0" w14:textId="0267D591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833" w:type="dxa"/>
            <w:vAlign w:val="bottom"/>
          </w:tcPr>
          <w:p w14:paraId="10F4E041" w14:textId="361CBE94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1,6%</w:t>
            </w:r>
          </w:p>
        </w:tc>
      </w:tr>
      <w:tr w:rsidR="00074685" w:rsidRPr="00074685" w14:paraId="532A49CC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171947D2" w14:textId="745B89F4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Burgos capital</w:t>
            </w:r>
          </w:p>
        </w:tc>
        <w:tc>
          <w:tcPr>
            <w:tcW w:w="1988" w:type="dxa"/>
            <w:vAlign w:val="bottom"/>
          </w:tcPr>
          <w:p w14:paraId="3FE4FB56" w14:textId="60A6097B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8AE6FC" w14:textId="4CF2E884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833" w:type="dxa"/>
            <w:vAlign w:val="bottom"/>
          </w:tcPr>
          <w:p w14:paraId="41CC3C18" w14:textId="1F7153FC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2,4%</w:t>
            </w:r>
          </w:p>
        </w:tc>
      </w:tr>
      <w:tr w:rsidR="00074685" w:rsidRPr="00074685" w14:paraId="303AEB61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672249C0" w14:textId="7F69A796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Zaragoza capital</w:t>
            </w:r>
          </w:p>
        </w:tc>
        <w:tc>
          <w:tcPr>
            <w:tcW w:w="1988" w:type="dxa"/>
            <w:vAlign w:val="bottom"/>
          </w:tcPr>
          <w:p w14:paraId="29742ACF" w14:textId="318E3264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89B1BCB" w14:textId="46DC8ACB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833" w:type="dxa"/>
            <w:vAlign w:val="bottom"/>
          </w:tcPr>
          <w:p w14:paraId="2186175C" w14:textId="43E3401B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3,0%</w:t>
            </w:r>
          </w:p>
        </w:tc>
      </w:tr>
      <w:tr w:rsidR="00074685" w:rsidRPr="00074685" w14:paraId="248E25DE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378A6A08" w14:textId="601ADBC0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Santander</w:t>
            </w:r>
          </w:p>
        </w:tc>
        <w:tc>
          <w:tcPr>
            <w:tcW w:w="1988" w:type="dxa"/>
            <w:vAlign w:val="bottom"/>
          </w:tcPr>
          <w:p w14:paraId="541297D0" w14:textId="55FA883D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856D768" w14:textId="27E04865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24%</w:t>
            </w:r>
          </w:p>
        </w:tc>
        <w:tc>
          <w:tcPr>
            <w:tcW w:w="1833" w:type="dxa"/>
            <w:vAlign w:val="bottom"/>
          </w:tcPr>
          <w:p w14:paraId="6692B09B" w14:textId="4792105A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2,8%</w:t>
            </w:r>
          </w:p>
        </w:tc>
      </w:tr>
      <w:tr w:rsidR="00074685" w:rsidRPr="00074685" w14:paraId="6E9A2567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1085FF83" w14:textId="597810C9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Valladolid capital</w:t>
            </w:r>
          </w:p>
        </w:tc>
        <w:tc>
          <w:tcPr>
            <w:tcW w:w="1988" w:type="dxa"/>
            <w:vAlign w:val="bottom"/>
          </w:tcPr>
          <w:p w14:paraId="7FA7FBA9" w14:textId="3F1E6E2A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A6E6FA3" w14:textId="60752190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33" w:type="dxa"/>
            <w:vAlign w:val="bottom"/>
          </w:tcPr>
          <w:p w14:paraId="29BDBA20" w14:textId="56F1D36D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3,8%</w:t>
            </w:r>
          </w:p>
        </w:tc>
      </w:tr>
      <w:tr w:rsidR="00074685" w:rsidRPr="00074685" w14:paraId="12DE152A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6C5C44BB" w14:textId="31A52F68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Sevilla capital</w:t>
            </w:r>
          </w:p>
        </w:tc>
        <w:tc>
          <w:tcPr>
            <w:tcW w:w="1988" w:type="dxa"/>
            <w:vAlign w:val="bottom"/>
          </w:tcPr>
          <w:p w14:paraId="2AC5A7EE" w14:textId="2112BE76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BC821CF" w14:textId="0A8CA889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33" w:type="dxa"/>
            <w:vAlign w:val="bottom"/>
          </w:tcPr>
          <w:p w14:paraId="47C605EC" w14:textId="0500C539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0,8%</w:t>
            </w:r>
          </w:p>
        </w:tc>
      </w:tr>
      <w:tr w:rsidR="00074685" w:rsidRPr="00074685" w14:paraId="4BC2B8C1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35604CED" w14:textId="2B88E8BF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Málaga capital</w:t>
            </w:r>
          </w:p>
        </w:tc>
        <w:tc>
          <w:tcPr>
            <w:tcW w:w="1988" w:type="dxa"/>
            <w:vAlign w:val="bottom"/>
          </w:tcPr>
          <w:p w14:paraId="4A73E09C" w14:textId="09FD1687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A7CA992" w14:textId="728DD0F0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833" w:type="dxa"/>
            <w:vAlign w:val="bottom"/>
          </w:tcPr>
          <w:p w14:paraId="7B822B44" w14:textId="138F49CD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5,1%</w:t>
            </w:r>
          </w:p>
        </w:tc>
      </w:tr>
      <w:tr w:rsidR="00074685" w:rsidRPr="00074685" w14:paraId="3F0E6BFD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3068018F" w14:textId="794A721A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León capital</w:t>
            </w:r>
          </w:p>
        </w:tc>
        <w:tc>
          <w:tcPr>
            <w:tcW w:w="1988" w:type="dxa"/>
            <w:vAlign w:val="bottom"/>
          </w:tcPr>
          <w:p w14:paraId="21109043" w14:textId="348FAB2F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37B0E7E" w14:textId="4C31E903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22%</w:t>
            </w:r>
          </w:p>
        </w:tc>
        <w:tc>
          <w:tcPr>
            <w:tcW w:w="1833" w:type="dxa"/>
            <w:vAlign w:val="bottom"/>
          </w:tcPr>
          <w:p w14:paraId="72E7BB6E" w14:textId="078368D9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4,3%</w:t>
            </w:r>
          </w:p>
        </w:tc>
      </w:tr>
      <w:tr w:rsidR="00074685" w:rsidRPr="00074685" w14:paraId="0C89A303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00A6FF65" w14:textId="3348D504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Jaén capital</w:t>
            </w:r>
          </w:p>
        </w:tc>
        <w:tc>
          <w:tcPr>
            <w:tcW w:w="1988" w:type="dxa"/>
            <w:vAlign w:val="bottom"/>
          </w:tcPr>
          <w:p w14:paraId="21A0696F" w14:textId="3DB2C4F5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1F99374" w14:textId="7CB5E5A2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22%</w:t>
            </w:r>
          </w:p>
        </w:tc>
        <w:tc>
          <w:tcPr>
            <w:tcW w:w="1833" w:type="dxa"/>
            <w:vAlign w:val="bottom"/>
          </w:tcPr>
          <w:p w14:paraId="7E9A9D18" w14:textId="352C0CF4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10,4%</w:t>
            </w:r>
          </w:p>
        </w:tc>
      </w:tr>
      <w:tr w:rsidR="00074685" w:rsidRPr="00074685" w14:paraId="739605E0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74825A85" w14:textId="619FBCE0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Cáceres capital</w:t>
            </w:r>
          </w:p>
        </w:tc>
        <w:tc>
          <w:tcPr>
            <w:tcW w:w="1988" w:type="dxa"/>
            <w:vAlign w:val="bottom"/>
          </w:tcPr>
          <w:p w14:paraId="47D78518" w14:textId="7239F3FC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219CF66" w14:textId="47E996B9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22%</w:t>
            </w:r>
          </w:p>
        </w:tc>
        <w:tc>
          <w:tcPr>
            <w:tcW w:w="1833" w:type="dxa"/>
            <w:vAlign w:val="bottom"/>
          </w:tcPr>
          <w:p w14:paraId="23364231" w14:textId="0B7C6022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</w:tr>
      <w:tr w:rsidR="00074685" w:rsidRPr="00074685" w14:paraId="118DEC28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1DB06BE6" w14:textId="3888D974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Donostia - San Sebastián</w:t>
            </w:r>
          </w:p>
        </w:tc>
        <w:tc>
          <w:tcPr>
            <w:tcW w:w="1988" w:type="dxa"/>
            <w:vAlign w:val="bottom"/>
          </w:tcPr>
          <w:p w14:paraId="14280F5A" w14:textId="380EAF45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FE1BD65" w14:textId="4D3A66B0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833" w:type="dxa"/>
            <w:vAlign w:val="bottom"/>
          </w:tcPr>
          <w:p w14:paraId="722BB364" w14:textId="0D49AA4F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4,7%</w:t>
            </w:r>
          </w:p>
        </w:tc>
      </w:tr>
      <w:tr w:rsidR="00074685" w:rsidRPr="00074685" w14:paraId="4253F351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5B9A8CA3" w14:textId="42DF72A4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Tarragona capital</w:t>
            </w:r>
          </w:p>
        </w:tc>
        <w:tc>
          <w:tcPr>
            <w:tcW w:w="1988" w:type="dxa"/>
            <w:vAlign w:val="bottom"/>
          </w:tcPr>
          <w:p w14:paraId="531237E2" w14:textId="2A8FB068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CF6BDCD" w14:textId="79A36BBC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19%</w:t>
            </w:r>
          </w:p>
        </w:tc>
        <w:tc>
          <w:tcPr>
            <w:tcW w:w="1833" w:type="dxa"/>
            <w:vAlign w:val="bottom"/>
          </w:tcPr>
          <w:p w14:paraId="20DC6679" w14:textId="41E5C896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9C0006"/>
                <w:sz w:val="22"/>
                <w:szCs w:val="22"/>
              </w:rPr>
              <w:t>-2,2%</w:t>
            </w:r>
          </w:p>
        </w:tc>
      </w:tr>
      <w:tr w:rsidR="00074685" w:rsidRPr="00074685" w14:paraId="58A88ED4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05BBC2DA" w14:textId="0EF0995A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Salamanca capital</w:t>
            </w:r>
          </w:p>
        </w:tc>
        <w:tc>
          <w:tcPr>
            <w:tcW w:w="1988" w:type="dxa"/>
            <w:vAlign w:val="bottom"/>
          </w:tcPr>
          <w:p w14:paraId="0F2ECFC2" w14:textId="37B4E5BF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1E4FF8D" w14:textId="455DAE71" w:rsidR="00074685" w:rsidRPr="00B4196E" w:rsidRDefault="00074685" w:rsidP="00074685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833" w:type="dxa"/>
            <w:vAlign w:val="bottom"/>
          </w:tcPr>
          <w:p w14:paraId="192C6EEF" w14:textId="4CE9B809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1,4%</w:t>
            </w:r>
          </w:p>
        </w:tc>
      </w:tr>
      <w:tr w:rsidR="00074685" w:rsidRPr="00074685" w14:paraId="26DEA057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6C0F7CAF" w14:textId="5CDB54E4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Bilbao</w:t>
            </w:r>
          </w:p>
        </w:tc>
        <w:tc>
          <w:tcPr>
            <w:tcW w:w="1988" w:type="dxa"/>
            <w:vAlign w:val="bottom"/>
          </w:tcPr>
          <w:p w14:paraId="24A5CD9C" w14:textId="44F88AB8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92F3452" w14:textId="112460EF" w:rsidR="00074685" w:rsidRPr="00B4196E" w:rsidRDefault="00074685" w:rsidP="00074685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833" w:type="dxa"/>
            <w:vAlign w:val="bottom"/>
          </w:tcPr>
          <w:p w14:paraId="12F6F340" w14:textId="45E82308" w:rsidR="00074685" w:rsidRPr="00074685" w:rsidRDefault="00074685" w:rsidP="00074685">
            <w:pPr>
              <w:jc w:val="center"/>
              <w:rPr>
                <w:rFonts w:ascii="Open Sans" w:eastAsia="Times New Roman" w:hAnsi="Open Sans" w:cs="Open Sans"/>
                <w:color w:val="2E74B5" w:themeColor="accent5" w:themeShade="BF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</w:tr>
      <w:tr w:rsidR="00074685" w:rsidRPr="00074685" w14:paraId="38BE6CF5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0793F299" w14:textId="7A9DF0AA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Palencia capital</w:t>
            </w:r>
          </w:p>
        </w:tc>
        <w:tc>
          <w:tcPr>
            <w:tcW w:w="1988" w:type="dxa"/>
            <w:vAlign w:val="bottom"/>
          </w:tcPr>
          <w:p w14:paraId="764D5E36" w14:textId="141288F1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1CE7BC6" w14:textId="2509649A" w:rsidR="00074685" w:rsidRPr="00B4196E" w:rsidRDefault="00074685" w:rsidP="00074685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13%</w:t>
            </w:r>
          </w:p>
        </w:tc>
        <w:tc>
          <w:tcPr>
            <w:tcW w:w="1833" w:type="dxa"/>
            <w:vAlign w:val="bottom"/>
          </w:tcPr>
          <w:p w14:paraId="796F2A80" w14:textId="64A26507" w:rsidR="00074685" w:rsidRPr="00074685" w:rsidRDefault="00074685" w:rsidP="00074685">
            <w:pPr>
              <w:jc w:val="center"/>
              <w:rPr>
                <w:rFonts w:ascii="Open Sans" w:eastAsia="Times New Roman" w:hAnsi="Open Sans" w:cs="Open Sans"/>
                <w:color w:val="2E74B5" w:themeColor="accent5" w:themeShade="BF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8,1%</w:t>
            </w:r>
          </w:p>
        </w:tc>
      </w:tr>
      <w:tr w:rsidR="00074685" w:rsidRPr="00074685" w14:paraId="716E41B1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0D1E1F8B" w14:textId="1D561F7F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Madrid capital</w:t>
            </w:r>
          </w:p>
        </w:tc>
        <w:tc>
          <w:tcPr>
            <w:tcW w:w="1988" w:type="dxa"/>
            <w:vAlign w:val="bottom"/>
          </w:tcPr>
          <w:p w14:paraId="3589FCDE" w14:textId="5E464CC8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7ACCEDE" w14:textId="7791A87E" w:rsidR="00074685" w:rsidRPr="00B4196E" w:rsidRDefault="00074685" w:rsidP="00074685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833" w:type="dxa"/>
            <w:vAlign w:val="bottom"/>
          </w:tcPr>
          <w:p w14:paraId="1B88FD68" w14:textId="42AED8A7" w:rsidR="00074685" w:rsidRPr="00074685" w:rsidRDefault="00074685" w:rsidP="00074685">
            <w:pPr>
              <w:jc w:val="center"/>
              <w:rPr>
                <w:rFonts w:ascii="Open Sans" w:eastAsia="Times New Roman" w:hAnsi="Open Sans" w:cs="Open Sans"/>
                <w:color w:val="2E74B5" w:themeColor="accent5" w:themeShade="BF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9C0006"/>
                <w:sz w:val="22"/>
                <w:szCs w:val="22"/>
              </w:rPr>
              <w:t>-1,4%</w:t>
            </w:r>
          </w:p>
        </w:tc>
      </w:tr>
      <w:tr w:rsidR="00074685" w:rsidRPr="00074685" w14:paraId="0994A44F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4319DF71" w14:textId="3CA5CD59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Ciudad Real capital</w:t>
            </w:r>
          </w:p>
        </w:tc>
        <w:tc>
          <w:tcPr>
            <w:tcW w:w="1988" w:type="dxa"/>
            <w:vAlign w:val="bottom"/>
          </w:tcPr>
          <w:p w14:paraId="385062E6" w14:textId="4310D93B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9C0006"/>
                <w:sz w:val="22"/>
                <w:szCs w:val="22"/>
              </w:rPr>
              <w:t>-7%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29DC153" w14:textId="27833610" w:rsidR="00074685" w:rsidRPr="00B4196E" w:rsidRDefault="00074685" w:rsidP="00074685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11%</w:t>
            </w:r>
          </w:p>
        </w:tc>
        <w:tc>
          <w:tcPr>
            <w:tcW w:w="1833" w:type="dxa"/>
            <w:vAlign w:val="bottom"/>
          </w:tcPr>
          <w:p w14:paraId="090E6DBD" w14:textId="4121641D" w:rsidR="00074685" w:rsidRPr="00074685" w:rsidRDefault="00074685" w:rsidP="00074685">
            <w:pPr>
              <w:jc w:val="center"/>
              <w:rPr>
                <w:rFonts w:ascii="Open Sans" w:eastAsia="Times New Roman" w:hAnsi="Open Sans" w:cs="Open Sans"/>
                <w:color w:val="2E74B5" w:themeColor="accent5" w:themeShade="BF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</w:tr>
      <w:tr w:rsidR="00074685" w:rsidRPr="00074685" w14:paraId="712B04F3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3819E0D0" w14:textId="52433760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Palma de Mallorca</w:t>
            </w:r>
          </w:p>
        </w:tc>
        <w:tc>
          <w:tcPr>
            <w:tcW w:w="1988" w:type="dxa"/>
            <w:vAlign w:val="bottom"/>
          </w:tcPr>
          <w:p w14:paraId="2E6A77A2" w14:textId="0A5D8B13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49%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3D24D46" w14:textId="24B1AFE6" w:rsidR="00074685" w:rsidRPr="00B4196E" w:rsidRDefault="00074685" w:rsidP="00074685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833" w:type="dxa"/>
            <w:vAlign w:val="bottom"/>
          </w:tcPr>
          <w:p w14:paraId="45EB5BBC" w14:textId="613CC04A" w:rsidR="00074685" w:rsidRPr="00074685" w:rsidRDefault="00074685" w:rsidP="00074685">
            <w:pPr>
              <w:jc w:val="center"/>
              <w:rPr>
                <w:rFonts w:ascii="Open Sans" w:eastAsia="Times New Roman" w:hAnsi="Open Sans" w:cs="Open Sans"/>
                <w:color w:val="2E74B5" w:themeColor="accent5" w:themeShade="BF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2,6%</w:t>
            </w:r>
          </w:p>
        </w:tc>
      </w:tr>
      <w:tr w:rsidR="00074685" w:rsidRPr="00074685" w14:paraId="76DE6718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67F6A41E" w14:textId="42164DF5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Córdoba capital</w:t>
            </w:r>
          </w:p>
        </w:tc>
        <w:tc>
          <w:tcPr>
            <w:tcW w:w="1988" w:type="dxa"/>
            <w:vAlign w:val="bottom"/>
          </w:tcPr>
          <w:p w14:paraId="4C2A45C0" w14:textId="07F04BB7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C031139" w14:textId="04BC3670" w:rsidR="00074685" w:rsidRPr="00B4196E" w:rsidRDefault="00074685" w:rsidP="00074685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833" w:type="dxa"/>
            <w:vAlign w:val="bottom"/>
          </w:tcPr>
          <w:p w14:paraId="1CB8C15A" w14:textId="76ECCCD6" w:rsidR="00074685" w:rsidRPr="00074685" w:rsidRDefault="00074685" w:rsidP="00074685">
            <w:pPr>
              <w:jc w:val="center"/>
              <w:rPr>
                <w:rFonts w:ascii="Open Sans" w:eastAsia="Times New Roman" w:hAnsi="Open Sans" w:cs="Open Sans"/>
                <w:color w:val="2E74B5" w:themeColor="accent5" w:themeShade="BF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3,4%</w:t>
            </w:r>
          </w:p>
        </w:tc>
      </w:tr>
      <w:tr w:rsidR="00074685" w:rsidRPr="00074685" w14:paraId="23F42472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4457BE97" w14:textId="258AEDE6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Barcelona capital</w:t>
            </w:r>
          </w:p>
        </w:tc>
        <w:tc>
          <w:tcPr>
            <w:tcW w:w="1988" w:type="dxa"/>
            <w:vAlign w:val="bottom"/>
          </w:tcPr>
          <w:p w14:paraId="272DBDCD" w14:textId="68EF1B6F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537839D" w14:textId="66520B1E" w:rsidR="00074685" w:rsidRPr="00B4196E" w:rsidRDefault="00074685" w:rsidP="00074685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4196E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0%</w:t>
            </w:r>
          </w:p>
        </w:tc>
        <w:tc>
          <w:tcPr>
            <w:tcW w:w="1833" w:type="dxa"/>
            <w:vAlign w:val="bottom"/>
          </w:tcPr>
          <w:p w14:paraId="6DC1194A" w14:textId="102E7F38" w:rsidR="00074685" w:rsidRPr="00074685" w:rsidRDefault="00074685" w:rsidP="00074685">
            <w:pPr>
              <w:jc w:val="center"/>
              <w:rPr>
                <w:rFonts w:ascii="Open Sans" w:eastAsia="Times New Roman" w:hAnsi="Open Sans" w:cs="Open Sans"/>
                <w:color w:val="2E74B5" w:themeColor="accent5" w:themeShade="BF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8,2%</w:t>
            </w:r>
          </w:p>
        </w:tc>
      </w:tr>
      <w:tr w:rsidR="00074685" w:rsidRPr="00074685" w14:paraId="319F1C49" w14:textId="77777777" w:rsidTr="00E94830">
        <w:trPr>
          <w:trHeight w:val="229"/>
        </w:trPr>
        <w:tc>
          <w:tcPr>
            <w:tcW w:w="3389" w:type="dxa"/>
            <w:shd w:val="clear" w:color="auto" w:fill="auto"/>
            <w:vAlign w:val="bottom"/>
          </w:tcPr>
          <w:p w14:paraId="3776172C" w14:textId="5F3CF7EA" w:rsidR="00074685" w:rsidRPr="00074685" w:rsidRDefault="00074685" w:rsidP="0007468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Logroño</w:t>
            </w:r>
          </w:p>
        </w:tc>
        <w:tc>
          <w:tcPr>
            <w:tcW w:w="1988" w:type="dxa"/>
            <w:vAlign w:val="bottom"/>
          </w:tcPr>
          <w:p w14:paraId="790EA022" w14:textId="7DA01C76" w:rsidR="00074685" w:rsidRPr="00074685" w:rsidRDefault="00074685" w:rsidP="00074685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863BD3D" w14:textId="2FE8FF13" w:rsidR="00074685" w:rsidRPr="00B4196E" w:rsidRDefault="00594758" w:rsidP="00074685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4196E"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val="es-ES" w:eastAsia="es-ES"/>
              </w:rPr>
              <w:t>-</w:t>
            </w:r>
          </w:p>
        </w:tc>
        <w:tc>
          <w:tcPr>
            <w:tcW w:w="1833" w:type="dxa"/>
            <w:vAlign w:val="bottom"/>
          </w:tcPr>
          <w:p w14:paraId="355FA73A" w14:textId="5C116122" w:rsidR="00074685" w:rsidRPr="00074685" w:rsidRDefault="00074685" w:rsidP="00074685">
            <w:pPr>
              <w:jc w:val="center"/>
              <w:rPr>
                <w:rFonts w:ascii="Open Sans" w:eastAsia="Times New Roman" w:hAnsi="Open Sans" w:cs="Open Sans"/>
                <w:color w:val="2E74B5" w:themeColor="accent5" w:themeShade="BF"/>
                <w:sz w:val="22"/>
                <w:szCs w:val="22"/>
                <w:lang w:val="es-ES" w:eastAsia="es-ES"/>
              </w:rPr>
            </w:pPr>
            <w:r w:rsidRPr="00074685">
              <w:rPr>
                <w:rFonts w:ascii="Open Sans" w:hAnsi="Open Sans" w:cs="Open Sans"/>
                <w:color w:val="000000"/>
                <w:sz w:val="22"/>
                <w:szCs w:val="22"/>
              </w:rPr>
              <w:t>2,6%</w:t>
            </w:r>
          </w:p>
        </w:tc>
      </w:tr>
    </w:tbl>
    <w:p w14:paraId="7B4E86F9" w14:textId="36A77001" w:rsidR="00D210B8" w:rsidRDefault="00D210B8" w:rsidP="00D210B8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30"/>
          <w:szCs w:val="180"/>
          <w:lang w:val="es-ES"/>
        </w:rPr>
      </w:pPr>
    </w:p>
    <w:p w14:paraId="29800CC6" w14:textId="6DD2B0F1" w:rsidR="009553A0" w:rsidRDefault="009553A0" w:rsidP="009553A0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FF0000"/>
          <w:sz w:val="28"/>
          <w:szCs w:val="160"/>
          <w:lang w:val="es-ES"/>
        </w:rPr>
      </w:pPr>
      <w:r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  <w:t>Ciudades con precios del alquiler por años</w:t>
      </w:r>
      <w:r w:rsidRPr="001C6AC4">
        <w:rPr>
          <w:rFonts w:ascii="National" w:hAnsi="National"/>
          <w:b/>
          <w:bCs/>
          <w:iCs/>
          <w:color w:val="FF0000"/>
          <w:sz w:val="28"/>
          <w:szCs w:val="160"/>
          <w:lang w:val="es-ES"/>
        </w:rPr>
        <w:t xml:space="preserve"> </w:t>
      </w:r>
    </w:p>
    <w:p w14:paraId="46DB073C" w14:textId="77777777" w:rsidR="001F58D5" w:rsidRDefault="001F58D5" w:rsidP="009553A0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28"/>
          <w:szCs w:val="160"/>
          <w:lang w:val="es-ES"/>
        </w:rPr>
      </w:pPr>
    </w:p>
    <w:tbl>
      <w:tblPr>
        <w:tblW w:w="9139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71"/>
        <w:gridCol w:w="1467"/>
        <w:gridCol w:w="1326"/>
        <w:gridCol w:w="1326"/>
        <w:gridCol w:w="1483"/>
      </w:tblGrid>
      <w:tr w:rsidR="001F58D5" w:rsidRPr="00074685" w14:paraId="3BA2924A" w14:textId="77777777" w:rsidTr="00497B34">
        <w:trPr>
          <w:trHeight w:val="588"/>
        </w:trPr>
        <w:tc>
          <w:tcPr>
            <w:tcW w:w="1266" w:type="dxa"/>
            <w:shd w:val="clear" w:color="auto" w:fill="ACB9CA"/>
            <w:vAlign w:val="center"/>
          </w:tcPr>
          <w:p w14:paraId="65281031" w14:textId="77777777" w:rsidR="001F58D5" w:rsidRPr="00545FCB" w:rsidRDefault="001F58D5" w:rsidP="00497B34">
            <w:pPr>
              <w:rPr>
                <w:rFonts w:ascii="Open Sans" w:eastAsia="Times New Roman" w:hAnsi="Open Sans" w:cs="Open Sans"/>
                <w:color w:val="0D0D0D" w:themeColor="text1" w:themeTint="F2"/>
                <w:sz w:val="18"/>
                <w:szCs w:val="18"/>
                <w:lang w:val="es-ES" w:eastAsia="es-ES"/>
              </w:rPr>
            </w:pPr>
            <w:r w:rsidRPr="00545FCB">
              <w:rPr>
                <w:rFonts w:ascii="Open Sans" w:hAnsi="Open Sans" w:cs="Open Sans"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2271" w:type="dxa"/>
            <w:shd w:val="clear" w:color="auto" w:fill="ACB9CA"/>
            <w:vAlign w:val="center"/>
          </w:tcPr>
          <w:p w14:paraId="4D020948" w14:textId="77777777" w:rsidR="001F58D5" w:rsidRPr="00545FCB" w:rsidRDefault="001F58D5" w:rsidP="00497B34">
            <w:pP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</w:pPr>
            <w:r w:rsidRPr="00545FCB">
              <w:rPr>
                <w:rFonts w:ascii="Open Sans" w:hAnsi="Open Sans" w:cs="Open Sans"/>
                <w:color w:val="000000"/>
                <w:sz w:val="18"/>
                <w:szCs w:val="18"/>
              </w:rPr>
              <w:t>Municipios</w:t>
            </w:r>
          </w:p>
        </w:tc>
        <w:tc>
          <w:tcPr>
            <w:tcW w:w="1467" w:type="dxa"/>
            <w:shd w:val="clear" w:color="auto" w:fill="ACB9CA"/>
            <w:vAlign w:val="center"/>
          </w:tcPr>
          <w:p w14:paraId="622AF50F" w14:textId="77777777" w:rsidR="001F58D5" w:rsidRPr="00545FCB" w:rsidRDefault="001F58D5" w:rsidP="00497B34">
            <w:pPr>
              <w:jc w:val="center"/>
              <w:rPr>
                <w:rFonts w:ascii="Open Sans" w:eastAsia="Times New Roman" w:hAnsi="Open Sans" w:cs="Open Sans"/>
                <w:color w:val="0D0D0D" w:themeColor="text1" w:themeTint="F2"/>
                <w:sz w:val="18"/>
                <w:szCs w:val="18"/>
                <w:lang w:val="es-ES" w:eastAsia="es-ES"/>
              </w:rPr>
            </w:pP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Precio de la vivienda en alquiler</w:t>
            </w:r>
            <w:r w:rsidRPr="00545FCB"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 xml:space="preserve">en </w:t>
            </w:r>
            <w:r w:rsidRPr="00545FCB"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2011</w:t>
            </w:r>
          </w:p>
        </w:tc>
        <w:tc>
          <w:tcPr>
            <w:tcW w:w="1326" w:type="dxa"/>
            <w:shd w:val="clear" w:color="auto" w:fill="ACB9CA"/>
          </w:tcPr>
          <w:p w14:paraId="25081B7D" w14:textId="77777777" w:rsidR="001F58D5" w:rsidRPr="00B4196E" w:rsidRDefault="001F58D5" w:rsidP="00497B34">
            <w:pPr>
              <w:jc w:val="center"/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</w:pPr>
            <w:r w:rsidRPr="00B4196E"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Precio de la vivienda en alquiler en 2016</w:t>
            </w:r>
          </w:p>
        </w:tc>
        <w:tc>
          <w:tcPr>
            <w:tcW w:w="1326" w:type="dxa"/>
            <w:shd w:val="clear" w:color="auto" w:fill="ACB9CA"/>
            <w:vAlign w:val="center"/>
            <w:hideMark/>
          </w:tcPr>
          <w:p w14:paraId="4313587C" w14:textId="77777777" w:rsidR="001F58D5" w:rsidRPr="00545FCB" w:rsidRDefault="001F58D5" w:rsidP="00497B34">
            <w:pPr>
              <w:jc w:val="center"/>
              <w:rPr>
                <w:rFonts w:ascii="Open Sans" w:eastAsia="Times New Roman" w:hAnsi="Open Sans" w:cs="Open Sans"/>
                <w:color w:val="0D0D0D" w:themeColor="text1" w:themeTint="F2"/>
                <w:sz w:val="18"/>
                <w:szCs w:val="18"/>
                <w:lang w:val="es-ES" w:eastAsia="es-ES"/>
              </w:rPr>
            </w:pP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Precio de la vivienda en alquiler</w:t>
            </w:r>
            <w:r w:rsidRPr="00545FCB"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 xml:space="preserve">en </w:t>
            </w:r>
            <w:r w:rsidRPr="00545FCB"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20</w:t>
            </w: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483" w:type="dxa"/>
            <w:shd w:val="clear" w:color="auto" w:fill="ACB9CA" w:themeFill="text2" w:themeFillTint="66"/>
            <w:vAlign w:val="center"/>
          </w:tcPr>
          <w:p w14:paraId="5836713A" w14:textId="77777777" w:rsidR="001F58D5" w:rsidRPr="00545FCB" w:rsidRDefault="001F58D5" w:rsidP="00497B34">
            <w:pPr>
              <w:jc w:val="center"/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</w:pP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Precio de la vivienda en alquiler</w:t>
            </w:r>
            <w:r w:rsidRPr="00545FCB"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 xml:space="preserve">en </w:t>
            </w:r>
            <w:r w:rsidRPr="00545FCB"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20</w:t>
            </w:r>
            <w:r>
              <w:rPr>
                <w:rFonts w:ascii="Open Sans" w:hAnsi="Open Sans" w:cs="Open Sans"/>
                <w:color w:val="0D0D0D" w:themeColor="text1" w:themeTint="F2"/>
                <w:sz w:val="18"/>
                <w:szCs w:val="18"/>
              </w:rPr>
              <w:t>21</w:t>
            </w:r>
          </w:p>
        </w:tc>
      </w:tr>
      <w:tr w:rsidR="00B4196E" w:rsidRPr="00074685" w14:paraId="330FE14A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66D30104" w14:textId="34BDCB69" w:rsidR="00B4196E" w:rsidRPr="0052522C" w:rsidRDefault="00B4196E" w:rsidP="00B4196E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Santa Cruz de Tenerife</w:t>
            </w:r>
          </w:p>
        </w:tc>
        <w:tc>
          <w:tcPr>
            <w:tcW w:w="2271" w:type="dxa"/>
            <w:vAlign w:val="bottom"/>
          </w:tcPr>
          <w:p w14:paraId="47DAD204" w14:textId="30A16D31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Santa Cruz de Tenerife capital</w:t>
            </w:r>
          </w:p>
        </w:tc>
        <w:tc>
          <w:tcPr>
            <w:tcW w:w="1467" w:type="dxa"/>
            <w:vAlign w:val="bottom"/>
          </w:tcPr>
          <w:p w14:paraId="30B7BBF2" w14:textId="0EB93399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6,81 €</w:t>
            </w:r>
          </w:p>
        </w:tc>
        <w:tc>
          <w:tcPr>
            <w:tcW w:w="1326" w:type="dxa"/>
            <w:vAlign w:val="bottom"/>
          </w:tcPr>
          <w:p w14:paraId="13B1FA40" w14:textId="185B3499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6,17 €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DDA19BB" w14:textId="033992DD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8,36 €</w:t>
            </w:r>
          </w:p>
        </w:tc>
        <w:tc>
          <w:tcPr>
            <w:tcW w:w="1483" w:type="dxa"/>
            <w:vAlign w:val="bottom"/>
          </w:tcPr>
          <w:p w14:paraId="2319E26B" w14:textId="409E84D2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2E74B5" w:themeColor="accent5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9,25 €</w:t>
            </w:r>
          </w:p>
        </w:tc>
      </w:tr>
      <w:tr w:rsidR="00B4196E" w:rsidRPr="00074685" w14:paraId="09E9DDA7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0A5318EE" w14:textId="3BE6CAA4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Lleida</w:t>
            </w:r>
          </w:p>
        </w:tc>
        <w:tc>
          <w:tcPr>
            <w:tcW w:w="2271" w:type="dxa"/>
            <w:vAlign w:val="bottom"/>
          </w:tcPr>
          <w:p w14:paraId="30F02A65" w14:textId="1FF8C741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Lleida capital</w:t>
            </w:r>
          </w:p>
        </w:tc>
        <w:tc>
          <w:tcPr>
            <w:tcW w:w="1467" w:type="dxa"/>
            <w:vAlign w:val="bottom"/>
          </w:tcPr>
          <w:p w14:paraId="0897268F" w14:textId="1C5A557E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6,18 €</w:t>
            </w:r>
          </w:p>
        </w:tc>
        <w:tc>
          <w:tcPr>
            <w:tcW w:w="1326" w:type="dxa"/>
            <w:vAlign w:val="bottom"/>
          </w:tcPr>
          <w:p w14:paraId="29AEE277" w14:textId="508E7726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5,43 €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532B0A5" w14:textId="047DC560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6,98 €</w:t>
            </w:r>
          </w:p>
        </w:tc>
        <w:tc>
          <w:tcPr>
            <w:tcW w:w="1483" w:type="dxa"/>
            <w:vAlign w:val="bottom"/>
          </w:tcPr>
          <w:p w14:paraId="74AF735E" w14:textId="68099BCF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7,55 €</w:t>
            </w:r>
          </w:p>
        </w:tc>
      </w:tr>
      <w:tr w:rsidR="00B4196E" w:rsidRPr="00074685" w14:paraId="0C8B1FDB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21033E60" w14:textId="2600BBA4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Murcia</w:t>
            </w:r>
          </w:p>
        </w:tc>
        <w:tc>
          <w:tcPr>
            <w:tcW w:w="2271" w:type="dxa"/>
            <w:vAlign w:val="bottom"/>
          </w:tcPr>
          <w:p w14:paraId="147CB3F5" w14:textId="052B50CF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Murcia capital</w:t>
            </w:r>
          </w:p>
        </w:tc>
        <w:tc>
          <w:tcPr>
            <w:tcW w:w="1467" w:type="dxa"/>
            <w:vAlign w:val="bottom"/>
          </w:tcPr>
          <w:p w14:paraId="0F1071A2" w14:textId="53AB4D48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5,62 €</w:t>
            </w:r>
          </w:p>
        </w:tc>
        <w:tc>
          <w:tcPr>
            <w:tcW w:w="1326" w:type="dxa"/>
            <w:vAlign w:val="bottom"/>
          </w:tcPr>
          <w:p w14:paraId="04E40D1A" w14:textId="6DC0B160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5,36 €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BD7493B" w14:textId="14619123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6,96 €</w:t>
            </w:r>
          </w:p>
        </w:tc>
        <w:tc>
          <w:tcPr>
            <w:tcW w:w="1483" w:type="dxa"/>
            <w:vAlign w:val="bottom"/>
          </w:tcPr>
          <w:p w14:paraId="4D212B68" w14:textId="7E09967F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7,40 €</w:t>
            </w:r>
          </w:p>
        </w:tc>
      </w:tr>
      <w:tr w:rsidR="00B4196E" w:rsidRPr="00074685" w14:paraId="76E8761B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08096E3F" w14:textId="69C7BA96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Valencia</w:t>
            </w:r>
          </w:p>
        </w:tc>
        <w:tc>
          <w:tcPr>
            <w:tcW w:w="2271" w:type="dxa"/>
            <w:vAlign w:val="bottom"/>
          </w:tcPr>
          <w:p w14:paraId="6CD72287" w14:textId="2E4DFED6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Valencia capital</w:t>
            </w:r>
          </w:p>
        </w:tc>
        <w:tc>
          <w:tcPr>
            <w:tcW w:w="1467" w:type="dxa"/>
            <w:vAlign w:val="bottom"/>
          </w:tcPr>
          <w:p w14:paraId="1454855D" w14:textId="50DF7B79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6,74 €</w:t>
            </w:r>
          </w:p>
        </w:tc>
        <w:tc>
          <w:tcPr>
            <w:tcW w:w="1326" w:type="dxa"/>
            <w:vAlign w:val="bottom"/>
          </w:tcPr>
          <w:p w14:paraId="098CFF0E" w14:textId="2890BC2E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7,44 €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1216D65" w14:textId="539007C7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9,65 €</w:t>
            </w:r>
          </w:p>
        </w:tc>
        <w:tc>
          <w:tcPr>
            <w:tcW w:w="1483" w:type="dxa"/>
            <w:vAlign w:val="bottom"/>
          </w:tcPr>
          <w:p w14:paraId="7A6E5CBB" w14:textId="578739AE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10,25 €</w:t>
            </w:r>
          </w:p>
        </w:tc>
      </w:tr>
      <w:tr w:rsidR="00B4196E" w:rsidRPr="00074685" w14:paraId="6DC8A50B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4E2168C9" w14:textId="01361244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Cádiz</w:t>
            </w:r>
          </w:p>
        </w:tc>
        <w:tc>
          <w:tcPr>
            <w:tcW w:w="2271" w:type="dxa"/>
            <w:vAlign w:val="bottom"/>
          </w:tcPr>
          <w:p w14:paraId="72BDBE3C" w14:textId="126768DD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Cádiz capital</w:t>
            </w:r>
          </w:p>
        </w:tc>
        <w:tc>
          <w:tcPr>
            <w:tcW w:w="1467" w:type="dxa"/>
            <w:vAlign w:val="bottom"/>
          </w:tcPr>
          <w:p w14:paraId="7437EE1E" w14:textId="79BCA0A0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8,83 €</w:t>
            </w:r>
          </w:p>
        </w:tc>
        <w:tc>
          <w:tcPr>
            <w:tcW w:w="1326" w:type="dxa"/>
            <w:vAlign w:val="bottom"/>
          </w:tcPr>
          <w:p w14:paraId="20B6EB83" w14:textId="546B00DA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7,93 €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475C8BF" w14:textId="280C863C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9,74 €</w:t>
            </w:r>
          </w:p>
        </w:tc>
        <w:tc>
          <w:tcPr>
            <w:tcW w:w="1483" w:type="dxa"/>
            <w:vAlign w:val="bottom"/>
          </w:tcPr>
          <w:p w14:paraId="55A31E27" w14:textId="038679E0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10,70 €</w:t>
            </w:r>
          </w:p>
        </w:tc>
      </w:tr>
      <w:tr w:rsidR="00B4196E" w:rsidRPr="00074685" w14:paraId="6EF17ABB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19F4CC31" w14:textId="242E9591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Castellón</w:t>
            </w:r>
          </w:p>
        </w:tc>
        <w:tc>
          <w:tcPr>
            <w:tcW w:w="2271" w:type="dxa"/>
            <w:vAlign w:val="bottom"/>
          </w:tcPr>
          <w:p w14:paraId="5F4A3E81" w14:textId="2A2CB242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Castellón de la Plana / Castelló de la Plana</w:t>
            </w:r>
          </w:p>
        </w:tc>
        <w:tc>
          <w:tcPr>
            <w:tcW w:w="1467" w:type="dxa"/>
            <w:vAlign w:val="bottom"/>
          </w:tcPr>
          <w:p w14:paraId="3E4CB860" w14:textId="58FE4431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5,30 €</w:t>
            </w:r>
          </w:p>
        </w:tc>
        <w:tc>
          <w:tcPr>
            <w:tcW w:w="1326" w:type="dxa"/>
            <w:vAlign w:val="bottom"/>
          </w:tcPr>
          <w:p w14:paraId="204A08BA" w14:textId="2D8AE006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33D96D8" w14:textId="43C0FFF3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6,75 €</w:t>
            </w:r>
          </w:p>
        </w:tc>
        <w:tc>
          <w:tcPr>
            <w:tcW w:w="1483" w:type="dxa"/>
            <w:vAlign w:val="bottom"/>
          </w:tcPr>
          <w:p w14:paraId="7CD0BD0C" w14:textId="5E27E8D7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6,71 €</w:t>
            </w:r>
          </w:p>
        </w:tc>
      </w:tr>
      <w:tr w:rsidR="00B4196E" w:rsidRPr="00074685" w14:paraId="1EC655E9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593EC139" w14:textId="0FBF5041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Almería</w:t>
            </w:r>
          </w:p>
        </w:tc>
        <w:tc>
          <w:tcPr>
            <w:tcW w:w="2271" w:type="dxa"/>
            <w:vAlign w:val="bottom"/>
          </w:tcPr>
          <w:p w14:paraId="578792EE" w14:textId="39768745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Almería capital</w:t>
            </w:r>
          </w:p>
        </w:tc>
        <w:tc>
          <w:tcPr>
            <w:tcW w:w="1467" w:type="dxa"/>
            <w:vAlign w:val="bottom"/>
          </w:tcPr>
          <w:p w14:paraId="071C8B88" w14:textId="3C1C5899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5,94 €</w:t>
            </w:r>
          </w:p>
        </w:tc>
        <w:tc>
          <w:tcPr>
            <w:tcW w:w="1326" w:type="dxa"/>
            <w:vAlign w:val="bottom"/>
          </w:tcPr>
          <w:p w14:paraId="6D21966D" w14:textId="267FACEA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5,53 €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C94D260" w14:textId="0B1963DA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7,07 €</w:t>
            </w:r>
          </w:p>
        </w:tc>
        <w:tc>
          <w:tcPr>
            <w:tcW w:w="1483" w:type="dxa"/>
            <w:vAlign w:val="bottom"/>
          </w:tcPr>
          <w:p w14:paraId="3457939A" w14:textId="681869AD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7,36 €</w:t>
            </w:r>
          </w:p>
        </w:tc>
      </w:tr>
      <w:tr w:rsidR="00B4196E" w:rsidRPr="00074685" w14:paraId="4B44A968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0FCA4ABE" w14:textId="1330465C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Navarra</w:t>
            </w:r>
          </w:p>
        </w:tc>
        <w:tc>
          <w:tcPr>
            <w:tcW w:w="2271" w:type="dxa"/>
            <w:vAlign w:val="bottom"/>
          </w:tcPr>
          <w:p w14:paraId="5EA225CD" w14:textId="3E0802F3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Pamplona / Iruña</w:t>
            </w:r>
          </w:p>
        </w:tc>
        <w:tc>
          <w:tcPr>
            <w:tcW w:w="1467" w:type="dxa"/>
            <w:vAlign w:val="bottom"/>
          </w:tcPr>
          <w:p w14:paraId="0D910DF4" w14:textId="0B9AF6A1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8,34 €</w:t>
            </w:r>
          </w:p>
        </w:tc>
        <w:tc>
          <w:tcPr>
            <w:tcW w:w="1326" w:type="dxa"/>
            <w:vAlign w:val="bottom"/>
          </w:tcPr>
          <w:p w14:paraId="10D11360" w14:textId="52F43DBA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7,77 €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FE0F329" w14:textId="7EF0EE18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10,54 €</w:t>
            </w:r>
          </w:p>
        </w:tc>
        <w:tc>
          <w:tcPr>
            <w:tcW w:w="1483" w:type="dxa"/>
            <w:vAlign w:val="bottom"/>
          </w:tcPr>
          <w:p w14:paraId="33DD48F5" w14:textId="7BEB13A3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10,23 €</w:t>
            </w:r>
          </w:p>
        </w:tc>
      </w:tr>
      <w:tr w:rsidR="00B4196E" w:rsidRPr="00074685" w14:paraId="6506138E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5900D8F7" w14:textId="546601B6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Girona</w:t>
            </w:r>
          </w:p>
        </w:tc>
        <w:tc>
          <w:tcPr>
            <w:tcW w:w="2271" w:type="dxa"/>
            <w:vAlign w:val="bottom"/>
          </w:tcPr>
          <w:p w14:paraId="10905A12" w14:textId="685C905C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Girona capital</w:t>
            </w:r>
          </w:p>
        </w:tc>
        <w:tc>
          <w:tcPr>
            <w:tcW w:w="1467" w:type="dxa"/>
            <w:vAlign w:val="bottom"/>
          </w:tcPr>
          <w:p w14:paraId="0CDC0BF4" w14:textId="045D5D6A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8,25 €</w:t>
            </w:r>
          </w:p>
        </w:tc>
        <w:tc>
          <w:tcPr>
            <w:tcW w:w="1326" w:type="dxa"/>
            <w:vAlign w:val="bottom"/>
          </w:tcPr>
          <w:p w14:paraId="70C357F2" w14:textId="0CD54F1A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8,16 €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111C39F" w14:textId="6E4856A2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9,93 €</w:t>
            </w:r>
          </w:p>
        </w:tc>
        <w:tc>
          <w:tcPr>
            <w:tcW w:w="1483" w:type="dxa"/>
            <w:vAlign w:val="bottom"/>
          </w:tcPr>
          <w:p w14:paraId="718A6308" w14:textId="68307BE9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10,74 €</w:t>
            </w:r>
          </w:p>
        </w:tc>
      </w:tr>
      <w:tr w:rsidR="00B4196E" w:rsidRPr="00074685" w14:paraId="0D151074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079C7098" w14:textId="421B132E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 Coruña</w:t>
            </w:r>
          </w:p>
        </w:tc>
        <w:tc>
          <w:tcPr>
            <w:tcW w:w="2271" w:type="dxa"/>
            <w:vAlign w:val="bottom"/>
          </w:tcPr>
          <w:p w14:paraId="179836FC" w14:textId="23BBABEC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 Coruña capital</w:t>
            </w:r>
          </w:p>
        </w:tc>
        <w:tc>
          <w:tcPr>
            <w:tcW w:w="1467" w:type="dxa"/>
            <w:vAlign w:val="bottom"/>
          </w:tcPr>
          <w:p w14:paraId="45822B20" w14:textId="270E8B9D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6,76 €</w:t>
            </w:r>
          </w:p>
        </w:tc>
        <w:tc>
          <w:tcPr>
            <w:tcW w:w="1326" w:type="dxa"/>
            <w:vAlign w:val="bottom"/>
          </w:tcPr>
          <w:p w14:paraId="2DBD52B4" w14:textId="740EC413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6,59 €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31A8254" w14:textId="7584F606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8,44 €</w:t>
            </w:r>
          </w:p>
        </w:tc>
        <w:tc>
          <w:tcPr>
            <w:tcW w:w="1483" w:type="dxa"/>
            <w:vAlign w:val="bottom"/>
          </w:tcPr>
          <w:p w14:paraId="3B06C089" w14:textId="08DF3E64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8,61 €</w:t>
            </w:r>
          </w:p>
        </w:tc>
      </w:tr>
      <w:tr w:rsidR="00B4196E" w:rsidRPr="00074685" w14:paraId="1491C27D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17057AD1" w14:textId="71BF38E6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2271" w:type="dxa"/>
            <w:vAlign w:val="bottom"/>
          </w:tcPr>
          <w:p w14:paraId="48457021" w14:textId="4FF6CA49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Toledo capital</w:t>
            </w:r>
          </w:p>
        </w:tc>
        <w:tc>
          <w:tcPr>
            <w:tcW w:w="1467" w:type="dxa"/>
            <w:vAlign w:val="bottom"/>
          </w:tcPr>
          <w:p w14:paraId="2AEB716A" w14:textId="77693FB1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6,72 €</w:t>
            </w:r>
          </w:p>
        </w:tc>
        <w:tc>
          <w:tcPr>
            <w:tcW w:w="1326" w:type="dxa"/>
            <w:vAlign w:val="bottom"/>
          </w:tcPr>
          <w:p w14:paraId="256AB7AA" w14:textId="1BBD6070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6,06 €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A14CB87" w14:textId="4B297B55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7,66 €</w:t>
            </w:r>
          </w:p>
        </w:tc>
        <w:tc>
          <w:tcPr>
            <w:tcW w:w="1483" w:type="dxa"/>
            <w:vAlign w:val="bottom"/>
          </w:tcPr>
          <w:p w14:paraId="5AD0BA8E" w14:textId="116D5322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7,82 €</w:t>
            </w:r>
          </w:p>
        </w:tc>
      </w:tr>
      <w:tr w:rsidR="00B4196E" w:rsidRPr="00074685" w14:paraId="6315950D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1B114DE5" w14:textId="49BB40BD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2271" w:type="dxa"/>
            <w:vAlign w:val="bottom"/>
          </w:tcPr>
          <w:p w14:paraId="01E60158" w14:textId="58EE0B55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Alicante / Alacant</w:t>
            </w:r>
          </w:p>
        </w:tc>
        <w:tc>
          <w:tcPr>
            <w:tcW w:w="1467" w:type="dxa"/>
            <w:vAlign w:val="bottom"/>
          </w:tcPr>
          <w:p w14:paraId="6FCE3474" w14:textId="2A1AFE5E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6,09 €</w:t>
            </w:r>
          </w:p>
        </w:tc>
        <w:tc>
          <w:tcPr>
            <w:tcW w:w="1326" w:type="dxa"/>
            <w:vAlign w:val="bottom"/>
          </w:tcPr>
          <w:p w14:paraId="54BF3BC8" w14:textId="689D2CC5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6,65 €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76538F4" w14:textId="70CB6C7D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7,99 €</w:t>
            </w:r>
          </w:p>
        </w:tc>
        <w:tc>
          <w:tcPr>
            <w:tcW w:w="1483" w:type="dxa"/>
            <w:vAlign w:val="bottom"/>
          </w:tcPr>
          <w:p w14:paraId="1146C58E" w14:textId="470DD8F7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8,58 €</w:t>
            </w:r>
          </w:p>
        </w:tc>
      </w:tr>
      <w:tr w:rsidR="00B4196E" w:rsidRPr="00074685" w14:paraId="485CA476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6846A97D" w14:textId="78FECF5E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2271" w:type="dxa"/>
            <w:vAlign w:val="bottom"/>
          </w:tcPr>
          <w:p w14:paraId="79E11239" w14:textId="6266308C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Albacete capital</w:t>
            </w:r>
          </w:p>
        </w:tc>
        <w:tc>
          <w:tcPr>
            <w:tcW w:w="1467" w:type="dxa"/>
            <w:vAlign w:val="bottom"/>
          </w:tcPr>
          <w:p w14:paraId="4A85118A" w14:textId="794968BF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6,03 €</w:t>
            </w:r>
          </w:p>
        </w:tc>
        <w:tc>
          <w:tcPr>
            <w:tcW w:w="1326" w:type="dxa"/>
            <w:vAlign w:val="bottom"/>
          </w:tcPr>
          <w:p w14:paraId="6DFEA649" w14:textId="1044729B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5,26 €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D3E1F7A" w14:textId="2CED6AAB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6,67 €</w:t>
            </w:r>
          </w:p>
        </w:tc>
        <w:tc>
          <w:tcPr>
            <w:tcW w:w="1483" w:type="dxa"/>
            <w:vAlign w:val="bottom"/>
          </w:tcPr>
          <w:p w14:paraId="334A66F5" w14:textId="2B21EB1A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6,77 €</w:t>
            </w:r>
          </w:p>
        </w:tc>
      </w:tr>
      <w:tr w:rsidR="00B4196E" w:rsidRPr="00074685" w14:paraId="3599C320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6028663A" w14:textId="05615E2E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Ourense</w:t>
            </w:r>
          </w:p>
        </w:tc>
        <w:tc>
          <w:tcPr>
            <w:tcW w:w="2271" w:type="dxa"/>
            <w:vAlign w:val="bottom"/>
          </w:tcPr>
          <w:p w14:paraId="08E6A700" w14:textId="0366ACBB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Ourense capital</w:t>
            </w:r>
          </w:p>
        </w:tc>
        <w:tc>
          <w:tcPr>
            <w:tcW w:w="1467" w:type="dxa"/>
            <w:vAlign w:val="bottom"/>
          </w:tcPr>
          <w:p w14:paraId="13A15C02" w14:textId="4F451B23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4,73 €</w:t>
            </w:r>
          </w:p>
        </w:tc>
        <w:tc>
          <w:tcPr>
            <w:tcW w:w="1326" w:type="dxa"/>
            <w:vAlign w:val="bottom"/>
          </w:tcPr>
          <w:p w14:paraId="30536443" w14:textId="292EEDA0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4,50 €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A3A2646" w14:textId="085ED9C9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5,95 €</w:t>
            </w:r>
          </w:p>
        </w:tc>
        <w:tc>
          <w:tcPr>
            <w:tcW w:w="1483" w:type="dxa"/>
            <w:vAlign w:val="bottom"/>
          </w:tcPr>
          <w:p w14:paraId="73DB0D4A" w14:textId="39D5B283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5,75 €</w:t>
            </w:r>
          </w:p>
        </w:tc>
      </w:tr>
      <w:tr w:rsidR="00B4196E" w:rsidRPr="00074685" w14:paraId="27491ECF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04598DB2" w14:textId="14FD473F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Ávila</w:t>
            </w:r>
          </w:p>
        </w:tc>
        <w:tc>
          <w:tcPr>
            <w:tcW w:w="2271" w:type="dxa"/>
            <w:vAlign w:val="bottom"/>
          </w:tcPr>
          <w:p w14:paraId="7A9DAAF8" w14:textId="53A2F009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Ávila capital</w:t>
            </w:r>
          </w:p>
        </w:tc>
        <w:tc>
          <w:tcPr>
            <w:tcW w:w="1467" w:type="dxa"/>
            <w:vAlign w:val="bottom"/>
          </w:tcPr>
          <w:p w14:paraId="0DB4ECF9" w14:textId="562E11CC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5,44 €</w:t>
            </w:r>
          </w:p>
        </w:tc>
        <w:tc>
          <w:tcPr>
            <w:tcW w:w="1326" w:type="dxa"/>
            <w:vAlign w:val="bottom"/>
          </w:tcPr>
          <w:p w14:paraId="70F3D01D" w14:textId="406DA084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4,87 €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483E990" w14:textId="48B3C6E3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5,94 €</w:t>
            </w:r>
          </w:p>
        </w:tc>
        <w:tc>
          <w:tcPr>
            <w:tcW w:w="1483" w:type="dxa"/>
            <w:vAlign w:val="bottom"/>
          </w:tcPr>
          <w:p w14:paraId="63A40B0F" w14:textId="33E1D1A0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6,17 €</w:t>
            </w:r>
          </w:p>
        </w:tc>
      </w:tr>
      <w:tr w:rsidR="00B4196E" w:rsidRPr="00074685" w14:paraId="7ECDA41F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22C4A5A9" w14:textId="2CDF734B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Las Palmas</w:t>
            </w:r>
          </w:p>
        </w:tc>
        <w:tc>
          <w:tcPr>
            <w:tcW w:w="2271" w:type="dxa"/>
            <w:vAlign w:val="bottom"/>
          </w:tcPr>
          <w:p w14:paraId="6D13FD43" w14:textId="1356DEEA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Las Palmas de Gran Canaria</w:t>
            </w:r>
          </w:p>
        </w:tc>
        <w:tc>
          <w:tcPr>
            <w:tcW w:w="1467" w:type="dxa"/>
            <w:vAlign w:val="bottom"/>
          </w:tcPr>
          <w:p w14:paraId="32E7EE60" w14:textId="7933B4D3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7,19 €</w:t>
            </w:r>
          </w:p>
        </w:tc>
        <w:tc>
          <w:tcPr>
            <w:tcW w:w="1326" w:type="dxa"/>
            <w:vAlign w:val="bottom"/>
          </w:tcPr>
          <w:p w14:paraId="06B0963F" w14:textId="4FACEA5A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8,46 €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F80994C" w14:textId="37A76785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10,34 €</w:t>
            </w:r>
          </w:p>
        </w:tc>
        <w:tc>
          <w:tcPr>
            <w:tcW w:w="1483" w:type="dxa"/>
            <w:vAlign w:val="bottom"/>
          </w:tcPr>
          <w:p w14:paraId="4385CB1B" w14:textId="2C3B3794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10,68 €</w:t>
            </w:r>
          </w:p>
        </w:tc>
      </w:tr>
      <w:tr w:rsidR="00B4196E" w:rsidRPr="00074685" w14:paraId="42111461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5A967177" w14:textId="06B2623F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Segovia</w:t>
            </w:r>
          </w:p>
        </w:tc>
        <w:tc>
          <w:tcPr>
            <w:tcW w:w="2271" w:type="dxa"/>
            <w:vAlign w:val="bottom"/>
          </w:tcPr>
          <w:p w14:paraId="588BD864" w14:textId="046FB6F3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Segovia capital</w:t>
            </w:r>
          </w:p>
        </w:tc>
        <w:tc>
          <w:tcPr>
            <w:tcW w:w="1467" w:type="dxa"/>
            <w:vAlign w:val="bottom"/>
          </w:tcPr>
          <w:p w14:paraId="07F95F54" w14:textId="76CFEF92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6,88 €</w:t>
            </w:r>
          </w:p>
        </w:tc>
        <w:tc>
          <w:tcPr>
            <w:tcW w:w="1326" w:type="dxa"/>
            <w:vAlign w:val="bottom"/>
          </w:tcPr>
          <w:p w14:paraId="04CADBAE" w14:textId="2226A6D5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6,54 €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55A6498" w14:textId="3FDAF758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8,22 €</w:t>
            </w:r>
          </w:p>
        </w:tc>
        <w:tc>
          <w:tcPr>
            <w:tcW w:w="1483" w:type="dxa"/>
            <w:vAlign w:val="bottom"/>
          </w:tcPr>
          <w:p w14:paraId="27D218E0" w14:textId="4E4FCD20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8,23 €</w:t>
            </w:r>
          </w:p>
        </w:tc>
      </w:tr>
      <w:tr w:rsidR="00B4196E" w:rsidRPr="00074685" w14:paraId="4CE40D9A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7234AB4A" w14:textId="4CCA3443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Granada</w:t>
            </w:r>
          </w:p>
        </w:tc>
        <w:tc>
          <w:tcPr>
            <w:tcW w:w="2271" w:type="dxa"/>
            <w:vAlign w:val="bottom"/>
          </w:tcPr>
          <w:p w14:paraId="699C1890" w14:textId="0443B9B9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Granada capital</w:t>
            </w:r>
          </w:p>
        </w:tc>
        <w:tc>
          <w:tcPr>
            <w:tcW w:w="1467" w:type="dxa"/>
            <w:vAlign w:val="bottom"/>
          </w:tcPr>
          <w:p w14:paraId="24672EB2" w14:textId="667D1C84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6,32 €</w:t>
            </w:r>
          </w:p>
        </w:tc>
        <w:tc>
          <w:tcPr>
            <w:tcW w:w="1326" w:type="dxa"/>
            <w:vAlign w:val="bottom"/>
          </w:tcPr>
          <w:p w14:paraId="25772919" w14:textId="68BBD043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6,34 €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7707407" w14:textId="08319227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8,07 €</w:t>
            </w:r>
          </w:p>
        </w:tc>
        <w:tc>
          <w:tcPr>
            <w:tcW w:w="1483" w:type="dxa"/>
            <w:vAlign w:val="bottom"/>
          </w:tcPr>
          <w:p w14:paraId="6020297A" w14:textId="70C0A6A6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7,97 €</w:t>
            </w:r>
          </w:p>
        </w:tc>
      </w:tr>
      <w:tr w:rsidR="00B4196E" w:rsidRPr="00074685" w14:paraId="53124206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639E8227" w14:textId="35389758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Asturias</w:t>
            </w:r>
          </w:p>
        </w:tc>
        <w:tc>
          <w:tcPr>
            <w:tcW w:w="2271" w:type="dxa"/>
            <w:vAlign w:val="bottom"/>
          </w:tcPr>
          <w:p w14:paraId="52F40FD2" w14:textId="5712DA18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Oviedo</w:t>
            </w:r>
          </w:p>
        </w:tc>
        <w:tc>
          <w:tcPr>
            <w:tcW w:w="1467" w:type="dxa"/>
            <w:vAlign w:val="bottom"/>
          </w:tcPr>
          <w:p w14:paraId="780FDC94" w14:textId="29C62F42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7,32 €</w:t>
            </w:r>
          </w:p>
        </w:tc>
        <w:tc>
          <w:tcPr>
            <w:tcW w:w="1326" w:type="dxa"/>
            <w:vAlign w:val="bottom"/>
          </w:tcPr>
          <w:p w14:paraId="138E0C2F" w14:textId="330FC1AE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6,59 €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B7628A3" w14:textId="7E860DB8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7,94 €</w:t>
            </w:r>
          </w:p>
        </w:tc>
        <w:tc>
          <w:tcPr>
            <w:tcW w:w="1483" w:type="dxa"/>
            <w:vAlign w:val="bottom"/>
          </w:tcPr>
          <w:p w14:paraId="0F01CC96" w14:textId="77C9400E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8,22 €</w:t>
            </w:r>
          </w:p>
        </w:tc>
      </w:tr>
      <w:tr w:rsidR="00B4196E" w:rsidRPr="00074685" w14:paraId="253FDB14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0B476E2B" w14:textId="09459D5E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Badajoz</w:t>
            </w:r>
          </w:p>
        </w:tc>
        <w:tc>
          <w:tcPr>
            <w:tcW w:w="2271" w:type="dxa"/>
            <w:vAlign w:val="bottom"/>
          </w:tcPr>
          <w:p w14:paraId="4E5A16FA" w14:textId="4EB2E009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Badajoz capital</w:t>
            </w:r>
          </w:p>
        </w:tc>
        <w:tc>
          <w:tcPr>
            <w:tcW w:w="1467" w:type="dxa"/>
            <w:vAlign w:val="bottom"/>
          </w:tcPr>
          <w:p w14:paraId="713046DD" w14:textId="7EAB4ECB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5,55 €</w:t>
            </w:r>
          </w:p>
        </w:tc>
        <w:tc>
          <w:tcPr>
            <w:tcW w:w="1326" w:type="dxa"/>
            <w:vAlign w:val="bottom"/>
          </w:tcPr>
          <w:p w14:paraId="641B8884" w14:textId="0CFACFBD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5,15 €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F511017" w14:textId="0D00413B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6,32 €</w:t>
            </w:r>
          </w:p>
        </w:tc>
        <w:tc>
          <w:tcPr>
            <w:tcW w:w="1483" w:type="dxa"/>
            <w:vAlign w:val="bottom"/>
          </w:tcPr>
          <w:p w14:paraId="33E2F78E" w14:textId="5DD3376B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6,42 €</w:t>
            </w:r>
          </w:p>
        </w:tc>
      </w:tr>
      <w:tr w:rsidR="00B4196E" w:rsidRPr="00074685" w14:paraId="050B3508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1DC4559A" w14:textId="3F499EA6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Burgos</w:t>
            </w:r>
          </w:p>
        </w:tc>
        <w:tc>
          <w:tcPr>
            <w:tcW w:w="2271" w:type="dxa"/>
            <w:vAlign w:val="bottom"/>
          </w:tcPr>
          <w:p w14:paraId="1014A56D" w14:textId="065816EE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Burgos capital</w:t>
            </w:r>
          </w:p>
        </w:tc>
        <w:tc>
          <w:tcPr>
            <w:tcW w:w="1467" w:type="dxa"/>
            <w:vAlign w:val="bottom"/>
          </w:tcPr>
          <w:p w14:paraId="031B0E15" w14:textId="0B01EC8D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6,98 €</w:t>
            </w:r>
          </w:p>
        </w:tc>
        <w:tc>
          <w:tcPr>
            <w:tcW w:w="1326" w:type="dxa"/>
            <w:vAlign w:val="bottom"/>
          </w:tcPr>
          <w:p w14:paraId="3FF7FA0B" w14:textId="63DC872E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6,23 €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7405D9A" w14:textId="1E3AE520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7,58 €</w:t>
            </w:r>
          </w:p>
        </w:tc>
        <w:tc>
          <w:tcPr>
            <w:tcW w:w="1483" w:type="dxa"/>
            <w:vAlign w:val="bottom"/>
          </w:tcPr>
          <w:p w14:paraId="6B53B31C" w14:textId="5474C84D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7,76 €</w:t>
            </w:r>
          </w:p>
        </w:tc>
      </w:tr>
      <w:tr w:rsidR="00B4196E" w:rsidRPr="00074685" w14:paraId="441814E5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19FE3120" w14:textId="7C746D04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Zaragoza</w:t>
            </w:r>
          </w:p>
        </w:tc>
        <w:tc>
          <w:tcPr>
            <w:tcW w:w="2271" w:type="dxa"/>
            <w:vAlign w:val="bottom"/>
          </w:tcPr>
          <w:p w14:paraId="47AF5B76" w14:textId="19873A60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Zaragoza capital</w:t>
            </w:r>
          </w:p>
        </w:tc>
        <w:tc>
          <w:tcPr>
            <w:tcW w:w="1467" w:type="dxa"/>
            <w:vAlign w:val="bottom"/>
          </w:tcPr>
          <w:p w14:paraId="2D54989B" w14:textId="1F351D59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7,85 €</w:t>
            </w:r>
          </w:p>
        </w:tc>
        <w:tc>
          <w:tcPr>
            <w:tcW w:w="1326" w:type="dxa"/>
            <w:vAlign w:val="bottom"/>
          </w:tcPr>
          <w:p w14:paraId="216F4AE0" w14:textId="53B39DF9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7,33 €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59841AD" w14:textId="2CC02D9A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8,86 €</w:t>
            </w:r>
          </w:p>
        </w:tc>
        <w:tc>
          <w:tcPr>
            <w:tcW w:w="1483" w:type="dxa"/>
            <w:vAlign w:val="bottom"/>
          </w:tcPr>
          <w:p w14:paraId="7D1C5C91" w14:textId="63A2461C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9,13 €</w:t>
            </w:r>
          </w:p>
        </w:tc>
      </w:tr>
      <w:tr w:rsidR="00B4196E" w:rsidRPr="00074685" w14:paraId="639BF1FD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6AE67685" w14:textId="73D73B88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Cantabria</w:t>
            </w:r>
          </w:p>
        </w:tc>
        <w:tc>
          <w:tcPr>
            <w:tcW w:w="2271" w:type="dxa"/>
            <w:vAlign w:val="bottom"/>
          </w:tcPr>
          <w:p w14:paraId="265DCAA6" w14:textId="2313B543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Santander</w:t>
            </w:r>
          </w:p>
        </w:tc>
        <w:tc>
          <w:tcPr>
            <w:tcW w:w="1467" w:type="dxa"/>
            <w:vAlign w:val="bottom"/>
          </w:tcPr>
          <w:p w14:paraId="7733FF5E" w14:textId="63687FDA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7,81 €</w:t>
            </w:r>
          </w:p>
        </w:tc>
        <w:tc>
          <w:tcPr>
            <w:tcW w:w="1326" w:type="dxa"/>
            <w:vAlign w:val="bottom"/>
          </w:tcPr>
          <w:p w14:paraId="20D8BAC7" w14:textId="3AFDCCAD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7,48 €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5822110" w14:textId="35A1D3B4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9,04 €</w:t>
            </w:r>
          </w:p>
        </w:tc>
        <w:tc>
          <w:tcPr>
            <w:tcW w:w="1483" w:type="dxa"/>
            <w:vAlign w:val="bottom"/>
          </w:tcPr>
          <w:p w14:paraId="5C3B2233" w14:textId="1C43657A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9,29 €</w:t>
            </w:r>
          </w:p>
        </w:tc>
      </w:tr>
      <w:tr w:rsidR="00B4196E" w:rsidRPr="00074685" w14:paraId="280FCA30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709F7397" w14:textId="461D91B3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Valladolid</w:t>
            </w:r>
          </w:p>
        </w:tc>
        <w:tc>
          <w:tcPr>
            <w:tcW w:w="2271" w:type="dxa"/>
            <w:vAlign w:val="bottom"/>
          </w:tcPr>
          <w:p w14:paraId="30224B49" w14:textId="776B4901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Valladolid capital</w:t>
            </w:r>
          </w:p>
        </w:tc>
        <w:tc>
          <w:tcPr>
            <w:tcW w:w="1467" w:type="dxa"/>
            <w:vAlign w:val="bottom"/>
          </w:tcPr>
          <w:p w14:paraId="2EAF0ADC" w14:textId="6098BEED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6,45 €</w:t>
            </w:r>
          </w:p>
        </w:tc>
        <w:tc>
          <w:tcPr>
            <w:tcW w:w="1326" w:type="dxa"/>
            <w:vAlign w:val="bottom"/>
          </w:tcPr>
          <w:p w14:paraId="0C405D83" w14:textId="5EE1807C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6,19 €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C5017ED" w14:textId="0C0AEE97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7,34 €</w:t>
            </w:r>
          </w:p>
        </w:tc>
        <w:tc>
          <w:tcPr>
            <w:tcW w:w="1483" w:type="dxa"/>
            <w:vAlign w:val="bottom"/>
          </w:tcPr>
          <w:p w14:paraId="47B28E74" w14:textId="1A6FCCA8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7,62 €</w:t>
            </w:r>
          </w:p>
        </w:tc>
      </w:tr>
      <w:tr w:rsidR="00B4196E" w:rsidRPr="00074685" w14:paraId="2FC68B04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00CC694F" w14:textId="69DCA86B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Sevilla</w:t>
            </w:r>
          </w:p>
        </w:tc>
        <w:tc>
          <w:tcPr>
            <w:tcW w:w="2271" w:type="dxa"/>
            <w:vAlign w:val="bottom"/>
          </w:tcPr>
          <w:p w14:paraId="3CF0B552" w14:textId="5135F0DA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Sevilla capital</w:t>
            </w:r>
          </w:p>
        </w:tc>
        <w:tc>
          <w:tcPr>
            <w:tcW w:w="1467" w:type="dxa"/>
            <w:vAlign w:val="bottom"/>
          </w:tcPr>
          <w:p w14:paraId="7968D86A" w14:textId="4E0B0C8B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8,25 €</w:t>
            </w:r>
          </w:p>
        </w:tc>
        <w:tc>
          <w:tcPr>
            <w:tcW w:w="1326" w:type="dxa"/>
            <w:vAlign w:val="bottom"/>
          </w:tcPr>
          <w:p w14:paraId="464346B4" w14:textId="18ECFD3A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8,28 €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DFC4C52" w14:textId="56BB4D8C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10,08 €</w:t>
            </w:r>
          </w:p>
        </w:tc>
        <w:tc>
          <w:tcPr>
            <w:tcW w:w="1483" w:type="dxa"/>
            <w:vAlign w:val="bottom"/>
          </w:tcPr>
          <w:p w14:paraId="7308B2F6" w14:textId="6A9AC587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10,16 €</w:t>
            </w:r>
          </w:p>
        </w:tc>
      </w:tr>
      <w:tr w:rsidR="00B4196E" w:rsidRPr="00074685" w14:paraId="088200C9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6ECFF7D6" w14:textId="1D65CF30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2271" w:type="dxa"/>
            <w:vAlign w:val="bottom"/>
          </w:tcPr>
          <w:p w14:paraId="3B63AF59" w14:textId="65CA1ECE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Málaga capital</w:t>
            </w:r>
          </w:p>
        </w:tc>
        <w:tc>
          <w:tcPr>
            <w:tcW w:w="1467" w:type="dxa"/>
            <w:vAlign w:val="bottom"/>
          </w:tcPr>
          <w:p w14:paraId="7A4AC4AB" w14:textId="4E98CBCC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7,01 €</w:t>
            </w:r>
          </w:p>
        </w:tc>
        <w:tc>
          <w:tcPr>
            <w:tcW w:w="1326" w:type="dxa"/>
            <w:vAlign w:val="bottom"/>
          </w:tcPr>
          <w:p w14:paraId="2167BE12" w14:textId="56CF1F55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8,24 €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3F38C63" w14:textId="62F1F1FE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9,62 €</w:t>
            </w:r>
          </w:p>
        </w:tc>
        <w:tc>
          <w:tcPr>
            <w:tcW w:w="1483" w:type="dxa"/>
            <w:vAlign w:val="bottom"/>
          </w:tcPr>
          <w:p w14:paraId="515D6F41" w14:textId="76DD8F9C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10,11 €</w:t>
            </w:r>
          </w:p>
        </w:tc>
      </w:tr>
      <w:tr w:rsidR="00B4196E" w:rsidRPr="00074685" w14:paraId="5C246751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7E64CF45" w14:textId="160CB1C9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León</w:t>
            </w:r>
          </w:p>
        </w:tc>
        <w:tc>
          <w:tcPr>
            <w:tcW w:w="2271" w:type="dxa"/>
            <w:vAlign w:val="bottom"/>
          </w:tcPr>
          <w:p w14:paraId="7C70895E" w14:textId="000D238C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León capital</w:t>
            </w:r>
          </w:p>
        </w:tc>
        <w:tc>
          <w:tcPr>
            <w:tcW w:w="1467" w:type="dxa"/>
            <w:vAlign w:val="bottom"/>
          </w:tcPr>
          <w:p w14:paraId="0452CC5E" w14:textId="2CDB5AEB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5,94 €</w:t>
            </w:r>
          </w:p>
        </w:tc>
        <w:tc>
          <w:tcPr>
            <w:tcW w:w="1326" w:type="dxa"/>
            <w:vAlign w:val="bottom"/>
          </w:tcPr>
          <w:p w14:paraId="7776F74E" w14:textId="763BBDF6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5,52 €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9FA5E47" w14:textId="6CF38957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6,47 €</w:t>
            </w:r>
          </w:p>
        </w:tc>
        <w:tc>
          <w:tcPr>
            <w:tcW w:w="1483" w:type="dxa"/>
            <w:vAlign w:val="bottom"/>
          </w:tcPr>
          <w:p w14:paraId="04FF95D9" w14:textId="55E8BBED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6,75 €</w:t>
            </w:r>
          </w:p>
        </w:tc>
      </w:tr>
      <w:tr w:rsidR="00B4196E" w:rsidRPr="00074685" w14:paraId="436E3282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7B9C852F" w14:textId="131955D4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Jaén</w:t>
            </w:r>
          </w:p>
        </w:tc>
        <w:tc>
          <w:tcPr>
            <w:tcW w:w="2271" w:type="dxa"/>
            <w:vAlign w:val="bottom"/>
          </w:tcPr>
          <w:p w14:paraId="3EAE5875" w14:textId="4DFE60AF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Jaén capital</w:t>
            </w:r>
          </w:p>
        </w:tc>
        <w:tc>
          <w:tcPr>
            <w:tcW w:w="1467" w:type="dxa"/>
            <w:vAlign w:val="bottom"/>
          </w:tcPr>
          <w:p w14:paraId="41844810" w14:textId="5C7E4D89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5,92 €</w:t>
            </w:r>
          </w:p>
        </w:tc>
        <w:tc>
          <w:tcPr>
            <w:tcW w:w="1326" w:type="dxa"/>
            <w:vAlign w:val="bottom"/>
          </w:tcPr>
          <w:p w14:paraId="0ACD5333" w14:textId="747163D2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5,33 €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1FD86A6" w14:textId="3D0F7470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5,88 €</w:t>
            </w:r>
          </w:p>
        </w:tc>
        <w:tc>
          <w:tcPr>
            <w:tcW w:w="1483" w:type="dxa"/>
            <w:vAlign w:val="bottom"/>
          </w:tcPr>
          <w:p w14:paraId="76234DD7" w14:textId="14F2BDFD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6,49 €</w:t>
            </w:r>
          </w:p>
        </w:tc>
      </w:tr>
      <w:tr w:rsidR="00B4196E" w:rsidRPr="00074685" w14:paraId="7C8ED812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75948A4D" w14:textId="32D009B0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Cáceres</w:t>
            </w:r>
          </w:p>
        </w:tc>
        <w:tc>
          <w:tcPr>
            <w:tcW w:w="2271" w:type="dxa"/>
            <w:vAlign w:val="bottom"/>
          </w:tcPr>
          <w:p w14:paraId="5E8AAD72" w14:textId="72106CB7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Cáceres capital</w:t>
            </w:r>
          </w:p>
        </w:tc>
        <w:tc>
          <w:tcPr>
            <w:tcW w:w="1467" w:type="dxa"/>
            <w:vAlign w:val="bottom"/>
          </w:tcPr>
          <w:p w14:paraId="092CE9D3" w14:textId="3F6F4975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5,16 €</w:t>
            </w:r>
          </w:p>
        </w:tc>
        <w:tc>
          <w:tcPr>
            <w:tcW w:w="1326" w:type="dxa"/>
            <w:vAlign w:val="bottom"/>
          </w:tcPr>
          <w:p w14:paraId="1B12FD5A" w14:textId="2B61F056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4,79 €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28E13ED" w14:textId="674DDD1F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5,85 €</w:t>
            </w:r>
          </w:p>
        </w:tc>
        <w:tc>
          <w:tcPr>
            <w:tcW w:w="1483" w:type="dxa"/>
            <w:vAlign w:val="bottom"/>
          </w:tcPr>
          <w:p w14:paraId="5F9F47B5" w14:textId="3128CBD9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5,82 €</w:t>
            </w:r>
          </w:p>
        </w:tc>
      </w:tr>
      <w:tr w:rsidR="00B4196E" w:rsidRPr="00074685" w14:paraId="11095BB3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0F042B45" w14:textId="7B27A921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Gipuzkoa</w:t>
            </w:r>
          </w:p>
        </w:tc>
        <w:tc>
          <w:tcPr>
            <w:tcW w:w="2271" w:type="dxa"/>
            <w:vAlign w:val="bottom"/>
          </w:tcPr>
          <w:p w14:paraId="2DFCABF1" w14:textId="3B90528C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Donostia - San Sebastián</w:t>
            </w:r>
          </w:p>
        </w:tc>
        <w:tc>
          <w:tcPr>
            <w:tcW w:w="1467" w:type="dxa"/>
            <w:vAlign w:val="bottom"/>
          </w:tcPr>
          <w:p w14:paraId="515D0707" w14:textId="052118A8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13,04 €</w:t>
            </w:r>
          </w:p>
        </w:tc>
        <w:tc>
          <w:tcPr>
            <w:tcW w:w="1326" w:type="dxa"/>
            <w:vAlign w:val="bottom"/>
          </w:tcPr>
          <w:p w14:paraId="78E38682" w14:textId="61BB89D2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13,99 €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BAC29CE" w14:textId="72A31E3E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16,00 €</w:t>
            </w:r>
          </w:p>
        </w:tc>
        <w:tc>
          <w:tcPr>
            <w:tcW w:w="1483" w:type="dxa"/>
            <w:vAlign w:val="bottom"/>
          </w:tcPr>
          <w:p w14:paraId="26CC91FD" w14:textId="76CC325F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16,75 €</w:t>
            </w:r>
          </w:p>
        </w:tc>
      </w:tr>
      <w:tr w:rsidR="00B4196E" w:rsidRPr="00074685" w14:paraId="23BDDA46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2F0F8BC4" w14:textId="2ABB8C91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Tarragona</w:t>
            </w:r>
          </w:p>
        </w:tc>
        <w:tc>
          <w:tcPr>
            <w:tcW w:w="2271" w:type="dxa"/>
            <w:vAlign w:val="bottom"/>
          </w:tcPr>
          <w:p w14:paraId="0271985A" w14:textId="780C69FE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Tarragona capital</w:t>
            </w:r>
          </w:p>
        </w:tc>
        <w:tc>
          <w:tcPr>
            <w:tcW w:w="1467" w:type="dxa"/>
            <w:vAlign w:val="bottom"/>
          </w:tcPr>
          <w:p w14:paraId="5AEE665F" w14:textId="12B55E7A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7,51 €</w:t>
            </w:r>
          </w:p>
        </w:tc>
        <w:tc>
          <w:tcPr>
            <w:tcW w:w="1326" w:type="dxa"/>
            <w:vAlign w:val="bottom"/>
          </w:tcPr>
          <w:p w14:paraId="06DA34C4" w14:textId="52F61A74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7,24 €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C26FD0B" w14:textId="4661AD75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8,81 €</w:t>
            </w:r>
          </w:p>
        </w:tc>
        <w:tc>
          <w:tcPr>
            <w:tcW w:w="1483" w:type="dxa"/>
            <w:vAlign w:val="bottom"/>
          </w:tcPr>
          <w:p w14:paraId="7EC697E3" w14:textId="2C4828C3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8,62 €</w:t>
            </w:r>
          </w:p>
        </w:tc>
      </w:tr>
      <w:tr w:rsidR="00B4196E" w:rsidRPr="00074685" w14:paraId="77B56945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456B7E2E" w14:textId="0F4B34E1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Salamanca</w:t>
            </w:r>
          </w:p>
        </w:tc>
        <w:tc>
          <w:tcPr>
            <w:tcW w:w="2271" w:type="dxa"/>
            <w:vAlign w:val="bottom"/>
          </w:tcPr>
          <w:p w14:paraId="47D480E1" w14:textId="53385C1A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Salamanca capital</w:t>
            </w:r>
          </w:p>
        </w:tc>
        <w:tc>
          <w:tcPr>
            <w:tcW w:w="1467" w:type="dxa"/>
            <w:vAlign w:val="bottom"/>
          </w:tcPr>
          <w:p w14:paraId="3E610D3B" w14:textId="675090B6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6,81 €</w:t>
            </w:r>
          </w:p>
        </w:tc>
        <w:tc>
          <w:tcPr>
            <w:tcW w:w="1326" w:type="dxa"/>
            <w:vAlign w:val="bottom"/>
          </w:tcPr>
          <w:p w14:paraId="2C4573F1" w14:textId="18CC8816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7,09 €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F7DA06A" w14:textId="798D7208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8,00 €</w:t>
            </w:r>
          </w:p>
        </w:tc>
        <w:tc>
          <w:tcPr>
            <w:tcW w:w="1483" w:type="dxa"/>
            <w:vAlign w:val="bottom"/>
          </w:tcPr>
          <w:p w14:paraId="118007BC" w14:textId="425C8608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8,11 €</w:t>
            </w:r>
          </w:p>
        </w:tc>
      </w:tr>
      <w:tr w:rsidR="00B4196E" w:rsidRPr="00074685" w14:paraId="62A156C2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05948231" w14:textId="34322C69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Bizkaia</w:t>
            </w:r>
          </w:p>
        </w:tc>
        <w:tc>
          <w:tcPr>
            <w:tcW w:w="2271" w:type="dxa"/>
            <w:vAlign w:val="bottom"/>
          </w:tcPr>
          <w:p w14:paraId="2D534AAC" w14:textId="03DE7F41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Bilbao</w:t>
            </w:r>
          </w:p>
        </w:tc>
        <w:tc>
          <w:tcPr>
            <w:tcW w:w="1467" w:type="dxa"/>
            <w:vAlign w:val="bottom"/>
          </w:tcPr>
          <w:p w14:paraId="6F647D27" w14:textId="728EB4C0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12,30 €</w:t>
            </w:r>
          </w:p>
        </w:tc>
        <w:tc>
          <w:tcPr>
            <w:tcW w:w="1326" w:type="dxa"/>
            <w:vAlign w:val="bottom"/>
          </w:tcPr>
          <w:p w14:paraId="7D2224BF" w14:textId="67B90D67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11,48 €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1E89CAA" w14:textId="414418BC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13,28 €</w:t>
            </w:r>
          </w:p>
        </w:tc>
        <w:tc>
          <w:tcPr>
            <w:tcW w:w="1483" w:type="dxa"/>
            <w:vAlign w:val="bottom"/>
          </w:tcPr>
          <w:p w14:paraId="73CEE12C" w14:textId="6C75C8D9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13,08 €</w:t>
            </w:r>
          </w:p>
        </w:tc>
      </w:tr>
      <w:tr w:rsidR="00B4196E" w:rsidRPr="00074685" w14:paraId="2E0B79EF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628A4164" w14:textId="09C4A28E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Palencia</w:t>
            </w:r>
          </w:p>
        </w:tc>
        <w:tc>
          <w:tcPr>
            <w:tcW w:w="2271" w:type="dxa"/>
            <w:vAlign w:val="bottom"/>
          </w:tcPr>
          <w:p w14:paraId="6CFB8F43" w14:textId="579CCF11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Palencia capital</w:t>
            </w:r>
          </w:p>
        </w:tc>
        <w:tc>
          <w:tcPr>
            <w:tcW w:w="1467" w:type="dxa"/>
            <w:vAlign w:val="bottom"/>
          </w:tcPr>
          <w:p w14:paraId="09B3F9CD" w14:textId="7DA723E4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5,89 €</w:t>
            </w:r>
          </w:p>
        </w:tc>
        <w:tc>
          <w:tcPr>
            <w:tcW w:w="1326" w:type="dxa"/>
            <w:vAlign w:val="bottom"/>
          </w:tcPr>
          <w:p w14:paraId="5882D5B5" w14:textId="1018D3CC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5,94 €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E4D6F59" w14:textId="2381F73A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6,20 €</w:t>
            </w:r>
          </w:p>
        </w:tc>
        <w:tc>
          <w:tcPr>
            <w:tcW w:w="1483" w:type="dxa"/>
            <w:vAlign w:val="bottom"/>
          </w:tcPr>
          <w:p w14:paraId="6BB58711" w14:textId="4BF635CD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6,70 €</w:t>
            </w:r>
          </w:p>
        </w:tc>
      </w:tr>
      <w:tr w:rsidR="00B4196E" w:rsidRPr="00074685" w14:paraId="293670D7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095188E4" w14:textId="35C0A2D5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2271" w:type="dxa"/>
            <w:vAlign w:val="bottom"/>
          </w:tcPr>
          <w:p w14:paraId="17FD35BF" w14:textId="3A338F2F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Madrid capital</w:t>
            </w:r>
          </w:p>
        </w:tc>
        <w:tc>
          <w:tcPr>
            <w:tcW w:w="1467" w:type="dxa"/>
            <w:vAlign w:val="bottom"/>
          </w:tcPr>
          <w:p w14:paraId="6803AC96" w14:textId="3F7AC91F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11,72 €</w:t>
            </w:r>
          </w:p>
        </w:tc>
        <w:tc>
          <w:tcPr>
            <w:tcW w:w="1326" w:type="dxa"/>
            <w:vAlign w:val="bottom"/>
          </w:tcPr>
          <w:p w14:paraId="7000EC47" w14:textId="64828752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13,22 €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E754E4F" w14:textId="7E8E458D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15,04 €</w:t>
            </w:r>
          </w:p>
        </w:tc>
        <w:tc>
          <w:tcPr>
            <w:tcW w:w="1483" w:type="dxa"/>
            <w:vAlign w:val="bottom"/>
          </w:tcPr>
          <w:p w14:paraId="254A29E8" w14:textId="330F4096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14,83 €</w:t>
            </w:r>
          </w:p>
        </w:tc>
      </w:tr>
      <w:tr w:rsidR="00B4196E" w:rsidRPr="00074685" w14:paraId="096EAEB7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2893AD7E" w14:textId="6708D4B0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Melilla</w:t>
            </w:r>
          </w:p>
        </w:tc>
        <w:tc>
          <w:tcPr>
            <w:tcW w:w="2271" w:type="dxa"/>
            <w:vAlign w:val="bottom"/>
          </w:tcPr>
          <w:p w14:paraId="447375E4" w14:textId="58D4633D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Melilla capital</w:t>
            </w:r>
          </w:p>
        </w:tc>
        <w:tc>
          <w:tcPr>
            <w:tcW w:w="1467" w:type="dxa"/>
            <w:vAlign w:val="bottom"/>
          </w:tcPr>
          <w:p w14:paraId="1C7E91BC" w14:textId="77777777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vAlign w:val="bottom"/>
          </w:tcPr>
          <w:p w14:paraId="3EA98DF9" w14:textId="6B2D98D3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8,19 €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9B85789" w14:textId="77777777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bottom"/>
          </w:tcPr>
          <w:p w14:paraId="0002E097" w14:textId="4F4CCACA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9,11 €</w:t>
            </w:r>
          </w:p>
        </w:tc>
      </w:tr>
      <w:tr w:rsidR="00B4196E" w:rsidRPr="00074685" w14:paraId="16C11E91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76315C40" w14:textId="66F00C4D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2271" w:type="dxa"/>
            <w:vAlign w:val="bottom"/>
          </w:tcPr>
          <w:p w14:paraId="5EACECA5" w14:textId="2214CA74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Ciudad Real capital</w:t>
            </w:r>
          </w:p>
        </w:tc>
        <w:tc>
          <w:tcPr>
            <w:tcW w:w="1467" w:type="dxa"/>
            <w:vAlign w:val="bottom"/>
          </w:tcPr>
          <w:p w14:paraId="2AFF5E51" w14:textId="500C9633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5,79 €</w:t>
            </w:r>
          </w:p>
        </w:tc>
        <w:tc>
          <w:tcPr>
            <w:tcW w:w="1326" w:type="dxa"/>
            <w:vAlign w:val="bottom"/>
          </w:tcPr>
          <w:p w14:paraId="21D2243E" w14:textId="0DEB152C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4,85 €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5C517B2" w14:textId="0E97E904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5,36 €</w:t>
            </w:r>
          </w:p>
        </w:tc>
        <w:tc>
          <w:tcPr>
            <w:tcW w:w="1483" w:type="dxa"/>
            <w:vAlign w:val="bottom"/>
          </w:tcPr>
          <w:p w14:paraId="452AD1D8" w14:textId="74D3027C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5,39 €</w:t>
            </w:r>
          </w:p>
        </w:tc>
      </w:tr>
      <w:tr w:rsidR="00B4196E" w:rsidRPr="00074685" w14:paraId="54C74EB5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2B8F3CB3" w14:textId="12A78DE0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Illes Balears</w:t>
            </w:r>
          </w:p>
        </w:tc>
        <w:tc>
          <w:tcPr>
            <w:tcW w:w="2271" w:type="dxa"/>
            <w:vAlign w:val="bottom"/>
          </w:tcPr>
          <w:p w14:paraId="31186982" w14:textId="40FA73A9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Palma de Mallorca</w:t>
            </w:r>
          </w:p>
        </w:tc>
        <w:tc>
          <w:tcPr>
            <w:tcW w:w="1467" w:type="dxa"/>
            <w:vAlign w:val="bottom"/>
          </w:tcPr>
          <w:p w14:paraId="109468D6" w14:textId="5E134C8D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7,80 €</w:t>
            </w:r>
          </w:p>
        </w:tc>
        <w:tc>
          <w:tcPr>
            <w:tcW w:w="1326" w:type="dxa"/>
            <w:vAlign w:val="bottom"/>
          </w:tcPr>
          <w:p w14:paraId="28868D98" w14:textId="256CA0A8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10,52 €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CF2CE5E" w14:textId="535C01EE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11,33 €</w:t>
            </w:r>
          </w:p>
        </w:tc>
        <w:tc>
          <w:tcPr>
            <w:tcW w:w="1483" w:type="dxa"/>
            <w:vAlign w:val="bottom"/>
          </w:tcPr>
          <w:p w14:paraId="19E3D74C" w14:textId="0BC2EA72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11,62 €</w:t>
            </w:r>
          </w:p>
        </w:tc>
      </w:tr>
      <w:tr w:rsidR="00B4196E" w:rsidRPr="00074685" w14:paraId="5FC0F334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7D235642" w14:textId="6333F774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Córdoba</w:t>
            </w:r>
          </w:p>
        </w:tc>
        <w:tc>
          <w:tcPr>
            <w:tcW w:w="2271" w:type="dxa"/>
            <w:vAlign w:val="bottom"/>
          </w:tcPr>
          <w:p w14:paraId="4FB12061" w14:textId="5BA90DE8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Córdoba capital</w:t>
            </w:r>
          </w:p>
        </w:tc>
        <w:tc>
          <w:tcPr>
            <w:tcW w:w="1467" w:type="dxa"/>
            <w:vAlign w:val="bottom"/>
          </w:tcPr>
          <w:p w14:paraId="5934138F" w14:textId="4FA8C8DE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7,07 €</w:t>
            </w:r>
          </w:p>
        </w:tc>
        <w:tc>
          <w:tcPr>
            <w:tcW w:w="1326" w:type="dxa"/>
            <w:vAlign w:val="bottom"/>
          </w:tcPr>
          <w:p w14:paraId="3DDF4B7C" w14:textId="192EC1FF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6,82 €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A5FBB86" w14:textId="31D502D8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7,28 €</w:t>
            </w:r>
          </w:p>
        </w:tc>
        <w:tc>
          <w:tcPr>
            <w:tcW w:w="1483" w:type="dxa"/>
            <w:vAlign w:val="bottom"/>
          </w:tcPr>
          <w:p w14:paraId="05A9D79A" w14:textId="53DADC94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7,53 €</w:t>
            </w:r>
          </w:p>
        </w:tc>
      </w:tr>
      <w:tr w:rsidR="00B4196E" w:rsidRPr="00074685" w14:paraId="589FCCEE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083EFDF1" w14:textId="7F876547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271" w:type="dxa"/>
            <w:vAlign w:val="bottom"/>
          </w:tcPr>
          <w:p w14:paraId="73A0B72D" w14:textId="0845597F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Barcelona capital</w:t>
            </w:r>
          </w:p>
        </w:tc>
        <w:tc>
          <w:tcPr>
            <w:tcW w:w="1467" w:type="dxa"/>
            <w:vAlign w:val="bottom"/>
          </w:tcPr>
          <w:p w14:paraId="77A03520" w14:textId="0E4CF7E1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12,45 €</w:t>
            </w:r>
          </w:p>
        </w:tc>
        <w:tc>
          <w:tcPr>
            <w:tcW w:w="1326" w:type="dxa"/>
            <w:vAlign w:val="bottom"/>
          </w:tcPr>
          <w:p w14:paraId="58230F86" w14:textId="39CE2B9C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4196E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16,88 €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4176E1B" w14:textId="356BD458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15,54 €</w:t>
            </w:r>
          </w:p>
        </w:tc>
        <w:tc>
          <w:tcPr>
            <w:tcW w:w="1483" w:type="dxa"/>
            <w:vAlign w:val="bottom"/>
          </w:tcPr>
          <w:p w14:paraId="21E7E743" w14:textId="04BDF130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16,82 €</w:t>
            </w:r>
          </w:p>
        </w:tc>
      </w:tr>
      <w:tr w:rsidR="00B4196E" w:rsidRPr="00074685" w14:paraId="0E0424C9" w14:textId="77777777" w:rsidTr="00497B34">
        <w:trPr>
          <w:trHeight w:val="171"/>
        </w:trPr>
        <w:tc>
          <w:tcPr>
            <w:tcW w:w="1266" w:type="dxa"/>
            <w:shd w:val="clear" w:color="auto" w:fill="auto"/>
            <w:vAlign w:val="bottom"/>
          </w:tcPr>
          <w:p w14:paraId="0585AD44" w14:textId="6787049F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La Rioja</w:t>
            </w:r>
          </w:p>
        </w:tc>
        <w:tc>
          <w:tcPr>
            <w:tcW w:w="2271" w:type="dxa"/>
            <w:vAlign w:val="bottom"/>
          </w:tcPr>
          <w:p w14:paraId="7454C545" w14:textId="41C93D66" w:rsidR="00B4196E" w:rsidRPr="0052522C" w:rsidRDefault="00B4196E" w:rsidP="00B4196E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Logroño</w:t>
            </w:r>
          </w:p>
        </w:tc>
        <w:tc>
          <w:tcPr>
            <w:tcW w:w="1467" w:type="dxa"/>
            <w:vAlign w:val="bottom"/>
          </w:tcPr>
          <w:p w14:paraId="7320D16A" w14:textId="05DA8147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6,32 €</w:t>
            </w:r>
          </w:p>
        </w:tc>
        <w:tc>
          <w:tcPr>
            <w:tcW w:w="1326" w:type="dxa"/>
            <w:vAlign w:val="bottom"/>
          </w:tcPr>
          <w:p w14:paraId="4D0EB855" w14:textId="3F35A681" w:rsidR="00B4196E" w:rsidRPr="00B4196E" w:rsidRDefault="00B4196E" w:rsidP="00B4196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8C27337" w14:textId="2A9E352B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7,36 €</w:t>
            </w:r>
          </w:p>
        </w:tc>
        <w:tc>
          <w:tcPr>
            <w:tcW w:w="1483" w:type="dxa"/>
            <w:vAlign w:val="bottom"/>
          </w:tcPr>
          <w:p w14:paraId="66CAD2C1" w14:textId="126A8B30" w:rsidR="00B4196E" w:rsidRPr="0052522C" w:rsidRDefault="00B4196E" w:rsidP="00B4196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7,55 €</w:t>
            </w:r>
          </w:p>
        </w:tc>
      </w:tr>
    </w:tbl>
    <w:p w14:paraId="50809441" w14:textId="6FC45CCC" w:rsidR="009553A0" w:rsidRDefault="009553A0" w:rsidP="00D210B8">
      <w:pPr>
        <w:pStyle w:val="Prrafodelista"/>
        <w:spacing w:line="276" w:lineRule="auto"/>
        <w:ind w:left="0" w:right="-574"/>
        <w:jc w:val="center"/>
        <w:rPr>
          <w:rFonts w:ascii="National" w:hAnsi="National"/>
          <w:b/>
          <w:bCs/>
          <w:iCs/>
          <w:color w:val="303AB2"/>
          <w:sz w:val="30"/>
          <w:szCs w:val="180"/>
          <w:lang w:val="es-ES"/>
        </w:rPr>
      </w:pPr>
    </w:p>
    <w:p w14:paraId="4F9B3555" w14:textId="77777777" w:rsidR="00B36CA6" w:rsidRDefault="00B36CA6" w:rsidP="00B36CA6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1059F0E6" w14:textId="77777777" w:rsidR="00B36CA6" w:rsidRDefault="00B36CA6" w:rsidP="00B36CA6">
      <w:pP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sz w:val="22"/>
          <w:szCs w:val="22"/>
        </w:rPr>
        <w:t>, un informe de referencia sobre la evolución del precio medio de la vivienda en España, tanto en venta como en alquiler.</w:t>
      </w:r>
    </w:p>
    <w:bookmarkStart w:id="1" w:name="_heading=h.30j0zll" w:colFirst="0" w:colLast="0"/>
    <w:bookmarkEnd w:id="1"/>
    <w:p w14:paraId="657B540F" w14:textId="77777777" w:rsidR="00B36CA6" w:rsidRDefault="00B36CA6" w:rsidP="00B36CA6">
      <w:pP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Calibri" w:eastAsia="Calibri" w:hAnsi="Calibri" w:cs="Calibri"/>
        </w:rPr>
        <w:fldChar w:fldCharType="begin"/>
      </w:r>
      <w:r>
        <w:instrText xml:space="preserve"> HYPERLINK "http://www.fotocasa.es/"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 pertenece a </w:t>
      </w:r>
      <w:proofErr w:type="spellStart"/>
      <w:r w:rsidR="0000068E">
        <w:fldChar w:fldCharType="begin"/>
      </w:r>
      <w:r w:rsidR="0000068E">
        <w:instrText xml:space="preserve"> HYPERLINK "https://www.adevinta.com/" \h </w:instrText>
      </w:r>
      <w:r w:rsidR="0000068E"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 w:rsidR="0000068E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, una empresa 100% especializada en Marketplace digitales y el único “pure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sz w:val="22"/>
          <w:szCs w:val="22"/>
        </w:rPr>
        <w:t>” del sector a nivel mundial. Con presencia en 12 países de Europa, América Latina y África del Norte, el conjunto de sus plataformas locales recibe un promedio de 1.500 millones de visitas cada mes.</w:t>
      </w:r>
    </w:p>
    <w:p w14:paraId="4754BF9B" w14:textId="77777777" w:rsidR="00B36CA6" w:rsidRDefault="0000068E" w:rsidP="00B36CA6">
      <w:pPr>
        <w:shd w:val="clear" w:color="auto" w:fill="FFFFFF"/>
        <w:spacing w:before="280" w:after="280"/>
        <w:ind w:right="-71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18">
        <w:r w:rsidR="00B36CA6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 w:rsidR="00B36CA6">
        <w:rPr>
          <w:rFonts w:ascii="Open Sans" w:eastAsia="Open Sans" w:hAnsi="Open Sans" w:cs="Open Sans"/>
          <w:sz w:val="22"/>
          <w:szCs w:val="22"/>
        </w:rPr>
        <w:t>.</w:t>
      </w:r>
    </w:p>
    <w:p w14:paraId="19477653" w14:textId="77777777" w:rsidR="00B36CA6" w:rsidRDefault="00B36CA6" w:rsidP="00B36CA6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En España, </w:t>
      </w:r>
      <w:proofErr w:type="spellStart"/>
      <w:r w:rsidR="0000068E">
        <w:fldChar w:fldCharType="begin"/>
      </w:r>
      <w:r w:rsidR="0000068E">
        <w:instrText xml:space="preserve"> HYPERLI</w:instrText>
      </w:r>
      <w:r w:rsidR="0000068E">
        <w:instrText xml:space="preserve">NK "https://www.adevinta.com/" \h </w:instrText>
      </w:r>
      <w:r w:rsidR="0000068E"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 w:rsidR="0000068E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, antes Schibsted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 y </w:t>
      </w:r>
      <w:proofErr w:type="spellStart"/>
      <w:r w:rsidR="0000068E">
        <w:fldChar w:fldCharType="begin"/>
      </w:r>
      <w:r w:rsidR="0000068E">
        <w:instrText xml:space="preserve"> HYPERLINK "https://www.habitaclia.com/" \h </w:instrText>
      </w:r>
      <w:r w:rsidR="0000068E"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habitaclia</w:t>
      </w:r>
      <w:proofErr w:type="spellEnd"/>
      <w:r w:rsidR="0000068E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sz w:val="22"/>
          <w:szCs w:val="22"/>
        </w:rPr>
        <w:t> y </w:t>
      </w:r>
      <w:hyperlink r:id="rId2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>
        <w:rPr>
          <w:rFonts w:ascii="Open Sans" w:eastAsia="Open Sans" w:hAnsi="Open Sans" w:cs="Open Sans"/>
          <w:sz w:val="22"/>
          <w:szCs w:val="22"/>
        </w:rPr>
        <w:t>) y segunda mano (</w:t>
      </w:r>
      <w:proofErr w:type="spellStart"/>
      <w:r w:rsidR="0000068E">
        <w:fldChar w:fldCharType="begin"/>
      </w:r>
      <w:r w:rsidR="0000068E">
        <w:instrText xml:space="preserve"> HYPERLINK "https://www.milanuncios.es/" \h </w:instrText>
      </w:r>
      <w:r w:rsidR="0000068E"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 w:rsidR="0000068E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). Sus más de 18 millones de usuarios al mes sitúan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cuenta en la actualidad con una plantilla de más de 1.000 empleados en España. </w:t>
      </w:r>
    </w:p>
    <w:p w14:paraId="65931FE6" w14:textId="77777777" w:rsidR="00B36CA6" w:rsidRDefault="00B36CA6" w:rsidP="00B36CA6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</w:p>
    <w:p w14:paraId="583B9AE9" w14:textId="77777777" w:rsidR="00B36CA6" w:rsidRDefault="00B36CA6" w:rsidP="00B36CA6">
      <w:pPr>
        <w:shd w:val="clear" w:color="auto" w:fill="FFFFFF"/>
        <w:spacing w:line="276" w:lineRule="auto"/>
        <w:ind w:right="-716"/>
        <w:jc w:val="both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sz w:val="21"/>
          <w:szCs w:val="21"/>
        </w:rPr>
        <w:t xml:space="preserve">Toda nuestra información la puedes encontrar en nuestra </w:t>
      </w:r>
      <w:hyperlink r:id="rId23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sz w:val="21"/>
          <w:szCs w:val="21"/>
        </w:rPr>
        <w:t xml:space="preserve">. </w:t>
      </w:r>
    </w:p>
    <w:p w14:paraId="01B2CD1E" w14:textId="77777777" w:rsidR="00B36CA6" w:rsidRDefault="00B36CA6" w:rsidP="00B36CA6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43739DAA" w14:textId="77777777" w:rsidR="00B36CA6" w:rsidRDefault="00B36CA6" w:rsidP="00B36CA6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45744B37" w14:textId="77777777" w:rsidR="00B36CA6" w:rsidRDefault="00B36CA6" w:rsidP="00B36CA6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19766043" w14:textId="77777777" w:rsidR="00B36CA6" w:rsidRDefault="00B36CA6" w:rsidP="00B36CA6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  <w:t xml:space="preserve">                             Anaïs López </w:t>
      </w:r>
    </w:p>
    <w:p w14:paraId="6D57B7AA" w14:textId="77777777" w:rsidR="00B36CA6" w:rsidRDefault="0000068E" w:rsidP="00B36CA6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24">
        <w:r w:rsidR="00B36CA6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 w:rsidR="00B36CA6">
        <w:rPr>
          <w:rFonts w:ascii="Open Sans" w:eastAsia="Open Sans" w:hAnsi="Open Sans" w:cs="Open Sans"/>
          <w:color w:val="0000FF"/>
          <w:sz w:val="19"/>
          <w:szCs w:val="19"/>
        </w:rPr>
        <w:tab/>
      </w:r>
      <w:r w:rsidR="00B36CA6">
        <w:rPr>
          <w:rFonts w:ascii="Open Sans" w:eastAsia="Open Sans" w:hAnsi="Open Sans" w:cs="Open Sans"/>
          <w:color w:val="0000FF"/>
          <w:sz w:val="19"/>
          <w:szCs w:val="19"/>
        </w:rPr>
        <w:tab/>
      </w:r>
      <w:r w:rsidR="00B36CA6"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 </w:t>
      </w:r>
      <w:hyperlink r:id="rId25">
        <w:r w:rsidR="00B36CA6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592DDFFB" w14:textId="2D62B685" w:rsidR="00B36CA6" w:rsidRDefault="00B36CA6" w:rsidP="00B36CA6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sz w:val="19"/>
          <w:szCs w:val="19"/>
        </w:rPr>
      </w:pPr>
      <w:r>
        <w:rPr>
          <w:rFonts w:ascii="Open Sans" w:eastAsia="Open Sans" w:hAnsi="Open Sans" w:cs="Open Sans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  <w:t xml:space="preserve">              620 66 29 26</w:t>
      </w:r>
    </w:p>
    <w:p w14:paraId="4FF67753" w14:textId="77777777" w:rsidR="00B36CA6" w:rsidRDefault="00B36CA6" w:rsidP="00B36CA6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3D4C8E82" w14:textId="77777777" w:rsidR="00B36CA6" w:rsidRDefault="00B36CA6" w:rsidP="00B36CA6">
      <w:pPr>
        <w:shd w:val="clear" w:color="auto" w:fill="FFFFFF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Fanny Merino</w:t>
      </w:r>
    </w:p>
    <w:p w14:paraId="3D03E585" w14:textId="77777777" w:rsidR="00B36CA6" w:rsidRDefault="00B36CA6" w:rsidP="00B36CA6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Open Sans" w:eastAsia="Open Sans" w:hAnsi="Open Sans" w:cs="Open Sans"/>
          <w:color w:val="0000FF"/>
          <w:sz w:val="19"/>
          <w:szCs w:val="19"/>
          <w:u w:val="single"/>
        </w:rPr>
        <w:t>emerino@llorenteycuenca.com</w:t>
      </w:r>
    </w:p>
    <w:p w14:paraId="5989066B" w14:textId="77777777" w:rsidR="00B36CA6" w:rsidRDefault="00B36CA6" w:rsidP="00B36CA6">
      <w:pPr>
        <w:shd w:val="clear" w:color="auto" w:fill="FFFFFF"/>
        <w:ind w:right="-716"/>
        <w:rPr>
          <w:rFonts w:ascii="Open Sans" w:eastAsia="Open Sans" w:hAnsi="Open Sans" w:cs="Open Sans"/>
          <w:sz w:val="19"/>
          <w:szCs w:val="19"/>
        </w:rPr>
      </w:pPr>
      <w:r>
        <w:rPr>
          <w:rFonts w:ascii="Open Sans" w:eastAsia="Open Sans" w:hAnsi="Open Sans" w:cs="Open Sans"/>
          <w:sz w:val="19"/>
          <w:szCs w:val="19"/>
        </w:rPr>
        <w:t>663 35 69 75 </w:t>
      </w:r>
    </w:p>
    <w:p w14:paraId="78C80E4F" w14:textId="77777777" w:rsidR="00B36CA6" w:rsidRDefault="00B36CA6" w:rsidP="00B36CA6">
      <w:pPr>
        <w:shd w:val="clear" w:color="auto" w:fill="FFFFFF"/>
        <w:ind w:right="-716"/>
        <w:rPr>
          <w:rFonts w:ascii="Open Sans" w:eastAsia="Open Sans" w:hAnsi="Open Sans" w:cs="Open Sans"/>
          <w:sz w:val="19"/>
          <w:szCs w:val="19"/>
        </w:rPr>
      </w:pPr>
    </w:p>
    <w:p w14:paraId="2DD9EBEE" w14:textId="77777777" w:rsidR="00B36CA6" w:rsidRDefault="00B36CA6" w:rsidP="00B36CA6">
      <w:pPr>
        <w:shd w:val="clear" w:color="auto" w:fill="FFFFFF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Quico Alemany</w:t>
      </w:r>
    </w:p>
    <w:p w14:paraId="1C3CCD6C" w14:textId="77777777" w:rsidR="00B36CA6" w:rsidRDefault="0000068E" w:rsidP="00B36CA6">
      <w:pPr>
        <w:shd w:val="clear" w:color="auto" w:fill="FFFFFF"/>
        <w:ind w:right="-716"/>
        <w:rPr>
          <w:rFonts w:ascii="Open Sans" w:eastAsia="Open Sans" w:hAnsi="Open Sans" w:cs="Open Sans"/>
          <w:sz w:val="19"/>
          <w:szCs w:val="19"/>
        </w:rPr>
      </w:pPr>
      <w:hyperlink r:id="rId26">
        <w:r w:rsidR="00B36CA6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qalemany@llorenteycuenca.com</w:t>
        </w:r>
      </w:hyperlink>
    </w:p>
    <w:p w14:paraId="63A17868" w14:textId="77777777" w:rsidR="00B36CA6" w:rsidRDefault="00B36CA6" w:rsidP="00B36CA6">
      <w:pPr>
        <w:shd w:val="clear" w:color="auto" w:fill="FFFFFF"/>
        <w:ind w:right="-716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19"/>
          <w:szCs w:val="19"/>
        </w:rPr>
        <w:t>646 742 655</w:t>
      </w:r>
    </w:p>
    <w:p w14:paraId="44951542" w14:textId="77777777" w:rsidR="00B36CA6" w:rsidRDefault="00B36CA6" w:rsidP="00B36CA6">
      <w:pPr>
        <w:shd w:val="clear" w:color="auto" w:fill="FFFFFF"/>
        <w:ind w:right="-716"/>
        <w:rPr>
          <w:rFonts w:ascii="Open Sans" w:eastAsia="Open Sans" w:hAnsi="Open Sans" w:cs="Open Sans"/>
          <w:sz w:val="21"/>
          <w:szCs w:val="21"/>
        </w:rPr>
      </w:pPr>
    </w:p>
    <w:p w14:paraId="76417EC0" w14:textId="71B53410" w:rsidR="002E4DF7" w:rsidRDefault="002E4DF7" w:rsidP="00B36CA6">
      <w:pPr>
        <w:spacing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2E4DF7" w:rsidSect="007937D5">
      <w:footerReference w:type="default" r:id="rId2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BA82" w14:textId="77777777" w:rsidR="0000068E" w:rsidRDefault="0000068E" w:rsidP="00DD4CA4">
      <w:r>
        <w:separator/>
      </w:r>
    </w:p>
  </w:endnote>
  <w:endnote w:type="continuationSeparator" w:id="0">
    <w:p w14:paraId="6E61AC56" w14:textId="77777777" w:rsidR="0000068E" w:rsidRDefault="0000068E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">
    <w:altName w:val="Corbel"/>
    <w:charset w:val="00"/>
    <w:family w:val="auto"/>
    <w:pitch w:val="default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A755" w14:textId="77777777" w:rsidR="009A5AF1" w:rsidRDefault="009A5AF1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8752" behindDoc="1" locked="0" layoutInCell="1" allowOverlap="1" wp14:anchorId="4FA99DDF" wp14:editId="391A5857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27AD" w14:textId="77777777" w:rsidR="0000068E" w:rsidRDefault="0000068E" w:rsidP="00DD4CA4">
      <w:r>
        <w:separator/>
      </w:r>
    </w:p>
  </w:footnote>
  <w:footnote w:type="continuationSeparator" w:id="0">
    <w:p w14:paraId="285CA4B0" w14:textId="77777777" w:rsidR="0000068E" w:rsidRDefault="0000068E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974"/>
    <w:multiLevelType w:val="hybridMultilevel"/>
    <w:tmpl w:val="3D8450D8"/>
    <w:lvl w:ilvl="0" w:tplc="C9EAB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0A67"/>
    <w:multiLevelType w:val="hybridMultilevel"/>
    <w:tmpl w:val="6EB47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0068E"/>
    <w:rsid w:val="000034A6"/>
    <w:rsid w:val="00003674"/>
    <w:rsid w:val="00010ECE"/>
    <w:rsid w:val="00013487"/>
    <w:rsid w:val="00014CED"/>
    <w:rsid w:val="00014EC0"/>
    <w:rsid w:val="00023DBF"/>
    <w:rsid w:val="000329E0"/>
    <w:rsid w:val="00034E35"/>
    <w:rsid w:val="00044A00"/>
    <w:rsid w:val="0005599B"/>
    <w:rsid w:val="0006155E"/>
    <w:rsid w:val="00063144"/>
    <w:rsid w:val="00066012"/>
    <w:rsid w:val="00066D4E"/>
    <w:rsid w:val="00073F7A"/>
    <w:rsid w:val="00074685"/>
    <w:rsid w:val="00084308"/>
    <w:rsid w:val="00091F4C"/>
    <w:rsid w:val="0009642A"/>
    <w:rsid w:val="00097638"/>
    <w:rsid w:val="000A3C1F"/>
    <w:rsid w:val="000B58AA"/>
    <w:rsid w:val="000C290A"/>
    <w:rsid w:val="000C7646"/>
    <w:rsid w:val="000D60D7"/>
    <w:rsid w:val="000E0424"/>
    <w:rsid w:val="000F4532"/>
    <w:rsid w:val="00110839"/>
    <w:rsid w:val="0011127D"/>
    <w:rsid w:val="00130D58"/>
    <w:rsid w:val="001316A7"/>
    <w:rsid w:val="00133A7B"/>
    <w:rsid w:val="001361DC"/>
    <w:rsid w:val="00136259"/>
    <w:rsid w:val="00137E55"/>
    <w:rsid w:val="0014007A"/>
    <w:rsid w:val="0014287C"/>
    <w:rsid w:val="00144A77"/>
    <w:rsid w:val="00152120"/>
    <w:rsid w:val="00152FC9"/>
    <w:rsid w:val="001651B5"/>
    <w:rsid w:val="00196144"/>
    <w:rsid w:val="001A3470"/>
    <w:rsid w:val="001B2CC7"/>
    <w:rsid w:val="001B3A44"/>
    <w:rsid w:val="001B69A0"/>
    <w:rsid w:val="001C6AC4"/>
    <w:rsid w:val="001D49F8"/>
    <w:rsid w:val="001D7467"/>
    <w:rsid w:val="001E009C"/>
    <w:rsid w:val="001E1375"/>
    <w:rsid w:val="001E18D5"/>
    <w:rsid w:val="001E69C0"/>
    <w:rsid w:val="001F58D5"/>
    <w:rsid w:val="00210DBA"/>
    <w:rsid w:val="0021639C"/>
    <w:rsid w:val="00223856"/>
    <w:rsid w:val="00223F7F"/>
    <w:rsid w:val="002252B3"/>
    <w:rsid w:val="00226CA0"/>
    <w:rsid w:val="00242192"/>
    <w:rsid w:val="00247090"/>
    <w:rsid w:val="002537FA"/>
    <w:rsid w:val="002763B0"/>
    <w:rsid w:val="00281F6A"/>
    <w:rsid w:val="00284D38"/>
    <w:rsid w:val="00285782"/>
    <w:rsid w:val="00292293"/>
    <w:rsid w:val="00294264"/>
    <w:rsid w:val="002A35C0"/>
    <w:rsid w:val="002A6116"/>
    <w:rsid w:val="002B6E3D"/>
    <w:rsid w:val="002C1563"/>
    <w:rsid w:val="002C2F40"/>
    <w:rsid w:val="002D35EA"/>
    <w:rsid w:val="002D671A"/>
    <w:rsid w:val="002E4DF7"/>
    <w:rsid w:val="002F0A40"/>
    <w:rsid w:val="002F439B"/>
    <w:rsid w:val="002F4C9D"/>
    <w:rsid w:val="00303E52"/>
    <w:rsid w:val="0030786F"/>
    <w:rsid w:val="00307DF9"/>
    <w:rsid w:val="00312FDC"/>
    <w:rsid w:val="003145A9"/>
    <w:rsid w:val="00346110"/>
    <w:rsid w:val="00351A42"/>
    <w:rsid w:val="00351CB1"/>
    <w:rsid w:val="003646FD"/>
    <w:rsid w:val="00364946"/>
    <w:rsid w:val="0037410B"/>
    <w:rsid w:val="00376DE0"/>
    <w:rsid w:val="003827F7"/>
    <w:rsid w:val="00392ACD"/>
    <w:rsid w:val="00394847"/>
    <w:rsid w:val="003A7FF3"/>
    <w:rsid w:val="003C4D3B"/>
    <w:rsid w:val="003D4FE5"/>
    <w:rsid w:val="003F4390"/>
    <w:rsid w:val="003F535B"/>
    <w:rsid w:val="003F66EE"/>
    <w:rsid w:val="004029F8"/>
    <w:rsid w:val="00403021"/>
    <w:rsid w:val="00412163"/>
    <w:rsid w:val="00431221"/>
    <w:rsid w:val="00435FBF"/>
    <w:rsid w:val="004372BE"/>
    <w:rsid w:val="0043796C"/>
    <w:rsid w:val="004419C5"/>
    <w:rsid w:val="00441F4B"/>
    <w:rsid w:val="004577E7"/>
    <w:rsid w:val="00466110"/>
    <w:rsid w:val="00475CA1"/>
    <w:rsid w:val="00476920"/>
    <w:rsid w:val="00491F19"/>
    <w:rsid w:val="00494660"/>
    <w:rsid w:val="004A0180"/>
    <w:rsid w:val="004B0DEC"/>
    <w:rsid w:val="004D0E4B"/>
    <w:rsid w:val="004D3A6F"/>
    <w:rsid w:val="004E6B54"/>
    <w:rsid w:val="004F7931"/>
    <w:rsid w:val="005025F0"/>
    <w:rsid w:val="005029E9"/>
    <w:rsid w:val="00503F5B"/>
    <w:rsid w:val="005103F9"/>
    <w:rsid w:val="005149BB"/>
    <w:rsid w:val="00516F9C"/>
    <w:rsid w:val="00524A6B"/>
    <w:rsid w:val="005266EF"/>
    <w:rsid w:val="00540CE5"/>
    <w:rsid w:val="00557205"/>
    <w:rsid w:val="005650F4"/>
    <w:rsid w:val="00566CD3"/>
    <w:rsid w:val="00570DFA"/>
    <w:rsid w:val="00574A33"/>
    <w:rsid w:val="00580BBF"/>
    <w:rsid w:val="00581903"/>
    <w:rsid w:val="00583D8D"/>
    <w:rsid w:val="00585A32"/>
    <w:rsid w:val="00587182"/>
    <w:rsid w:val="00592313"/>
    <w:rsid w:val="00593D08"/>
    <w:rsid w:val="00594758"/>
    <w:rsid w:val="0059651E"/>
    <w:rsid w:val="005A1AD1"/>
    <w:rsid w:val="005A4CB5"/>
    <w:rsid w:val="005B11DB"/>
    <w:rsid w:val="005B738A"/>
    <w:rsid w:val="005C2370"/>
    <w:rsid w:val="005C2A66"/>
    <w:rsid w:val="005C4FC4"/>
    <w:rsid w:val="005C5838"/>
    <w:rsid w:val="005D019A"/>
    <w:rsid w:val="005D12D9"/>
    <w:rsid w:val="005D15CF"/>
    <w:rsid w:val="005D2507"/>
    <w:rsid w:val="005D67F7"/>
    <w:rsid w:val="005E255E"/>
    <w:rsid w:val="005E3F7B"/>
    <w:rsid w:val="005E6BF8"/>
    <w:rsid w:val="005F3812"/>
    <w:rsid w:val="005F6A96"/>
    <w:rsid w:val="005F6CA3"/>
    <w:rsid w:val="006051CC"/>
    <w:rsid w:val="00606A1A"/>
    <w:rsid w:val="006251BA"/>
    <w:rsid w:val="006360AB"/>
    <w:rsid w:val="00637401"/>
    <w:rsid w:val="00646E7D"/>
    <w:rsid w:val="00651664"/>
    <w:rsid w:val="00663524"/>
    <w:rsid w:val="00667733"/>
    <w:rsid w:val="00667D75"/>
    <w:rsid w:val="00670A43"/>
    <w:rsid w:val="006841D0"/>
    <w:rsid w:val="006A3C97"/>
    <w:rsid w:val="006D041E"/>
    <w:rsid w:val="006D1BBC"/>
    <w:rsid w:val="006D2A3C"/>
    <w:rsid w:val="006E1AA8"/>
    <w:rsid w:val="006E22D8"/>
    <w:rsid w:val="006F1858"/>
    <w:rsid w:val="006F46EF"/>
    <w:rsid w:val="006F6575"/>
    <w:rsid w:val="00701597"/>
    <w:rsid w:val="007027AA"/>
    <w:rsid w:val="00703E9B"/>
    <w:rsid w:val="0070542A"/>
    <w:rsid w:val="00712D25"/>
    <w:rsid w:val="00713A9F"/>
    <w:rsid w:val="007225B4"/>
    <w:rsid w:val="00725C0B"/>
    <w:rsid w:val="00736472"/>
    <w:rsid w:val="00736F3A"/>
    <w:rsid w:val="00740970"/>
    <w:rsid w:val="00751009"/>
    <w:rsid w:val="00753088"/>
    <w:rsid w:val="00753AE9"/>
    <w:rsid w:val="00755126"/>
    <w:rsid w:val="00757904"/>
    <w:rsid w:val="0076156F"/>
    <w:rsid w:val="00782B87"/>
    <w:rsid w:val="00785BD2"/>
    <w:rsid w:val="00793775"/>
    <w:rsid w:val="007937D5"/>
    <w:rsid w:val="0079503E"/>
    <w:rsid w:val="007A16BE"/>
    <w:rsid w:val="007A2DB6"/>
    <w:rsid w:val="007A55E0"/>
    <w:rsid w:val="007A7D8D"/>
    <w:rsid w:val="007B12E2"/>
    <w:rsid w:val="007B4A86"/>
    <w:rsid w:val="007B609F"/>
    <w:rsid w:val="007C2926"/>
    <w:rsid w:val="007E1D5C"/>
    <w:rsid w:val="007E2FC5"/>
    <w:rsid w:val="007E3662"/>
    <w:rsid w:val="007E37CA"/>
    <w:rsid w:val="007E6ABA"/>
    <w:rsid w:val="007E7286"/>
    <w:rsid w:val="007F2290"/>
    <w:rsid w:val="007F3DDC"/>
    <w:rsid w:val="007F702A"/>
    <w:rsid w:val="008011C5"/>
    <w:rsid w:val="00802470"/>
    <w:rsid w:val="0081215D"/>
    <w:rsid w:val="00813145"/>
    <w:rsid w:val="00816950"/>
    <w:rsid w:val="00821FF7"/>
    <w:rsid w:val="008246FE"/>
    <w:rsid w:val="00833BF4"/>
    <w:rsid w:val="00835015"/>
    <w:rsid w:val="00835805"/>
    <w:rsid w:val="00836729"/>
    <w:rsid w:val="00847032"/>
    <w:rsid w:val="00851309"/>
    <w:rsid w:val="00863400"/>
    <w:rsid w:val="00885EA3"/>
    <w:rsid w:val="00897D7E"/>
    <w:rsid w:val="008A34D5"/>
    <w:rsid w:val="008B009B"/>
    <w:rsid w:val="008B17A7"/>
    <w:rsid w:val="008B478E"/>
    <w:rsid w:val="008B777B"/>
    <w:rsid w:val="008C10BF"/>
    <w:rsid w:val="008C2B02"/>
    <w:rsid w:val="008D1286"/>
    <w:rsid w:val="008D20D0"/>
    <w:rsid w:val="008D250C"/>
    <w:rsid w:val="008D2DD9"/>
    <w:rsid w:val="008D3E30"/>
    <w:rsid w:val="008D78BC"/>
    <w:rsid w:val="008E1900"/>
    <w:rsid w:val="008F1782"/>
    <w:rsid w:val="009004F0"/>
    <w:rsid w:val="00900FF2"/>
    <w:rsid w:val="0090117E"/>
    <w:rsid w:val="00902060"/>
    <w:rsid w:val="009053ED"/>
    <w:rsid w:val="0091359C"/>
    <w:rsid w:val="00925217"/>
    <w:rsid w:val="009309B9"/>
    <w:rsid w:val="00932C07"/>
    <w:rsid w:val="00935B41"/>
    <w:rsid w:val="0093735E"/>
    <w:rsid w:val="009409BA"/>
    <w:rsid w:val="00941F79"/>
    <w:rsid w:val="009553A0"/>
    <w:rsid w:val="00964BED"/>
    <w:rsid w:val="00970F0F"/>
    <w:rsid w:val="00972E67"/>
    <w:rsid w:val="00975125"/>
    <w:rsid w:val="00983C68"/>
    <w:rsid w:val="009A20A5"/>
    <w:rsid w:val="009A5AF1"/>
    <w:rsid w:val="009A5E1C"/>
    <w:rsid w:val="009A635C"/>
    <w:rsid w:val="009B3099"/>
    <w:rsid w:val="009C0542"/>
    <w:rsid w:val="009C2303"/>
    <w:rsid w:val="009C5DED"/>
    <w:rsid w:val="009D2F77"/>
    <w:rsid w:val="009D4647"/>
    <w:rsid w:val="009E08E6"/>
    <w:rsid w:val="009E79C2"/>
    <w:rsid w:val="00A279C7"/>
    <w:rsid w:val="00A338CE"/>
    <w:rsid w:val="00A3516A"/>
    <w:rsid w:val="00A36820"/>
    <w:rsid w:val="00A448AD"/>
    <w:rsid w:val="00A449CC"/>
    <w:rsid w:val="00A50985"/>
    <w:rsid w:val="00A523A1"/>
    <w:rsid w:val="00A70933"/>
    <w:rsid w:val="00A70F9F"/>
    <w:rsid w:val="00A76E50"/>
    <w:rsid w:val="00A84CA7"/>
    <w:rsid w:val="00A90CF9"/>
    <w:rsid w:val="00A9236A"/>
    <w:rsid w:val="00AA2566"/>
    <w:rsid w:val="00AA3055"/>
    <w:rsid w:val="00AA5C40"/>
    <w:rsid w:val="00AB16FF"/>
    <w:rsid w:val="00AB1B5B"/>
    <w:rsid w:val="00AB29CC"/>
    <w:rsid w:val="00AB37C2"/>
    <w:rsid w:val="00AD0C78"/>
    <w:rsid w:val="00AD0F7C"/>
    <w:rsid w:val="00AD11F1"/>
    <w:rsid w:val="00AD3095"/>
    <w:rsid w:val="00AD48D0"/>
    <w:rsid w:val="00AD62DD"/>
    <w:rsid w:val="00AE00EF"/>
    <w:rsid w:val="00AF163D"/>
    <w:rsid w:val="00B10769"/>
    <w:rsid w:val="00B1179B"/>
    <w:rsid w:val="00B22FD3"/>
    <w:rsid w:val="00B26B84"/>
    <w:rsid w:val="00B3267F"/>
    <w:rsid w:val="00B341A0"/>
    <w:rsid w:val="00B36CA6"/>
    <w:rsid w:val="00B4196E"/>
    <w:rsid w:val="00B41A97"/>
    <w:rsid w:val="00B45915"/>
    <w:rsid w:val="00B53ED5"/>
    <w:rsid w:val="00B54B63"/>
    <w:rsid w:val="00B55E8E"/>
    <w:rsid w:val="00B6101B"/>
    <w:rsid w:val="00B6601B"/>
    <w:rsid w:val="00B668EA"/>
    <w:rsid w:val="00B772CA"/>
    <w:rsid w:val="00B77EF0"/>
    <w:rsid w:val="00B82525"/>
    <w:rsid w:val="00B94F8A"/>
    <w:rsid w:val="00B97DF8"/>
    <w:rsid w:val="00BA7479"/>
    <w:rsid w:val="00BB4584"/>
    <w:rsid w:val="00BC1D19"/>
    <w:rsid w:val="00BC4579"/>
    <w:rsid w:val="00BC5595"/>
    <w:rsid w:val="00BD2FBF"/>
    <w:rsid w:val="00BD4A31"/>
    <w:rsid w:val="00BD7CBC"/>
    <w:rsid w:val="00BE6596"/>
    <w:rsid w:val="00C071FE"/>
    <w:rsid w:val="00C159C1"/>
    <w:rsid w:val="00C255EA"/>
    <w:rsid w:val="00C31EC9"/>
    <w:rsid w:val="00C56E16"/>
    <w:rsid w:val="00C709FD"/>
    <w:rsid w:val="00C72CF4"/>
    <w:rsid w:val="00C767B9"/>
    <w:rsid w:val="00C80691"/>
    <w:rsid w:val="00CA4213"/>
    <w:rsid w:val="00CB1FB4"/>
    <w:rsid w:val="00CB39E7"/>
    <w:rsid w:val="00CB6EB1"/>
    <w:rsid w:val="00CC2113"/>
    <w:rsid w:val="00CD0B99"/>
    <w:rsid w:val="00CD1A17"/>
    <w:rsid w:val="00CE47E3"/>
    <w:rsid w:val="00CE4DD8"/>
    <w:rsid w:val="00CE563D"/>
    <w:rsid w:val="00CE6A58"/>
    <w:rsid w:val="00CF7667"/>
    <w:rsid w:val="00D00F1E"/>
    <w:rsid w:val="00D075BB"/>
    <w:rsid w:val="00D210B8"/>
    <w:rsid w:val="00D215AC"/>
    <w:rsid w:val="00D227BE"/>
    <w:rsid w:val="00D25CD3"/>
    <w:rsid w:val="00D31A57"/>
    <w:rsid w:val="00D3495E"/>
    <w:rsid w:val="00D41C3C"/>
    <w:rsid w:val="00D442CA"/>
    <w:rsid w:val="00D52203"/>
    <w:rsid w:val="00D61A99"/>
    <w:rsid w:val="00D62129"/>
    <w:rsid w:val="00D65A3C"/>
    <w:rsid w:val="00D842F0"/>
    <w:rsid w:val="00D8519D"/>
    <w:rsid w:val="00D860D3"/>
    <w:rsid w:val="00D86387"/>
    <w:rsid w:val="00D91C64"/>
    <w:rsid w:val="00DA246F"/>
    <w:rsid w:val="00DA2686"/>
    <w:rsid w:val="00DA34F8"/>
    <w:rsid w:val="00DA6840"/>
    <w:rsid w:val="00DB36B2"/>
    <w:rsid w:val="00DB76F9"/>
    <w:rsid w:val="00DC29E7"/>
    <w:rsid w:val="00DC68F0"/>
    <w:rsid w:val="00DC7AC3"/>
    <w:rsid w:val="00DD4CA4"/>
    <w:rsid w:val="00DD5010"/>
    <w:rsid w:val="00DD77FD"/>
    <w:rsid w:val="00DE052F"/>
    <w:rsid w:val="00DE7CE6"/>
    <w:rsid w:val="00DF3362"/>
    <w:rsid w:val="00E054C5"/>
    <w:rsid w:val="00E14B6E"/>
    <w:rsid w:val="00E30D8F"/>
    <w:rsid w:val="00E43660"/>
    <w:rsid w:val="00E43CE5"/>
    <w:rsid w:val="00E600D8"/>
    <w:rsid w:val="00E7535B"/>
    <w:rsid w:val="00E94830"/>
    <w:rsid w:val="00EA721E"/>
    <w:rsid w:val="00EB0728"/>
    <w:rsid w:val="00EB7EA5"/>
    <w:rsid w:val="00EC3A5C"/>
    <w:rsid w:val="00EC667B"/>
    <w:rsid w:val="00ED0035"/>
    <w:rsid w:val="00ED1A5D"/>
    <w:rsid w:val="00ED419C"/>
    <w:rsid w:val="00ED6CFA"/>
    <w:rsid w:val="00EE12AE"/>
    <w:rsid w:val="00EE6A9A"/>
    <w:rsid w:val="00EF0C5F"/>
    <w:rsid w:val="00EF6A37"/>
    <w:rsid w:val="00F04F96"/>
    <w:rsid w:val="00F208DC"/>
    <w:rsid w:val="00F23500"/>
    <w:rsid w:val="00F24975"/>
    <w:rsid w:val="00F368E2"/>
    <w:rsid w:val="00F42007"/>
    <w:rsid w:val="00F54D14"/>
    <w:rsid w:val="00F65787"/>
    <w:rsid w:val="00F65A5B"/>
    <w:rsid w:val="00F90078"/>
    <w:rsid w:val="00F966FA"/>
    <w:rsid w:val="00F9754E"/>
    <w:rsid w:val="00FA4744"/>
    <w:rsid w:val="00FA5FE1"/>
    <w:rsid w:val="00FB324D"/>
    <w:rsid w:val="00FB61E9"/>
    <w:rsid w:val="00FD442F"/>
    <w:rsid w:val="00FD586C"/>
    <w:rsid w:val="00FE2C08"/>
    <w:rsid w:val="00FE3160"/>
    <w:rsid w:val="00FE5FBC"/>
    <w:rsid w:val="00FE6386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D87BB"/>
  <w15:docId w15:val="{9FB972BF-DF11-49B5-8942-60CC427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A7093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5F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FB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02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s://www.fotocasa.es/es/quienes-somos/" TargetMode="External"/><Relationship Id="rId26" Type="http://schemas.openxmlformats.org/officeDocument/2006/relationships/hyperlink" Target="mailto:qalemany@llorenteycuenc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s://www.fotocasa.es/indice/" TargetMode="External"/><Relationship Id="rId25" Type="http://schemas.openxmlformats.org/officeDocument/2006/relationships/hyperlink" Target="mailto: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" TargetMode="External"/><Relationship Id="rId20" Type="http://schemas.openxmlformats.org/officeDocument/2006/relationships/hyperlink" Target="https://www.infojobs.ne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mailto:rtorne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prensa.fotocasa.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fotocasa.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s://motos.coches.net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prani\Google%20Drive\PATRI%20Y%20ELENA\001%20CLIENTES\01-SCHIBSTED\04-ESTUDIO%20NdP\INCREMENTOS%20A&#209;OS\ALQUILER\2021\DICIEMBRE%202021\PRENSA%20ALQUILER%20ACUMULATIVO%20DIC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[PRENSA ALQUILER ACUMULATIVO DIC 2021.xlsx]ALQUILER CCAA!TablaDinámica3</c:name>
    <c:fmtId val="-1"/>
  </c:pivotSource>
  <c:chart>
    <c:autoTitleDeleted val="1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circle"/>
          <c:size val="6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spPr>
          <a:solidFill>
            <a:srgbClr val="8497B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rgbClr val="8497B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0"/>
        <c:spPr>
          <a:solidFill>
            <a:srgbClr val="8497B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1"/>
        <c:spPr>
          <a:solidFill>
            <a:srgbClr val="8497B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2"/>
        <c:spPr>
          <a:solidFill>
            <a:srgbClr val="8497B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3"/>
        <c:spPr>
          <a:solidFill>
            <a:srgbClr val="8497B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4"/>
        <c:spPr>
          <a:solidFill>
            <a:srgbClr val="8497B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2.9280111746717616E-2"/>
          <c:y val="9.1444329176779832E-2"/>
          <c:w val="0.93098882392962479"/>
          <c:h val="0.691288738869405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'ALQUILER CCAA'!$Z$7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-3,6%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186-48C7-9D81-3B69F985FA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'ALQUILER CCAA'!$Y$8:$Y$11</c:f>
              <c:strCache>
                <c:ptCount val="4"/>
                <c:pt idx="0">
                  <c:v>Acumulativo (%)          10 años                     (2021 vs 2006)</c:v>
                </c:pt>
                <c:pt idx="1">
                  <c:v>Acumulativo (%)             10 años                         (2021 vs 2011)</c:v>
                </c:pt>
                <c:pt idx="2">
                  <c:v>Acumulativo (%)             5 años                          (2021 vs 2016)</c:v>
                </c:pt>
                <c:pt idx="3">
                  <c:v> Acumulativo (%)              1 año                         (2021 vs 2020)</c:v>
                </c:pt>
              </c:strCache>
            </c:strRef>
          </c:cat>
          <c:val>
            <c:numRef>
              <c:f>'ALQUILER CCAA'!$Z$8:$Z$11</c:f>
              <c:numCache>
                <c:formatCode>0%</c:formatCode>
                <c:ptCount val="4"/>
                <c:pt idx="0">
                  <c:v>9.8978806543143658E-2</c:v>
                </c:pt>
                <c:pt idx="1">
                  <c:v>0.35713271026802373</c:v>
                </c:pt>
                <c:pt idx="2">
                  <c:v>0.36750998668442075</c:v>
                </c:pt>
                <c:pt idx="3">
                  <c:v>-3.5680751173708995E-2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86-48C7-9D81-3B69F985FA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25153663"/>
        <c:axId val="424963199"/>
      </c:barChart>
      <c:catAx>
        <c:axId val="425153663"/>
        <c:scaling>
          <c:orientation val="minMax"/>
        </c:scaling>
        <c:delete val="0"/>
        <c:axPos val="b"/>
        <c:numFmt formatCode="[$-C0A]mmmm\-yy;@" sourceLinked="0"/>
        <c:majorTickMark val="out"/>
        <c:minorTickMark val="none"/>
        <c:tickLblPos val="low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24963199"/>
        <c:crosses val="autoZero"/>
        <c:auto val="1"/>
        <c:lblAlgn val="ctr"/>
        <c:lblOffset val="100"/>
        <c:noMultiLvlLbl val="0"/>
      </c:catAx>
      <c:valAx>
        <c:axId val="424963199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25153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4">
    <c:autoUpdate val="0"/>
  </c:externalData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BC09-2AA0-4378-A83A-7E269E93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8</Pages>
  <Words>2074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Urrea Rodriguez</dc:creator>
  <cp:lastModifiedBy>Anaïs López García</cp:lastModifiedBy>
  <cp:revision>56</cp:revision>
  <dcterms:created xsi:type="dcterms:W3CDTF">2021-02-05T16:01:00Z</dcterms:created>
  <dcterms:modified xsi:type="dcterms:W3CDTF">2022-03-07T07:42:00Z</dcterms:modified>
</cp:coreProperties>
</file>