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C994" w14:textId="77777777" w:rsidR="00FA3602" w:rsidRDefault="00AA457E">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020A22AA" wp14:editId="59E097A4">
            <wp:simplePos x="0" y="0"/>
            <wp:positionH relativeFrom="column">
              <wp:posOffset>-641981</wp:posOffset>
            </wp:positionH>
            <wp:positionV relativeFrom="paragraph">
              <wp:posOffset>-512439</wp:posOffset>
            </wp:positionV>
            <wp:extent cx="1761966" cy="403103"/>
            <wp:effectExtent l="0" t="0" r="0" b="0"/>
            <wp:wrapNone/>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265E27" wp14:editId="12F6B40B">
            <wp:simplePos x="0" y="0"/>
            <wp:positionH relativeFrom="column">
              <wp:posOffset>-597531</wp:posOffset>
            </wp:positionH>
            <wp:positionV relativeFrom="paragraph">
              <wp:posOffset>109854</wp:posOffset>
            </wp:positionV>
            <wp:extent cx="1651000" cy="387350"/>
            <wp:effectExtent l="0" t="0" r="0" b="0"/>
            <wp:wrapNone/>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0BE82BA1" w14:textId="77777777" w:rsidR="00FA3602" w:rsidRDefault="00FA3602">
      <w:pPr>
        <w:ind w:right="-574"/>
        <w:jc w:val="right"/>
        <w:rPr>
          <w:rFonts w:ascii="National" w:eastAsia="National" w:hAnsi="National" w:cs="National"/>
          <w:color w:val="303AB2"/>
          <w:sz w:val="36"/>
          <w:szCs w:val="36"/>
        </w:rPr>
      </w:pPr>
    </w:p>
    <w:p w14:paraId="64DE7270" w14:textId="77777777" w:rsidR="00FA3602" w:rsidRDefault="00FA3602">
      <w:pPr>
        <w:spacing w:line="276" w:lineRule="auto"/>
        <w:ind w:right="-574"/>
        <w:jc w:val="center"/>
        <w:rPr>
          <w:rFonts w:ascii="National" w:eastAsia="National" w:hAnsi="National" w:cs="National"/>
          <w:b/>
          <w:color w:val="1DBDC5"/>
          <w:sz w:val="30"/>
          <w:szCs w:val="30"/>
        </w:rPr>
      </w:pPr>
    </w:p>
    <w:p w14:paraId="44D9204F" w14:textId="77777777" w:rsidR="00FA3602" w:rsidRDefault="00AA457E">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58B94692" w14:textId="77777777" w:rsidR="00FA3602" w:rsidRDefault="00AA457E">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Los españoles destinaron menos salario al pago del alquiler en 2021, según InfoJobs y Fotocasa</w:t>
      </w:r>
    </w:p>
    <w:p w14:paraId="56D54101" w14:textId="77777777" w:rsidR="00FA3602" w:rsidRDefault="00AA457E">
      <w:p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t xml:space="preserve">     </w:t>
      </w:r>
    </w:p>
    <w:p w14:paraId="4E2BA7C4" w14:textId="77777777" w:rsidR="00FA3602" w:rsidRDefault="00AA457E">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 media, si en 2020 se destin</w:t>
      </w:r>
      <w:r>
        <w:rPr>
          <w:rFonts w:ascii="Open Sans" w:eastAsia="Open Sans" w:hAnsi="Open Sans" w:cs="Open Sans"/>
          <w:sz w:val="22"/>
          <w:szCs w:val="22"/>
        </w:rPr>
        <w:t>ó</w:t>
      </w:r>
      <w:r>
        <w:rPr>
          <w:rFonts w:ascii="Open Sans" w:eastAsia="Open Sans" w:hAnsi="Open Sans" w:cs="Open Sans"/>
          <w:color w:val="000000"/>
          <w:sz w:val="22"/>
          <w:szCs w:val="22"/>
        </w:rPr>
        <w:t xml:space="preserve"> el 41% del salario al pago del alquiler en 2021 </w:t>
      </w:r>
      <w:r>
        <w:rPr>
          <w:rFonts w:ascii="Open Sans" w:eastAsia="Open Sans" w:hAnsi="Open Sans" w:cs="Open Sans"/>
          <w:sz w:val="22"/>
          <w:szCs w:val="22"/>
        </w:rPr>
        <w:t xml:space="preserve">descendió </w:t>
      </w:r>
      <w:r>
        <w:rPr>
          <w:rFonts w:ascii="Open Sans" w:eastAsia="Open Sans" w:hAnsi="Open Sans" w:cs="Open Sans"/>
          <w:color w:val="000000"/>
          <w:sz w:val="22"/>
          <w:szCs w:val="22"/>
        </w:rPr>
        <w:t>levemente al 40%</w:t>
      </w:r>
    </w:p>
    <w:p w14:paraId="7BCFF353" w14:textId="77777777" w:rsidR="00FA3602" w:rsidRDefault="00AA457E">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En </w:t>
      </w:r>
      <w:r>
        <w:rPr>
          <w:rFonts w:ascii="Open Sans" w:eastAsia="Open Sans" w:hAnsi="Open Sans" w:cs="Open Sans"/>
          <w:sz w:val="22"/>
          <w:szCs w:val="22"/>
        </w:rPr>
        <w:t>2021 en España</w:t>
      </w:r>
      <w:r>
        <w:rPr>
          <w:rFonts w:ascii="Open Sans" w:eastAsia="Open Sans" w:hAnsi="Open Sans" w:cs="Open Sans"/>
          <w:color w:val="000000"/>
          <w:sz w:val="22"/>
          <w:szCs w:val="22"/>
        </w:rPr>
        <w:t xml:space="preserve"> los sueldos desc</w:t>
      </w:r>
      <w:r>
        <w:rPr>
          <w:rFonts w:ascii="Open Sans" w:eastAsia="Open Sans" w:hAnsi="Open Sans" w:cs="Open Sans"/>
          <w:sz w:val="22"/>
          <w:szCs w:val="22"/>
        </w:rPr>
        <w:t>endieron</w:t>
      </w:r>
      <w:r>
        <w:rPr>
          <w:rFonts w:ascii="Open Sans" w:eastAsia="Open Sans" w:hAnsi="Open Sans" w:cs="Open Sans"/>
          <w:color w:val="000000"/>
          <w:sz w:val="22"/>
          <w:szCs w:val="22"/>
        </w:rPr>
        <w:t xml:space="preserve"> un 2,5% </w:t>
      </w:r>
      <w:r>
        <w:rPr>
          <w:rFonts w:ascii="Open Sans" w:eastAsia="Open Sans" w:hAnsi="Open Sans" w:cs="Open Sans"/>
          <w:sz w:val="22"/>
          <w:szCs w:val="22"/>
        </w:rPr>
        <w:t>y</w:t>
      </w:r>
      <w:r>
        <w:rPr>
          <w:rFonts w:ascii="Open Sans" w:eastAsia="Open Sans" w:hAnsi="Open Sans" w:cs="Open Sans"/>
          <w:color w:val="000000"/>
          <w:sz w:val="22"/>
          <w:szCs w:val="22"/>
        </w:rPr>
        <w:t xml:space="preserve"> el precio de la vivienda de alquiler cayó un 3,6% </w:t>
      </w:r>
    </w:p>
    <w:p w14:paraId="73B6B148" w14:textId="77777777" w:rsidR="00FA3602" w:rsidRDefault="00AA457E">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En 15 comunidades autónomas se incrementa el porcentaje de sueldo destinado </w:t>
      </w:r>
      <w:r>
        <w:rPr>
          <w:rFonts w:ascii="Open Sans" w:eastAsia="Open Sans" w:hAnsi="Open Sans" w:cs="Open Sans"/>
          <w:color w:val="000000"/>
          <w:sz w:val="22"/>
          <w:szCs w:val="22"/>
        </w:rPr>
        <w:t>al pago del alquiler y solo en Madrid se reduce, aunque mínimamente</w:t>
      </w:r>
    </w:p>
    <w:p w14:paraId="42BC1A5B" w14:textId="77777777" w:rsidR="00FA3602" w:rsidRDefault="00AA457E">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Solo en 13 provincias se destina menos del 30% del sueldo bruto al alquiler</w:t>
      </w:r>
    </w:p>
    <w:p w14:paraId="454BF0FF" w14:textId="77777777" w:rsidR="00FA3602" w:rsidRDefault="00AA457E">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Un guipuzcoano y un barcelonés dedican el 54% de su sueldo bruto al pago del alquiler de su vivienda, mientras que un cacereño destina un 21%</w:t>
      </w:r>
    </w:p>
    <w:p w14:paraId="0D693B9C" w14:textId="77777777" w:rsidR="00FA3602" w:rsidRDefault="00FA3602">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9208267" w14:textId="77777777" w:rsidR="00FA3602" w:rsidRDefault="00AA457E">
      <w:pPr>
        <w:pBdr>
          <w:top w:val="nil"/>
          <w:left w:val="nil"/>
          <w:bottom w:val="nil"/>
          <w:right w:val="nil"/>
          <w:between w:val="nil"/>
        </w:pBd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Madrid, 26 de abril de 2022</w:t>
      </w:r>
    </w:p>
    <w:p w14:paraId="0F375BC6" w14:textId="315C7983"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español medio </w:t>
      </w:r>
      <w:r>
        <w:rPr>
          <w:rFonts w:ascii="Open Sans" w:eastAsia="Open Sans" w:hAnsi="Open Sans" w:cs="Open Sans"/>
          <w:sz w:val="22"/>
          <w:szCs w:val="22"/>
        </w:rPr>
        <w:t>tuvo</w:t>
      </w:r>
      <w:r w:rsidR="00325582">
        <w:rPr>
          <w:rFonts w:ascii="Open Sans" w:eastAsia="Open Sans" w:hAnsi="Open Sans" w:cs="Open Sans"/>
          <w:sz w:val="22"/>
          <w:szCs w:val="22"/>
        </w:rPr>
        <w:t xml:space="preserve"> </w:t>
      </w:r>
      <w:r>
        <w:rPr>
          <w:rFonts w:ascii="Open Sans" w:eastAsia="Open Sans" w:hAnsi="Open Sans" w:cs="Open Sans"/>
          <w:sz w:val="22"/>
          <w:szCs w:val="22"/>
        </w:rPr>
        <w:t xml:space="preserve">que dedicar el 40% de su sueldo bruto al pago del alquiler de su vivienda en 2021, frente al 41% </w:t>
      </w:r>
      <w:r>
        <w:rPr>
          <w:rFonts w:ascii="Open Sans" w:eastAsia="Open Sans" w:hAnsi="Open Sans" w:cs="Open Sans"/>
          <w:color w:val="000000"/>
          <w:sz w:val="22"/>
          <w:szCs w:val="22"/>
        </w:rPr>
        <w:t>que dedic</w:t>
      </w:r>
      <w:r>
        <w:rPr>
          <w:rFonts w:ascii="Open Sans" w:eastAsia="Open Sans" w:hAnsi="Open Sans" w:cs="Open Sans"/>
          <w:sz w:val="22"/>
          <w:szCs w:val="22"/>
        </w:rPr>
        <w:t>ó</w:t>
      </w:r>
      <w:r>
        <w:rPr>
          <w:rFonts w:ascii="Open Sans" w:eastAsia="Open Sans" w:hAnsi="Open Sans" w:cs="Open Sans"/>
          <w:color w:val="000000"/>
          <w:sz w:val="22"/>
          <w:szCs w:val="22"/>
        </w:rPr>
        <w:t xml:space="preserve"> en 2020,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vivienda en alquiler en 2021</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basado en los datos de los sueldos medios de las ofertas de empleo d</w:t>
      </w:r>
      <w:r>
        <w:rPr>
          <w:rFonts w:ascii="Open Sans" w:eastAsia="Open Sans" w:hAnsi="Open Sans" w:cs="Open Sans"/>
          <w:color w:val="000000"/>
          <w:sz w:val="22"/>
          <w:szCs w:val="22"/>
        </w:rPr>
        <w:t xml:space="preserve">e la plataforma </w:t>
      </w:r>
      <w:hyperlink r:id="rId10">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en los precios medios de la vivienda de alquiler del Índice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59C870CD"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el precio de la vivienda en alquiler en España cerró con un descenso anual del 3,6% y situó el precio en diciembre en 10,27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de España registrado por InfoJobs, que en 2021 </w:t>
      </w:r>
      <w:r>
        <w:rPr>
          <w:rFonts w:ascii="Open Sans" w:eastAsia="Open Sans" w:hAnsi="Open Sans" w:cs="Open Sans"/>
          <w:color w:val="000000"/>
          <w:sz w:val="22"/>
          <w:szCs w:val="22"/>
        </w:rPr>
        <w:t>era de 24.555 euros (2.046 euros brutos mensuales si lo dividimos en 12 pagas); los españoles tendrían que dedicar un 40% del sueldo al pago de una vivienda de 80 metros cuadrados en alquiler.</w:t>
      </w:r>
    </w:p>
    <w:p w14:paraId="799C5950" w14:textId="77777777" w:rsidR="00FA3602" w:rsidRDefault="00FA360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E1B4107" w14:textId="77777777" w:rsidR="00FA3602" w:rsidRDefault="00AA457E">
      <w:pPr>
        <w:pBdr>
          <w:top w:val="nil"/>
          <w:left w:val="nil"/>
          <w:bottom w:val="nil"/>
          <w:right w:val="nil"/>
          <w:between w:val="nil"/>
        </w:pBdr>
        <w:spacing w:line="276" w:lineRule="auto"/>
        <w:ind w:right="-574"/>
        <w:jc w:val="center"/>
        <w:rPr>
          <w:rFonts w:ascii="National" w:eastAsia="National" w:hAnsi="National" w:cs="National"/>
          <w:b/>
          <w:color w:val="303AB2"/>
          <w:sz w:val="26"/>
          <w:szCs w:val="26"/>
        </w:rPr>
      </w:pPr>
      <w:r>
        <w:rPr>
          <w:rFonts w:ascii="National" w:eastAsia="National" w:hAnsi="National" w:cs="National"/>
          <w:b/>
          <w:color w:val="303AB2"/>
          <w:sz w:val="26"/>
          <w:szCs w:val="26"/>
        </w:rPr>
        <w:lastRenderedPageBreak/>
        <w:t>Salario bruto (%) destinado al pago de la vivienda en alquiler</w:t>
      </w:r>
      <w:r>
        <w:rPr>
          <w:rFonts w:ascii="National" w:eastAsia="National" w:hAnsi="National" w:cs="National"/>
          <w:b/>
          <w:color w:val="303AB2"/>
          <w:sz w:val="26"/>
          <w:szCs w:val="26"/>
        </w:rPr>
        <w:t xml:space="preserve"> </w:t>
      </w:r>
    </w:p>
    <w:p w14:paraId="769AAA31" w14:textId="77777777" w:rsidR="00FA3602" w:rsidRDefault="00AA457E">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Pr>
          <w:noProof/>
        </w:rPr>
        <w:drawing>
          <wp:inline distT="0" distB="0" distL="0" distR="0" wp14:anchorId="1D65D47A" wp14:editId="669514EC">
            <wp:extent cx="4188460" cy="219456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80155C"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0050A251" wp14:editId="306FA537">
            <wp:extent cx="5633587" cy="4786362"/>
            <wp:effectExtent l="0" t="0" r="0" b="0"/>
            <wp:docPr id="37" name="image1.png" descr="Mapa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  Descripción generada automáticamente"/>
                    <pic:cNvPicPr preferRelativeResize="0"/>
                  </pic:nvPicPr>
                  <pic:blipFill>
                    <a:blip r:embed="rId13"/>
                    <a:srcRect/>
                    <a:stretch>
                      <a:fillRect/>
                    </a:stretch>
                  </pic:blipFill>
                  <pic:spPr>
                    <a:xfrm>
                      <a:off x="0" y="0"/>
                      <a:ext cx="5633587" cy="4786362"/>
                    </a:xfrm>
                    <a:prstGeom prst="rect">
                      <a:avLst/>
                    </a:prstGeom>
                    <a:ln/>
                  </pic:spPr>
                </pic:pic>
              </a:graphicData>
            </a:graphic>
          </wp:inline>
        </w:drawing>
      </w:r>
    </w:p>
    <w:p w14:paraId="1AC03221" w14:textId="77777777" w:rsidR="00FA3602" w:rsidRDefault="00FA3602">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5A4FEF4F"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“Es la primera vez e</w:t>
      </w:r>
      <w:r>
        <w:rPr>
          <w:rFonts w:ascii="Open Sans" w:eastAsia="Open Sans" w:hAnsi="Open Sans" w:cs="Open Sans"/>
          <w:sz w:val="22"/>
          <w:szCs w:val="22"/>
        </w:rPr>
        <w:t>n los últimos seis años que se produce una rebaja del esfuerzo que los ciudadanos realizan para pagar la renta de su vivienda. La razón: la caída del precio de los alquileres durante el ejercicio 2021 alcanzó de máximo un descenso de un 6% a nivel interanu</w:t>
      </w:r>
      <w:r>
        <w:rPr>
          <w:rFonts w:ascii="Open Sans" w:eastAsia="Open Sans" w:hAnsi="Open Sans" w:cs="Open Sans"/>
          <w:sz w:val="22"/>
          <w:szCs w:val="22"/>
        </w:rPr>
        <w:t>al. Una situación completamente anómala producida por la falta de demanda durante la pandemia, que ya ha remitido. Además, este porcentaje destinado al pago del alquiler está muy por encima de lo recomendado por los órganos de control europeos y, a pesar d</w:t>
      </w:r>
      <w:r>
        <w:rPr>
          <w:rFonts w:ascii="Open Sans" w:eastAsia="Open Sans" w:hAnsi="Open Sans" w:cs="Open Sans"/>
          <w:sz w:val="22"/>
          <w:szCs w:val="22"/>
        </w:rPr>
        <w:t>el ligero descenso, nos encontramos en niveles muy poco asumibles a los que las familias o los jóvenes independientes pueden hacer frente. Porque además de la gran problemática de subida del precio del alquiler si no se adoptan medidas eficaces, las políti</w:t>
      </w:r>
      <w:r>
        <w:rPr>
          <w:rFonts w:ascii="Open Sans" w:eastAsia="Open Sans" w:hAnsi="Open Sans" w:cs="Open Sans"/>
          <w:sz w:val="22"/>
          <w:szCs w:val="22"/>
        </w:rPr>
        <w:t xml:space="preserve">cas deben ir en la dirección de la creación de empleo estable, para erradicar la precariedad y la inestabilidad de nuestro </w:t>
      </w:r>
      <w:proofErr w:type="gramStart"/>
      <w:r>
        <w:rPr>
          <w:rFonts w:ascii="Open Sans" w:eastAsia="Open Sans" w:hAnsi="Open Sans" w:cs="Open Sans"/>
          <w:sz w:val="22"/>
          <w:szCs w:val="22"/>
        </w:rPr>
        <w:t>mercado“</w:t>
      </w:r>
      <w:proofErr w:type="gramEnd"/>
      <w:r>
        <w:rPr>
          <w:rFonts w:ascii="Open Sans" w:eastAsia="Open Sans" w:hAnsi="Open Sans" w:cs="Open Sans"/>
          <w:sz w:val="22"/>
          <w:szCs w:val="22"/>
        </w:rPr>
        <w:t>, explica María Matos, directora de Estudios y Portavoz d</w:t>
      </w:r>
      <w:r>
        <w:rPr>
          <w:rFonts w:ascii="Open Sans" w:eastAsia="Open Sans" w:hAnsi="Open Sans" w:cs="Open Sans"/>
          <w:color w:val="000000"/>
          <w:sz w:val="22"/>
          <w:szCs w:val="22"/>
        </w:rPr>
        <w:t xml:space="preserve">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479C82F0" w14:textId="77777777" w:rsidR="00FA3602" w:rsidRDefault="00AA457E">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Por su parte, Mónica Pérez, directora de comunicación y estudios de </w:t>
      </w:r>
      <w:hyperlink r:id="rId15">
        <w:r>
          <w:rPr>
            <w:rFonts w:ascii="Open Sans" w:eastAsia="Open Sans" w:hAnsi="Open Sans" w:cs="Open Sans"/>
            <w:color w:val="0000FF"/>
            <w:sz w:val="22"/>
            <w:szCs w:val="22"/>
            <w:u w:val="single"/>
          </w:rPr>
          <w:t>InfoJobs</w:t>
        </w:r>
      </w:hyperlink>
      <w:r>
        <w:rPr>
          <w:rFonts w:ascii="Open Sans" w:eastAsia="Open Sans" w:hAnsi="Open Sans" w:cs="Open Sans"/>
          <w:sz w:val="22"/>
          <w:szCs w:val="22"/>
        </w:rPr>
        <w:t>,</w:t>
      </w:r>
      <w:r>
        <w:rPr>
          <w:rFonts w:ascii="Open Sans" w:eastAsia="Open Sans" w:hAnsi="Open Sans" w:cs="Open Sans"/>
          <w:color w:val="000000"/>
          <w:sz w:val="22"/>
          <w:szCs w:val="22"/>
        </w:rPr>
        <w:t xml:space="preserve"> añade:</w:t>
      </w:r>
      <w:r>
        <w:rPr>
          <w:rFonts w:ascii="Open Sans" w:eastAsia="Open Sans" w:hAnsi="Open Sans" w:cs="Open Sans"/>
          <w:sz w:val="22"/>
          <w:szCs w:val="22"/>
        </w:rPr>
        <w:t xml:space="preserve"> “En 2021 hemos visto una reducción del 2,5% en los salarios con respecto a 2020, pero la cifra se mantiene un 2,3% por encima </w:t>
      </w:r>
      <w:r>
        <w:rPr>
          <w:rFonts w:ascii="Open Sans" w:eastAsia="Open Sans" w:hAnsi="Open Sans" w:cs="Open Sans"/>
          <w:sz w:val="22"/>
          <w:szCs w:val="22"/>
        </w:rPr>
        <w:t>de los 24.003 euros del año 2019. El último año ha estado marcado por la reapertura de la economía y el crecimiento del empleo, lo que ha permitido que ciertos sectores y puestos de baja cualificación y situados en el rango salarial más bajo hayan desperta</w:t>
      </w:r>
      <w:r>
        <w:rPr>
          <w:rFonts w:ascii="Open Sans" w:eastAsia="Open Sans" w:hAnsi="Open Sans" w:cs="Open Sans"/>
          <w:sz w:val="22"/>
          <w:szCs w:val="22"/>
        </w:rPr>
        <w:t>do del letargo y vuelto a ofertarse ampliamente, impulsando a la baja el promedio retributivo ofertado. En 2022 estamos observando una moderación salarial a pesar de la inflación; el contexto mundial es complicado y confiamos en que finalice la guerra en U</w:t>
      </w:r>
      <w:r>
        <w:rPr>
          <w:rFonts w:ascii="Open Sans" w:eastAsia="Open Sans" w:hAnsi="Open Sans" w:cs="Open Sans"/>
          <w:sz w:val="22"/>
          <w:szCs w:val="22"/>
        </w:rPr>
        <w:t>crania y se inicie la senda de la recuperación que permita la mejora de las retribuciones sobre todo en los niveles más bajos”.</w:t>
      </w:r>
    </w:p>
    <w:p w14:paraId="5A5817D7" w14:textId="77777777" w:rsidR="00FA3602" w:rsidRDefault="00FA3602">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097671B" w14:textId="77777777" w:rsidR="00FA3602" w:rsidRDefault="00AA457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Precio vivienda en alquiler por CCAA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en 2021</w:t>
      </w:r>
    </w:p>
    <w:p w14:paraId="4B5B1BAC" w14:textId="77777777" w:rsidR="00FA3602" w:rsidRDefault="00FA360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7"/>
        <w:tblW w:w="9437" w:type="dxa"/>
        <w:tblInd w:w="-294" w:type="dxa"/>
        <w:tblLayout w:type="fixed"/>
        <w:tblLook w:val="0400" w:firstRow="0" w:lastRow="0" w:firstColumn="0" w:lastColumn="0" w:noHBand="0" w:noVBand="1"/>
      </w:tblPr>
      <w:tblGrid>
        <w:gridCol w:w="1844"/>
        <w:gridCol w:w="1134"/>
        <w:gridCol w:w="1134"/>
        <w:gridCol w:w="1417"/>
        <w:gridCol w:w="1134"/>
        <w:gridCol w:w="1406"/>
        <w:gridCol w:w="1368"/>
      </w:tblGrid>
      <w:tr w:rsidR="00FA3602" w14:paraId="2D79E2BD" w14:textId="77777777">
        <w:trPr>
          <w:trHeight w:val="1137"/>
        </w:trPr>
        <w:tc>
          <w:tcPr>
            <w:tcW w:w="1844"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1417D6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CCAA</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87507F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alquiler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w:t>
            </w:r>
            <w:proofErr w:type="gramStart"/>
            <w:r>
              <w:rPr>
                <w:rFonts w:ascii="Open Sans" w:eastAsia="Open Sans" w:hAnsi="Open Sans" w:cs="Open Sans"/>
                <w:color w:val="000000"/>
                <w:sz w:val="18"/>
                <w:szCs w:val="18"/>
              </w:rPr>
              <w:t>Dic.</w:t>
            </w:r>
            <w:proofErr w:type="gramEnd"/>
            <w:r>
              <w:rPr>
                <w:rFonts w:ascii="Open Sans" w:eastAsia="Open Sans" w:hAnsi="Open Sans" w:cs="Open Sans"/>
                <w:color w:val="000000"/>
                <w:sz w:val="18"/>
                <w:szCs w:val="18"/>
              </w:rPr>
              <w:t xml:space="preserve"> 2021)</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CBFCBB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Vivienda alquiler        80m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al mes en 2021</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74F67B1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Salario medio            bruto mensual          en 202</w:t>
            </w:r>
            <w:r>
              <w:rPr>
                <w:rFonts w:ascii="Open Sans" w:eastAsia="Open Sans" w:hAnsi="Open Sans" w:cs="Open Sans"/>
                <w:sz w:val="18"/>
                <w:szCs w:val="18"/>
              </w:rPr>
              <w:t>1</w:t>
            </w:r>
            <w:r>
              <w:rPr>
                <w:rFonts w:ascii="Open Sans" w:eastAsia="Open Sans" w:hAnsi="Open Sans" w:cs="Open Sans"/>
                <w:color w:val="000000"/>
                <w:sz w:val="18"/>
                <w:szCs w:val="18"/>
              </w:rPr>
              <w:t xml:space="preserve"> (12 pagas)</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2EDC7B1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Salario medio bruto anual en 2021</w:t>
            </w:r>
          </w:p>
        </w:tc>
        <w:tc>
          <w:tcPr>
            <w:tcW w:w="1406" w:type="dxa"/>
            <w:tcBorders>
              <w:top w:val="single" w:sz="8" w:space="0" w:color="2E74B5"/>
              <w:left w:val="nil"/>
              <w:bottom w:val="single" w:sz="8" w:space="0" w:color="2E74B5"/>
              <w:right w:val="single" w:sz="8" w:space="0" w:color="2E74B5"/>
            </w:tcBorders>
            <w:shd w:val="clear" w:color="auto" w:fill="9CC2E5"/>
            <w:vAlign w:val="center"/>
          </w:tcPr>
          <w:p w14:paraId="5B6A1C0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Sueldo bruto (%) destinado al alquiler en 2020</w:t>
            </w:r>
          </w:p>
        </w:tc>
        <w:tc>
          <w:tcPr>
            <w:tcW w:w="1368" w:type="dxa"/>
            <w:tcBorders>
              <w:top w:val="single" w:sz="8" w:space="0" w:color="2E74B5"/>
              <w:left w:val="nil"/>
              <w:bottom w:val="single" w:sz="8" w:space="0" w:color="2E74B5"/>
              <w:right w:val="single" w:sz="8" w:space="0" w:color="2E74B5"/>
            </w:tcBorders>
            <w:shd w:val="clear" w:color="auto" w:fill="9CC2E5"/>
            <w:vAlign w:val="center"/>
          </w:tcPr>
          <w:p w14:paraId="10C33FF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Sueldo bruto (%) destinado al alquiler en 2021</w:t>
            </w:r>
          </w:p>
        </w:tc>
      </w:tr>
      <w:tr w:rsidR="00FA3602" w14:paraId="4853640E"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37FC37BD"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Andalucía</w:t>
            </w:r>
          </w:p>
        </w:tc>
        <w:tc>
          <w:tcPr>
            <w:tcW w:w="1134" w:type="dxa"/>
            <w:tcBorders>
              <w:top w:val="nil"/>
              <w:left w:val="nil"/>
              <w:bottom w:val="single" w:sz="8" w:space="0" w:color="2E74B5"/>
              <w:right w:val="single" w:sz="8" w:space="0" w:color="2E74B5"/>
            </w:tcBorders>
            <w:shd w:val="clear" w:color="auto" w:fill="auto"/>
            <w:vAlign w:val="bottom"/>
          </w:tcPr>
          <w:p w14:paraId="61F327A6"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8,60 €</w:t>
            </w:r>
          </w:p>
        </w:tc>
        <w:tc>
          <w:tcPr>
            <w:tcW w:w="1134" w:type="dxa"/>
            <w:tcBorders>
              <w:top w:val="nil"/>
              <w:left w:val="nil"/>
              <w:bottom w:val="single" w:sz="8" w:space="0" w:color="2E74B5"/>
              <w:right w:val="single" w:sz="8" w:space="0" w:color="2E74B5"/>
            </w:tcBorders>
            <w:shd w:val="clear" w:color="auto" w:fill="auto"/>
            <w:vAlign w:val="center"/>
          </w:tcPr>
          <w:p w14:paraId="4844EAE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688 €</w:t>
            </w:r>
          </w:p>
        </w:tc>
        <w:tc>
          <w:tcPr>
            <w:tcW w:w="1417" w:type="dxa"/>
            <w:tcBorders>
              <w:top w:val="nil"/>
              <w:left w:val="nil"/>
              <w:bottom w:val="single" w:sz="8" w:space="0" w:color="2E74B5"/>
              <w:right w:val="single" w:sz="8" w:space="0" w:color="2E74B5"/>
            </w:tcBorders>
            <w:shd w:val="clear" w:color="auto" w:fill="auto"/>
            <w:vAlign w:val="bottom"/>
          </w:tcPr>
          <w:p w14:paraId="16F4E428"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1.944 €</w:t>
            </w:r>
          </w:p>
        </w:tc>
        <w:tc>
          <w:tcPr>
            <w:tcW w:w="1134" w:type="dxa"/>
            <w:tcBorders>
              <w:top w:val="nil"/>
              <w:left w:val="nil"/>
              <w:bottom w:val="single" w:sz="8" w:space="0" w:color="2E74B5"/>
              <w:right w:val="single" w:sz="8" w:space="0" w:color="2E74B5"/>
            </w:tcBorders>
            <w:shd w:val="clear" w:color="auto" w:fill="auto"/>
            <w:vAlign w:val="bottom"/>
          </w:tcPr>
          <w:p w14:paraId="4BE1A181"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23.334 €</w:t>
            </w:r>
          </w:p>
        </w:tc>
        <w:tc>
          <w:tcPr>
            <w:tcW w:w="1406" w:type="dxa"/>
            <w:tcBorders>
              <w:top w:val="nil"/>
              <w:left w:val="nil"/>
              <w:bottom w:val="single" w:sz="8" w:space="0" w:color="2E74B5"/>
              <w:right w:val="single" w:sz="8" w:space="0" w:color="2E74B5"/>
            </w:tcBorders>
            <w:shd w:val="clear" w:color="auto" w:fill="auto"/>
            <w:vAlign w:val="bottom"/>
          </w:tcPr>
          <w:p w14:paraId="29FDBCF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368" w:type="dxa"/>
            <w:tcBorders>
              <w:top w:val="nil"/>
              <w:left w:val="nil"/>
              <w:bottom w:val="single" w:sz="8" w:space="0" w:color="2E74B5"/>
              <w:right w:val="single" w:sz="8" w:space="0" w:color="2E74B5"/>
            </w:tcBorders>
            <w:shd w:val="clear" w:color="auto" w:fill="auto"/>
            <w:vAlign w:val="center"/>
          </w:tcPr>
          <w:p w14:paraId="06460C52"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35%</w:t>
            </w:r>
          </w:p>
        </w:tc>
      </w:tr>
      <w:tr w:rsidR="00FA3602" w14:paraId="39F8DB48"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423244C1"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Aragón</w:t>
            </w:r>
          </w:p>
        </w:tc>
        <w:tc>
          <w:tcPr>
            <w:tcW w:w="1134" w:type="dxa"/>
            <w:tcBorders>
              <w:top w:val="nil"/>
              <w:left w:val="nil"/>
              <w:bottom w:val="single" w:sz="8" w:space="0" w:color="2E74B5"/>
              <w:right w:val="single" w:sz="8" w:space="0" w:color="2E74B5"/>
            </w:tcBorders>
            <w:shd w:val="clear" w:color="auto" w:fill="auto"/>
            <w:vAlign w:val="bottom"/>
          </w:tcPr>
          <w:p w14:paraId="1D846786"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8,48 €</w:t>
            </w:r>
          </w:p>
        </w:tc>
        <w:tc>
          <w:tcPr>
            <w:tcW w:w="1134" w:type="dxa"/>
            <w:tcBorders>
              <w:top w:val="nil"/>
              <w:left w:val="nil"/>
              <w:bottom w:val="single" w:sz="8" w:space="0" w:color="2E74B5"/>
              <w:right w:val="single" w:sz="8" w:space="0" w:color="2E74B5"/>
            </w:tcBorders>
            <w:shd w:val="clear" w:color="auto" w:fill="auto"/>
            <w:vAlign w:val="center"/>
          </w:tcPr>
          <w:p w14:paraId="7B84372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678 €</w:t>
            </w:r>
          </w:p>
        </w:tc>
        <w:tc>
          <w:tcPr>
            <w:tcW w:w="1417" w:type="dxa"/>
            <w:tcBorders>
              <w:top w:val="nil"/>
              <w:left w:val="nil"/>
              <w:bottom w:val="single" w:sz="8" w:space="0" w:color="2E74B5"/>
              <w:right w:val="single" w:sz="8" w:space="0" w:color="2E74B5"/>
            </w:tcBorders>
            <w:shd w:val="clear" w:color="auto" w:fill="auto"/>
            <w:vAlign w:val="bottom"/>
          </w:tcPr>
          <w:p w14:paraId="1A43B05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1.908 €</w:t>
            </w:r>
          </w:p>
        </w:tc>
        <w:tc>
          <w:tcPr>
            <w:tcW w:w="1134" w:type="dxa"/>
            <w:tcBorders>
              <w:top w:val="nil"/>
              <w:left w:val="nil"/>
              <w:bottom w:val="single" w:sz="8" w:space="0" w:color="2E74B5"/>
              <w:right w:val="single" w:sz="8" w:space="0" w:color="2E74B5"/>
            </w:tcBorders>
            <w:shd w:val="clear" w:color="auto" w:fill="auto"/>
            <w:vAlign w:val="bottom"/>
          </w:tcPr>
          <w:p w14:paraId="31D12B9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22.892 €</w:t>
            </w:r>
          </w:p>
        </w:tc>
        <w:tc>
          <w:tcPr>
            <w:tcW w:w="1406" w:type="dxa"/>
            <w:tcBorders>
              <w:top w:val="nil"/>
              <w:left w:val="nil"/>
              <w:bottom w:val="single" w:sz="8" w:space="0" w:color="2E74B5"/>
              <w:right w:val="single" w:sz="8" w:space="0" w:color="2E74B5"/>
            </w:tcBorders>
            <w:shd w:val="clear" w:color="auto" w:fill="auto"/>
            <w:vAlign w:val="bottom"/>
          </w:tcPr>
          <w:p w14:paraId="4080F60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368" w:type="dxa"/>
            <w:tcBorders>
              <w:top w:val="nil"/>
              <w:left w:val="nil"/>
              <w:bottom w:val="single" w:sz="8" w:space="0" w:color="2E74B5"/>
              <w:right w:val="single" w:sz="8" w:space="0" w:color="2E74B5"/>
            </w:tcBorders>
            <w:shd w:val="clear" w:color="auto" w:fill="auto"/>
            <w:vAlign w:val="center"/>
          </w:tcPr>
          <w:p w14:paraId="2E6A2ACE"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36%</w:t>
            </w:r>
          </w:p>
        </w:tc>
      </w:tr>
      <w:tr w:rsidR="00FA3602" w14:paraId="303B45F0"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B0126B6"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Asturias</w:t>
            </w:r>
          </w:p>
        </w:tc>
        <w:tc>
          <w:tcPr>
            <w:tcW w:w="1134" w:type="dxa"/>
            <w:tcBorders>
              <w:top w:val="nil"/>
              <w:left w:val="nil"/>
              <w:bottom w:val="single" w:sz="8" w:space="0" w:color="2E74B5"/>
              <w:right w:val="single" w:sz="8" w:space="0" w:color="2E74B5"/>
            </w:tcBorders>
            <w:shd w:val="clear" w:color="auto" w:fill="auto"/>
            <w:vAlign w:val="bottom"/>
          </w:tcPr>
          <w:p w14:paraId="1636C78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8,07 €</w:t>
            </w:r>
          </w:p>
        </w:tc>
        <w:tc>
          <w:tcPr>
            <w:tcW w:w="1134" w:type="dxa"/>
            <w:tcBorders>
              <w:top w:val="nil"/>
              <w:left w:val="nil"/>
              <w:bottom w:val="single" w:sz="8" w:space="0" w:color="2E74B5"/>
              <w:right w:val="single" w:sz="8" w:space="0" w:color="2E74B5"/>
            </w:tcBorders>
            <w:shd w:val="clear" w:color="auto" w:fill="auto"/>
            <w:vAlign w:val="center"/>
          </w:tcPr>
          <w:p w14:paraId="4E91040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646 €</w:t>
            </w:r>
          </w:p>
        </w:tc>
        <w:tc>
          <w:tcPr>
            <w:tcW w:w="1417" w:type="dxa"/>
            <w:tcBorders>
              <w:top w:val="nil"/>
              <w:left w:val="nil"/>
              <w:bottom w:val="single" w:sz="8" w:space="0" w:color="2E74B5"/>
              <w:right w:val="single" w:sz="8" w:space="0" w:color="2E74B5"/>
            </w:tcBorders>
            <w:shd w:val="clear" w:color="auto" w:fill="auto"/>
            <w:vAlign w:val="bottom"/>
          </w:tcPr>
          <w:p w14:paraId="2C54115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134" w:type="dxa"/>
            <w:tcBorders>
              <w:top w:val="nil"/>
              <w:left w:val="nil"/>
              <w:bottom w:val="single" w:sz="8" w:space="0" w:color="2E74B5"/>
              <w:right w:val="single" w:sz="8" w:space="0" w:color="2E74B5"/>
            </w:tcBorders>
            <w:shd w:val="clear" w:color="auto" w:fill="auto"/>
            <w:vAlign w:val="bottom"/>
          </w:tcPr>
          <w:p w14:paraId="3029915E"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23.749 €</w:t>
            </w:r>
          </w:p>
        </w:tc>
        <w:tc>
          <w:tcPr>
            <w:tcW w:w="1406" w:type="dxa"/>
            <w:tcBorders>
              <w:top w:val="nil"/>
              <w:left w:val="nil"/>
              <w:bottom w:val="single" w:sz="8" w:space="0" w:color="2E74B5"/>
              <w:right w:val="single" w:sz="8" w:space="0" w:color="2E74B5"/>
            </w:tcBorders>
            <w:shd w:val="clear" w:color="auto" w:fill="auto"/>
            <w:vAlign w:val="bottom"/>
          </w:tcPr>
          <w:p w14:paraId="45BA926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368" w:type="dxa"/>
            <w:tcBorders>
              <w:top w:val="nil"/>
              <w:left w:val="nil"/>
              <w:bottom w:val="single" w:sz="8" w:space="0" w:color="2E74B5"/>
              <w:right w:val="single" w:sz="8" w:space="0" w:color="2E74B5"/>
            </w:tcBorders>
            <w:shd w:val="clear" w:color="auto" w:fill="auto"/>
            <w:vAlign w:val="center"/>
          </w:tcPr>
          <w:p w14:paraId="219019D2"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w:t>
            </w:r>
          </w:p>
        </w:tc>
      </w:tr>
      <w:tr w:rsidR="00FA3602" w14:paraId="1234BF72"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6CF6C7F3"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Baleares</w:t>
            </w:r>
          </w:p>
        </w:tc>
        <w:tc>
          <w:tcPr>
            <w:tcW w:w="1134" w:type="dxa"/>
            <w:tcBorders>
              <w:top w:val="nil"/>
              <w:left w:val="nil"/>
              <w:bottom w:val="single" w:sz="8" w:space="0" w:color="2E74B5"/>
              <w:right w:val="single" w:sz="8" w:space="0" w:color="2E74B5"/>
            </w:tcBorders>
            <w:shd w:val="clear" w:color="auto" w:fill="auto"/>
            <w:vAlign w:val="bottom"/>
          </w:tcPr>
          <w:p w14:paraId="5261A538"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11,98 €</w:t>
            </w:r>
          </w:p>
        </w:tc>
        <w:tc>
          <w:tcPr>
            <w:tcW w:w="1134" w:type="dxa"/>
            <w:tcBorders>
              <w:top w:val="nil"/>
              <w:left w:val="nil"/>
              <w:bottom w:val="single" w:sz="8" w:space="0" w:color="2E74B5"/>
              <w:right w:val="single" w:sz="8" w:space="0" w:color="2E74B5"/>
            </w:tcBorders>
            <w:shd w:val="clear" w:color="auto" w:fill="auto"/>
            <w:vAlign w:val="center"/>
          </w:tcPr>
          <w:p w14:paraId="070C3D93"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958 €</w:t>
            </w:r>
          </w:p>
        </w:tc>
        <w:tc>
          <w:tcPr>
            <w:tcW w:w="1417" w:type="dxa"/>
            <w:tcBorders>
              <w:top w:val="nil"/>
              <w:left w:val="nil"/>
              <w:bottom w:val="single" w:sz="8" w:space="0" w:color="2E74B5"/>
              <w:right w:val="single" w:sz="8" w:space="0" w:color="2E74B5"/>
            </w:tcBorders>
            <w:shd w:val="clear" w:color="auto" w:fill="auto"/>
            <w:vAlign w:val="bottom"/>
          </w:tcPr>
          <w:p w14:paraId="7BA2D6E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1.965 €</w:t>
            </w:r>
          </w:p>
        </w:tc>
        <w:tc>
          <w:tcPr>
            <w:tcW w:w="1134" w:type="dxa"/>
            <w:tcBorders>
              <w:top w:val="nil"/>
              <w:left w:val="nil"/>
              <w:bottom w:val="single" w:sz="8" w:space="0" w:color="2E74B5"/>
              <w:right w:val="single" w:sz="8" w:space="0" w:color="2E74B5"/>
            </w:tcBorders>
            <w:shd w:val="clear" w:color="auto" w:fill="auto"/>
            <w:vAlign w:val="bottom"/>
          </w:tcPr>
          <w:p w14:paraId="311BB6C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23.577 €</w:t>
            </w:r>
          </w:p>
        </w:tc>
        <w:tc>
          <w:tcPr>
            <w:tcW w:w="1406" w:type="dxa"/>
            <w:tcBorders>
              <w:top w:val="nil"/>
              <w:left w:val="nil"/>
              <w:bottom w:val="single" w:sz="8" w:space="0" w:color="2E74B5"/>
              <w:right w:val="single" w:sz="8" w:space="0" w:color="2E74B5"/>
            </w:tcBorders>
            <w:shd w:val="clear" w:color="auto" w:fill="auto"/>
            <w:vAlign w:val="bottom"/>
          </w:tcPr>
          <w:p w14:paraId="0F40068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368" w:type="dxa"/>
            <w:tcBorders>
              <w:top w:val="nil"/>
              <w:left w:val="nil"/>
              <w:bottom w:val="single" w:sz="8" w:space="0" w:color="2E74B5"/>
              <w:right w:val="single" w:sz="8" w:space="0" w:color="2E74B5"/>
            </w:tcBorders>
            <w:shd w:val="clear" w:color="auto" w:fill="auto"/>
            <w:vAlign w:val="center"/>
          </w:tcPr>
          <w:p w14:paraId="264723CA"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FA3602" w14:paraId="6885B3BB"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CA141B3"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Canarias</w:t>
            </w:r>
          </w:p>
        </w:tc>
        <w:tc>
          <w:tcPr>
            <w:tcW w:w="1134" w:type="dxa"/>
            <w:tcBorders>
              <w:top w:val="nil"/>
              <w:left w:val="nil"/>
              <w:bottom w:val="single" w:sz="8" w:space="0" w:color="2E74B5"/>
              <w:right w:val="single" w:sz="8" w:space="0" w:color="2E74B5"/>
            </w:tcBorders>
            <w:shd w:val="clear" w:color="auto" w:fill="auto"/>
            <w:vAlign w:val="bottom"/>
          </w:tcPr>
          <w:p w14:paraId="216215DE"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9,63 €</w:t>
            </w:r>
          </w:p>
        </w:tc>
        <w:tc>
          <w:tcPr>
            <w:tcW w:w="1134" w:type="dxa"/>
            <w:tcBorders>
              <w:top w:val="nil"/>
              <w:left w:val="nil"/>
              <w:bottom w:val="single" w:sz="8" w:space="0" w:color="2E74B5"/>
              <w:right w:val="single" w:sz="8" w:space="0" w:color="2E74B5"/>
            </w:tcBorders>
            <w:shd w:val="clear" w:color="auto" w:fill="auto"/>
            <w:vAlign w:val="center"/>
          </w:tcPr>
          <w:p w14:paraId="4AEDB512"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770 €</w:t>
            </w:r>
          </w:p>
        </w:tc>
        <w:tc>
          <w:tcPr>
            <w:tcW w:w="1417" w:type="dxa"/>
            <w:tcBorders>
              <w:top w:val="nil"/>
              <w:left w:val="nil"/>
              <w:bottom w:val="single" w:sz="8" w:space="0" w:color="2E74B5"/>
              <w:right w:val="single" w:sz="8" w:space="0" w:color="2E74B5"/>
            </w:tcBorders>
            <w:shd w:val="clear" w:color="auto" w:fill="auto"/>
            <w:vAlign w:val="bottom"/>
          </w:tcPr>
          <w:p w14:paraId="1C48621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1.924 €</w:t>
            </w:r>
          </w:p>
        </w:tc>
        <w:tc>
          <w:tcPr>
            <w:tcW w:w="1134" w:type="dxa"/>
            <w:tcBorders>
              <w:top w:val="nil"/>
              <w:left w:val="nil"/>
              <w:bottom w:val="single" w:sz="8" w:space="0" w:color="2E74B5"/>
              <w:right w:val="single" w:sz="8" w:space="0" w:color="2E74B5"/>
            </w:tcBorders>
            <w:shd w:val="clear" w:color="auto" w:fill="auto"/>
            <w:vAlign w:val="bottom"/>
          </w:tcPr>
          <w:p w14:paraId="1FE6B038"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23.082 €</w:t>
            </w:r>
          </w:p>
        </w:tc>
        <w:tc>
          <w:tcPr>
            <w:tcW w:w="1406" w:type="dxa"/>
            <w:tcBorders>
              <w:top w:val="nil"/>
              <w:left w:val="nil"/>
              <w:bottom w:val="single" w:sz="8" w:space="0" w:color="2E74B5"/>
              <w:right w:val="single" w:sz="8" w:space="0" w:color="2E74B5"/>
            </w:tcBorders>
            <w:shd w:val="clear" w:color="auto" w:fill="auto"/>
            <w:vAlign w:val="bottom"/>
          </w:tcPr>
          <w:p w14:paraId="700314DB"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368" w:type="dxa"/>
            <w:tcBorders>
              <w:top w:val="nil"/>
              <w:left w:val="nil"/>
              <w:bottom w:val="single" w:sz="8" w:space="0" w:color="2E74B5"/>
              <w:right w:val="single" w:sz="8" w:space="0" w:color="2E74B5"/>
            </w:tcBorders>
            <w:shd w:val="clear" w:color="auto" w:fill="auto"/>
            <w:vAlign w:val="center"/>
          </w:tcPr>
          <w:p w14:paraId="4143FE75"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r w:rsidR="00FA3602" w14:paraId="5E5057AF"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6C4CF5FB"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Cantabria</w:t>
            </w:r>
          </w:p>
        </w:tc>
        <w:tc>
          <w:tcPr>
            <w:tcW w:w="1134" w:type="dxa"/>
            <w:tcBorders>
              <w:top w:val="nil"/>
              <w:left w:val="nil"/>
              <w:bottom w:val="single" w:sz="8" w:space="0" w:color="2E74B5"/>
              <w:right w:val="single" w:sz="8" w:space="0" w:color="2E74B5"/>
            </w:tcBorders>
            <w:shd w:val="clear" w:color="auto" w:fill="auto"/>
            <w:vAlign w:val="bottom"/>
          </w:tcPr>
          <w:p w14:paraId="5F85915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9,06 €</w:t>
            </w:r>
          </w:p>
        </w:tc>
        <w:tc>
          <w:tcPr>
            <w:tcW w:w="1134" w:type="dxa"/>
            <w:tcBorders>
              <w:top w:val="nil"/>
              <w:left w:val="nil"/>
              <w:bottom w:val="single" w:sz="8" w:space="0" w:color="2E74B5"/>
              <w:right w:val="single" w:sz="8" w:space="0" w:color="2E74B5"/>
            </w:tcBorders>
            <w:shd w:val="clear" w:color="auto" w:fill="auto"/>
            <w:vAlign w:val="center"/>
          </w:tcPr>
          <w:p w14:paraId="2225E43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725 €</w:t>
            </w:r>
          </w:p>
        </w:tc>
        <w:tc>
          <w:tcPr>
            <w:tcW w:w="1417" w:type="dxa"/>
            <w:tcBorders>
              <w:top w:val="nil"/>
              <w:left w:val="nil"/>
              <w:bottom w:val="single" w:sz="8" w:space="0" w:color="2E74B5"/>
              <w:right w:val="single" w:sz="8" w:space="0" w:color="2E74B5"/>
            </w:tcBorders>
            <w:shd w:val="clear" w:color="auto" w:fill="auto"/>
            <w:vAlign w:val="bottom"/>
          </w:tcPr>
          <w:p w14:paraId="22B0E68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134" w:type="dxa"/>
            <w:tcBorders>
              <w:top w:val="nil"/>
              <w:left w:val="nil"/>
              <w:bottom w:val="single" w:sz="8" w:space="0" w:color="2E74B5"/>
              <w:right w:val="single" w:sz="8" w:space="0" w:color="2E74B5"/>
            </w:tcBorders>
            <w:shd w:val="clear" w:color="auto" w:fill="auto"/>
            <w:vAlign w:val="bottom"/>
          </w:tcPr>
          <w:p w14:paraId="7787922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21.967 €</w:t>
            </w:r>
          </w:p>
        </w:tc>
        <w:tc>
          <w:tcPr>
            <w:tcW w:w="1406" w:type="dxa"/>
            <w:tcBorders>
              <w:top w:val="nil"/>
              <w:left w:val="nil"/>
              <w:bottom w:val="single" w:sz="8" w:space="0" w:color="2E74B5"/>
              <w:right w:val="single" w:sz="8" w:space="0" w:color="2E74B5"/>
            </w:tcBorders>
            <w:shd w:val="clear" w:color="auto" w:fill="auto"/>
            <w:vAlign w:val="bottom"/>
          </w:tcPr>
          <w:p w14:paraId="26FE608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368" w:type="dxa"/>
            <w:tcBorders>
              <w:top w:val="nil"/>
              <w:left w:val="nil"/>
              <w:bottom w:val="single" w:sz="8" w:space="0" w:color="2E74B5"/>
              <w:right w:val="single" w:sz="8" w:space="0" w:color="2E74B5"/>
            </w:tcBorders>
            <w:shd w:val="clear" w:color="auto" w:fill="auto"/>
            <w:vAlign w:val="center"/>
          </w:tcPr>
          <w:p w14:paraId="07C9A875"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r w:rsidR="00FA3602" w14:paraId="0694621D"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4B40C3D8"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Castilla y León</w:t>
            </w:r>
          </w:p>
        </w:tc>
        <w:tc>
          <w:tcPr>
            <w:tcW w:w="1134" w:type="dxa"/>
            <w:tcBorders>
              <w:top w:val="nil"/>
              <w:left w:val="nil"/>
              <w:bottom w:val="single" w:sz="8" w:space="0" w:color="2E74B5"/>
              <w:right w:val="single" w:sz="8" w:space="0" w:color="2E74B5"/>
            </w:tcBorders>
            <w:shd w:val="clear" w:color="auto" w:fill="auto"/>
            <w:vAlign w:val="bottom"/>
          </w:tcPr>
          <w:p w14:paraId="0EA60532"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7,33 €</w:t>
            </w:r>
          </w:p>
        </w:tc>
        <w:tc>
          <w:tcPr>
            <w:tcW w:w="1134" w:type="dxa"/>
            <w:tcBorders>
              <w:top w:val="nil"/>
              <w:left w:val="nil"/>
              <w:bottom w:val="single" w:sz="8" w:space="0" w:color="2E74B5"/>
              <w:right w:val="single" w:sz="8" w:space="0" w:color="2E74B5"/>
            </w:tcBorders>
            <w:shd w:val="clear" w:color="auto" w:fill="auto"/>
            <w:vAlign w:val="center"/>
          </w:tcPr>
          <w:p w14:paraId="12220CD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417" w:type="dxa"/>
            <w:tcBorders>
              <w:top w:val="nil"/>
              <w:left w:val="nil"/>
              <w:bottom w:val="single" w:sz="8" w:space="0" w:color="2E74B5"/>
              <w:right w:val="single" w:sz="8" w:space="0" w:color="2E74B5"/>
            </w:tcBorders>
            <w:shd w:val="clear" w:color="auto" w:fill="auto"/>
            <w:vAlign w:val="bottom"/>
          </w:tcPr>
          <w:p w14:paraId="3F530DA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1.859 €</w:t>
            </w:r>
          </w:p>
        </w:tc>
        <w:tc>
          <w:tcPr>
            <w:tcW w:w="1134" w:type="dxa"/>
            <w:tcBorders>
              <w:top w:val="nil"/>
              <w:left w:val="nil"/>
              <w:bottom w:val="single" w:sz="8" w:space="0" w:color="2E74B5"/>
              <w:right w:val="single" w:sz="8" w:space="0" w:color="2E74B5"/>
            </w:tcBorders>
            <w:shd w:val="clear" w:color="auto" w:fill="auto"/>
            <w:vAlign w:val="bottom"/>
          </w:tcPr>
          <w:p w14:paraId="703FF4C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22.312 €</w:t>
            </w:r>
          </w:p>
        </w:tc>
        <w:tc>
          <w:tcPr>
            <w:tcW w:w="1406" w:type="dxa"/>
            <w:tcBorders>
              <w:top w:val="nil"/>
              <w:left w:val="nil"/>
              <w:bottom w:val="single" w:sz="8" w:space="0" w:color="2E74B5"/>
              <w:right w:val="single" w:sz="8" w:space="0" w:color="2E74B5"/>
            </w:tcBorders>
            <w:shd w:val="clear" w:color="auto" w:fill="auto"/>
            <w:vAlign w:val="bottom"/>
          </w:tcPr>
          <w:p w14:paraId="609E0461"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368" w:type="dxa"/>
            <w:tcBorders>
              <w:top w:val="nil"/>
              <w:left w:val="nil"/>
              <w:bottom w:val="single" w:sz="8" w:space="0" w:color="2E74B5"/>
              <w:right w:val="single" w:sz="8" w:space="0" w:color="2E74B5"/>
            </w:tcBorders>
            <w:shd w:val="clear" w:color="auto" w:fill="auto"/>
            <w:vAlign w:val="center"/>
          </w:tcPr>
          <w:p w14:paraId="291ADCC6"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FA3602" w14:paraId="5690495A"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5849F45"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Castilla-La Mancha</w:t>
            </w:r>
          </w:p>
        </w:tc>
        <w:tc>
          <w:tcPr>
            <w:tcW w:w="1134" w:type="dxa"/>
            <w:tcBorders>
              <w:top w:val="nil"/>
              <w:left w:val="nil"/>
              <w:bottom w:val="single" w:sz="8" w:space="0" w:color="2E74B5"/>
              <w:right w:val="single" w:sz="8" w:space="0" w:color="2E74B5"/>
            </w:tcBorders>
            <w:shd w:val="clear" w:color="auto" w:fill="auto"/>
            <w:vAlign w:val="bottom"/>
          </w:tcPr>
          <w:p w14:paraId="4BDEDE6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5,85 €</w:t>
            </w:r>
          </w:p>
        </w:tc>
        <w:tc>
          <w:tcPr>
            <w:tcW w:w="1134" w:type="dxa"/>
            <w:tcBorders>
              <w:top w:val="nil"/>
              <w:left w:val="nil"/>
              <w:bottom w:val="single" w:sz="8" w:space="0" w:color="2E74B5"/>
              <w:right w:val="single" w:sz="8" w:space="0" w:color="2E74B5"/>
            </w:tcBorders>
            <w:shd w:val="clear" w:color="auto" w:fill="auto"/>
            <w:vAlign w:val="center"/>
          </w:tcPr>
          <w:p w14:paraId="4006E212" w14:textId="77777777" w:rsidR="00FA3602" w:rsidRDefault="00FA3602">
            <w:pPr>
              <w:jc w:val="center"/>
              <w:rPr>
                <w:rFonts w:ascii="Open Sans" w:eastAsia="Open Sans" w:hAnsi="Open Sans" w:cs="Open Sans"/>
                <w:color w:val="000000"/>
                <w:sz w:val="20"/>
                <w:szCs w:val="20"/>
              </w:rPr>
            </w:pPr>
          </w:p>
          <w:p w14:paraId="631B9F68"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468 €</w:t>
            </w:r>
          </w:p>
        </w:tc>
        <w:tc>
          <w:tcPr>
            <w:tcW w:w="1417" w:type="dxa"/>
            <w:tcBorders>
              <w:top w:val="nil"/>
              <w:left w:val="nil"/>
              <w:bottom w:val="single" w:sz="8" w:space="0" w:color="2E74B5"/>
              <w:right w:val="single" w:sz="8" w:space="0" w:color="2E74B5"/>
            </w:tcBorders>
            <w:shd w:val="clear" w:color="auto" w:fill="auto"/>
            <w:vAlign w:val="bottom"/>
          </w:tcPr>
          <w:p w14:paraId="35BF54F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1.875 €</w:t>
            </w:r>
          </w:p>
        </w:tc>
        <w:tc>
          <w:tcPr>
            <w:tcW w:w="1134" w:type="dxa"/>
            <w:tcBorders>
              <w:top w:val="nil"/>
              <w:left w:val="nil"/>
              <w:bottom w:val="single" w:sz="8" w:space="0" w:color="2E74B5"/>
              <w:right w:val="single" w:sz="8" w:space="0" w:color="2E74B5"/>
            </w:tcBorders>
            <w:shd w:val="clear" w:color="auto" w:fill="auto"/>
            <w:vAlign w:val="bottom"/>
          </w:tcPr>
          <w:p w14:paraId="082A543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22.495 €</w:t>
            </w:r>
          </w:p>
        </w:tc>
        <w:tc>
          <w:tcPr>
            <w:tcW w:w="1406" w:type="dxa"/>
            <w:tcBorders>
              <w:top w:val="nil"/>
              <w:left w:val="nil"/>
              <w:bottom w:val="single" w:sz="8" w:space="0" w:color="2E74B5"/>
              <w:right w:val="single" w:sz="8" w:space="0" w:color="2E74B5"/>
            </w:tcBorders>
            <w:shd w:val="clear" w:color="auto" w:fill="auto"/>
            <w:vAlign w:val="bottom"/>
          </w:tcPr>
          <w:p w14:paraId="5AED20A3"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368" w:type="dxa"/>
            <w:tcBorders>
              <w:top w:val="nil"/>
              <w:left w:val="nil"/>
              <w:bottom w:val="single" w:sz="8" w:space="0" w:color="2E74B5"/>
              <w:right w:val="single" w:sz="8" w:space="0" w:color="2E74B5"/>
            </w:tcBorders>
            <w:shd w:val="clear" w:color="auto" w:fill="auto"/>
            <w:vAlign w:val="center"/>
          </w:tcPr>
          <w:p w14:paraId="5609ED92" w14:textId="77777777" w:rsidR="00FA3602" w:rsidRDefault="00FA3602">
            <w:pPr>
              <w:jc w:val="center"/>
              <w:rPr>
                <w:rFonts w:ascii="Open Sans" w:eastAsia="Open Sans" w:hAnsi="Open Sans" w:cs="Open Sans"/>
                <w:b/>
                <w:color w:val="000000"/>
                <w:sz w:val="20"/>
                <w:szCs w:val="20"/>
              </w:rPr>
            </w:pPr>
          </w:p>
          <w:p w14:paraId="55EBEA81"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r>
      <w:tr w:rsidR="00FA3602" w14:paraId="292DBF55"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785AF083"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lastRenderedPageBreak/>
              <w:t>Cataluña</w:t>
            </w:r>
          </w:p>
        </w:tc>
        <w:tc>
          <w:tcPr>
            <w:tcW w:w="1134" w:type="dxa"/>
            <w:tcBorders>
              <w:top w:val="nil"/>
              <w:left w:val="nil"/>
              <w:bottom w:val="single" w:sz="8" w:space="0" w:color="2E74B5"/>
              <w:right w:val="single" w:sz="8" w:space="0" w:color="2E74B5"/>
            </w:tcBorders>
            <w:shd w:val="clear" w:color="auto" w:fill="auto"/>
            <w:vAlign w:val="bottom"/>
          </w:tcPr>
          <w:p w14:paraId="53C9C43B"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14,06 €</w:t>
            </w:r>
          </w:p>
        </w:tc>
        <w:tc>
          <w:tcPr>
            <w:tcW w:w="1134" w:type="dxa"/>
            <w:tcBorders>
              <w:top w:val="nil"/>
              <w:left w:val="nil"/>
              <w:bottom w:val="single" w:sz="8" w:space="0" w:color="2E74B5"/>
              <w:right w:val="single" w:sz="8" w:space="0" w:color="2E74B5"/>
            </w:tcBorders>
            <w:shd w:val="clear" w:color="auto" w:fill="auto"/>
            <w:vAlign w:val="center"/>
          </w:tcPr>
          <w:p w14:paraId="7E79E1F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417" w:type="dxa"/>
            <w:tcBorders>
              <w:top w:val="nil"/>
              <w:left w:val="nil"/>
              <w:bottom w:val="single" w:sz="8" w:space="0" w:color="2E74B5"/>
              <w:right w:val="single" w:sz="8" w:space="0" w:color="2E74B5"/>
            </w:tcBorders>
            <w:shd w:val="clear" w:color="auto" w:fill="auto"/>
            <w:vAlign w:val="bottom"/>
          </w:tcPr>
          <w:p w14:paraId="24DF05CB"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2.073 €</w:t>
            </w:r>
          </w:p>
        </w:tc>
        <w:tc>
          <w:tcPr>
            <w:tcW w:w="1134" w:type="dxa"/>
            <w:tcBorders>
              <w:top w:val="nil"/>
              <w:left w:val="nil"/>
              <w:bottom w:val="single" w:sz="8" w:space="0" w:color="2E74B5"/>
              <w:right w:val="single" w:sz="8" w:space="0" w:color="2E74B5"/>
            </w:tcBorders>
            <w:shd w:val="clear" w:color="auto" w:fill="auto"/>
            <w:vAlign w:val="bottom"/>
          </w:tcPr>
          <w:p w14:paraId="1AEE0BC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24.871 €</w:t>
            </w:r>
          </w:p>
        </w:tc>
        <w:tc>
          <w:tcPr>
            <w:tcW w:w="1406" w:type="dxa"/>
            <w:tcBorders>
              <w:top w:val="nil"/>
              <w:left w:val="nil"/>
              <w:bottom w:val="single" w:sz="8" w:space="0" w:color="2E74B5"/>
              <w:right w:val="single" w:sz="8" w:space="0" w:color="2E74B5"/>
            </w:tcBorders>
            <w:shd w:val="clear" w:color="auto" w:fill="auto"/>
            <w:vAlign w:val="bottom"/>
          </w:tcPr>
          <w:p w14:paraId="39475CC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w:t>
            </w:r>
          </w:p>
        </w:tc>
        <w:tc>
          <w:tcPr>
            <w:tcW w:w="1368" w:type="dxa"/>
            <w:tcBorders>
              <w:top w:val="nil"/>
              <w:left w:val="nil"/>
              <w:bottom w:val="single" w:sz="8" w:space="0" w:color="2E74B5"/>
              <w:right w:val="single" w:sz="8" w:space="0" w:color="2E74B5"/>
            </w:tcBorders>
            <w:shd w:val="clear" w:color="auto" w:fill="auto"/>
            <w:vAlign w:val="center"/>
          </w:tcPr>
          <w:p w14:paraId="01BF7665"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FA3602" w14:paraId="61396352" w14:textId="77777777">
        <w:trPr>
          <w:trHeight w:val="269"/>
        </w:trPr>
        <w:tc>
          <w:tcPr>
            <w:tcW w:w="1844" w:type="dxa"/>
            <w:tcBorders>
              <w:top w:val="nil"/>
              <w:left w:val="single" w:sz="8" w:space="0" w:color="2E74B5"/>
              <w:bottom w:val="single" w:sz="8" w:space="0" w:color="2E74B5"/>
              <w:right w:val="single" w:sz="8" w:space="0" w:color="2E74B5"/>
            </w:tcBorders>
            <w:shd w:val="clear" w:color="auto" w:fill="9CC2E5"/>
          </w:tcPr>
          <w:p w14:paraId="5B11F406"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Comunidad Valenciana</w:t>
            </w:r>
          </w:p>
        </w:tc>
        <w:tc>
          <w:tcPr>
            <w:tcW w:w="1134" w:type="dxa"/>
            <w:tcBorders>
              <w:top w:val="nil"/>
              <w:left w:val="nil"/>
              <w:bottom w:val="single" w:sz="8" w:space="0" w:color="2E74B5"/>
              <w:right w:val="single" w:sz="8" w:space="0" w:color="2E74B5"/>
            </w:tcBorders>
            <w:shd w:val="clear" w:color="auto" w:fill="auto"/>
            <w:vAlign w:val="bottom"/>
          </w:tcPr>
          <w:p w14:paraId="5ACB7A5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8,75 €</w:t>
            </w:r>
          </w:p>
        </w:tc>
        <w:tc>
          <w:tcPr>
            <w:tcW w:w="1134" w:type="dxa"/>
            <w:tcBorders>
              <w:top w:val="nil"/>
              <w:left w:val="nil"/>
              <w:bottom w:val="single" w:sz="8" w:space="0" w:color="2E74B5"/>
              <w:right w:val="single" w:sz="8" w:space="0" w:color="2E74B5"/>
            </w:tcBorders>
            <w:shd w:val="clear" w:color="auto" w:fill="auto"/>
            <w:vAlign w:val="center"/>
          </w:tcPr>
          <w:p w14:paraId="4B217EF3" w14:textId="77777777" w:rsidR="00FA3602" w:rsidRDefault="00FA3602">
            <w:pPr>
              <w:jc w:val="center"/>
              <w:rPr>
                <w:rFonts w:ascii="Open Sans" w:eastAsia="Open Sans" w:hAnsi="Open Sans" w:cs="Open Sans"/>
                <w:color w:val="000000"/>
                <w:sz w:val="20"/>
                <w:szCs w:val="20"/>
              </w:rPr>
            </w:pPr>
          </w:p>
          <w:p w14:paraId="5F10093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700 €</w:t>
            </w:r>
          </w:p>
        </w:tc>
        <w:tc>
          <w:tcPr>
            <w:tcW w:w="1417" w:type="dxa"/>
            <w:tcBorders>
              <w:top w:val="nil"/>
              <w:left w:val="nil"/>
              <w:bottom w:val="single" w:sz="8" w:space="0" w:color="2E74B5"/>
              <w:right w:val="single" w:sz="8" w:space="0" w:color="2E74B5"/>
            </w:tcBorders>
            <w:shd w:val="clear" w:color="auto" w:fill="auto"/>
            <w:vAlign w:val="bottom"/>
          </w:tcPr>
          <w:p w14:paraId="053E742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1.931 €</w:t>
            </w:r>
          </w:p>
        </w:tc>
        <w:tc>
          <w:tcPr>
            <w:tcW w:w="1134" w:type="dxa"/>
            <w:tcBorders>
              <w:top w:val="nil"/>
              <w:left w:val="nil"/>
              <w:bottom w:val="single" w:sz="8" w:space="0" w:color="2E74B5"/>
              <w:right w:val="single" w:sz="8" w:space="0" w:color="2E74B5"/>
            </w:tcBorders>
            <w:shd w:val="clear" w:color="auto" w:fill="auto"/>
            <w:vAlign w:val="bottom"/>
          </w:tcPr>
          <w:p w14:paraId="47F9ADBE"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23.171 €</w:t>
            </w:r>
          </w:p>
        </w:tc>
        <w:tc>
          <w:tcPr>
            <w:tcW w:w="1406" w:type="dxa"/>
            <w:tcBorders>
              <w:top w:val="nil"/>
              <w:left w:val="nil"/>
              <w:bottom w:val="single" w:sz="8" w:space="0" w:color="2E74B5"/>
              <w:right w:val="single" w:sz="8" w:space="0" w:color="2E74B5"/>
            </w:tcBorders>
            <w:shd w:val="clear" w:color="auto" w:fill="auto"/>
            <w:vAlign w:val="bottom"/>
          </w:tcPr>
          <w:p w14:paraId="508B1BC1"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33%</w:t>
            </w:r>
          </w:p>
        </w:tc>
        <w:tc>
          <w:tcPr>
            <w:tcW w:w="1368" w:type="dxa"/>
            <w:tcBorders>
              <w:top w:val="nil"/>
              <w:left w:val="nil"/>
              <w:bottom w:val="single" w:sz="8" w:space="0" w:color="2E74B5"/>
              <w:right w:val="single" w:sz="8" w:space="0" w:color="2E74B5"/>
            </w:tcBorders>
            <w:shd w:val="clear" w:color="auto" w:fill="auto"/>
            <w:vAlign w:val="center"/>
          </w:tcPr>
          <w:p w14:paraId="03B48AC4" w14:textId="77777777" w:rsidR="00FA3602" w:rsidRDefault="00FA3602">
            <w:pPr>
              <w:jc w:val="center"/>
              <w:rPr>
                <w:rFonts w:ascii="Open Sans" w:eastAsia="Open Sans" w:hAnsi="Open Sans" w:cs="Open Sans"/>
                <w:b/>
                <w:color w:val="000000"/>
                <w:sz w:val="20"/>
                <w:szCs w:val="20"/>
              </w:rPr>
            </w:pPr>
          </w:p>
          <w:p w14:paraId="403C37E7"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36%</w:t>
            </w:r>
          </w:p>
        </w:tc>
      </w:tr>
      <w:tr w:rsidR="00FA3602" w14:paraId="1D16F8FD"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71A428C9"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Extremadura</w:t>
            </w:r>
          </w:p>
        </w:tc>
        <w:tc>
          <w:tcPr>
            <w:tcW w:w="1134" w:type="dxa"/>
            <w:tcBorders>
              <w:top w:val="nil"/>
              <w:left w:val="nil"/>
              <w:bottom w:val="single" w:sz="8" w:space="0" w:color="2E74B5"/>
              <w:right w:val="single" w:sz="8" w:space="0" w:color="2E74B5"/>
            </w:tcBorders>
            <w:shd w:val="clear" w:color="auto" w:fill="auto"/>
            <w:vAlign w:val="bottom"/>
          </w:tcPr>
          <w:p w14:paraId="41BDABB8"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5,56 €</w:t>
            </w:r>
          </w:p>
        </w:tc>
        <w:tc>
          <w:tcPr>
            <w:tcW w:w="1134" w:type="dxa"/>
            <w:tcBorders>
              <w:top w:val="nil"/>
              <w:left w:val="nil"/>
              <w:bottom w:val="single" w:sz="8" w:space="0" w:color="2E74B5"/>
              <w:right w:val="single" w:sz="8" w:space="0" w:color="2E74B5"/>
            </w:tcBorders>
            <w:shd w:val="clear" w:color="auto" w:fill="auto"/>
            <w:vAlign w:val="center"/>
          </w:tcPr>
          <w:p w14:paraId="24717FB2"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445 €</w:t>
            </w:r>
          </w:p>
        </w:tc>
        <w:tc>
          <w:tcPr>
            <w:tcW w:w="1417" w:type="dxa"/>
            <w:tcBorders>
              <w:top w:val="nil"/>
              <w:left w:val="nil"/>
              <w:bottom w:val="single" w:sz="8" w:space="0" w:color="2E74B5"/>
              <w:right w:val="single" w:sz="8" w:space="0" w:color="2E74B5"/>
            </w:tcBorders>
            <w:shd w:val="clear" w:color="auto" w:fill="auto"/>
            <w:vAlign w:val="bottom"/>
          </w:tcPr>
          <w:p w14:paraId="313C9EF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1.885 €</w:t>
            </w:r>
          </w:p>
        </w:tc>
        <w:tc>
          <w:tcPr>
            <w:tcW w:w="1134" w:type="dxa"/>
            <w:tcBorders>
              <w:top w:val="nil"/>
              <w:left w:val="nil"/>
              <w:bottom w:val="single" w:sz="8" w:space="0" w:color="2E74B5"/>
              <w:right w:val="single" w:sz="8" w:space="0" w:color="2E74B5"/>
            </w:tcBorders>
            <w:shd w:val="clear" w:color="auto" w:fill="auto"/>
            <w:vAlign w:val="bottom"/>
          </w:tcPr>
          <w:p w14:paraId="7DAA3DC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22.618 €</w:t>
            </w:r>
          </w:p>
        </w:tc>
        <w:tc>
          <w:tcPr>
            <w:tcW w:w="1406" w:type="dxa"/>
            <w:tcBorders>
              <w:top w:val="nil"/>
              <w:left w:val="nil"/>
              <w:bottom w:val="single" w:sz="8" w:space="0" w:color="2E74B5"/>
              <w:right w:val="single" w:sz="8" w:space="0" w:color="2E74B5"/>
            </w:tcBorders>
            <w:shd w:val="clear" w:color="auto" w:fill="auto"/>
            <w:vAlign w:val="bottom"/>
          </w:tcPr>
          <w:p w14:paraId="07108D9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368" w:type="dxa"/>
            <w:tcBorders>
              <w:top w:val="nil"/>
              <w:left w:val="nil"/>
              <w:bottom w:val="single" w:sz="8" w:space="0" w:color="2E74B5"/>
              <w:right w:val="single" w:sz="8" w:space="0" w:color="2E74B5"/>
            </w:tcBorders>
            <w:shd w:val="clear" w:color="auto" w:fill="auto"/>
            <w:vAlign w:val="center"/>
          </w:tcPr>
          <w:p w14:paraId="21142688"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r>
      <w:tr w:rsidR="00FA3602" w14:paraId="5A7CF2EA"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55AC3A0"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Galicia</w:t>
            </w:r>
          </w:p>
        </w:tc>
        <w:tc>
          <w:tcPr>
            <w:tcW w:w="1134" w:type="dxa"/>
            <w:tcBorders>
              <w:top w:val="nil"/>
              <w:left w:val="nil"/>
              <w:bottom w:val="single" w:sz="8" w:space="0" w:color="2E74B5"/>
              <w:right w:val="single" w:sz="8" w:space="0" w:color="2E74B5"/>
            </w:tcBorders>
            <w:shd w:val="clear" w:color="auto" w:fill="auto"/>
            <w:vAlign w:val="bottom"/>
          </w:tcPr>
          <w:p w14:paraId="560F901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7,42 €</w:t>
            </w:r>
          </w:p>
        </w:tc>
        <w:tc>
          <w:tcPr>
            <w:tcW w:w="1134" w:type="dxa"/>
            <w:tcBorders>
              <w:top w:val="nil"/>
              <w:left w:val="nil"/>
              <w:bottom w:val="single" w:sz="8" w:space="0" w:color="2E74B5"/>
              <w:right w:val="single" w:sz="8" w:space="0" w:color="2E74B5"/>
            </w:tcBorders>
            <w:shd w:val="clear" w:color="auto" w:fill="auto"/>
            <w:vAlign w:val="center"/>
          </w:tcPr>
          <w:p w14:paraId="2E16A5D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594 €</w:t>
            </w:r>
          </w:p>
        </w:tc>
        <w:tc>
          <w:tcPr>
            <w:tcW w:w="1417" w:type="dxa"/>
            <w:tcBorders>
              <w:top w:val="nil"/>
              <w:left w:val="nil"/>
              <w:bottom w:val="single" w:sz="8" w:space="0" w:color="2E74B5"/>
              <w:right w:val="single" w:sz="8" w:space="0" w:color="2E74B5"/>
            </w:tcBorders>
            <w:shd w:val="clear" w:color="auto" w:fill="auto"/>
            <w:vAlign w:val="bottom"/>
          </w:tcPr>
          <w:p w14:paraId="35E4A50F"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1.841 €</w:t>
            </w:r>
          </w:p>
        </w:tc>
        <w:tc>
          <w:tcPr>
            <w:tcW w:w="1134" w:type="dxa"/>
            <w:tcBorders>
              <w:top w:val="nil"/>
              <w:left w:val="nil"/>
              <w:bottom w:val="single" w:sz="8" w:space="0" w:color="2E74B5"/>
              <w:right w:val="single" w:sz="8" w:space="0" w:color="2E74B5"/>
            </w:tcBorders>
            <w:shd w:val="clear" w:color="auto" w:fill="auto"/>
            <w:vAlign w:val="bottom"/>
          </w:tcPr>
          <w:p w14:paraId="1F9D11A2"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22.088 €</w:t>
            </w:r>
          </w:p>
        </w:tc>
        <w:tc>
          <w:tcPr>
            <w:tcW w:w="1406" w:type="dxa"/>
            <w:tcBorders>
              <w:top w:val="nil"/>
              <w:left w:val="nil"/>
              <w:bottom w:val="single" w:sz="8" w:space="0" w:color="2E74B5"/>
              <w:right w:val="single" w:sz="8" w:space="0" w:color="2E74B5"/>
            </w:tcBorders>
            <w:shd w:val="clear" w:color="auto" w:fill="auto"/>
            <w:vAlign w:val="bottom"/>
          </w:tcPr>
          <w:p w14:paraId="67BA3DE1"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368" w:type="dxa"/>
            <w:tcBorders>
              <w:top w:val="nil"/>
              <w:left w:val="nil"/>
              <w:bottom w:val="single" w:sz="8" w:space="0" w:color="2E74B5"/>
              <w:right w:val="single" w:sz="8" w:space="0" w:color="2E74B5"/>
            </w:tcBorders>
            <w:shd w:val="clear" w:color="auto" w:fill="auto"/>
            <w:vAlign w:val="center"/>
          </w:tcPr>
          <w:p w14:paraId="6EE4CC42"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FA3602" w14:paraId="3552005B"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067FED6D"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La Rioja</w:t>
            </w:r>
          </w:p>
        </w:tc>
        <w:tc>
          <w:tcPr>
            <w:tcW w:w="1134" w:type="dxa"/>
            <w:tcBorders>
              <w:top w:val="nil"/>
              <w:left w:val="nil"/>
              <w:bottom w:val="single" w:sz="8" w:space="0" w:color="2E74B5"/>
              <w:right w:val="single" w:sz="8" w:space="0" w:color="2E74B5"/>
            </w:tcBorders>
            <w:shd w:val="clear" w:color="auto" w:fill="auto"/>
            <w:vAlign w:val="bottom"/>
          </w:tcPr>
          <w:p w14:paraId="74C4301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7,40 €</w:t>
            </w:r>
          </w:p>
        </w:tc>
        <w:tc>
          <w:tcPr>
            <w:tcW w:w="1134" w:type="dxa"/>
            <w:tcBorders>
              <w:top w:val="nil"/>
              <w:left w:val="nil"/>
              <w:bottom w:val="single" w:sz="8" w:space="0" w:color="2E74B5"/>
              <w:right w:val="single" w:sz="8" w:space="0" w:color="2E74B5"/>
            </w:tcBorders>
            <w:shd w:val="clear" w:color="auto" w:fill="auto"/>
            <w:vAlign w:val="center"/>
          </w:tcPr>
          <w:p w14:paraId="25758C6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592 €</w:t>
            </w:r>
          </w:p>
        </w:tc>
        <w:tc>
          <w:tcPr>
            <w:tcW w:w="1417" w:type="dxa"/>
            <w:tcBorders>
              <w:top w:val="nil"/>
              <w:left w:val="nil"/>
              <w:bottom w:val="single" w:sz="8" w:space="0" w:color="2E74B5"/>
              <w:right w:val="single" w:sz="8" w:space="0" w:color="2E74B5"/>
            </w:tcBorders>
            <w:shd w:val="clear" w:color="auto" w:fill="auto"/>
            <w:vAlign w:val="bottom"/>
          </w:tcPr>
          <w:p w14:paraId="2997AE6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1.875 €</w:t>
            </w:r>
          </w:p>
        </w:tc>
        <w:tc>
          <w:tcPr>
            <w:tcW w:w="1134" w:type="dxa"/>
            <w:tcBorders>
              <w:top w:val="nil"/>
              <w:left w:val="nil"/>
              <w:bottom w:val="single" w:sz="8" w:space="0" w:color="2E74B5"/>
              <w:right w:val="single" w:sz="8" w:space="0" w:color="2E74B5"/>
            </w:tcBorders>
            <w:shd w:val="clear" w:color="auto" w:fill="auto"/>
            <w:vAlign w:val="bottom"/>
          </w:tcPr>
          <w:p w14:paraId="3B0B33C3"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22.499 €</w:t>
            </w:r>
          </w:p>
        </w:tc>
        <w:tc>
          <w:tcPr>
            <w:tcW w:w="1406" w:type="dxa"/>
            <w:tcBorders>
              <w:top w:val="nil"/>
              <w:left w:val="nil"/>
              <w:bottom w:val="single" w:sz="8" w:space="0" w:color="2E74B5"/>
              <w:right w:val="single" w:sz="8" w:space="0" w:color="2E74B5"/>
            </w:tcBorders>
            <w:shd w:val="clear" w:color="auto" w:fill="auto"/>
            <w:vAlign w:val="bottom"/>
          </w:tcPr>
          <w:p w14:paraId="37CD811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68" w:type="dxa"/>
            <w:tcBorders>
              <w:top w:val="nil"/>
              <w:left w:val="nil"/>
              <w:bottom w:val="single" w:sz="8" w:space="0" w:color="2E74B5"/>
              <w:right w:val="single" w:sz="8" w:space="0" w:color="2E74B5"/>
            </w:tcBorders>
            <w:shd w:val="clear" w:color="auto" w:fill="auto"/>
            <w:vAlign w:val="center"/>
          </w:tcPr>
          <w:p w14:paraId="61DEA44D"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FA3602" w14:paraId="505D7330"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25E4697E"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Madrid</w:t>
            </w:r>
          </w:p>
        </w:tc>
        <w:tc>
          <w:tcPr>
            <w:tcW w:w="1134" w:type="dxa"/>
            <w:tcBorders>
              <w:top w:val="nil"/>
              <w:left w:val="nil"/>
              <w:bottom w:val="single" w:sz="8" w:space="0" w:color="2E74B5"/>
              <w:right w:val="single" w:sz="8" w:space="0" w:color="2E74B5"/>
            </w:tcBorders>
            <w:shd w:val="clear" w:color="auto" w:fill="auto"/>
            <w:vAlign w:val="bottom"/>
          </w:tcPr>
          <w:p w14:paraId="46AFD6B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13,62 €</w:t>
            </w:r>
          </w:p>
        </w:tc>
        <w:tc>
          <w:tcPr>
            <w:tcW w:w="1134" w:type="dxa"/>
            <w:tcBorders>
              <w:top w:val="nil"/>
              <w:left w:val="nil"/>
              <w:bottom w:val="single" w:sz="8" w:space="0" w:color="2E74B5"/>
              <w:right w:val="single" w:sz="8" w:space="0" w:color="2E74B5"/>
            </w:tcBorders>
            <w:shd w:val="clear" w:color="auto" w:fill="auto"/>
            <w:vAlign w:val="center"/>
          </w:tcPr>
          <w:p w14:paraId="62CD49C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1.090 €</w:t>
            </w:r>
          </w:p>
        </w:tc>
        <w:tc>
          <w:tcPr>
            <w:tcW w:w="1417" w:type="dxa"/>
            <w:tcBorders>
              <w:top w:val="nil"/>
              <w:left w:val="nil"/>
              <w:bottom w:val="single" w:sz="8" w:space="0" w:color="2E74B5"/>
              <w:right w:val="single" w:sz="8" w:space="0" w:color="2E74B5"/>
            </w:tcBorders>
            <w:shd w:val="clear" w:color="auto" w:fill="auto"/>
            <w:vAlign w:val="bottom"/>
          </w:tcPr>
          <w:p w14:paraId="78943793"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2.210 €</w:t>
            </w:r>
          </w:p>
        </w:tc>
        <w:tc>
          <w:tcPr>
            <w:tcW w:w="1134" w:type="dxa"/>
            <w:tcBorders>
              <w:top w:val="nil"/>
              <w:left w:val="nil"/>
              <w:bottom w:val="single" w:sz="8" w:space="0" w:color="2E74B5"/>
              <w:right w:val="single" w:sz="8" w:space="0" w:color="2E74B5"/>
            </w:tcBorders>
            <w:shd w:val="clear" w:color="auto" w:fill="auto"/>
            <w:vAlign w:val="bottom"/>
          </w:tcPr>
          <w:p w14:paraId="6924EBE6"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26.525 €</w:t>
            </w:r>
          </w:p>
        </w:tc>
        <w:tc>
          <w:tcPr>
            <w:tcW w:w="1406" w:type="dxa"/>
            <w:tcBorders>
              <w:top w:val="nil"/>
              <w:left w:val="nil"/>
              <w:bottom w:val="single" w:sz="8" w:space="0" w:color="2E74B5"/>
              <w:right w:val="single" w:sz="8" w:space="0" w:color="2E74B5"/>
            </w:tcBorders>
            <w:shd w:val="clear" w:color="auto" w:fill="auto"/>
            <w:vAlign w:val="bottom"/>
          </w:tcPr>
          <w:p w14:paraId="487ACD2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368" w:type="dxa"/>
            <w:tcBorders>
              <w:top w:val="nil"/>
              <w:left w:val="nil"/>
              <w:bottom w:val="single" w:sz="8" w:space="0" w:color="2E74B5"/>
              <w:right w:val="single" w:sz="8" w:space="0" w:color="2E74B5"/>
            </w:tcBorders>
            <w:shd w:val="clear" w:color="auto" w:fill="auto"/>
            <w:vAlign w:val="center"/>
          </w:tcPr>
          <w:p w14:paraId="2A1DB2B4"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FA3602" w14:paraId="4863059F"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2C18E370"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Navarra</w:t>
            </w:r>
          </w:p>
        </w:tc>
        <w:tc>
          <w:tcPr>
            <w:tcW w:w="1134" w:type="dxa"/>
            <w:tcBorders>
              <w:top w:val="nil"/>
              <w:left w:val="nil"/>
              <w:bottom w:val="single" w:sz="8" w:space="0" w:color="2E74B5"/>
              <w:right w:val="single" w:sz="8" w:space="0" w:color="2E74B5"/>
            </w:tcBorders>
            <w:shd w:val="clear" w:color="auto" w:fill="auto"/>
            <w:vAlign w:val="bottom"/>
          </w:tcPr>
          <w:p w14:paraId="51DA01D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9,83 €</w:t>
            </w:r>
          </w:p>
        </w:tc>
        <w:tc>
          <w:tcPr>
            <w:tcW w:w="1134" w:type="dxa"/>
            <w:tcBorders>
              <w:top w:val="nil"/>
              <w:left w:val="nil"/>
              <w:bottom w:val="single" w:sz="8" w:space="0" w:color="2E74B5"/>
              <w:right w:val="single" w:sz="8" w:space="0" w:color="2E74B5"/>
            </w:tcBorders>
            <w:shd w:val="clear" w:color="auto" w:fill="auto"/>
            <w:vAlign w:val="center"/>
          </w:tcPr>
          <w:p w14:paraId="3385CA95"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417" w:type="dxa"/>
            <w:tcBorders>
              <w:top w:val="nil"/>
              <w:left w:val="nil"/>
              <w:bottom w:val="single" w:sz="8" w:space="0" w:color="2E74B5"/>
              <w:right w:val="single" w:sz="8" w:space="0" w:color="2E74B5"/>
            </w:tcBorders>
            <w:shd w:val="clear" w:color="auto" w:fill="auto"/>
            <w:vAlign w:val="bottom"/>
          </w:tcPr>
          <w:p w14:paraId="2EB98D6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134" w:type="dxa"/>
            <w:tcBorders>
              <w:top w:val="nil"/>
              <w:left w:val="nil"/>
              <w:bottom w:val="single" w:sz="8" w:space="0" w:color="2E74B5"/>
              <w:right w:val="single" w:sz="8" w:space="0" w:color="2E74B5"/>
            </w:tcBorders>
            <w:shd w:val="clear" w:color="auto" w:fill="auto"/>
            <w:vAlign w:val="bottom"/>
          </w:tcPr>
          <w:p w14:paraId="1F73332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24.676 €</w:t>
            </w:r>
          </w:p>
        </w:tc>
        <w:tc>
          <w:tcPr>
            <w:tcW w:w="1406" w:type="dxa"/>
            <w:tcBorders>
              <w:top w:val="nil"/>
              <w:left w:val="nil"/>
              <w:bottom w:val="single" w:sz="8" w:space="0" w:color="2E74B5"/>
              <w:right w:val="single" w:sz="8" w:space="0" w:color="2E74B5"/>
            </w:tcBorders>
            <w:shd w:val="clear" w:color="auto" w:fill="auto"/>
            <w:vAlign w:val="bottom"/>
          </w:tcPr>
          <w:p w14:paraId="217E9E50"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368" w:type="dxa"/>
            <w:tcBorders>
              <w:top w:val="nil"/>
              <w:left w:val="nil"/>
              <w:bottom w:val="single" w:sz="8" w:space="0" w:color="2E74B5"/>
              <w:right w:val="single" w:sz="8" w:space="0" w:color="2E74B5"/>
            </w:tcBorders>
            <w:shd w:val="clear" w:color="auto" w:fill="auto"/>
            <w:vAlign w:val="center"/>
          </w:tcPr>
          <w:p w14:paraId="118C248E"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FA3602" w14:paraId="37E3A2F6"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19DB7AC8"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País Vasco</w:t>
            </w:r>
          </w:p>
        </w:tc>
        <w:tc>
          <w:tcPr>
            <w:tcW w:w="1134" w:type="dxa"/>
            <w:tcBorders>
              <w:top w:val="nil"/>
              <w:left w:val="nil"/>
              <w:bottom w:val="single" w:sz="8" w:space="0" w:color="2E74B5"/>
              <w:right w:val="single" w:sz="8" w:space="0" w:color="2E74B5"/>
            </w:tcBorders>
            <w:shd w:val="clear" w:color="auto" w:fill="auto"/>
            <w:vAlign w:val="bottom"/>
          </w:tcPr>
          <w:p w14:paraId="14021237"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13,13 €</w:t>
            </w:r>
          </w:p>
        </w:tc>
        <w:tc>
          <w:tcPr>
            <w:tcW w:w="1134" w:type="dxa"/>
            <w:tcBorders>
              <w:top w:val="nil"/>
              <w:left w:val="nil"/>
              <w:bottom w:val="single" w:sz="8" w:space="0" w:color="2E74B5"/>
              <w:right w:val="single" w:sz="8" w:space="0" w:color="2E74B5"/>
            </w:tcBorders>
            <w:shd w:val="clear" w:color="auto" w:fill="auto"/>
            <w:vAlign w:val="center"/>
          </w:tcPr>
          <w:p w14:paraId="2E818D5E"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1.050 €</w:t>
            </w:r>
          </w:p>
        </w:tc>
        <w:tc>
          <w:tcPr>
            <w:tcW w:w="1417" w:type="dxa"/>
            <w:tcBorders>
              <w:top w:val="nil"/>
              <w:left w:val="nil"/>
              <w:bottom w:val="single" w:sz="8" w:space="0" w:color="2E74B5"/>
              <w:right w:val="single" w:sz="8" w:space="0" w:color="2E74B5"/>
            </w:tcBorders>
            <w:shd w:val="clear" w:color="auto" w:fill="auto"/>
            <w:vAlign w:val="bottom"/>
          </w:tcPr>
          <w:p w14:paraId="3B190A44"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2.122 €</w:t>
            </w:r>
          </w:p>
        </w:tc>
        <w:tc>
          <w:tcPr>
            <w:tcW w:w="1134" w:type="dxa"/>
            <w:tcBorders>
              <w:top w:val="nil"/>
              <w:left w:val="nil"/>
              <w:bottom w:val="single" w:sz="8" w:space="0" w:color="2E74B5"/>
              <w:right w:val="single" w:sz="8" w:space="0" w:color="2E74B5"/>
            </w:tcBorders>
            <w:shd w:val="clear" w:color="auto" w:fill="auto"/>
            <w:vAlign w:val="bottom"/>
          </w:tcPr>
          <w:p w14:paraId="4AABB89B"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25.460 €</w:t>
            </w:r>
          </w:p>
        </w:tc>
        <w:tc>
          <w:tcPr>
            <w:tcW w:w="1406" w:type="dxa"/>
            <w:tcBorders>
              <w:top w:val="nil"/>
              <w:left w:val="nil"/>
              <w:bottom w:val="single" w:sz="8" w:space="0" w:color="2E74B5"/>
              <w:right w:val="single" w:sz="8" w:space="0" w:color="2E74B5"/>
            </w:tcBorders>
            <w:shd w:val="clear" w:color="auto" w:fill="auto"/>
            <w:vAlign w:val="bottom"/>
          </w:tcPr>
          <w:p w14:paraId="38D5ED59"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368" w:type="dxa"/>
            <w:tcBorders>
              <w:top w:val="nil"/>
              <w:left w:val="nil"/>
              <w:bottom w:val="single" w:sz="8" w:space="0" w:color="2E74B5"/>
              <w:right w:val="single" w:sz="8" w:space="0" w:color="2E74B5"/>
            </w:tcBorders>
            <w:shd w:val="clear" w:color="auto" w:fill="auto"/>
            <w:vAlign w:val="center"/>
          </w:tcPr>
          <w:p w14:paraId="01FF3D69"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FA3602" w14:paraId="1777A1D5" w14:textId="77777777">
        <w:trPr>
          <w:trHeight w:val="269"/>
        </w:trPr>
        <w:tc>
          <w:tcPr>
            <w:tcW w:w="1844" w:type="dxa"/>
            <w:tcBorders>
              <w:top w:val="nil"/>
              <w:left w:val="single" w:sz="8" w:space="0" w:color="2E74B5"/>
              <w:bottom w:val="single" w:sz="8" w:space="0" w:color="2E74B5"/>
              <w:right w:val="single" w:sz="8" w:space="0" w:color="2E74B5"/>
            </w:tcBorders>
            <w:shd w:val="clear" w:color="auto" w:fill="9CC2E5"/>
          </w:tcPr>
          <w:p w14:paraId="32EF8B97" w14:textId="77777777" w:rsidR="00FA3602" w:rsidRDefault="00AA457E">
            <w:pPr>
              <w:jc w:val="both"/>
              <w:rPr>
                <w:rFonts w:ascii="Open Sans" w:eastAsia="Open Sans" w:hAnsi="Open Sans" w:cs="Open Sans"/>
                <w:color w:val="000000"/>
                <w:sz w:val="20"/>
                <w:szCs w:val="20"/>
              </w:rPr>
            </w:pPr>
            <w:r>
              <w:rPr>
                <w:rFonts w:ascii="Open Sans" w:eastAsia="Open Sans" w:hAnsi="Open Sans" w:cs="Open Sans"/>
                <w:sz w:val="20"/>
                <w:szCs w:val="20"/>
              </w:rPr>
              <w:t>Región de Murcia</w:t>
            </w:r>
          </w:p>
        </w:tc>
        <w:tc>
          <w:tcPr>
            <w:tcW w:w="1134" w:type="dxa"/>
            <w:tcBorders>
              <w:top w:val="nil"/>
              <w:left w:val="nil"/>
              <w:bottom w:val="single" w:sz="8" w:space="0" w:color="2E74B5"/>
              <w:right w:val="single" w:sz="8" w:space="0" w:color="2E74B5"/>
            </w:tcBorders>
            <w:shd w:val="clear" w:color="auto" w:fill="auto"/>
            <w:vAlign w:val="bottom"/>
          </w:tcPr>
          <w:p w14:paraId="2ACAF0A1"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7,17 €</w:t>
            </w:r>
          </w:p>
        </w:tc>
        <w:tc>
          <w:tcPr>
            <w:tcW w:w="1134" w:type="dxa"/>
            <w:tcBorders>
              <w:top w:val="nil"/>
              <w:left w:val="nil"/>
              <w:bottom w:val="single" w:sz="8" w:space="0" w:color="2E74B5"/>
              <w:right w:val="single" w:sz="8" w:space="0" w:color="2E74B5"/>
            </w:tcBorders>
            <w:shd w:val="clear" w:color="auto" w:fill="auto"/>
            <w:vAlign w:val="center"/>
          </w:tcPr>
          <w:p w14:paraId="467E22F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574 €</w:t>
            </w:r>
          </w:p>
        </w:tc>
        <w:tc>
          <w:tcPr>
            <w:tcW w:w="1417" w:type="dxa"/>
            <w:tcBorders>
              <w:top w:val="nil"/>
              <w:left w:val="nil"/>
              <w:bottom w:val="single" w:sz="8" w:space="0" w:color="2E74B5"/>
              <w:right w:val="single" w:sz="8" w:space="0" w:color="2E74B5"/>
            </w:tcBorders>
            <w:shd w:val="clear" w:color="auto" w:fill="auto"/>
            <w:vAlign w:val="bottom"/>
          </w:tcPr>
          <w:p w14:paraId="7010F6DC"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1.854 €</w:t>
            </w:r>
          </w:p>
        </w:tc>
        <w:tc>
          <w:tcPr>
            <w:tcW w:w="1134" w:type="dxa"/>
            <w:tcBorders>
              <w:top w:val="nil"/>
              <w:left w:val="nil"/>
              <w:bottom w:val="single" w:sz="8" w:space="0" w:color="2E74B5"/>
              <w:right w:val="single" w:sz="8" w:space="0" w:color="2E74B5"/>
            </w:tcBorders>
            <w:shd w:val="clear" w:color="auto" w:fill="auto"/>
            <w:vAlign w:val="bottom"/>
          </w:tcPr>
          <w:p w14:paraId="55DB438A"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22.248 €</w:t>
            </w:r>
          </w:p>
        </w:tc>
        <w:tc>
          <w:tcPr>
            <w:tcW w:w="1406" w:type="dxa"/>
            <w:tcBorders>
              <w:top w:val="nil"/>
              <w:left w:val="nil"/>
              <w:bottom w:val="single" w:sz="8" w:space="0" w:color="2E74B5"/>
              <w:right w:val="single" w:sz="8" w:space="0" w:color="2E74B5"/>
            </w:tcBorders>
            <w:shd w:val="clear" w:color="auto" w:fill="auto"/>
            <w:vAlign w:val="bottom"/>
          </w:tcPr>
          <w:p w14:paraId="57BAFB72" w14:textId="77777777" w:rsidR="00FA3602" w:rsidRDefault="00AA457E">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w:t>
            </w:r>
          </w:p>
        </w:tc>
        <w:tc>
          <w:tcPr>
            <w:tcW w:w="1368" w:type="dxa"/>
            <w:tcBorders>
              <w:top w:val="nil"/>
              <w:left w:val="nil"/>
              <w:bottom w:val="single" w:sz="8" w:space="0" w:color="2E74B5"/>
              <w:right w:val="single" w:sz="8" w:space="0" w:color="2E74B5"/>
            </w:tcBorders>
            <w:shd w:val="clear" w:color="auto" w:fill="auto"/>
            <w:vAlign w:val="center"/>
          </w:tcPr>
          <w:p w14:paraId="3B4D16FC"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FA3602" w14:paraId="5A43C6FB" w14:textId="77777777">
        <w:trPr>
          <w:trHeight w:val="210"/>
        </w:trPr>
        <w:tc>
          <w:tcPr>
            <w:tcW w:w="1844" w:type="dxa"/>
            <w:tcBorders>
              <w:top w:val="nil"/>
              <w:left w:val="single" w:sz="8" w:space="0" w:color="2E74B5"/>
              <w:bottom w:val="single" w:sz="8" w:space="0" w:color="2E74B5"/>
              <w:right w:val="single" w:sz="8" w:space="0" w:color="2E74B5"/>
            </w:tcBorders>
            <w:shd w:val="clear" w:color="auto" w:fill="9CC2E5"/>
          </w:tcPr>
          <w:p w14:paraId="63882B83" w14:textId="77777777" w:rsidR="00FA3602" w:rsidRDefault="00AA457E">
            <w:pPr>
              <w:jc w:val="both"/>
              <w:rPr>
                <w:rFonts w:ascii="Open Sans" w:eastAsia="Open Sans" w:hAnsi="Open Sans" w:cs="Open Sans"/>
                <w:b/>
                <w:color w:val="000000"/>
                <w:sz w:val="20"/>
                <w:szCs w:val="20"/>
              </w:rPr>
            </w:pPr>
            <w:r>
              <w:rPr>
                <w:rFonts w:ascii="Open Sans" w:eastAsia="Open Sans" w:hAnsi="Open Sans" w:cs="Open Sans"/>
                <w:sz w:val="20"/>
                <w:szCs w:val="20"/>
              </w:rPr>
              <w:t>España</w:t>
            </w:r>
          </w:p>
        </w:tc>
        <w:tc>
          <w:tcPr>
            <w:tcW w:w="1134" w:type="dxa"/>
            <w:tcBorders>
              <w:top w:val="nil"/>
              <w:left w:val="nil"/>
              <w:bottom w:val="single" w:sz="8" w:space="0" w:color="2E74B5"/>
              <w:right w:val="single" w:sz="8" w:space="0" w:color="2E74B5"/>
            </w:tcBorders>
            <w:shd w:val="clear" w:color="auto" w:fill="9CC2E5"/>
            <w:vAlign w:val="bottom"/>
          </w:tcPr>
          <w:p w14:paraId="79FA3733"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10,27 €</w:t>
            </w:r>
          </w:p>
        </w:tc>
        <w:tc>
          <w:tcPr>
            <w:tcW w:w="1134" w:type="dxa"/>
            <w:tcBorders>
              <w:top w:val="nil"/>
              <w:left w:val="nil"/>
              <w:bottom w:val="single" w:sz="8" w:space="0" w:color="2E74B5"/>
              <w:right w:val="single" w:sz="8" w:space="0" w:color="2E74B5"/>
            </w:tcBorders>
            <w:shd w:val="clear" w:color="auto" w:fill="9CC2E5"/>
            <w:vAlign w:val="bottom"/>
          </w:tcPr>
          <w:p w14:paraId="0F248DFA"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822 €</w:t>
            </w:r>
          </w:p>
        </w:tc>
        <w:tc>
          <w:tcPr>
            <w:tcW w:w="1417" w:type="dxa"/>
            <w:tcBorders>
              <w:top w:val="nil"/>
              <w:left w:val="nil"/>
              <w:bottom w:val="single" w:sz="8" w:space="0" w:color="2E74B5"/>
              <w:right w:val="single" w:sz="8" w:space="0" w:color="2E74B5"/>
            </w:tcBorders>
            <w:shd w:val="clear" w:color="auto" w:fill="9CC2E5"/>
            <w:vAlign w:val="bottom"/>
          </w:tcPr>
          <w:p w14:paraId="08675969"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2.046 €</w:t>
            </w:r>
          </w:p>
        </w:tc>
        <w:tc>
          <w:tcPr>
            <w:tcW w:w="1134" w:type="dxa"/>
            <w:tcBorders>
              <w:top w:val="nil"/>
              <w:left w:val="nil"/>
              <w:bottom w:val="single" w:sz="8" w:space="0" w:color="2E74B5"/>
              <w:right w:val="single" w:sz="8" w:space="0" w:color="2E74B5"/>
            </w:tcBorders>
            <w:shd w:val="clear" w:color="auto" w:fill="9CC2E5"/>
            <w:vAlign w:val="bottom"/>
          </w:tcPr>
          <w:p w14:paraId="7FDDBD59"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24.555 €</w:t>
            </w:r>
          </w:p>
        </w:tc>
        <w:tc>
          <w:tcPr>
            <w:tcW w:w="1406" w:type="dxa"/>
            <w:tcBorders>
              <w:top w:val="nil"/>
              <w:left w:val="nil"/>
              <w:bottom w:val="single" w:sz="8" w:space="0" w:color="2E74B5"/>
              <w:right w:val="single" w:sz="8" w:space="0" w:color="2E74B5"/>
            </w:tcBorders>
            <w:shd w:val="clear" w:color="auto" w:fill="9CC2E5"/>
            <w:vAlign w:val="bottom"/>
          </w:tcPr>
          <w:p w14:paraId="78B605FA"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color w:val="000000"/>
                <w:sz w:val="20"/>
                <w:szCs w:val="20"/>
              </w:rPr>
              <w:t>41%</w:t>
            </w:r>
          </w:p>
        </w:tc>
        <w:tc>
          <w:tcPr>
            <w:tcW w:w="1368" w:type="dxa"/>
            <w:tcBorders>
              <w:top w:val="nil"/>
              <w:left w:val="nil"/>
              <w:bottom w:val="single" w:sz="8" w:space="0" w:color="2E74B5"/>
              <w:right w:val="single" w:sz="8" w:space="0" w:color="2E74B5"/>
            </w:tcBorders>
            <w:shd w:val="clear" w:color="auto" w:fill="9CC2E5"/>
            <w:vAlign w:val="center"/>
          </w:tcPr>
          <w:p w14:paraId="7A103164" w14:textId="77777777" w:rsidR="00FA3602" w:rsidRDefault="00AA457E">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bl>
    <w:p w14:paraId="75357C8C" w14:textId="77777777" w:rsidR="00FA3602" w:rsidRDefault="00FA3602">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1FF8003F" w14:textId="77777777" w:rsidR="00FA3602" w:rsidRDefault="00FA3602">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82E2E42" w14:textId="77777777" w:rsidR="00FA3602" w:rsidRDefault="00AA457E">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6EB14462" w14:textId="77777777" w:rsidR="00FA3602" w:rsidRDefault="00AA457E">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Dos años después de empezar oficialmente la pandemia, 15 comunidades autónomas han visto incrementar el dinero destinado a pagar el alquiler, mientras que, en tan solo una de ellas, el porcentaje disminuye. Es el caso de Madrid, que ha pasado de destinar e</w:t>
      </w:r>
      <w:r>
        <w:rPr>
          <w:rFonts w:ascii="Open Sans" w:eastAsia="Open Sans" w:hAnsi="Open Sans" w:cs="Open Sans"/>
          <w:color w:val="000000"/>
          <w:sz w:val="22"/>
          <w:szCs w:val="22"/>
        </w:rPr>
        <w:t xml:space="preserve">l 50% del sueldo bruto al pago del alquiler en 2020, al 49% destinado en 2021, según el estudio de </w:t>
      </w:r>
      <w:hyperlink r:id="rId16">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17">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21995C77"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Cataluña, la comunidad q</w:t>
      </w:r>
      <w:r>
        <w:rPr>
          <w:rFonts w:ascii="Open Sans" w:eastAsia="Open Sans" w:hAnsi="Open Sans" w:cs="Open Sans"/>
          <w:color w:val="000000"/>
          <w:sz w:val="22"/>
          <w:szCs w:val="22"/>
        </w:rPr>
        <w:t>ue destina el mayor porcentaje de su sueldo al pago del alquiler, vemos que el precio de la vivienda en alquiler cerró 2021 con un incremento anual de apenas un 0,4% y situó el precio de diciembre en 14,06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w:t>
      </w:r>
      <w:r>
        <w:rPr>
          <w:rFonts w:ascii="Open Sans" w:eastAsia="Open Sans" w:hAnsi="Open Sans" w:cs="Open Sans"/>
          <w:color w:val="000000"/>
          <w:sz w:val="22"/>
          <w:szCs w:val="22"/>
        </w:rPr>
        <w:t xml:space="preserve">ta el salario bruto medio en Cataluña registrado por InfoJobs, que en 2021 era de 24.871 euros (2.073 euros brutos mensuales si lo dividimos en 12 pagas); los catalanes tendrían que destinar el 54% de su sueldo bruto al pago del alquiler.  </w:t>
      </w:r>
    </w:p>
    <w:p w14:paraId="137CF442"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Viendo los dato</w:t>
      </w:r>
      <w:r>
        <w:rPr>
          <w:rFonts w:ascii="Open Sans" w:eastAsia="Open Sans" w:hAnsi="Open Sans" w:cs="Open Sans"/>
          <w:color w:val="000000"/>
          <w:sz w:val="22"/>
          <w:szCs w:val="22"/>
        </w:rPr>
        <w:t xml:space="preserve">s en conjunto, el orden de las comunidades autónomas que dedican más dinero de sus sueldos a pagar el alquiler de una vivienda de 80 </w:t>
      </w:r>
      <w:r>
        <w:rPr>
          <w:rFonts w:ascii="Open Sans" w:eastAsia="Open Sans" w:hAnsi="Open Sans" w:cs="Open Sans"/>
          <w:sz w:val="22"/>
          <w:szCs w:val="22"/>
        </w:rPr>
        <w:t>metros</w:t>
      </w:r>
      <w:r>
        <w:rPr>
          <w:rFonts w:ascii="Open Sans" w:eastAsia="Open Sans" w:hAnsi="Open Sans" w:cs="Open Sans"/>
          <w:color w:val="000000"/>
          <w:sz w:val="22"/>
          <w:szCs w:val="22"/>
        </w:rPr>
        <w:t xml:space="preserve"> cuadrados es: Cataluña (el 54% del sueldo bruto), País Vasco (50%), Madrid (49%), Baleares (49%), Canarias (40%), Cantabria (40%), Navarra (38%), Comunidad Valenciana (36%), Aragón (36%), Andalucía (35%), Asturias (33%), Galicia (32%), La Rioja (32%), Cas</w:t>
      </w:r>
      <w:r>
        <w:rPr>
          <w:rFonts w:ascii="Open Sans" w:eastAsia="Open Sans" w:hAnsi="Open Sans" w:cs="Open Sans"/>
          <w:color w:val="000000"/>
          <w:sz w:val="22"/>
          <w:szCs w:val="22"/>
        </w:rPr>
        <w:t>tilla y León (32%), Región de Murcia (31%), Castilla-La Mancha (25%) y Extremadura (24%).</w:t>
      </w:r>
    </w:p>
    <w:p w14:paraId="3BB35634" w14:textId="77777777" w:rsidR="00FA3602" w:rsidRDefault="00FA3602">
      <w:pPr>
        <w:spacing w:line="276" w:lineRule="auto"/>
        <w:ind w:right="-574"/>
        <w:rPr>
          <w:rFonts w:ascii="National" w:eastAsia="National" w:hAnsi="National" w:cs="National"/>
          <w:b/>
          <w:color w:val="303AB2"/>
          <w:sz w:val="30"/>
          <w:szCs w:val="30"/>
        </w:rPr>
      </w:pPr>
    </w:p>
    <w:p w14:paraId="69FED4A4" w14:textId="77777777" w:rsidR="00FA3602" w:rsidRDefault="00FA3602">
      <w:pPr>
        <w:spacing w:line="276" w:lineRule="auto"/>
        <w:ind w:right="-574"/>
        <w:rPr>
          <w:rFonts w:ascii="National" w:eastAsia="National" w:hAnsi="National" w:cs="National"/>
          <w:b/>
          <w:color w:val="303AB2"/>
          <w:sz w:val="30"/>
          <w:szCs w:val="30"/>
        </w:rPr>
      </w:pPr>
    </w:p>
    <w:p w14:paraId="703089EB" w14:textId="77777777" w:rsidR="00FA3602" w:rsidRDefault="00FA3602">
      <w:pPr>
        <w:spacing w:line="276" w:lineRule="auto"/>
        <w:ind w:right="-574"/>
        <w:rPr>
          <w:rFonts w:ascii="National" w:eastAsia="National" w:hAnsi="National" w:cs="National"/>
          <w:b/>
          <w:color w:val="303AB2"/>
          <w:sz w:val="30"/>
          <w:szCs w:val="30"/>
        </w:rPr>
      </w:pPr>
    </w:p>
    <w:p w14:paraId="1127DD42" w14:textId="77777777" w:rsidR="00FA3602" w:rsidRDefault="00AA457E">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Por provincias</w:t>
      </w:r>
    </w:p>
    <w:p w14:paraId="415FDB35"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Según el salario medio de los españoles y el valor del metro cuadrado de las viviendas en alquiler en 2021, los residentes </w:t>
      </w:r>
      <w:r>
        <w:rPr>
          <w:rFonts w:ascii="Open Sans" w:eastAsia="Open Sans" w:hAnsi="Open Sans" w:cs="Open Sans"/>
          <w:sz w:val="22"/>
          <w:szCs w:val="22"/>
        </w:rPr>
        <w:t>en el</w:t>
      </w:r>
      <w:r>
        <w:rPr>
          <w:rFonts w:ascii="Open Sans" w:eastAsia="Open Sans" w:hAnsi="Open Sans" w:cs="Open Sans"/>
          <w:color w:val="000000"/>
          <w:sz w:val="22"/>
          <w:szCs w:val="22"/>
        </w:rPr>
        <w:t xml:space="preserve"> 72% de las provinci</w:t>
      </w:r>
      <w:r>
        <w:rPr>
          <w:rFonts w:ascii="Open Sans" w:eastAsia="Open Sans" w:hAnsi="Open Sans" w:cs="Open Sans"/>
          <w:color w:val="000000"/>
          <w:sz w:val="22"/>
          <w:szCs w:val="22"/>
        </w:rPr>
        <w:t xml:space="preserve">as destinan más del 30% de su sueldo bruto al pago de una vivienda en alquiler de 80 metros cuadrados. Mientras, en la otra cara del informe se desprende que los residentes </w:t>
      </w:r>
      <w:r>
        <w:rPr>
          <w:rFonts w:ascii="Open Sans" w:eastAsia="Open Sans" w:hAnsi="Open Sans" w:cs="Open Sans"/>
          <w:sz w:val="22"/>
          <w:szCs w:val="22"/>
        </w:rPr>
        <w:t>en</w:t>
      </w:r>
      <w:r>
        <w:rPr>
          <w:rFonts w:ascii="Open Sans" w:eastAsia="Open Sans" w:hAnsi="Open Sans" w:cs="Open Sans"/>
          <w:color w:val="000000"/>
          <w:sz w:val="22"/>
          <w:szCs w:val="22"/>
        </w:rPr>
        <w:t xml:space="preserve"> las provincias de Cáceres, Ciudad Real y Jaén son los que destinan menos del 25%</w:t>
      </w:r>
      <w:r>
        <w:rPr>
          <w:rFonts w:ascii="Open Sans" w:eastAsia="Open Sans" w:hAnsi="Open Sans" w:cs="Open Sans"/>
          <w:color w:val="000000"/>
          <w:sz w:val="22"/>
          <w:szCs w:val="22"/>
        </w:rPr>
        <w:t xml:space="preserve"> de sus sueldos al alquiler. </w:t>
      </w:r>
    </w:p>
    <w:p w14:paraId="15695CDE"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Gipuzkoa, la provincia con el metro cuadrado más caro de España, vemos que el precio de la vivienda en alquiler cerró 2021 con un incremento anual del 3,8% y situó el precio de diciembre en 15,49 euros</w:t>
      </w:r>
      <w:r>
        <w:rPr>
          <w:rFonts w:ascii="Open Sans" w:eastAsia="Open Sans" w:hAnsi="Open Sans" w:cs="Open Sans"/>
          <w:color w:val="000000"/>
          <w:sz w:val="22"/>
          <w:szCs w:val="22"/>
        </w:rPr>
        <w:t>/m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en Gipuzkoa registrado por InfoJobs, que en 2021 era de 25.872 euros (2.156 euros brutos mensuales si lo dividimos en 12 pagas); los guipuzcoanos tendrían que destinar el 57% de su suel</w:t>
      </w:r>
      <w:r>
        <w:rPr>
          <w:rFonts w:ascii="Open Sans" w:eastAsia="Open Sans" w:hAnsi="Open Sans" w:cs="Open Sans"/>
          <w:color w:val="000000"/>
          <w:sz w:val="22"/>
          <w:szCs w:val="22"/>
        </w:rPr>
        <w:t xml:space="preserve">do a pagar su vivienda en alquiler. </w:t>
      </w:r>
    </w:p>
    <w:p w14:paraId="061C779C" w14:textId="77777777" w:rsidR="00FA3602" w:rsidRDefault="00AA457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noProof/>
          <w:color w:val="303AB2"/>
          <w:sz w:val="30"/>
          <w:szCs w:val="30"/>
        </w:rPr>
        <w:drawing>
          <wp:inline distT="0" distB="0" distL="0" distR="0" wp14:anchorId="4621F3C4" wp14:editId="1F9184B1">
            <wp:extent cx="5680948" cy="4370327"/>
            <wp:effectExtent l="0" t="0" r="0" b="0"/>
            <wp:docPr id="36" name="image5.png" descr="Mapa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Mapa  Descripción generada automáticamente"/>
                    <pic:cNvPicPr preferRelativeResize="0"/>
                  </pic:nvPicPr>
                  <pic:blipFill>
                    <a:blip r:embed="rId18"/>
                    <a:srcRect/>
                    <a:stretch>
                      <a:fillRect/>
                    </a:stretch>
                  </pic:blipFill>
                  <pic:spPr>
                    <a:xfrm>
                      <a:off x="0" y="0"/>
                      <a:ext cx="5680948" cy="4370327"/>
                    </a:xfrm>
                    <a:prstGeom prst="rect">
                      <a:avLst/>
                    </a:prstGeom>
                    <a:ln/>
                  </pic:spPr>
                </pic:pic>
              </a:graphicData>
            </a:graphic>
          </wp:inline>
        </w:drawing>
      </w:r>
    </w:p>
    <w:p w14:paraId="0D254FAD" w14:textId="77777777" w:rsidR="00FA3602" w:rsidRDefault="00FA3602">
      <w:pPr>
        <w:spacing w:line="276" w:lineRule="auto"/>
        <w:ind w:right="-574"/>
        <w:jc w:val="both"/>
        <w:rPr>
          <w:rFonts w:ascii="Open Sans" w:eastAsia="Open Sans" w:hAnsi="Open Sans" w:cs="Open Sans"/>
          <w:sz w:val="22"/>
          <w:szCs w:val="22"/>
        </w:rPr>
      </w:pPr>
    </w:p>
    <w:p w14:paraId="6B6E5592" w14:textId="77777777" w:rsidR="00FA3602" w:rsidRDefault="00AA457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El orden de las 10 provincias que dedican más sueldo al pago del alquiler por una vivienda de 80 metros cuadrados es: Gipuzkoa (57% del sueldo bruto), Barcelona (57%), Madrid (49%), Illes Balears (49%), Bizkaia (47%)</w:t>
      </w:r>
      <w:r>
        <w:rPr>
          <w:rFonts w:ascii="Open Sans" w:eastAsia="Open Sans" w:hAnsi="Open Sans" w:cs="Open Sans"/>
          <w:sz w:val="22"/>
          <w:szCs w:val="22"/>
        </w:rPr>
        <w:t>, Araba – Álava (42%), Las Palmas (41%), Málaga (41%), Girona (41%) y Valencia (40%).</w:t>
      </w:r>
    </w:p>
    <w:p w14:paraId="02D5A4F3" w14:textId="77777777" w:rsidR="00FA3602" w:rsidRDefault="00FA3602">
      <w:pPr>
        <w:spacing w:line="276" w:lineRule="auto"/>
        <w:ind w:right="-574"/>
        <w:jc w:val="both"/>
        <w:rPr>
          <w:rFonts w:ascii="Open Sans" w:eastAsia="Open Sans" w:hAnsi="Open Sans" w:cs="Open Sans"/>
          <w:sz w:val="22"/>
          <w:szCs w:val="22"/>
        </w:rPr>
      </w:pPr>
    </w:p>
    <w:p w14:paraId="5925A8C3" w14:textId="77777777" w:rsidR="00FA3602" w:rsidRDefault="00AA457E">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las provincias que destinan menos sueldo bruto al pago de la vivienda en alquiler son: Cáceres (21%), Ciudad Real (22%), Jaén (22%), Ourense (25%), Albace</w:t>
      </w:r>
      <w:r>
        <w:rPr>
          <w:rFonts w:ascii="Open Sans" w:eastAsia="Open Sans" w:hAnsi="Open Sans" w:cs="Open Sans"/>
          <w:sz w:val="22"/>
          <w:szCs w:val="22"/>
        </w:rPr>
        <w:t>te (26%), Badajoz (26%), Palencia (27%), Ávila (27%), León (28%) y Lugo (28%).</w:t>
      </w:r>
    </w:p>
    <w:p w14:paraId="14C81A4F" w14:textId="77777777" w:rsidR="00FA3602" w:rsidRDefault="00FA360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5BA60E88" w14:textId="77777777" w:rsidR="00FA3602" w:rsidRDefault="00AA457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el precio de la vivienda en alquiler y salario bruto en 2021</w:t>
      </w:r>
    </w:p>
    <w:p w14:paraId="0C885C57" w14:textId="77777777" w:rsidR="00FA3602" w:rsidRDefault="00FA3602">
      <w:pPr>
        <w:spacing w:line="276" w:lineRule="auto"/>
        <w:ind w:right="-574"/>
        <w:rPr>
          <w:rFonts w:ascii="Open Sans Light" w:eastAsia="Open Sans Light" w:hAnsi="Open Sans Light" w:cs="Open Sans Light"/>
          <w:b/>
          <w:color w:val="303AB2"/>
        </w:rPr>
      </w:pPr>
    </w:p>
    <w:tbl>
      <w:tblPr>
        <w:tblStyle w:val="a8"/>
        <w:tblW w:w="9883" w:type="dxa"/>
        <w:tblInd w:w="-572" w:type="dxa"/>
        <w:tblLayout w:type="fixed"/>
        <w:tblLook w:val="0400" w:firstRow="0" w:lastRow="0" w:firstColumn="0" w:lastColumn="0" w:noHBand="0" w:noVBand="1"/>
      </w:tblPr>
      <w:tblGrid>
        <w:gridCol w:w="1418"/>
        <w:gridCol w:w="1417"/>
        <w:gridCol w:w="1134"/>
        <w:gridCol w:w="1134"/>
        <w:gridCol w:w="1276"/>
        <w:gridCol w:w="1134"/>
        <w:gridCol w:w="1164"/>
        <w:gridCol w:w="1206"/>
      </w:tblGrid>
      <w:tr w:rsidR="00FA3602" w14:paraId="6BF29ECC" w14:textId="77777777">
        <w:trPr>
          <w:trHeight w:val="1447"/>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664B1C6B" w14:textId="77777777" w:rsidR="00FA3602" w:rsidRDefault="00AA457E">
            <w:pPr>
              <w:rPr>
                <w:rFonts w:ascii="Open Sans" w:eastAsia="Open Sans" w:hAnsi="Open Sans" w:cs="Open Sans"/>
                <w:color w:val="000000"/>
                <w:sz w:val="17"/>
                <w:szCs w:val="17"/>
              </w:rPr>
            </w:pPr>
            <w:r>
              <w:rPr>
                <w:rFonts w:ascii="Open Sans" w:eastAsia="Open Sans" w:hAnsi="Open Sans" w:cs="Open Sans"/>
                <w:color w:val="000000"/>
                <w:sz w:val="17"/>
                <w:szCs w:val="17"/>
              </w:rPr>
              <w:t>CCAA</w:t>
            </w:r>
          </w:p>
        </w:tc>
        <w:tc>
          <w:tcPr>
            <w:tcW w:w="1417" w:type="dxa"/>
            <w:tcBorders>
              <w:top w:val="single" w:sz="4" w:space="0" w:color="2E74B5"/>
              <w:left w:val="nil"/>
              <w:bottom w:val="single" w:sz="4" w:space="0" w:color="2E74B5"/>
              <w:right w:val="single" w:sz="4" w:space="0" w:color="2E74B5"/>
            </w:tcBorders>
            <w:shd w:val="clear" w:color="auto" w:fill="9CC2E5"/>
            <w:vAlign w:val="center"/>
          </w:tcPr>
          <w:p w14:paraId="6A8E1228" w14:textId="77777777" w:rsidR="00FA3602" w:rsidRDefault="00AA457E">
            <w:pPr>
              <w:rPr>
                <w:rFonts w:ascii="Open Sans" w:eastAsia="Open Sans" w:hAnsi="Open Sans" w:cs="Open Sans"/>
                <w:color w:val="000000"/>
                <w:sz w:val="17"/>
                <w:szCs w:val="17"/>
              </w:rPr>
            </w:pPr>
            <w:r>
              <w:rPr>
                <w:rFonts w:ascii="Open Sans" w:eastAsia="Open Sans" w:hAnsi="Open Sans" w:cs="Open Sans"/>
                <w:color w:val="000000"/>
                <w:sz w:val="17"/>
                <w:szCs w:val="17"/>
              </w:rPr>
              <w:t>Provincia</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675B67D7"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Precio alquiler €/m</w:t>
            </w:r>
            <w:r>
              <w:rPr>
                <w:rFonts w:ascii="Open Sans" w:eastAsia="Open Sans" w:hAnsi="Open Sans" w:cs="Open Sans"/>
                <w:color w:val="000000"/>
                <w:sz w:val="17"/>
                <w:szCs w:val="17"/>
                <w:vertAlign w:val="superscript"/>
              </w:rPr>
              <w:t>2</w:t>
            </w:r>
            <w:r>
              <w:rPr>
                <w:rFonts w:ascii="Open Sans" w:eastAsia="Open Sans" w:hAnsi="Open Sans" w:cs="Open Sans"/>
                <w:color w:val="000000"/>
                <w:sz w:val="17"/>
                <w:szCs w:val="17"/>
              </w:rPr>
              <w:t xml:space="preserve"> (</w:t>
            </w:r>
            <w:proofErr w:type="gramStart"/>
            <w:r>
              <w:rPr>
                <w:rFonts w:ascii="Open Sans" w:eastAsia="Open Sans" w:hAnsi="Open Sans" w:cs="Open Sans"/>
                <w:color w:val="000000"/>
                <w:sz w:val="17"/>
                <w:szCs w:val="17"/>
              </w:rPr>
              <w:t>Dic.</w:t>
            </w:r>
            <w:proofErr w:type="gramEnd"/>
            <w:r>
              <w:rPr>
                <w:rFonts w:ascii="Open Sans" w:eastAsia="Open Sans" w:hAnsi="Open Sans" w:cs="Open Sans"/>
                <w:color w:val="000000"/>
                <w:sz w:val="17"/>
                <w:szCs w:val="17"/>
              </w:rPr>
              <w:t xml:space="preserve"> 2021)</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38AB7EBE"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Vivienda alquiler        80m</w:t>
            </w:r>
            <w:r>
              <w:rPr>
                <w:rFonts w:ascii="Open Sans" w:eastAsia="Open Sans" w:hAnsi="Open Sans" w:cs="Open Sans"/>
                <w:color w:val="000000"/>
                <w:sz w:val="17"/>
                <w:szCs w:val="17"/>
                <w:vertAlign w:val="superscript"/>
              </w:rPr>
              <w:t>2</w:t>
            </w:r>
            <w:r>
              <w:rPr>
                <w:rFonts w:ascii="Open Sans" w:eastAsia="Open Sans" w:hAnsi="Open Sans" w:cs="Open Sans"/>
                <w:color w:val="000000"/>
                <w:sz w:val="17"/>
                <w:szCs w:val="17"/>
              </w:rPr>
              <w:t xml:space="preserve"> al mes en 2021</w:t>
            </w:r>
          </w:p>
        </w:tc>
        <w:tc>
          <w:tcPr>
            <w:tcW w:w="1276" w:type="dxa"/>
            <w:tcBorders>
              <w:top w:val="single" w:sz="4" w:space="0" w:color="2E74B5"/>
              <w:left w:val="nil"/>
              <w:bottom w:val="single" w:sz="4" w:space="0" w:color="2E74B5"/>
              <w:right w:val="single" w:sz="4" w:space="0" w:color="2E74B5"/>
            </w:tcBorders>
            <w:shd w:val="clear" w:color="auto" w:fill="9CC2E5"/>
            <w:vAlign w:val="center"/>
          </w:tcPr>
          <w:p w14:paraId="262A1E7C"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Salario medio            bruto mensual en         202</w:t>
            </w:r>
            <w:r>
              <w:rPr>
                <w:rFonts w:ascii="Open Sans" w:eastAsia="Open Sans" w:hAnsi="Open Sans" w:cs="Open Sans"/>
                <w:sz w:val="17"/>
                <w:szCs w:val="17"/>
              </w:rPr>
              <w:t>1</w:t>
            </w:r>
            <w:r>
              <w:rPr>
                <w:rFonts w:ascii="Open Sans" w:eastAsia="Open Sans" w:hAnsi="Open Sans" w:cs="Open Sans"/>
                <w:color w:val="000000"/>
                <w:sz w:val="17"/>
                <w:szCs w:val="17"/>
              </w:rPr>
              <w:t xml:space="preserve"> (12 pagas)</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38E03E42"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Salario medio bruto anual en 2021</w:t>
            </w:r>
          </w:p>
        </w:tc>
        <w:tc>
          <w:tcPr>
            <w:tcW w:w="1164" w:type="dxa"/>
            <w:tcBorders>
              <w:top w:val="single" w:sz="4" w:space="0" w:color="2E74B5"/>
              <w:left w:val="nil"/>
              <w:bottom w:val="single" w:sz="4" w:space="0" w:color="2E74B5"/>
              <w:right w:val="single" w:sz="4" w:space="0" w:color="2E74B5"/>
            </w:tcBorders>
            <w:shd w:val="clear" w:color="auto" w:fill="9CC2E5"/>
            <w:vAlign w:val="center"/>
          </w:tcPr>
          <w:p w14:paraId="0DC14132"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 xml:space="preserve"> Sueldo bruto (%) destinado al alquiler en 2020</w:t>
            </w:r>
          </w:p>
        </w:tc>
        <w:tc>
          <w:tcPr>
            <w:tcW w:w="1206" w:type="dxa"/>
            <w:tcBorders>
              <w:top w:val="single" w:sz="4" w:space="0" w:color="2E74B5"/>
              <w:left w:val="nil"/>
              <w:bottom w:val="single" w:sz="4" w:space="0" w:color="2E74B5"/>
              <w:right w:val="single" w:sz="4" w:space="0" w:color="2E74B5"/>
            </w:tcBorders>
            <w:shd w:val="clear" w:color="auto" w:fill="9CC2E5"/>
            <w:vAlign w:val="center"/>
          </w:tcPr>
          <w:p w14:paraId="49EEDF20" w14:textId="77777777" w:rsidR="00FA3602" w:rsidRDefault="00AA457E">
            <w:pPr>
              <w:jc w:val="center"/>
              <w:rPr>
                <w:rFonts w:ascii="Open Sans" w:eastAsia="Open Sans" w:hAnsi="Open Sans" w:cs="Open Sans"/>
                <w:color w:val="000000"/>
                <w:sz w:val="17"/>
                <w:szCs w:val="17"/>
              </w:rPr>
            </w:pPr>
            <w:r>
              <w:rPr>
                <w:rFonts w:ascii="Open Sans" w:eastAsia="Open Sans" w:hAnsi="Open Sans" w:cs="Open Sans"/>
                <w:color w:val="000000"/>
                <w:sz w:val="17"/>
                <w:szCs w:val="17"/>
              </w:rPr>
              <w:t>Sueldo bruto (%) destinado al alquiler en 2021</w:t>
            </w:r>
          </w:p>
        </w:tc>
      </w:tr>
      <w:tr w:rsidR="00FA3602" w14:paraId="4CE482C8"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55C2DF9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3008517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134" w:type="dxa"/>
            <w:tcBorders>
              <w:top w:val="nil"/>
              <w:left w:val="nil"/>
              <w:bottom w:val="single" w:sz="4" w:space="0" w:color="2E74B5"/>
              <w:right w:val="single" w:sz="4" w:space="0" w:color="2E74B5"/>
            </w:tcBorders>
            <w:shd w:val="clear" w:color="auto" w:fill="auto"/>
            <w:vAlign w:val="bottom"/>
          </w:tcPr>
          <w:p w14:paraId="4A2AF3A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7,29 €</w:t>
            </w:r>
          </w:p>
        </w:tc>
        <w:tc>
          <w:tcPr>
            <w:tcW w:w="1134" w:type="dxa"/>
            <w:tcBorders>
              <w:top w:val="nil"/>
              <w:left w:val="nil"/>
              <w:bottom w:val="single" w:sz="4" w:space="0" w:color="2E74B5"/>
              <w:right w:val="single" w:sz="4" w:space="0" w:color="2E74B5"/>
            </w:tcBorders>
            <w:shd w:val="clear" w:color="auto" w:fill="auto"/>
            <w:vAlign w:val="center"/>
          </w:tcPr>
          <w:p w14:paraId="6CD19C2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583 €</w:t>
            </w:r>
          </w:p>
        </w:tc>
        <w:tc>
          <w:tcPr>
            <w:tcW w:w="1276" w:type="dxa"/>
            <w:tcBorders>
              <w:top w:val="nil"/>
              <w:left w:val="nil"/>
              <w:bottom w:val="single" w:sz="4" w:space="0" w:color="2E74B5"/>
              <w:right w:val="single" w:sz="4" w:space="0" w:color="2E74B5"/>
            </w:tcBorders>
            <w:shd w:val="clear" w:color="auto" w:fill="auto"/>
            <w:vAlign w:val="center"/>
          </w:tcPr>
          <w:p w14:paraId="405FE87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2.000 €</w:t>
            </w:r>
          </w:p>
        </w:tc>
        <w:tc>
          <w:tcPr>
            <w:tcW w:w="1134" w:type="dxa"/>
            <w:tcBorders>
              <w:top w:val="nil"/>
              <w:left w:val="nil"/>
              <w:bottom w:val="single" w:sz="4" w:space="0" w:color="2E74B5"/>
              <w:right w:val="single" w:sz="4" w:space="0" w:color="2E74B5"/>
            </w:tcBorders>
            <w:shd w:val="clear" w:color="auto" w:fill="auto"/>
            <w:vAlign w:val="center"/>
          </w:tcPr>
          <w:p w14:paraId="3A652F7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24.000 €</w:t>
            </w:r>
          </w:p>
        </w:tc>
        <w:tc>
          <w:tcPr>
            <w:tcW w:w="1164" w:type="dxa"/>
            <w:tcBorders>
              <w:top w:val="nil"/>
              <w:left w:val="nil"/>
              <w:bottom w:val="single" w:sz="4" w:space="0" w:color="2E74B5"/>
              <w:right w:val="single" w:sz="4" w:space="0" w:color="2E74B5"/>
            </w:tcBorders>
            <w:shd w:val="clear" w:color="auto" w:fill="auto"/>
            <w:vAlign w:val="bottom"/>
          </w:tcPr>
          <w:p w14:paraId="56DA97B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w:t>
            </w:r>
          </w:p>
        </w:tc>
        <w:tc>
          <w:tcPr>
            <w:tcW w:w="1206" w:type="dxa"/>
            <w:tcBorders>
              <w:top w:val="nil"/>
              <w:left w:val="nil"/>
              <w:bottom w:val="single" w:sz="4" w:space="0" w:color="2E74B5"/>
              <w:right w:val="single" w:sz="4" w:space="0" w:color="2E74B5"/>
            </w:tcBorders>
            <w:shd w:val="clear" w:color="auto" w:fill="auto"/>
            <w:vAlign w:val="bottom"/>
          </w:tcPr>
          <w:p w14:paraId="1AFBE748"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FA3602" w14:paraId="3E572E35"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757A136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6746A9E9"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134" w:type="dxa"/>
            <w:tcBorders>
              <w:top w:val="nil"/>
              <w:left w:val="nil"/>
              <w:bottom w:val="single" w:sz="4" w:space="0" w:color="2E74B5"/>
              <w:right w:val="single" w:sz="4" w:space="0" w:color="2E74B5"/>
            </w:tcBorders>
            <w:shd w:val="clear" w:color="auto" w:fill="auto"/>
            <w:vAlign w:val="bottom"/>
          </w:tcPr>
          <w:p w14:paraId="1CF12DA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8,14 €</w:t>
            </w:r>
          </w:p>
        </w:tc>
        <w:tc>
          <w:tcPr>
            <w:tcW w:w="1134" w:type="dxa"/>
            <w:tcBorders>
              <w:top w:val="nil"/>
              <w:left w:val="nil"/>
              <w:bottom w:val="single" w:sz="4" w:space="0" w:color="2E74B5"/>
              <w:right w:val="single" w:sz="4" w:space="0" w:color="2E74B5"/>
            </w:tcBorders>
            <w:shd w:val="clear" w:color="auto" w:fill="auto"/>
            <w:vAlign w:val="center"/>
          </w:tcPr>
          <w:p w14:paraId="6B72447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651 €</w:t>
            </w:r>
          </w:p>
        </w:tc>
        <w:tc>
          <w:tcPr>
            <w:tcW w:w="1276" w:type="dxa"/>
            <w:tcBorders>
              <w:top w:val="nil"/>
              <w:left w:val="nil"/>
              <w:bottom w:val="single" w:sz="4" w:space="0" w:color="2E74B5"/>
              <w:right w:val="single" w:sz="4" w:space="0" w:color="2E74B5"/>
            </w:tcBorders>
            <w:shd w:val="clear" w:color="auto" w:fill="auto"/>
            <w:vAlign w:val="center"/>
          </w:tcPr>
          <w:p w14:paraId="19B9D51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1.881 €</w:t>
            </w:r>
          </w:p>
        </w:tc>
        <w:tc>
          <w:tcPr>
            <w:tcW w:w="1134" w:type="dxa"/>
            <w:tcBorders>
              <w:top w:val="nil"/>
              <w:left w:val="nil"/>
              <w:bottom w:val="single" w:sz="4" w:space="0" w:color="2E74B5"/>
              <w:right w:val="single" w:sz="4" w:space="0" w:color="2E74B5"/>
            </w:tcBorders>
            <w:shd w:val="clear" w:color="auto" w:fill="auto"/>
            <w:vAlign w:val="center"/>
          </w:tcPr>
          <w:p w14:paraId="0931767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22.576 €</w:t>
            </w:r>
          </w:p>
        </w:tc>
        <w:tc>
          <w:tcPr>
            <w:tcW w:w="1164" w:type="dxa"/>
            <w:tcBorders>
              <w:top w:val="nil"/>
              <w:left w:val="nil"/>
              <w:bottom w:val="single" w:sz="4" w:space="0" w:color="2E74B5"/>
              <w:right w:val="single" w:sz="4" w:space="0" w:color="2E74B5"/>
            </w:tcBorders>
            <w:shd w:val="clear" w:color="auto" w:fill="auto"/>
            <w:vAlign w:val="bottom"/>
          </w:tcPr>
          <w:p w14:paraId="499A0D7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w:t>
            </w:r>
          </w:p>
        </w:tc>
        <w:tc>
          <w:tcPr>
            <w:tcW w:w="1206" w:type="dxa"/>
            <w:tcBorders>
              <w:top w:val="nil"/>
              <w:left w:val="nil"/>
              <w:bottom w:val="single" w:sz="4" w:space="0" w:color="2E74B5"/>
              <w:right w:val="single" w:sz="4" w:space="0" w:color="2E74B5"/>
            </w:tcBorders>
            <w:shd w:val="clear" w:color="auto" w:fill="auto"/>
            <w:vAlign w:val="bottom"/>
          </w:tcPr>
          <w:p w14:paraId="36037974"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35%</w:t>
            </w:r>
          </w:p>
        </w:tc>
      </w:tr>
      <w:tr w:rsidR="00FA3602" w14:paraId="6F0AB9A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319483A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298B02F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134" w:type="dxa"/>
            <w:tcBorders>
              <w:top w:val="nil"/>
              <w:left w:val="nil"/>
              <w:bottom w:val="single" w:sz="4" w:space="0" w:color="2E74B5"/>
              <w:right w:val="single" w:sz="4" w:space="0" w:color="2E74B5"/>
            </w:tcBorders>
            <w:shd w:val="clear" w:color="auto" w:fill="auto"/>
            <w:vAlign w:val="bottom"/>
          </w:tcPr>
          <w:p w14:paraId="54FEB10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7,32 €</w:t>
            </w:r>
          </w:p>
        </w:tc>
        <w:tc>
          <w:tcPr>
            <w:tcW w:w="1134" w:type="dxa"/>
            <w:tcBorders>
              <w:top w:val="nil"/>
              <w:left w:val="nil"/>
              <w:bottom w:val="single" w:sz="4" w:space="0" w:color="2E74B5"/>
              <w:right w:val="single" w:sz="4" w:space="0" w:color="2E74B5"/>
            </w:tcBorders>
            <w:shd w:val="clear" w:color="auto" w:fill="auto"/>
            <w:vAlign w:val="center"/>
          </w:tcPr>
          <w:p w14:paraId="49D927F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586 €</w:t>
            </w:r>
          </w:p>
        </w:tc>
        <w:tc>
          <w:tcPr>
            <w:tcW w:w="1276" w:type="dxa"/>
            <w:tcBorders>
              <w:top w:val="nil"/>
              <w:left w:val="nil"/>
              <w:bottom w:val="single" w:sz="4" w:space="0" w:color="2E74B5"/>
              <w:right w:val="single" w:sz="4" w:space="0" w:color="2E74B5"/>
            </w:tcBorders>
            <w:shd w:val="clear" w:color="auto" w:fill="auto"/>
            <w:vAlign w:val="center"/>
          </w:tcPr>
          <w:p w14:paraId="2ADEF5D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1.883 €</w:t>
            </w:r>
          </w:p>
        </w:tc>
        <w:tc>
          <w:tcPr>
            <w:tcW w:w="1134" w:type="dxa"/>
            <w:tcBorders>
              <w:top w:val="nil"/>
              <w:left w:val="nil"/>
              <w:bottom w:val="single" w:sz="4" w:space="0" w:color="2E74B5"/>
              <w:right w:val="single" w:sz="4" w:space="0" w:color="2E74B5"/>
            </w:tcBorders>
            <w:shd w:val="clear" w:color="auto" w:fill="auto"/>
            <w:vAlign w:val="center"/>
          </w:tcPr>
          <w:p w14:paraId="4689FB0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22.602 €</w:t>
            </w:r>
          </w:p>
        </w:tc>
        <w:tc>
          <w:tcPr>
            <w:tcW w:w="1164" w:type="dxa"/>
            <w:tcBorders>
              <w:top w:val="nil"/>
              <w:left w:val="nil"/>
              <w:bottom w:val="single" w:sz="4" w:space="0" w:color="2E74B5"/>
              <w:right w:val="single" w:sz="4" w:space="0" w:color="2E74B5"/>
            </w:tcBorders>
            <w:shd w:val="clear" w:color="auto" w:fill="auto"/>
            <w:vAlign w:val="bottom"/>
          </w:tcPr>
          <w:p w14:paraId="3670A8D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c>
          <w:tcPr>
            <w:tcW w:w="1206" w:type="dxa"/>
            <w:tcBorders>
              <w:top w:val="nil"/>
              <w:left w:val="nil"/>
              <w:bottom w:val="single" w:sz="4" w:space="0" w:color="2E74B5"/>
              <w:right w:val="single" w:sz="4" w:space="0" w:color="2E74B5"/>
            </w:tcBorders>
            <w:shd w:val="clear" w:color="auto" w:fill="auto"/>
            <w:vAlign w:val="bottom"/>
          </w:tcPr>
          <w:p w14:paraId="1B0A23C3"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FA3602" w14:paraId="7F5F30E5"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980C59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2C27D7E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134" w:type="dxa"/>
            <w:tcBorders>
              <w:top w:val="nil"/>
              <w:left w:val="nil"/>
              <w:bottom w:val="single" w:sz="4" w:space="0" w:color="2E74B5"/>
              <w:right w:val="single" w:sz="4" w:space="0" w:color="2E74B5"/>
            </w:tcBorders>
            <w:shd w:val="clear" w:color="auto" w:fill="auto"/>
            <w:vAlign w:val="bottom"/>
          </w:tcPr>
          <w:p w14:paraId="0F92109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7,76 €</w:t>
            </w:r>
          </w:p>
        </w:tc>
        <w:tc>
          <w:tcPr>
            <w:tcW w:w="1134" w:type="dxa"/>
            <w:tcBorders>
              <w:top w:val="nil"/>
              <w:left w:val="nil"/>
              <w:bottom w:val="single" w:sz="4" w:space="0" w:color="2E74B5"/>
              <w:right w:val="single" w:sz="4" w:space="0" w:color="2E74B5"/>
            </w:tcBorders>
            <w:shd w:val="clear" w:color="auto" w:fill="auto"/>
            <w:vAlign w:val="center"/>
          </w:tcPr>
          <w:p w14:paraId="7193EEC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621 €</w:t>
            </w:r>
          </w:p>
        </w:tc>
        <w:tc>
          <w:tcPr>
            <w:tcW w:w="1276" w:type="dxa"/>
            <w:tcBorders>
              <w:top w:val="nil"/>
              <w:left w:val="nil"/>
              <w:bottom w:val="single" w:sz="4" w:space="0" w:color="2E74B5"/>
              <w:right w:val="single" w:sz="4" w:space="0" w:color="2E74B5"/>
            </w:tcBorders>
            <w:shd w:val="clear" w:color="auto" w:fill="auto"/>
            <w:vAlign w:val="center"/>
          </w:tcPr>
          <w:p w14:paraId="533C851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1.966 €</w:t>
            </w:r>
          </w:p>
        </w:tc>
        <w:tc>
          <w:tcPr>
            <w:tcW w:w="1134" w:type="dxa"/>
            <w:tcBorders>
              <w:top w:val="nil"/>
              <w:left w:val="nil"/>
              <w:bottom w:val="single" w:sz="4" w:space="0" w:color="2E74B5"/>
              <w:right w:val="single" w:sz="4" w:space="0" w:color="2E74B5"/>
            </w:tcBorders>
            <w:shd w:val="clear" w:color="auto" w:fill="auto"/>
            <w:vAlign w:val="center"/>
          </w:tcPr>
          <w:p w14:paraId="53CB792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23.596 €</w:t>
            </w:r>
          </w:p>
        </w:tc>
        <w:tc>
          <w:tcPr>
            <w:tcW w:w="1164" w:type="dxa"/>
            <w:tcBorders>
              <w:top w:val="nil"/>
              <w:left w:val="nil"/>
              <w:bottom w:val="single" w:sz="4" w:space="0" w:color="2E74B5"/>
              <w:right w:val="single" w:sz="4" w:space="0" w:color="2E74B5"/>
            </w:tcBorders>
            <w:shd w:val="clear" w:color="auto" w:fill="auto"/>
            <w:vAlign w:val="bottom"/>
          </w:tcPr>
          <w:p w14:paraId="3FF4DD2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2FD4521F"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FA3602" w14:paraId="1409620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1E3C5E5"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1A2B89A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134" w:type="dxa"/>
            <w:tcBorders>
              <w:top w:val="nil"/>
              <w:left w:val="nil"/>
              <w:bottom w:val="single" w:sz="4" w:space="0" w:color="2E74B5"/>
              <w:right w:val="single" w:sz="4" w:space="0" w:color="2E74B5"/>
            </w:tcBorders>
            <w:shd w:val="clear" w:color="auto" w:fill="auto"/>
            <w:vAlign w:val="bottom"/>
          </w:tcPr>
          <w:p w14:paraId="134DA77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8,66 €</w:t>
            </w:r>
          </w:p>
        </w:tc>
        <w:tc>
          <w:tcPr>
            <w:tcW w:w="1134" w:type="dxa"/>
            <w:tcBorders>
              <w:top w:val="nil"/>
              <w:left w:val="nil"/>
              <w:bottom w:val="single" w:sz="4" w:space="0" w:color="2E74B5"/>
              <w:right w:val="single" w:sz="4" w:space="0" w:color="2E74B5"/>
            </w:tcBorders>
            <w:shd w:val="clear" w:color="auto" w:fill="auto"/>
            <w:vAlign w:val="center"/>
          </w:tcPr>
          <w:p w14:paraId="251F37A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693 €</w:t>
            </w:r>
          </w:p>
        </w:tc>
        <w:tc>
          <w:tcPr>
            <w:tcW w:w="1276" w:type="dxa"/>
            <w:tcBorders>
              <w:top w:val="nil"/>
              <w:left w:val="nil"/>
              <w:bottom w:val="single" w:sz="4" w:space="0" w:color="2E74B5"/>
              <w:right w:val="single" w:sz="4" w:space="0" w:color="2E74B5"/>
            </w:tcBorders>
            <w:shd w:val="clear" w:color="auto" w:fill="auto"/>
            <w:vAlign w:val="center"/>
          </w:tcPr>
          <w:p w14:paraId="39A617C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1.919 €</w:t>
            </w:r>
          </w:p>
        </w:tc>
        <w:tc>
          <w:tcPr>
            <w:tcW w:w="1134" w:type="dxa"/>
            <w:tcBorders>
              <w:top w:val="nil"/>
              <w:left w:val="nil"/>
              <w:bottom w:val="single" w:sz="4" w:space="0" w:color="2E74B5"/>
              <w:right w:val="single" w:sz="4" w:space="0" w:color="2E74B5"/>
            </w:tcBorders>
            <w:shd w:val="clear" w:color="auto" w:fill="auto"/>
            <w:vAlign w:val="center"/>
          </w:tcPr>
          <w:p w14:paraId="33EBADB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23.032 €</w:t>
            </w:r>
          </w:p>
        </w:tc>
        <w:tc>
          <w:tcPr>
            <w:tcW w:w="1164" w:type="dxa"/>
            <w:tcBorders>
              <w:top w:val="nil"/>
              <w:left w:val="nil"/>
              <w:bottom w:val="single" w:sz="4" w:space="0" w:color="2E74B5"/>
              <w:right w:val="single" w:sz="4" w:space="0" w:color="2E74B5"/>
            </w:tcBorders>
            <w:shd w:val="clear" w:color="auto" w:fill="auto"/>
            <w:vAlign w:val="bottom"/>
          </w:tcPr>
          <w:p w14:paraId="7373758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2F70C384"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36%</w:t>
            </w:r>
          </w:p>
        </w:tc>
      </w:tr>
      <w:tr w:rsidR="00FA3602" w14:paraId="0405A7A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4701FCB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3249848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134" w:type="dxa"/>
            <w:tcBorders>
              <w:top w:val="nil"/>
              <w:left w:val="nil"/>
              <w:bottom w:val="single" w:sz="4" w:space="0" w:color="2E74B5"/>
              <w:right w:val="single" w:sz="4" w:space="0" w:color="2E74B5"/>
            </w:tcBorders>
            <w:shd w:val="clear" w:color="auto" w:fill="auto"/>
            <w:vAlign w:val="bottom"/>
          </w:tcPr>
          <w:p w14:paraId="496CF1E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5,25 €</w:t>
            </w:r>
          </w:p>
        </w:tc>
        <w:tc>
          <w:tcPr>
            <w:tcW w:w="1134" w:type="dxa"/>
            <w:tcBorders>
              <w:top w:val="nil"/>
              <w:left w:val="nil"/>
              <w:bottom w:val="single" w:sz="4" w:space="0" w:color="2E74B5"/>
              <w:right w:val="single" w:sz="4" w:space="0" w:color="2E74B5"/>
            </w:tcBorders>
            <w:shd w:val="clear" w:color="auto" w:fill="auto"/>
            <w:vAlign w:val="center"/>
          </w:tcPr>
          <w:p w14:paraId="7389D94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420 €</w:t>
            </w:r>
          </w:p>
        </w:tc>
        <w:tc>
          <w:tcPr>
            <w:tcW w:w="1276" w:type="dxa"/>
            <w:tcBorders>
              <w:top w:val="nil"/>
              <w:left w:val="nil"/>
              <w:bottom w:val="single" w:sz="4" w:space="0" w:color="2E74B5"/>
              <w:right w:val="single" w:sz="4" w:space="0" w:color="2E74B5"/>
            </w:tcBorders>
            <w:shd w:val="clear" w:color="auto" w:fill="auto"/>
            <w:vAlign w:val="center"/>
          </w:tcPr>
          <w:p w14:paraId="0A60696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1.887 €</w:t>
            </w:r>
          </w:p>
        </w:tc>
        <w:tc>
          <w:tcPr>
            <w:tcW w:w="1134" w:type="dxa"/>
            <w:tcBorders>
              <w:top w:val="nil"/>
              <w:left w:val="nil"/>
              <w:bottom w:val="single" w:sz="4" w:space="0" w:color="2E74B5"/>
              <w:right w:val="single" w:sz="4" w:space="0" w:color="2E74B5"/>
            </w:tcBorders>
            <w:shd w:val="clear" w:color="auto" w:fill="auto"/>
            <w:vAlign w:val="center"/>
          </w:tcPr>
          <w:p w14:paraId="2FB7954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22.641 €</w:t>
            </w:r>
          </w:p>
        </w:tc>
        <w:tc>
          <w:tcPr>
            <w:tcW w:w="1164" w:type="dxa"/>
            <w:tcBorders>
              <w:top w:val="nil"/>
              <w:left w:val="nil"/>
              <w:bottom w:val="single" w:sz="4" w:space="0" w:color="2E74B5"/>
              <w:right w:val="single" w:sz="4" w:space="0" w:color="2E74B5"/>
            </w:tcBorders>
            <w:shd w:val="clear" w:color="auto" w:fill="auto"/>
            <w:vAlign w:val="bottom"/>
          </w:tcPr>
          <w:p w14:paraId="30E6222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w:t>
            </w:r>
          </w:p>
        </w:tc>
        <w:tc>
          <w:tcPr>
            <w:tcW w:w="1206" w:type="dxa"/>
            <w:tcBorders>
              <w:top w:val="nil"/>
              <w:left w:val="nil"/>
              <w:bottom w:val="single" w:sz="4" w:space="0" w:color="2E74B5"/>
              <w:right w:val="single" w:sz="4" w:space="0" w:color="2E74B5"/>
            </w:tcBorders>
            <w:shd w:val="clear" w:color="auto" w:fill="auto"/>
            <w:vAlign w:val="bottom"/>
          </w:tcPr>
          <w:p w14:paraId="07B9F556"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r>
      <w:tr w:rsidR="00FA3602" w14:paraId="13BAAAA8"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67FE83F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2A199F0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134" w:type="dxa"/>
            <w:tcBorders>
              <w:top w:val="nil"/>
              <w:left w:val="nil"/>
              <w:bottom w:val="single" w:sz="4" w:space="0" w:color="2E74B5"/>
              <w:right w:val="single" w:sz="4" w:space="0" w:color="2E74B5"/>
            </w:tcBorders>
            <w:shd w:val="clear" w:color="auto" w:fill="auto"/>
            <w:vAlign w:val="bottom"/>
          </w:tcPr>
          <w:p w14:paraId="33F7AD6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10,12 €</w:t>
            </w:r>
          </w:p>
        </w:tc>
        <w:tc>
          <w:tcPr>
            <w:tcW w:w="1134" w:type="dxa"/>
            <w:tcBorders>
              <w:top w:val="nil"/>
              <w:left w:val="nil"/>
              <w:bottom w:val="single" w:sz="4" w:space="0" w:color="2E74B5"/>
              <w:right w:val="single" w:sz="4" w:space="0" w:color="2E74B5"/>
            </w:tcBorders>
            <w:shd w:val="clear" w:color="auto" w:fill="auto"/>
            <w:vAlign w:val="center"/>
          </w:tcPr>
          <w:p w14:paraId="3FC3658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810 €</w:t>
            </w:r>
          </w:p>
        </w:tc>
        <w:tc>
          <w:tcPr>
            <w:tcW w:w="1276" w:type="dxa"/>
            <w:tcBorders>
              <w:top w:val="nil"/>
              <w:left w:val="nil"/>
              <w:bottom w:val="single" w:sz="4" w:space="0" w:color="2E74B5"/>
              <w:right w:val="single" w:sz="4" w:space="0" w:color="2E74B5"/>
            </w:tcBorders>
            <w:shd w:val="clear" w:color="auto" w:fill="auto"/>
            <w:vAlign w:val="center"/>
          </w:tcPr>
          <w:p w14:paraId="461A356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1.958 €</w:t>
            </w:r>
          </w:p>
        </w:tc>
        <w:tc>
          <w:tcPr>
            <w:tcW w:w="1134" w:type="dxa"/>
            <w:tcBorders>
              <w:top w:val="nil"/>
              <w:left w:val="nil"/>
              <w:bottom w:val="single" w:sz="4" w:space="0" w:color="2E74B5"/>
              <w:right w:val="single" w:sz="4" w:space="0" w:color="2E74B5"/>
            </w:tcBorders>
            <w:shd w:val="clear" w:color="auto" w:fill="auto"/>
            <w:vAlign w:val="center"/>
          </w:tcPr>
          <w:p w14:paraId="76803A1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23.496 €</w:t>
            </w:r>
          </w:p>
        </w:tc>
        <w:tc>
          <w:tcPr>
            <w:tcW w:w="1164" w:type="dxa"/>
            <w:tcBorders>
              <w:top w:val="nil"/>
              <w:left w:val="nil"/>
              <w:bottom w:val="single" w:sz="4" w:space="0" w:color="2E74B5"/>
              <w:right w:val="single" w:sz="4" w:space="0" w:color="2E74B5"/>
            </w:tcBorders>
            <w:shd w:val="clear" w:color="auto" w:fill="auto"/>
            <w:vAlign w:val="bottom"/>
          </w:tcPr>
          <w:p w14:paraId="3042481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w:t>
            </w:r>
          </w:p>
        </w:tc>
        <w:tc>
          <w:tcPr>
            <w:tcW w:w="1206" w:type="dxa"/>
            <w:tcBorders>
              <w:top w:val="nil"/>
              <w:left w:val="nil"/>
              <w:bottom w:val="single" w:sz="4" w:space="0" w:color="2E74B5"/>
              <w:right w:val="single" w:sz="4" w:space="0" w:color="2E74B5"/>
            </w:tcBorders>
            <w:shd w:val="clear" w:color="auto" w:fill="auto"/>
            <w:vAlign w:val="bottom"/>
          </w:tcPr>
          <w:p w14:paraId="79D5A227"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w:t>
            </w:r>
          </w:p>
        </w:tc>
      </w:tr>
      <w:tr w:rsidR="00FA3602" w14:paraId="4B3F106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7B31A58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Andalucía</w:t>
            </w:r>
          </w:p>
        </w:tc>
        <w:tc>
          <w:tcPr>
            <w:tcW w:w="1417" w:type="dxa"/>
            <w:tcBorders>
              <w:top w:val="nil"/>
              <w:left w:val="nil"/>
              <w:bottom w:val="single" w:sz="4" w:space="0" w:color="2E74B5"/>
              <w:right w:val="single" w:sz="4" w:space="0" w:color="2E74B5"/>
            </w:tcBorders>
            <w:shd w:val="clear" w:color="auto" w:fill="auto"/>
            <w:vAlign w:val="bottom"/>
          </w:tcPr>
          <w:p w14:paraId="3AA721B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134" w:type="dxa"/>
            <w:tcBorders>
              <w:top w:val="nil"/>
              <w:left w:val="nil"/>
              <w:bottom w:val="single" w:sz="4" w:space="0" w:color="2E74B5"/>
              <w:right w:val="single" w:sz="4" w:space="0" w:color="2E74B5"/>
            </w:tcBorders>
            <w:shd w:val="clear" w:color="auto" w:fill="auto"/>
            <w:vAlign w:val="bottom"/>
          </w:tcPr>
          <w:p w14:paraId="38C5AAB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9,29 €</w:t>
            </w:r>
          </w:p>
        </w:tc>
        <w:tc>
          <w:tcPr>
            <w:tcW w:w="1134" w:type="dxa"/>
            <w:tcBorders>
              <w:top w:val="nil"/>
              <w:left w:val="nil"/>
              <w:bottom w:val="single" w:sz="4" w:space="0" w:color="2E74B5"/>
              <w:right w:val="single" w:sz="4" w:space="0" w:color="2E74B5"/>
            </w:tcBorders>
            <w:shd w:val="clear" w:color="auto" w:fill="auto"/>
            <w:vAlign w:val="center"/>
          </w:tcPr>
          <w:p w14:paraId="12333FF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743 €</w:t>
            </w:r>
          </w:p>
        </w:tc>
        <w:tc>
          <w:tcPr>
            <w:tcW w:w="1276" w:type="dxa"/>
            <w:tcBorders>
              <w:top w:val="nil"/>
              <w:left w:val="nil"/>
              <w:bottom w:val="single" w:sz="4" w:space="0" w:color="2E74B5"/>
              <w:right w:val="single" w:sz="4" w:space="0" w:color="2E74B5"/>
            </w:tcBorders>
            <w:shd w:val="clear" w:color="auto" w:fill="auto"/>
            <w:vAlign w:val="center"/>
          </w:tcPr>
          <w:p w14:paraId="532AC35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1.956 €</w:t>
            </w:r>
          </w:p>
        </w:tc>
        <w:tc>
          <w:tcPr>
            <w:tcW w:w="1134" w:type="dxa"/>
            <w:tcBorders>
              <w:top w:val="nil"/>
              <w:left w:val="nil"/>
              <w:bottom w:val="single" w:sz="4" w:space="0" w:color="2E74B5"/>
              <w:right w:val="single" w:sz="4" w:space="0" w:color="2E74B5"/>
            </w:tcBorders>
            <w:shd w:val="clear" w:color="auto" w:fill="auto"/>
            <w:vAlign w:val="center"/>
          </w:tcPr>
          <w:p w14:paraId="2A95F40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23.477 €</w:t>
            </w:r>
          </w:p>
        </w:tc>
        <w:tc>
          <w:tcPr>
            <w:tcW w:w="1164" w:type="dxa"/>
            <w:tcBorders>
              <w:top w:val="nil"/>
              <w:left w:val="nil"/>
              <w:bottom w:val="single" w:sz="4" w:space="0" w:color="2E74B5"/>
              <w:right w:val="single" w:sz="4" w:space="0" w:color="2E74B5"/>
            </w:tcBorders>
            <w:shd w:val="clear" w:color="auto" w:fill="auto"/>
            <w:vAlign w:val="bottom"/>
          </w:tcPr>
          <w:p w14:paraId="55BF3BD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206" w:type="dxa"/>
            <w:tcBorders>
              <w:top w:val="nil"/>
              <w:left w:val="nil"/>
              <w:bottom w:val="single" w:sz="4" w:space="0" w:color="2E74B5"/>
              <w:right w:val="single" w:sz="4" w:space="0" w:color="2E74B5"/>
            </w:tcBorders>
            <w:shd w:val="clear" w:color="auto" w:fill="auto"/>
            <w:vAlign w:val="bottom"/>
          </w:tcPr>
          <w:p w14:paraId="24682ACF"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w:t>
            </w:r>
          </w:p>
        </w:tc>
      </w:tr>
      <w:tr w:rsidR="00FA3602" w14:paraId="4282EC8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D652B0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Aragón</w:t>
            </w:r>
          </w:p>
        </w:tc>
        <w:tc>
          <w:tcPr>
            <w:tcW w:w="1417" w:type="dxa"/>
            <w:tcBorders>
              <w:top w:val="nil"/>
              <w:left w:val="nil"/>
              <w:bottom w:val="single" w:sz="4" w:space="0" w:color="2E74B5"/>
              <w:right w:val="single" w:sz="4" w:space="0" w:color="2E74B5"/>
            </w:tcBorders>
            <w:shd w:val="clear" w:color="auto" w:fill="auto"/>
            <w:vAlign w:val="bottom"/>
          </w:tcPr>
          <w:p w14:paraId="3D300C0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Huesca</w:t>
            </w:r>
          </w:p>
        </w:tc>
        <w:tc>
          <w:tcPr>
            <w:tcW w:w="1134" w:type="dxa"/>
            <w:tcBorders>
              <w:top w:val="nil"/>
              <w:left w:val="nil"/>
              <w:bottom w:val="single" w:sz="4" w:space="0" w:color="2E74B5"/>
              <w:right w:val="single" w:sz="4" w:space="0" w:color="2E74B5"/>
            </w:tcBorders>
            <w:shd w:val="clear" w:color="auto" w:fill="auto"/>
            <w:vAlign w:val="bottom"/>
          </w:tcPr>
          <w:p w14:paraId="774923C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7,05 €</w:t>
            </w:r>
          </w:p>
        </w:tc>
        <w:tc>
          <w:tcPr>
            <w:tcW w:w="1134" w:type="dxa"/>
            <w:tcBorders>
              <w:top w:val="nil"/>
              <w:left w:val="nil"/>
              <w:bottom w:val="single" w:sz="4" w:space="0" w:color="2E74B5"/>
              <w:right w:val="single" w:sz="4" w:space="0" w:color="2E74B5"/>
            </w:tcBorders>
            <w:shd w:val="clear" w:color="auto" w:fill="auto"/>
            <w:vAlign w:val="center"/>
          </w:tcPr>
          <w:p w14:paraId="4BEE89F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564 €</w:t>
            </w:r>
          </w:p>
        </w:tc>
        <w:tc>
          <w:tcPr>
            <w:tcW w:w="1276" w:type="dxa"/>
            <w:tcBorders>
              <w:top w:val="nil"/>
              <w:left w:val="nil"/>
              <w:bottom w:val="single" w:sz="4" w:space="0" w:color="2E74B5"/>
              <w:right w:val="single" w:sz="4" w:space="0" w:color="2E74B5"/>
            </w:tcBorders>
            <w:shd w:val="clear" w:color="auto" w:fill="auto"/>
            <w:vAlign w:val="center"/>
          </w:tcPr>
          <w:p w14:paraId="192EDE1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1.873 €</w:t>
            </w:r>
          </w:p>
        </w:tc>
        <w:tc>
          <w:tcPr>
            <w:tcW w:w="1134" w:type="dxa"/>
            <w:tcBorders>
              <w:top w:val="nil"/>
              <w:left w:val="nil"/>
              <w:bottom w:val="single" w:sz="4" w:space="0" w:color="2E74B5"/>
              <w:right w:val="single" w:sz="4" w:space="0" w:color="2E74B5"/>
            </w:tcBorders>
            <w:shd w:val="clear" w:color="auto" w:fill="auto"/>
            <w:vAlign w:val="center"/>
          </w:tcPr>
          <w:p w14:paraId="360B9FC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22.478 €</w:t>
            </w:r>
          </w:p>
        </w:tc>
        <w:tc>
          <w:tcPr>
            <w:tcW w:w="1164" w:type="dxa"/>
            <w:tcBorders>
              <w:top w:val="nil"/>
              <w:left w:val="nil"/>
              <w:bottom w:val="single" w:sz="4" w:space="0" w:color="2E74B5"/>
              <w:right w:val="single" w:sz="4" w:space="0" w:color="2E74B5"/>
            </w:tcBorders>
            <w:shd w:val="clear" w:color="auto" w:fill="auto"/>
            <w:vAlign w:val="bottom"/>
          </w:tcPr>
          <w:p w14:paraId="76FE6E2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w:t>
            </w:r>
          </w:p>
        </w:tc>
        <w:tc>
          <w:tcPr>
            <w:tcW w:w="1206" w:type="dxa"/>
            <w:tcBorders>
              <w:top w:val="nil"/>
              <w:left w:val="nil"/>
              <w:bottom w:val="single" w:sz="4" w:space="0" w:color="2E74B5"/>
              <w:right w:val="single" w:sz="4" w:space="0" w:color="2E74B5"/>
            </w:tcBorders>
            <w:shd w:val="clear" w:color="auto" w:fill="auto"/>
            <w:vAlign w:val="bottom"/>
          </w:tcPr>
          <w:p w14:paraId="19D604CD"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30%</w:t>
            </w:r>
          </w:p>
        </w:tc>
      </w:tr>
      <w:tr w:rsidR="00FA3602" w14:paraId="04339017"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33B92939"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Aragón</w:t>
            </w:r>
          </w:p>
        </w:tc>
        <w:tc>
          <w:tcPr>
            <w:tcW w:w="1417" w:type="dxa"/>
            <w:tcBorders>
              <w:top w:val="nil"/>
              <w:left w:val="nil"/>
              <w:bottom w:val="single" w:sz="4" w:space="0" w:color="2E74B5"/>
              <w:right w:val="single" w:sz="4" w:space="0" w:color="2E74B5"/>
            </w:tcBorders>
            <w:shd w:val="clear" w:color="auto" w:fill="auto"/>
            <w:vAlign w:val="bottom"/>
          </w:tcPr>
          <w:p w14:paraId="616F474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134" w:type="dxa"/>
            <w:tcBorders>
              <w:top w:val="nil"/>
              <w:left w:val="nil"/>
              <w:bottom w:val="single" w:sz="4" w:space="0" w:color="2E74B5"/>
              <w:right w:val="single" w:sz="4" w:space="0" w:color="2E74B5"/>
            </w:tcBorders>
            <w:shd w:val="clear" w:color="auto" w:fill="auto"/>
            <w:vAlign w:val="bottom"/>
          </w:tcPr>
          <w:p w14:paraId="050F156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134" w:type="dxa"/>
            <w:tcBorders>
              <w:top w:val="nil"/>
              <w:left w:val="nil"/>
              <w:bottom w:val="single" w:sz="4" w:space="0" w:color="2E74B5"/>
              <w:right w:val="single" w:sz="4" w:space="0" w:color="2E74B5"/>
            </w:tcBorders>
            <w:shd w:val="clear" w:color="auto" w:fill="auto"/>
            <w:vAlign w:val="bottom"/>
          </w:tcPr>
          <w:p w14:paraId="2EB53F1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76" w:type="dxa"/>
            <w:tcBorders>
              <w:top w:val="nil"/>
              <w:left w:val="nil"/>
              <w:bottom w:val="single" w:sz="4" w:space="0" w:color="2E74B5"/>
              <w:right w:val="single" w:sz="4" w:space="0" w:color="2E74B5"/>
            </w:tcBorders>
            <w:shd w:val="clear" w:color="auto" w:fill="auto"/>
            <w:vAlign w:val="center"/>
          </w:tcPr>
          <w:p w14:paraId="7A41A54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1.911 €</w:t>
            </w:r>
          </w:p>
        </w:tc>
        <w:tc>
          <w:tcPr>
            <w:tcW w:w="1134" w:type="dxa"/>
            <w:tcBorders>
              <w:top w:val="nil"/>
              <w:left w:val="nil"/>
              <w:bottom w:val="single" w:sz="4" w:space="0" w:color="2E74B5"/>
              <w:right w:val="single" w:sz="4" w:space="0" w:color="2E74B5"/>
            </w:tcBorders>
            <w:shd w:val="clear" w:color="auto" w:fill="auto"/>
            <w:vAlign w:val="center"/>
          </w:tcPr>
          <w:p w14:paraId="436D70E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22.933 €</w:t>
            </w:r>
          </w:p>
        </w:tc>
        <w:tc>
          <w:tcPr>
            <w:tcW w:w="1164" w:type="dxa"/>
            <w:tcBorders>
              <w:top w:val="nil"/>
              <w:left w:val="nil"/>
              <w:bottom w:val="single" w:sz="4" w:space="0" w:color="2E74B5"/>
              <w:right w:val="single" w:sz="4" w:space="0" w:color="2E74B5"/>
            </w:tcBorders>
            <w:shd w:val="clear" w:color="auto" w:fill="auto"/>
            <w:vAlign w:val="bottom"/>
          </w:tcPr>
          <w:p w14:paraId="5892047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06" w:type="dxa"/>
            <w:tcBorders>
              <w:top w:val="nil"/>
              <w:left w:val="nil"/>
              <w:bottom w:val="single" w:sz="4" w:space="0" w:color="2E74B5"/>
              <w:right w:val="single" w:sz="4" w:space="0" w:color="2E74B5"/>
            </w:tcBorders>
            <w:shd w:val="clear" w:color="auto" w:fill="auto"/>
            <w:vAlign w:val="bottom"/>
          </w:tcPr>
          <w:p w14:paraId="74C35227"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FA3602" w14:paraId="36F006D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92B87D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Aragón</w:t>
            </w:r>
          </w:p>
        </w:tc>
        <w:tc>
          <w:tcPr>
            <w:tcW w:w="1417" w:type="dxa"/>
            <w:tcBorders>
              <w:top w:val="nil"/>
              <w:left w:val="nil"/>
              <w:bottom w:val="single" w:sz="4" w:space="0" w:color="2E74B5"/>
              <w:right w:val="single" w:sz="4" w:space="0" w:color="2E74B5"/>
            </w:tcBorders>
            <w:shd w:val="clear" w:color="auto" w:fill="auto"/>
            <w:vAlign w:val="bottom"/>
          </w:tcPr>
          <w:p w14:paraId="26061F0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134" w:type="dxa"/>
            <w:tcBorders>
              <w:top w:val="nil"/>
              <w:left w:val="nil"/>
              <w:bottom w:val="single" w:sz="4" w:space="0" w:color="2E74B5"/>
              <w:right w:val="single" w:sz="4" w:space="0" w:color="2E74B5"/>
            </w:tcBorders>
            <w:shd w:val="clear" w:color="auto" w:fill="auto"/>
            <w:vAlign w:val="bottom"/>
          </w:tcPr>
          <w:p w14:paraId="53E097D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8,88 €</w:t>
            </w:r>
          </w:p>
        </w:tc>
        <w:tc>
          <w:tcPr>
            <w:tcW w:w="1134" w:type="dxa"/>
            <w:tcBorders>
              <w:top w:val="nil"/>
              <w:left w:val="nil"/>
              <w:bottom w:val="single" w:sz="4" w:space="0" w:color="2E74B5"/>
              <w:right w:val="single" w:sz="4" w:space="0" w:color="2E74B5"/>
            </w:tcBorders>
            <w:shd w:val="clear" w:color="auto" w:fill="auto"/>
            <w:vAlign w:val="center"/>
          </w:tcPr>
          <w:p w14:paraId="6A2F216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710 €</w:t>
            </w:r>
          </w:p>
        </w:tc>
        <w:tc>
          <w:tcPr>
            <w:tcW w:w="1276" w:type="dxa"/>
            <w:tcBorders>
              <w:top w:val="nil"/>
              <w:left w:val="nil"/>
              <w:bottom w:val="single" w:sz="4" w:space="0" w:color="2E74B5"/>
              <w:right w:val="single" w:sz="4" w:space="0" w:color="2E74B5"/>
            </w:tcBorders>
            <w:shd w:val="clear" w:color="auto" w:fill="auto"/>
            <w:vAlign w:val="center"/>
          </w:tcPr>
          <w:p w14:paraId="2D221D2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1.912 €</w:t>
            </w:r>
          </w:p>
        </w:tc>
        <w:tc>
          <w:tcPr>
            <w:tcW w:w="1134" w:type="dxa"/>
            <w:tcBorders>
              <w:top w:val="nil"/>
              <w:left w:val="nil"/>
              <w:bottom w:val="single" w:sz="4" w:space="0" w:color="2E74B5"/>
              <w:right w:val="single" w:sz="4" w:space="0" w:color="2E74B5"/>
            </w:tcBorders>
            <w:shd w:val="clear" w:color="auto" w:fill="auto"/>
            <w:vAlign w:val="center"/>
          </w:tcPr>
          <w:p w14:paraId="10C530B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22.948 €</w:t>
            </w:r>
          </w:p>
        </w:tc>
        <w:tc>
          <w:tcPr>
            <w:tcW w:w="1164" w:type="dxa"/>
            <w:tcBorders>
              <w:top w:val="nil"/>
              <w:left w:val="nil"/>
              <w:bottom w:val="single" w:sz="4" w:space="0" w:color="2E74B5"/>
              <w:right w:val="single" w:sz="4" w:space="0" w:color="2E74B5"/>
            </w:tcBorders>
            <w:shd w:val="clear" w:color="auto" w:fill="auto"/>
            <w:vAlign w:val="bottom"/>
          </w:tcPr>
          <w:p w14:paraId="77EBBF1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w:t>
            </w:r>
          </w:p>
        </w:tc>
        <w:tc>
          <w:tcPr>
            <w:tcW w:w="1206" w:type="dxa"/>
            <w:tcBorders>
              <w:top w:val="nil"/>
              <w:left w:val="nil"/>
              <w:bottom w:val="single" w:sz="4" w:space="0" w:color="2E74B5"/>
              <w:right w:val="single" w:sz="4" w:space="0" w:color="2E74B5"/>
            </w:tcBorders>
            <w:shd w:val="clear" w:color="auto" w:fill="auto"/>
            <w:vAlign w:val="bottom"/>
          </w:tcPr>
          <w:p w14:paraId="2A0FB06D"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r>
      <w:tr w:rsidR="00FA3602" w14:paraId="06DB09C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314407C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417" w:type="dxa"/>
            <w:tcBorders>
              <w:top w:val="nil"/>
              <w:left w:val="nil"/>
              <w:bottom w:val="single" w:sz="4" w:space="0" w:color="2E74B5"/>
              <w:right w:val="single" w:sz="4" w:space="0" w:color="2E74B5"/>
            </w:tcBorders>
            <w:shd w:val="clear" w:color="auto" w:fill="auto"/>
            <w:vAlign w:val="bottom"/>
          </w:tcPr>
          <w:p w14:paraId="19EB3FA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134" w:type="dxa"/>
            <w:tcBorders>
              <w:top w:val="nil"/>
              <w:left w:val="nil"/>
              <w:bottom w:val="single" w:sz="4" w:space="0" w:color="2E74B5"/>
              <w:right w:val="single" w:sz="4" w:space="0" w:color="2E74B5"/>
            </w:tcBorders>
            <w:shd w:val="clear" w:color="auto" w:fill="auto"/>
            <w:vAlign w:val="bottom"/>
          </w:tcPr>
          <w:p w14:paraId="70F6964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8,07 €</w:t>
            </w:r>
          </w:p>
        </w:tc>
        <w:tc>
          <w:tcPr>
            <w:tcW w:w="1134" w:type="dxa"/>
            <w:tcBorders>
              <w:top w:val="nil"/>
              <w:left w:val="nil"/>
              <w:bottom w:val="single" w:sz="4" w:space="0" w:color="2E74B5"/>
              <w:right w:val="single" w:sz="4" w:space="0" w:color="2E74B5"/>
            </w:tcBorders>
            <w:shd w:val="clear" w:color="auto" w:fill="auto"/>
            <w:vAlign w:val="center"/>
          </w:tcPr>
          <w:p w14:paraId="3EF0181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646 €</w:t>
            </w:r>
          </w:p>
        </w:tc>
        <w:tc>
          <w:tcPr>
            <w:tcW w:w="1276" w:type="dxa"/>
            <w:tcBorders>
              <w:top w:val="nil"/>
              <w:left w:val="nil"/>
              <w:bottom w:val="single" w:sz="4" w:space="0" w:color="2E74B5"/>
              <w:right w:val="single" w:sz="4" w:space="0" w:color="2E74B5"/>
            </w:tcBorders>
            <w:shd w:val="clear" w:color="auto" w:fill="auto"/>
            <w:vAlign w:val="center"/>
          </w:tcPr>
          <w:p w14:paraId="1BD9967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1.979 €</w:t>
            </w:r>
          </w:p>
        </w:tc>
        <w:tc>
          <w:tcPr>
            <w:tcW w:w="1134" w:type="dxa"/>
            <w:tcBorders>
              <w:top w:val="nil"/>
              <w:left w:val="nil"/>
              <w:bottom w:val="single" w:sz="4" w:space="0" w:color="2E74B5"/>
              <w:right w:val="single" w:sz="4" w:space="0" w:color="2E74B5"/>
            </w:tcBorders>
            <w:shd w:val="clear" w:color="auto" w:fill="auto"/>
            <w:vAlign w:val="center"/>
          </w:tcPr>
          <w:p w14:paraId="056DC76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23.749 €</w:t>
            </w:r>
          </w:p>
        </w:tc>
        <w:tc>
          <w:tcPr>
            <w:tcW w:w="1164" w:type="dxa"/>
            <w:tcBorders>
              <w:top w:val="nil"/>
              <w:left w:val="nil"/>
              <w:bottom w:val="single" w:sz="4" w:space="0" w:color="2E74B5"/>
              <w:right w:val="single" w:sz="4" w:space="0" w:color="2E74B5"/>
            </w:tcBorders>
            <w:shd w:val="clear" w:color="auto" w:fill="auto"/>
            <w:vAlign w:val="bottom"/>
          </w:tcPr>
          <w:p w14:paraId="5F872CB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w:t>
            </w:r>
          </w:p>
        </w:tc>
        <w:tc>
          <w:tcPr>
            <w:tcW w:w="1206" w:type="dxa"/>
            <w:tcBorders>
              <w:top w:val="nil"/>
              <w:left w:val="nil"/>
              <w:bottom w:val="single" w:sz="4" w:space="0" w:color="2E74B5"/>
              <w:right w:val="single" w:sz="4" w:space="0" w:color="2E74B5"/>
            </w:tcBorders>
            <w:shd w:val="clear" w:color="auto" w:fill="auto"/>
            <w:vAlign w:val="bottom"/>
          </w:tcPr>
          <w:p w14:paraId="5FCAEC6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33%</w:t>
            </w:r>
          </w:p>
        </w:tc>
      </w:tr>
      <w:tr w:rsidR="00FA3602" w14:paraId="760AE29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C13B8AB"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Baleares</w:t>
            </w:r>
          </w:p>
        </w:tc>
        <w:tc>
          <w:tcPr>
            <w:tcW w:w="1417" w:type="dxa"/>
            <w:tcBorders>
              <w:top w:val="nil"/>
              <w:left w:val="nil"/>
              <w:bottom w:val="single" w:sz="4" w:space="0" w:color="2E74B5"/>
              <w:right w:val="single" w:sz="4" w:space="0" w:color="2E74B5"/>
            </w:tcBorders>
            <w:shd w:val="clear" w:color="auto" w:fill="auto"/>
            <w:vAlign w:val="bottom"/>
          </w:tcPr>
          <w:p w14:paraId="3BA03EA1"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134" w:type="dxa"/>
            <w:tcBorders>
              <w:top w:val="nil"/>
              <w:left w:val="nil"/>
              <w:bottom w:val="single" w:sz="4" w:space="0" w:color="2E74B5"/>
              <w:right w:val="single" w:sz="4" w:space="0" w:color="2E74B5"/>
            </w:tcBorders>
            <w:shd w:val="clear" w:color="auto" w:fill="auto"/>
            <w:vAlign w:val="bottom"/>
          </w:tcPr>
          <w:p w14:paraId="0D8F7D6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11,98 €</w:t>
            </w:r>
          </w:p>
        </w:tc>
        <w:tc>
          <w:tcPr>
            <w:tcW w:w="1134" w:type="dxa"/>
            <w:tcBorders>
              <w:top w:val="nil"/>
              <w:left w:val="nil"/>
              <w:bottom w:val="single" w:sz="4" w:space="0" w:color="2E74B5"/>
              <w:right w:val="single" w:sz="4" w:space="0" w:color="2E74B5"/>
            </w:tcBorders>
            <w:shd w:val="clear" w:color="auto" w:fill="auto"/>
            <w:vAlign w:val="center"/>
          </w:tcPr>
          <w:p w14:paraId="54CACD3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958 €</w:t>
            </w:r>
          </w:p>
        </w:tc>
        <w:tc>
          <w:tcPr>
            <w:tcW w:w="1276" w:type="dxa"/>
            <w:tcBorders>
              <w:top w:val="nil"/>
              <w:left w:val="nil"/>
              <w:bottom w:val="single" w:sz="4" w:space="0" w:color="2E74B5"/>
              <w:right w:val="single" w:sz="4" w:space="0" w:color="2E74B5"/>
            </w:tcBorders>
            <w:shd w:val="clear" w:color="auto" w:fill="auto"/>
            <w:vAlign w:val="center"/>
          </w:tcPr>
          <w:p w14:paraId="0330311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1.965 €</w:t>
            </w:r>
          </w:p>
        </w:tc>
        <w:tc>
          <w:tcPr>
            <w:tcW w:w="1134" w:type="dxa"/>
            <w:tcBorders>
              <w:top w:val="nil"/>
              <w:left w:val="nil"/>
              <w:bottom w:val="single" w:sz="4" w:space="0" w:color="2E74B5"/>
              <w:right w:val="single" w:sz="4" w:space="0" w:color="2E74B5"/>
            </w:tcBorders>
            <w:shd w:val="clear" w:color="auto" w:fill="auto"/>
            <w:vAlign w:val="center"/>
          </w:tcPr>
          <w:p w14:paraId="6AD8255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23.577 €</w:t>
            </w:r>
          </w:p>
        </w:tc>
        <w:tc>
          <w:tcPr>
            <w:tcW w:w="1164" w:type="dxa"/>
            <w:tcBorders>
              <w:top w:val="nil"/>
              <w:left w:val="nil"/>
              <w:bottom w:val="single" w:sz="4" w:space="0" w:color="2E74B5"/>
              <w:right w:val="single" w:sz="4" w:space="0" w:color="2E74B5"/>
            </w:tcBorders>
            <w:shd w:val="clear" w:color="auto" w:fill="auto"/>
            <w:vAlign w:val="bottom"/>
          </w:tcPr>
          <w:p w14:paraId="011D0FE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44%</w:t>
            </w:r>
          </w:p>
        </w:tc>
        <w:tc>
          <w:tcPr>
            <w:tcW w:w="1206" w:type="dxa"/>
            <w:tcBorders>
              <w:top w:val="nil"/>
              <w:left w:val="nil"/>
              <w:bottom w:val="single" w:sz="4" w:space="0" w:color="2E74B5"/>
              <w:right w:val="single" w:sz="4" w:space="0" w:color="2E74B5"/>
            </w:tcBorders>
            <w:shd w:val="clear" w:color="auto" w:fill="auto"/>
            <w:vAlign w:val="bottom"/>
          </w:tcPr>
          <w:p w14:paraId="52F7587F"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49%</w:t>
            </w:r>
          </w:p>
        </w:tc>
      </w:tr>
      <w:tr w:rsidR="00FA3602" w14:paraId="0776BF5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AA3BA1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Canarias</w:t>
            </w:r>
          </w:p>
        </w:tc>
        <w:tc>
          <w:tcPr>
            <w:tcW w:w="1417" w:type="dxa"/>
            <w:tcBorders>
              <w:top w:val="nil"/>
              <w:left w:val="nil"/>
              <w:bottom w:val="single" w:sz="4" w:space="0" w:color="2E74B5"/>
              <w:right w:val="single" w:sz="4" w:space="0" w:color="2E74B5"/>
            </w:tcBorders>
            <w:shd w:val="clear" w:color="auto" w:fill="auto"/>
            <w:vAlign w:val="bottom"/>
          </w:tcPr>
          <w:p w14:paraId="1626A1F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134" w:type="dxa"/>
            <w:tcBorders>
              <w:top w:val="nil"/>
              <w:left w:val="nil"/>
              <w:bottom w:val="single" w:sz="4" w:space="0" w:color="2E74B5"/>
              <w:right w:val="single" w:sz="4" w:space="0" w:color="2E74B5"/>
            </w:tcBorders>
            <w:shd w:val="clear" w:color="auto" w:fill="auto"/>
            <w:vAlign w:val="bottom"/>
          </w:tcPr>
          <w:p w14:paraId="631FDDD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9,96 €</w:t>
            </w:r>
          </w:p>
        </w:tc>
        <w:tc>
          <w:tcPr>
            <w:tcW w:w="1134" w:type="dxa"/>
            <w:tcBorders>
              <w:top w:val="nil"/>
              <w:left w:val="nil"/>
              <w:bottom w:val="single" w:sz="4" w:space="0" w:color="2E74B5"/>
              <w:right w:val="single" w:sz="4" w:space="0" w:color="2E74B5"/>
            </w:tcBorders>
            <w:shd w:val="clear" w:color="auto" w:fill="auto"/>
            <w:vAlign w:val="center"/>
          </w:tcPr>
          <w:p w14:paraId="588D5C0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797 €</w:t>
            </w:r>
          </w:p>
        </w:tc>
        <w:tc>
          <w:tcPr>
            <w:tcW w:w="1276" w:type="dxa"/>
            <w:tcBorders>
              <w:top w:val="nil"/>
              <w:left w:val="nil"/>
              <w:bottom w:val="single" w:sz="4" w:space="0" w:color="2E74B5"/>
              <w:right w:val="single" w:sz="4" w:space="0" w:color="2E74B5"/>
            </w:tcBorders>
            <w:shd w:val="clear" w:color="auto" w:fill="auto"/>
            <w:vAlign w:val="center"/>
          </w:tcPr>
          <w:p w14:paraId="4210BF8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1.923 €</w:t>
            </w:r>
          </w:p>
        </w:tc>
        <w:tc>
          <w:tcPr>
            <w:tcW w:w="1134" w:type="dxa"/>
            <w:tcBorders>
              <w:top w:val="nil"/>
              <w:left w:val="nil"/>
              <w:bottom w:val="single" w:sz="4" w:space="0" w:color="2E74B5"/>
              <w:right w:val="single" w:sz="4" w:space="0" w:color="2E74B5"/>
            </w:tcBorders>
            <w:shd w:val="clear" w:color="auto" w:fill="auto"/>
            <w:vAlign w:val="center"/>
          </w:tcPr>
          <w:p w14:paraId="17916ED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164" w:type="dxa"/>
            <w:tcBorders>
              <w:top w:val="nil"/>
              <w:left w:val="nil"/>
              <w:bottom w:val="single" w:sz="4" w:space="0" w:color="2E74B5"/>
              <w:right w:val="single" w:sz="4" w:space="0" w:color="2E74B5"/>
            </w:tcBorders>
            <w:shd w:val="clear" w:color="auto" w:fill="auto"/>
            <w:vAlign w:val="bottom"/>
          </w:tcPr>
          <w:p w14:paraId="4156408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206" w:type="dxa"/>
            <w:tcBorders>
              <w:top w:val="nil"/>
              <w:left w:val="nil"/>
              <w:bottom w:val="single" w:sz="4" w:space="0" w:color="2E74B5"/>
              <w:right w:val="single" w:sz="4" w:space="0" w:color="2E74B5"/>
            </w:tcBorders>
            <w:shd w:val="clear" w:color="auto" w:fill="auto"/>
            <w:vAlign w:val="bottom"/>
          </w:tcPr>
          <w:p w14:paraId="24F5DEF2"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w:t>
            </w:r>
          </w:p>
        </w:tc>
      </w:tr>
      <w:tr w:rsidR="00FA3602" w14:paraId="3CE2E22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7196FC6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Canarias</w:t>
            </w:r>
          </w:p>
        </w:tc>
        <w:tc>
          <w:tcPr>
            <w:tcW w:w="1417" w:type="dxa"/>
            <w:tcBorders>
              <w:top w:val="nil"/>
              <w:left w:val="nil"/>
              <w:bottom w:val="single" w:sz="4" w:space="0" w:color="2E74B5"/>
              <w:right w:val="single" w:sz="4" w:space="0" w:color="2E74B5"/>
            </w:tcBorders>
            <w:shd w:val="clear" w:color="auto" w:fill="auto"/>
            <w:vAlign w:val="bottom"/>
          </w:tcPr>
          <w:p w14:paraId="485E54D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134" w:type="dxa"/>
            <w:tcBorders>
              <w:top w:val="nil"/>
              <w:left w:val="nil"/>
              <w:bottom w:val="single" w:sz="4" w:space="0" w:color="2E74B5"/>
              <w:right w:val="single" w:sz="4" w:space="0" w:color="2E74B5"/>
            </w:tcBorders>
            <w:shd w:val="clear" w:color="auto" w:fill="auto"/>
            <w:vAlign w:val="bottom"/>
          </w:tcPr>
          <w:p w14:paraId="65EA5A8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9,27 €</w:t>
            </w:r>
          </w:p>
        </w:tc>
        <w:tc>
          <w:tcPr>
            <w:tcW w:w="1134" w:type="dxa"/>
            <w:tcBorders>
              <w:top w:val="nil"/>
              <w:left w:val="nil"/>
              <w:bottom w:val="single" w:sz="4" w:space="0" w:color="2E74B5"/>
              <w:right w:val="single" w:sz="4" w:space="0" w:color="2E74B5"/>
            </w:tcBorders>
            <w:shd w:val="clear" w:color="auto" w:fill="auto"/>
            <w:vAlign w:val="center"/>
          </w:tcPr>
          <w:p w14:paraId="6AA0E33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742 €</w:t>
            </w:r>
          </w:p>
        </w:tc>
        <w:tc>
          <w:tcPr>
            <w:tcW w:w="1276" w:type="dxa"/>
            <w:tcBorders>
              <w:top w:val="nil"/>
              <w:left w:val="nil"/>
              <w:bottom w:val="single" w:sz="4" w:space="0" w:color="2E74B5"/>
              <w:right w:val="single" w:sz="4" w:space="0" w:color="2E74B5"/>
            </w:tcBorders>
            <w:shd w:val="clear" w:color="auto" w:fill="auto"/>
            <w:vAlign w:val="center"/>
          </w:tcPr>
          <w:p w14:paraId="393A52F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1.924 €</w:t>
            </w:r>
          </w:p>
        </w:tc>
        <w:tc>
          <w:tcPr>
            <w:tcW w:w="1134" w:type="dxa"/>
            <w:tcBorders>
              <w:top w:val="nil"/>
              <w:left w:val="nil"/>
              <w:bottom w:val="single" w:sz="4" w:space="0" w:color="2E74B5"/>
              <w:right w:val="single" w:sz="4" w:space="0" w:color="2E74B5"/>
            </w:tcBorders>
            <w:shd w:val="clear" w:color="auto" w:fill="auto"/>
            <w:vAlign w:val="center"/>
          </w:tcPr>
          <w:p w14:paraId="0D8E4D6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164" w:type="dxa"/>
            <w:tcBorders>
              <w:top w:val="nil"/>
              <w:left w:val="nil"/>
              <w:bottom w:val="single" w:sz="4" w:space="0" w:color="2E74B5"/>
              <w:right w:val="single" w:sz="4" w:space="0" w:color="2E74B5"/>
            </w:tcBorders>
            <w:shd w:val="clear" w:color="auto" w:fill="auto"/>
            <w:vAlign w:val="bottom"/>
          </w:tcPr>
          <w:p w14:paraId="273B9F8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w:t>
            </w:r>
          </w:p>
        </w:tc>
        <w:tc>
          <w:tcPr>
            <w:tcW w:w="1206" w:type="dxa"/>
            <w:tcBorders>
              <w:top w:val="nil"/>
              <w:left w:val="nil"/>
              <w:bottom w:val="single" w:sz="4" w:space="0" w:color="2E74B5"/>
              <w:right w:val="single" w:sz="4" w:space="0" w:color="2E74B5"/>
            </w:tcBorders>
            <w:shd w:val="clear" w:color="auto" w:fill="auto"/>
            <w:vAlign w:val="bottom"/>
          </w:tcPr>
          <w:p w14:paraId="3563488C"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r>
      <w:tr w:rsidR="00FA3602" w14:paraId="5C9F172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670B9E7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417" w:type="dxa"/>
            <w:tcBorders>
              <w:top w:val="nil"/>
              <w:left w:val="nil"/>
              <w:bottom w:val="single" w:sz="4" w:space="0" w:color="2E74B5"/>
              <w:right w:val="single" w:sz="4" w:space="0" w:color="2E74B5"/>
            </w:tcBorders>
            <w:shd w:val="clear" w:color="auto" w:fill="auto"/>
            <w:vAlign w:val="bottom"/>
          </w:tcPr>
          <w:p w14:paraId="43CBAF1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134" w:type="dxa"/>
            <w:tcBorders>
              <w:top w:val="nil"/>
              <w:left w:val="nil"/>
              <w:bottom w:val="single" w:sz="4" w:space="0" w:color="2E74B5"/>
              <w:right w:val="single" w:sz="4" w:space="0" w:color="2E74B5"/>
            </w:tcBorders>
            <w:shd w:val="clear" w:color="auto" w:fill="auto"/>
            <w:vAlign w:val="bottom"/>
          </w:tcPr>
          <w:p w14:paraId="780A1B5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9,06 €</w:t>
            </w:r>
          </w:p>
        </w:tc>
        <w:tc>
          <w:tcPr>
            <w:tcW w:w="1134" w:type="dxa"/>
            <w:tcBorders>
              <w:top w:val="nil"/>
              <w:left w:val="nil"/>
              <w:bottom w:val="single" w:sz="4" w:space="0" w:color="2E74B5"/>
              <w:right w:val="single" w:sz="4" w:space="0" w:color="2E74B5"/>
            </w:tcBorders>
            <w:shd w:val="clear" w:color="auto" w:fill="auto"/>
            <w:vAlign w:val="center"/>
          </w:tcPr>
          <w:p w14:paraId="36C6D13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725 €</w:t>
            </w:r>
          </w:p>
        </w:tc>
        <w:tc>
          <w:tcPr>
            <w:tcW w:w="1276" w:type="dxa"/>
            <w:tcBorders>
              <w:top w:val="nil"/>
              <w:left w:val="nil"/>
              <w:bottom w:val="single" w:sz="4" w:space="0" w:color="2E74B5"/>
              <w:right w:val="single" w:sz="4" w:space="0" w:color="2E74B5"/>
            </w:tcBorders>
            <w:shd w:val="clear" w:color="auto" w:fill="auto"/>
            <w:vAlign w:val="center"/>
          </w:tcPr>
          <w:p w14:paraId="0454D5E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1.831 €</w:t>
            </w:r>
          </w:p>
        </w:tc>
        <w:tc>
          <w:tcPr>
            <w:tcW w:w="1134" w:type="dxa"/>
            <w:tcBorders>
              <w:top w:val="nil"/>
              <w:left w:val="nil"/>
              <w:bottom w:val="single" w:sz="4" w:space="0" w:color="2E74B5"/>
              <w:right w:val="single" w:sz="4" w:space="0" w:color="2E74B5"/>
            </w:tcBorders>
            <w:shd w:val="clear" w:color="auto" w:fill="auto"/>
            <w:vAlign w:val="center"/>
          </w:tcPr>
          <w:p w14:paraId="459F4EE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21.967 €</w:t>
            </w:r>
          </w:p>
        </w:tc>
        <w:tc>
          <w:tcPr>
            <w:tcW w:w="1164" w:type="dxa"/>
            <w:tcBorders>
              <w:top w:val="nil"/>
              <w:left w:val="nil"/>
              <w:bottom w:val="single" w:sz="4" w:space="0" w:color="2E74B5"/>
              <w:right w:val="single" w:sz="4" w:space="0" w:color="2E74B5"/>
            </w:tcBorders>
            <w:shd w:val="clear" w:color="auto" w:fill="auto"/>
            <w:vAlign w:val="bottom"/>
          </w:tcPr>
          <w:p w14:paraId="0BA3703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206" w:type="dxa"/>
            <w:tcBorders>
              <w:top w:val="nil"/>
              <w:left w:val="nil"/>
              <w:bottom w:val="single" w:sz="4" w:space="0" w:color="2E74B5"/>
              <w:right w:val="single" w:sz="4" w:space="0" w:color="2E74B5"/>
            </w:tcBorders>
            <w:shd w:val="clear" w:color="auto" w:fill="auto"/>
            <w:vAlign w:val="bottom"/>
          </w:tcPr>
          <w:p w14:paraId="181444C6"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40%</w:t>
            </w:r>
          </w:p>
        </w:tc>
      </w:tr>
      <w:tr w:rsidR="00FA3602" w14:paraId="71A3A5DF"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5E4807F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0C674011"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134" w:type="dxa"/>
            <w:tcBorders>
              <w:top w:val="nil"/>
              <w:left w:val="nil"/>
              <w:bottom w:val="single" w:sz="4" w:space="0" w:color="2E74B5"/>
              <w:right w:val="single" w:sz="4" w:space="0" w:color="2E74B5"/>
            </w:tcBorders>
            <w:shd w:val="clear" w:color="auto" w:fill="auto"/>
            <w:vAlign w:val="bottom"/>
          </w:tcPr>
          <w:p w14:paraId="701186C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6,03 €</w:t>
            </w:r>
          </w:p>
        </w:tc>
        <w:tc>
          <w:tcPr>
            <w:tcW w:w="1134" w:type="dxa"/>
            <w:tcBorders>
              <w:top w:val="nil"/>
              <w:left w:val="nil"/>
              <w:bottom w:val="single" w:sz="4" w:space="0" w:color="2E74B5"/>
              <w:right w:val="single" w:sz="4" w:space="0" w:color="2E74B5"/>
            </w:tcBorders>
            <w:shd w:val="clear" w:color="auto" w:fill="auto"/>
            <w:vAlign w:val="center"/>
          </w:tcPr>
          <w:p w14:paraId="6B6C0F0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482 €</w:t>
            </w:r>
          </w:p>
        </w:tc>
        <w:tc>
          <w:tcPr>
            <w:tcW w:w="1276" w:type="dxa"/>
            <w:tcBorders>
              <w:top w:val="nil"/>
              <w:left w:val="nil"/>
              <w:bottom w:val="single" w:sz="4" w:space="0" w:color="2E74B5"/>
              <w:right w:val="single" w:sz="4" w:space="0" w:color="2E74B5"/>
            </w:tcBorders>
            <w:shd w:val="clear" w:color="auto" w:fill="auto"/>
            <w:vAlign w:val="center"/>
          </w:tcPr>
          <w:p w14:paraId="2B8A5DA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1.756 €</w:t>
            </w:r>
          </w:p>
        </w:tc>
        <w:tc>
          <w:tcPr>
            <w:tcW w:w="1134" w:type="dxa"/>
            <w:tcBorders>
              <w:top w:val="nil"/>
              <w:left w:val="nil"/>
              <w:bottom w:val="single" w:sz="4" w:space="0" w:color="2E74B5"/>
              <w:right w:val="single" w:sz="4" w:space="0" w:color="2E74B5"/>
            </w:tcBorders>
            <w:shd w:val="clear" w:color="auto" w:fill="auto"/>
            <w:vAlign w:val="center"/>
          </w:tcPr>
          <w:p w14:paraId="7638D51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21.071 €</w:t>
            </w:r>
          </w:p>
        </w:tc>
        <w:tc>
          <w:tcPr>
            <w:tcW w:w="1164" w:type="dxa"/>
            <w:tcBorders>
              <w:top w:val="nil"/>
              <w:left w:val="nil"/>
              <w:bottom w:val="single" w:sz="4" w:space="0" w:color="2E74B5"/>
              <w:right w:val="single" w:sz="4" w:space="0" w:color="2E74B5"/>
            </w:tcBorders>
            <w:shd w:val="clear" w:color="auto" w:fill="auto"/>
            <w:vAlign w:val="bottom"/>
          </w:tcPr>
          <w:p w14:paraId="7D52ECD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206" w:type="dxa"/>
            <w:tcBorders>
              <w:top w:val="nil"/>
              <w:left w:val="nil"/>
              <w:bottom w:val="single" w:sz="4" w:space="0" w:color="2E74B5"/>
              <w:right w:val="single" w:sz="4" w:space="0" w:color="2E74B5"/>
            </w:tcBorders>
            <w:shd w:val="clear" w:color="auto" w:fill="auto"/>
            <w:vAlign w:val="bottom"/>
          </w:tcPr>
          <w:p w14:paraId="715554D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27%</w:t>
            </w:r>
          </w:p>
        </w:tc>
      </w:tr>
      <w:tr w:rsidR="00FA3602" w14:paraId="38CCF1A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2E1F550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030D882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134" w:type="dxa"/>
            <w:tcBorders>
              <w:top w:val="nil"/>
              <w:left w:val="nil"/>
              <w:bottom w:val="single" w:sz="4" w:space="0" w:color="2E74B5"/>
              <w:right w:val="single" w:sz="4" w:space="0" w:color="2E74B5"/>
            </w:tcBorders>
            <w:shd w:val="clear" w:color="auto" w:fill="auto"/>
            <w:vAlign w:val="bottom"/>
          </w:tcPr>
          <w:p w14:paraId="392CB96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7,42 €</w:t>
            </w:r>
          </w:p>
        </w:tc>
        <w:tc>
          <w:tcPr>
            <w:tcW w:w="1134" w:type="dxa"/>
            <w:tcBorders>
              <w:top w:val="nil"/>
              <w:left w:val="nil"/>
              <w:bottom w:val="single" w:sz="4" w:space="0" w:color="2E74B5"/>
              <w:right w:val="single" w:sz="4" w:space="0" w:color="2E74B5"/>
            </w:tcBorders>
            <w:shd w:val="clear" w:color="auto" w:fill="auto"/>
            <w:vAlign w:val="center"/>
          </w:tcPr>
          <w:p w14:paraId="03D2571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594 €</w:t>
            </w:r>
          </w:p>
        </w:tc>
        <w:tc>
          <w:tcPr>
            <w:tcW w:w="1276" w:type="dxa"/>
            <w:tcBorders>
              <w:top w:val="nil"/>
              <w:left w:val="nil"/>
              <w:bottom w:val="single" w:sz="4" w:space="0" w:color="2E74B5"/>
              <w:right w:val="single" w:sz="4" w:space="0" w:color="2E74B5"/>
            </w:tcBorders>
            <w:shd w:val="clear" w:color="auto" w:fill="auto"/>
            <w:vAlign w:val="center"/>
          </w:tcPr>
          <w:p w14:paraId="37645C6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1.945 €</w:t>
            </w:r>
          </w:p>
        </w:tc>
        <w:tc>
          <w:tcPr>
            <w:tcW w:w="1134" w:type="dxa"/>
            <w:tcBorders>
              <w:top w:val="nil"/>
              <w:left w:val="nil"/>
              <w:bottom w:val="single" w:sz="4" w:space="0" w:color="2E74B5"/>
              <w:right w:val="single" w:sz="4" w:space="0" w:color="2E74B5"/>
            </w:tcBorders>
            <w:shd w:val="clear" w:color="auto" w:fill="auto"/>
            <w:vAlign w:val="center"/>
          </w:tcPr>
          <w:p w14:paraId="2038F09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23.335 €</w:t>
            </w:r>
          </w:p>
        </w:tc>
        <w:tc>
          <w:tcPr>
            <w:tcW w:w="1164" w:type="dxa"/>
            <w:tcBorders>
              <w:top w:val="nil"/>
              <w:left w:val="nil"/>
              <w:bottom w:val="single" w:sz="4" w:space="0" w:color="2E74B5"/>
              <w:right w:val="single" w:sz="4" w:space="0" w:color="2E74B5"/>
            </w:tcBorders>
            <w:shd w:val="clear" w:color="auto" w:fill="auto"/>
            <w:vAlign w:val="bottom"/>
          </w:tcPr>
          <w:p w14:paraId="4371EA2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c>
          <w:tcPr>
            <w:tcW w:w="1206" w:type="dxa"/>
            <w:tcBorders>
              <w:top w:val="nil"/>
              <w:left w:val="nil"/>
              <w:bottom w:val="single" w:sz="4" w:space="0" w:color="2E74B5"/>
              <w:right w:val="single" w:sz="4" w:space="0" w:color="2E74B5"/>
            </w:tcBorders>
            <w:shd w:val="clear" w:color="auto" w:fill="auto"/>
            <w:vAlign w:val="bottom"/>
          </w:tcPr>
          <w:p w14:paraId="042FCCB5"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FA3602" w14:paraId="6A7CBBB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295E77F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282D2DB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134" w:type="dxa"/>
            <w:tcBorders>
              <w:top w:val="nil"/>
              <w:left w:val="nil"/>
              <w:bottom w:val="single" w:sz="4" w:space="0" w:color="2E74B5"/>
              <w:right w:val="single" w:sz="4" w:space="0" w:color="2E74B5"/>
            </w:tcBorders>
            <w:shd w:val="clear" w:color="auto" w:fill="auto"/>
            <w:vAlign w:val="bottom"/>
          </w:tcPr>
          <w:p w14:paraId="683F063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6,28 €</w:t>
            </w:r>
          </w:p>
        </w:tc>
        <w:tc>
          <w:tcPr>
            <w:tcW w:w="1134" w:type="dxa"/>
            <w:tcBorders>
              <w:top w:val="nil"/>
              <w:left w:val="nil"/>
              <w:bottom w:val="single" w:sz="4" w:space="0" w:color="2E74B5"/>
              <w:right w:val="single" w:sz="4" w:space="0" w:color="2E74B5"/>
            </w:tcBorders>
            <w:shd w:val="clear" w:color="auto" w:fill="auto"/>
            <w:vAlign w:val="center"/>
          </w:tcPr>
          <w:p w14:paraId="54DF46A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502 €</w:t>
            </w:r>
          </w:p>
        </w:tc>
        <w:tc>
          <w:tcPr>
            <w:tcW w:w="1276" w:type="dxa"/>
            <w:tcBorders>
              <w:top w:val="nil"/>
              <w:left w:val="nil"/>
              <w:bottom w:val="single" w:sz="4" w:space="0" w:color="2E74B5"/>
              <w:right w:val="single" w:sz="4" w:space="0" w:color="2E74B5"/>
            </w:tcBorders>
            <w:shd w:val="clear" w:color="auto" w:fill="auto"/>
            <w:vAlign w:val="center"/>
          </w:tcPr>
          <w:p w14:paraId="14A71FA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1.816 €</w:t>
            </w:r>
          </w:p>
        </w:tc>
        <w:tc>
          <w:tcPr>
            <w:tcW w:w="1134" w:type="dxa"/>
            <w:tcBorders>
              <w:top w:val="nil"/>
              <w:left w:val="nil"/>
              <w:bottom w:val="single" w:sz="4" w:space="0" w:color="2E74B5"/>
              <w:right w:val="single" w:sz="4" w:space="0" w:color="2E74B5"/>
            </w:tcBorders>
            <w:shd w:val="clear" w:color="auto" w:fill="auto"/>
            <w:vAlign w:val="center"/>
          </w:tcPr>
          <w:p w14:paraId="6A7559F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164" w:type="dxa"/>
            <w:tcBorders>
              <w:top w:val="nil"/>
              <w:left w:val="nil"/>
              <w:bottom w:val="single" w:sz="4" w:space="0" w:color="2E74B5"/>
              <w:right w:val="single" w:sz="4" w:space="0" w:color="2E74B5"/>
            </w:tcBorders>
            <w:shd w:val="clear" w:color="auto" w:fill="auto"/>
            <w:vAlign w:val="bottom"/>
          </w:tcPr>
          <w:p w14:paraId="33089FC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w:t>
            </w:r>
          </w:p>
        </w:tc>
        <w:tc>
          <w:tcPr>
            <w:tcW w:w="1206" w:type="dxa"/>
            <w:tcBorders>
              <w:top w:val="nil"/>
              <w:left w:val="nil"/>
              <w:bottom w:val="single" w:sz="4" w:space="0" w:color="2E74B5"/>
              <w:right w:val="single" w:sz="4" w:space="0" w:color="2E74B5"/>
            </w:tcBorders>
            <w:shd w:val="clear" w:color="auto" w:fill="auto"/>
            <w:vAlign w:val="bottom"/>
          </w:tcPr>
          <w:p w14:paraId="6CE6BA0F"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r>
      <w:tr w:rsidR="00FA3602" w14:paraId="5E219F85"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E398B6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10A501C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134" w:type="dxa"/>
            <w:tcBorders>
              <w:top w:val="nil"/>
              <w:left w:val="nil"/>
              <w:bottom w:val="single" w:sz="4" w:space="0" w:color="2E74B5"/>
              <w:right w:val="single" w:sz="4" w:space="0" w:color="2E74B5"/>
            </w:tcBorders>
            <w:shd w:val="clear" w:color="auto" w:fill="auto"/>
            <w:vAlign w:val="bottom"/>
          </w:tcPr>
          <w:p w14:paraId="2541D43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6,55 €</w:t>
            </w:r>
          </w:p>
        </w:tc>
        <w:tc>
          <w:tcPr>
            <w:tcW w:w="1134" w:type="dxa"/>
            <w:tcBorders>
              <w:top w:val="nil"/>
              <w:left w:val="nil"/>
              <w:bottom w:val="single" w:sz="4" w:space="0" w:color="2E74B5"/>
              <w:right w:val="single" w:sz="4" w:space="0" w:color="2E74B5"/>
            </w:tcBorders>
            <w:shd w:val="clear" w:color="auto" w:fill="auto"/>
            <w:vAlign w:val="center"/>
          </w:tcPr>
          <w:p w14:paraId="6977CA5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524 €</w:t>
            </w:r>
          </w:p>
        </w:tc>
        <w:tc>
          <w:tcPr>
            <w:tcW w:w="1276" w:type="dxa"/>
            <w:tcBorders>
              <w:top w:val="nil"/>
              <w:left w:val="nil"/>
              <w:bottom w:val="single" w:sz="4" w:space="0" w:color="2E74B5"/>
              <w:right w:val="single" w:sz="4" w:space="0" w:color="2E74B5"/>
            </w:tcBorders>
            <w:shd w:val="clear" w:color="auto" w:fill="auto"/>
            <w:vAlign w:val="center"/>
          </w:tcPr>
          <w:p w14:paraId="3399CBC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1.913 €</w:t>
            </w:r>
          </w:p>
        </w:tc>
        <w:tc>
          <w:tcPr>
            <w:tcW w:w="1134" w:type="dxa"/>
            <w:tcBorders>
              <w:top w:val="nil"/>
              <w:left w:val="nil"/>
              <w:bottom w:val="single" w:sz="4" w:space="0" w:color="2E74B5"/>
              <w:right w:val="single" w:sz="4" w:space="0" w:color="2E74B5"/>
            </w:tcBorders>
            <w:shd w:val="clear" w:color="auto" w:fill="auto"/>
            <w:vAlign w:val="center"/>
          </w:tcPr>
          <w:p w14:paraId="2E2ACA1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164" w:type="dxa"/>
            <w:tcBorders>
              <w:top w:val="nil"/>
              <w:left w:val="nil"/>
              <w:bottom w:val="single" w:sz="4" w:space="0" w:color="2E74B5"/>
              <w:right w:val="single" w:sz="4" w:space="0" w:color="2E74B5"/>
            </w:tcBorders>
            <w:shd w:val="clear" w:color="auto" w:fill="auto"/>
            <w:vAlign w:val="bottom"/>
          </w:tcPr>
          <w:p w14:paraId="3A987EF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w:t>
            </w:r>
          </w:p>
        </w:tc>
        <w:tc>
          <w:tcPr>
            <w:tcW w:w="1206" w:type="dxa"/>
            <w:tcBorders>
              <w:top w:val="nil"/>
              <w:left w:val="nil"/>
              <w:bottom w:val="single" w:sz="4" w:space="0" w:color="2E74B5"/>
              <w:right w:val="single" w:sz="4" w:space="0" w:color="2E74B5"/>
            </w:tcBorders>
            <w:shd w:val="clear" w:color="auto" w:fill="auto"/>
            <w:vAlign w:val="bottom"/>
          </w:tcPr>
          <w:p w14:paraId="074ADD8A"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27%</w:t>
            </w:r>
          </w:p>
        </w:tc>
      </w:tr>
      <w:tr w:rsidR="00FA3602" w14:paraId="56ABCC9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AF1877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2EE7758B"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134" w:type="dxa"/>
            <w:tcBorders>
              <w:top w:val="nil"/>
              <w:left w:val="nil"/>
              <w:bottom w:val="single" w:sz="4" w:space="0" w:color="2E74B5"/>
              <w:right w:val="single" w:sz="4" w:space="0" w:color="2E74B5"/>
            </w:tcBorders>
            <w:shd w:val="clear" w:color="auto" w:fill="auto"/>
            <w:vAlign w:val="bottom"/>
          </w:tcPr>
          <w:p w14:paraId="009512A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7,93 €</w:t>
            </w:r>
          </w:p>
        </w:tc>
        <w:tc>
          <w:tcPr>
            <w:tcW w:w="1134" w:type="dxa"/>
            <w:tcBorders>
              <w:top w:val="nil"/>
              <w:left w:val="nil"/>
              <w:bottom w:val="single" w:sz="4" w:space="0" w:color="2E74B5"/>
              <w:right w:val="single" w:sz="4" w:space="0" w:color="2E74B5"/>
            </w:tcBorders>
            <w:shd w:val="clear" w:color="auto" w:fill="auto"/>
            <w:vAlign w:val="center"/>
          </w:tcPr>
          <w:p w14:paraId="71F8D97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634 €</w:t>
            </w:r>
          </w:p>
        </w:tc>
        <w:tc>
          <w:tcPr>
            <w:tcW w:w="1276" w:type="dxa"/>
            <w:tcBorders>
              <w:top w:val="nil"/>
              <w:left w:val="nil"/>
              <w:bottom w:val="single" w:sz="4" w:space="0" w:color="2E74B5"/>
              <w:right w:val="single" w:sz="4" w:space="0" w:color="2E74B5"/>
            </w:tcBorders>
            <w:shd w:val="clear" w:color="auto" w:fill="auto"/>
            <w:vAlign w:val="center"/>
          </w:tcPr>
          <w:p w14:paraId="72BAC94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1.951 €</w:t>
            </w:r>
          </w:p>
        </w:tc>
        <w:tc>
          <w:tcPr>
            <w:tcW w:w="1134" w:type="dxa"/>
            <w:tcBorders>
              <w:top w:val="nil"/>
              <w:left w:val="nil"/>
              <w:bottom w:val="single" w:sz="4" w:space="0" w:color="2E74B5"/>
              <w:right w:val="single" w:sz="4" w:space="0" w:color="2E74B5"/>
            </w:tcBorders>
            <w:shd w:val="clear" w:color="auto" w:fill="auto"/>
            <w:vAlign w:val="center"/>
          </w:tcPr>
          <w:p w14:paraId="02C8662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23.417 €</w:t>
            </w:r>
          </w:p>
        </w:tc>
        <w:tc>
          <w:tcPr>
            <w:tcW w:w="1164" w:type="dxa"/>
            <w:tcBorders>
              <w:top w:val="nil"/>
              <w:left w:val="nil"/>
              <w:bottom w:val="single" w:sz="4" w:space="0" w:color="2E74B5"/>
              <w:right w:val="single" w:sz="4" w:space="0" w:color="2E74B5"/>
            </w:tcBorders>
            <w:shd w:val="clear" w:color="auto" w:fill="auto"/>
            <w:vAlign w:val="bottom"/>
          </w:tcPr>
          <w:p w14:paraId="5D0403B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7E10697D"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33%</w:t>
            </w:r>
          </w:p>
        </w:tc>
      </w:tr>
      <w:tr w:rsidR="00FA3602" w14:paraId="38A8F66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7D53B3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6A4E605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Segovia</w:t>
            </w:r>
          </w:p>
        </w:tc>
        <w:tc>
          <w:tcPr>
            <w:tcW w:w="1134" w:type="dxa"/>
            <w:tcBorders>
              <w:top w:val="nil"/>
              <w:left w:val="nil"/>
              <w:bottom w:val="single" w:sz="4" w:space="0" w:color="2E74B5"/>
              <w:right w:val="single" w:sz="4" w:space="0" w:color="2E74B5"/>
            </w:tcBorders>
            <w:shd w:val="clear" w:color="auto" w:fill="auto"/>
            <w:vAlign w:val="bottom"/>
          </w:tcPr>
          <w:p w14:paraId="5BD2A08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7,72 €</w:t>
            </w:r>
          </w:p>
        </w:tc>
        <w:tc>
          <w:tcPr>
            <w:tcW w:w="1134" w:type="dxa"/>
            <w:tcBorders>
              <w:top w:val="nil"/>
              <w:left w:val="nil"/>
              <w:bottom w:val="single" w:sz="4" w:space="0" w:color="2E74B5"/>
              <w:right w:val="single" w:sz="4" w:space="0" w:color="2E74B5"/>
            </w:tcBorders>
            <w:shd w:val="clear" w:color="auto" w:fill="auto"/>
            <w:vAlign w:val="center"/>
          </w:tcPr>
          <w:p w14:paraId="3A653A5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618 €</w:t>
            </w:r>
          </w:p>
        </w:tc>
        <w:tc>
          <w:tcPr>
            <w:tcW w:w="1276" w:type="dxa"/>
            <w:tcBorders>
              <w:top w:val="nil"/>
              <w:left w:val="nil"/>
              <w:bottom w:val="single" w:sz="4" w:space="0" w:color="2E74B5"/>
              <w:right w:val="single" w:sz="4" w:space="0" w:color="2E74B5"/>
            </w:tcBorders>
            <w:shd w:val="clear" w:color="auto" w:fill="auto"/>
            <w:vAlign w:val="center"/>
          </w:tcPr>
          <w:p w14:paraId="587C6A5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1.736 €</w:t>
            </w:r>
          </w:p>
        </w:tc>
        <w:tc>
          <w:tcPr>
            <w:tcW w:w="1134" w:type="dxa"/>
            <w:tcBorders>
              <w:top w:val="nil"/>
              <w:left w:val="nil"/>
              <w:bottom w:val="single" w:sz="4" w:space="0" w:color="2E74B5"/>
              <w:right w:val="single" w:sz="4" w:space="0" w:color="2E74B5"/>
            </w:tcBorders>
            <w:shd w:val="clear" w:color="auto" w:fill="auto"/>
            <w:vAlign w:val="center"/>
          </w:tcPr>
          <w:p w14:paraId="38081E5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20.827 €</w:t>
            </w:r>
          </w:p>
        </w:tc>
        <w:tc>
          <w:tcPr>
            <w:tcW w:w="1164" w:type="dxa"/>
            <w:tcBorders>
              <w:top w:val="nil"/>
              <w:left w:val="nil"/>
              <w:bottom w:val="single" w:sz="4" w:space="0" w:color="2E74B5"/>
              <w:right w:val="single" w:sz="4" w:space="0" w:color="2E74B5"/>
            </w:tcBorders>
            <w:shd w:val="clear" w:color="auto" w:fill="auto"/>
            <w:vAlign w:val="bottom"/>
          </w:tcPr>
          <w:p w14:paraId="2A80B2D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w:t>
            </w:r>
          </w:p>
        </w:tc>
        <w:tc>
          <w:tcPr>
            <w:tcW w:w="1206" w:type="dxa"/>
            <w:tcBorders>
              <w:top w:val="nil"/>
              <w:left w:val="nil"/>
              <w:bottom w:val="single" w:sz="4" w:space="0" w:color="2E74B5"/>
              <w:right w:val="single" w:sz="4" w:space="0" w:color="2E74B5"/>
            </w:tcBorders>
            <w:shd w:val="clear" w:color="auto" w:fill="auto"/>
            <w:vAlign w:val="bottom"/>
          </w:tcPr>
          <w:p w14:paraId="2658D325"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36%</w:t>
            </w:r>
          </w:p>
        </w:tc>
      </w:tr>
      <w:tr w:rsidR="00FA3602" w14:paraId="19CC312F"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5019D97"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6A07915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134" w:type="dxa"/>
            <w:tcBorders>
              <w:top w:val="nil"/>
              <w:left w:val="nil"/>
              <w:bottom w:val="single" w:sz="4" w:space="0" w:color="2E74B5"/>
              <w:right w:val="single" w:sz="4" w:space="0" w:color="2E74B5"/>
            </w:tcBorders>
            <w:shd w:val="clear" w:color="auto" w:fill="auto"/>
            <w:vAlign w:val="bottom"/>
          </w:tcPr>
          <w:p w14:paraId="3F5F3DC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134" w:type="dxa"/>
            <w:tcBorders>
              <w:top w:val="nil"/>
              <w:left w:val="nil"/>
              <w:bottom w:val="single" w:sz="4" w:space="0" w:color="2E74B5"/>
              <w:right w:val="single" w:sz="4" w:space="0" w:color="2E74B5"/>
            </w:tcBorders>
            <w:shd w:val="clear" w:color="auto" w:fill="auto"/>
            <w:vAlign w:val="bottom"/>
          </w:tcPr>
          <w:p w14:paraId="43D2A5B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76" w:type="dxa"/>
            <w:tcBorders>
              <w:top w:val="nil"/>
              <w:left w:val="nil"/>
              <w:bottom w:val="single" w:sz="4" w:space="0" w:color="2E74B5"/>
              <w:right w:val="single" w:sz="4" w:space="0" w:color="2E74B5"/>
            </w:tcBorders>
            <w:shd w:val="clear" w:color="auto" w:fill="auto"/>
            <w:vAlign w:val="center"/>
          </w:tcPr>
          <w:p w14:paraId="032CE2F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1.864 €</w:t>
            </w:r>
          </w:p>
        </w:tc>
        <w:tc>
          <w:tcPr>
            <w:tcW w:w="1134" w:type="dxa"/>
            <w:tcBorders>
              <w:top w:val="nil"/>
              <w:left w:val="nil"/>
              <w:bottom w:val="single" w:sz="4" w:space="0" w:color="2E74B5"/>
              <w:right w:val="single" w:sz="4" w:space="0" w:color="2E74B5"/>
            </w:tcBorders>
            <w:shd w:val="clear" w:color="auto" w:fill="auto"/>
            <w:vAlign w:val="center"/>
          </w:tcPr>
          <w:p w14:paraId="6C0C8E2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22.371 €</w:t>
            </w:r>
          </w:p>
        </w:tc>
        <w:tc>
          <w:tcPr>
            <w:tcW w:w="1164" w:type="dxa"/>
            <w:tcBorders>
              <w:top w:val="nil"/>
              <w:left w:val="nil"/>
              <w:bottom w:val="single" w:sz="4" w:space="0" w:color="2E74B5"/>
              <w:right w:val="single" w:sz="4" w:space="0" w:color="2E74B5"/>
            </w:tcBorders>
            <w:shd w:val="clear" w:color="auto" w:fill="auto"/>
            <w:vAlign w:val="bottom"/>
          </w:tcPr>
          <w:p w14:paraId="38B729C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06" w:type="dxa"/>
            <w:tcBorders>
              <w:top w:val="nil"/>
              <w:left w:val="nil"/>
              <w:bottom w:val="single" w:sz="4" w:space="0" w:color="2E74B5"/>
              <w:right w:val="single" w:sz="4" w:space="0" w:color="2E74B5"/>
            </w:tcBorders>
            <w:shd w:val="clear" w:color="auto" w:fill="auto"/>
            <w:vAlign w:val="bottom"/>
          </w:tcPr>
          <w:p w14:paraId="65CA37D1"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FA3602" w14:paraId="1FFBEB5F"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9878CE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70352F9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134" w:type="dxa"/>
            <w:tcBorders>
              <w:top w:val="nil"/>
              <w:left w:val="nil"/>
              <w:bottom w:val="single" w:sz="4" w:space="0" w:color="2E74B5"/>
              <w:right w:val="single" w:sz="4" w:space="0" w:color="2E74B5"/>
            </w:tcBorders>
            <w:shd w:val="clear" w:color="auto" w:fill="auto"/>
            <w:vAlign w:val="bottom"/>
          </w:tcPr>
          <w:p w14:paraId="436EA99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7,38 €</w:t>
            </w:r>
          </w:p>
        </w:tc>
        <w:tc>
          <w:tcPr>
            <w:tcW w:w="1134" w:type="dxa"/>
            <w:tcBorders>
              <w:top w:val="nil"/>
              <w:left w:val="nil"/>
              <w:bottom w:val="single" w:sz="4" w:space="0" w:color="2E74B5"/>
              <w:right w:val="single" w:sz="4" w:space="0" w:color="2E74B5"/>
            </w:tcBorders>
            <w:shd w:val="clear" w:color="auto" w:fill="auto"/>
            <w:vAlign w:val="center"/>
          </w:tcPr>
          <w:p w14:paraId="076DC11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590 €</w:t>
            </w:r>
          </w:p>
        </w:tc>
        <w:tc>
          <w:tcPr>
            <w:tcW w:w="1276" w:type="dxa"/>
            <w:tcBorders>
              <w:top w:val="nil"/>
              <w:left w:val="nil"/>
              <w:bottom w:val="single" w:sz="4" w:space="0" w:color="2E74B5"/>
              <w:right w:val="single" w:sz="4" w:space="0" w:color="2E74B5"/>
            </w:tcBorders>
            <w:shd w:val="clear" w:color="auto" w:fill="auto"/>
            <w:vAlign w:val="center"/>
          </w:tcPr>
          <w:p w14:paraId="1894FC5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1.838 €</w:t>
            </w:r>
          </w:p>
        </w:tc>
        <w:tc>
          <w:tcPr>
            <w:tcW w:w="1134" w:type="dxa"/>
            <w:tcBorders>
              <w:top w:val="nil"/>
              <w:left w:val="nil"/>
              <w:bottom w:val="single" w:sz="4" w:space="0" w:color="2E74B5"/>
              <w:right w:val="single" w:sz="4" w:space="0" w:color="2E74B5"/>
            </w:tcBorders>
            <w:shd w:val="clear" w:color="auto" w:fill="auto"/>
            <w:vAlign w:val="center"/>
          </w:tcPr>
          <w:p w14:paraId="26A0D0C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22.058 €</w:t>
            </w:r>
          </w:p>
        </w:tc>
        <w:tc>
          <w:tcPr>
            <w:tcW w:w="1164" w:type="dxa"/>
            <w:tcBorders>
              <w:top w:val="nil"/>
              <w:left w:val="nil"/>
              <w:bottom w:val="single" w:sz="4" w:space="0" w:color="2E74B5"/>
              <w:right w:val="single" w:sz="4" w:space="0" w:color="2E74B5"/>
            </w:tcBorders>
            <w:shd w:val="clear" w:color="auto" w:fill="auto"/>
            <w:vAlign w:val="bottom"/>
          </w:tcPr>
          <w:p w14:paraId="02750C0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5F5A22F5"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FA3602" w14:paraId="63426B6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E81683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 y León</w:t>
            </w:r>
          </w:p>
        </w:tc>
        <w:tc>
          <w:tcPr>
            <w:tcW w:w="1417" w:type="dxa"/>
            <w:tcBorders>
              <w:top w:val="nil"/>
              <w:left w:val="nil"/>
              <w:bottom w:val="single" w:sz="4" w:space="0" w:color="2E74B5"/>
              <w:right w:val="single" w:sz="4" w:space="0" w:color="2E74B5"/>
            </w:tcBorders>
            <w:shd w:val="clear" w:color="auto" w:fill="auto"/>
            <w:vAlign w:val="bottom"/>
          </w:tcPr>
          <w:p w14:paraId="6588C5F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134" w:type="dxa"/>
            <w:tcBorders>
              <w:top w:val="nil"/>
              <w:left w:val="nil"/>
              <w:bottom w:val="single" w:sz="4" w:space="0" w:color="2E74B5"/>
              <w:right w:val="single" w:sz="4" w:space="0" w:color="2E74B5"/>
            </w:tcBorders>
            <w:shd w:val="clear" w:color="auto" w:fill="auto"/>
            <w:vAlign w:val="bottom"/>
          </w:tcPr>
          <w:p w14:paraId="4B20BFA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134" w:type="dxa"/>
            <w:tcBorders>
              <w:top w:val="nil"/>
              <w:left w:val="nil"/>
              <w:bottom w:val="single" w:sz="4" w:space="0" w:color="2E74B5"/>
              <w:right w:val="single" w:sz="4" w:space="0" w:color="2E74B5"/>
            </w:tcBorders>
            <w:shd w:val="clear" w:color="auto" w:fill="auto"/>
            <w:vAlign w:val="bottom"/>
          </w:tcPr>
          <w:p w14:paraId="426602E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76" w:type="dxa"/>
            <w:tcBorders>
              <w:top w:val="nil"/>
              <w:left w:val="nil"/>
              <w:bottom w:val="single" w:sz="4" w:space="0" w:color="2E74B5"/>
              <w:right w:val="single" w:sz="4" w:space="0" w:color="2E74B5"/>
            </w:tcBorders>
            <w:shd w:val="clear" w:color="auto" w:fill="auto"/>
            <w:vAlign w:val="center"/>
          </w:tcPr>
          <w:p w14:paraId="5E89199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1.753 €</w:t>
            </w:r>
          </w:p>
        </w:tc>
        <w:tc>
          <w:tcPr>
            <w:tcW w:w="1134" w:type="dxa"/>
            <w:tcBorders>
              <w:top w:val="nil"/>
              <w:left w:val="nil"/>
              <w:bottom w:val="single" w:sz="4" w:space="0" w:color="2E74B5"/>
              <w:right w:val="single" w:sz="4" w:space="0" w:color="2E74B5"/>
            </w:tcBorders>
            <w:shd w:val="clear" w:color="auto" w:fill="auto"/>
            <w:vAlign w:val="center"/>
          </w:tcPr>
          <w:p w14:paraId="4CA7F4B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21.038 €</w:t>
            </w:r>
          </w:p>
        </w:tc>
        <w:tc>
          <w:tcPr>
            <w:tcW w:w="1164" w:type="dxa"/>
            <w:tcBorders>
              <w:top w:val="nil"/>
              <w:left w:val="nil"/>
              <w:bottom w:val="single" w:sz="4" w:space="0" w:color="2E74B5"/>
              <w:right w:val="single" w:sz="4" w:space="0" w:color="2E74B5"/>
            </w:tcBorders>
            <w:shd w:val="clear" w:color="auto" w:fill="auto"/>
            <w:vAlign w:val="bottom"/>
          </w:tcPr>
          <w:p w14:paraId="6263430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w:t>
            </w:r>
          </w:p>
        </w:tc>
        <w:tc>
          <w:tcPr>
            <w:tcW w:w="1206" w:type="dxa"/>
            <w:tcBorders>
              <w:top w:val="nil"/>
              <w:left w:val="nil"/>
              <w:bottom w:val="single" w:sz="4" w:space="0" w:color="2E74B5"/>
              <w:right w:val="single" w:sz="4" w:space="0" w:color="2E74B5"/>
            </w:tcBorders>
            <w:shd w:val="clear" w:color="auto" w:fill="auto"/>
            <w:vAlign w:val="bottom"/>
          </w:tcPr>
          <w:p w14:paraId="150E5E4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w:t>
            </w:r>
          </w:p>
        </w:tc>
      </w:tr>
      <w:tr w:rsidR="00FA3602" w14:paraId="19A1D81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061F4A6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797702A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134" w:type="dxa"/>
            <w:tcBorders>
              <w:top w:val="nil"/>
              <w:left w:val="nil"/>
              <w:bottom w:val="single" w:sz="4" w:space="0" w:color="2E74B5"/>
              <w:right w:val="single" w:sz="4" w:space="0" w:color="2E74B5"/>
            </w:tcBorders>
            <w:shd w:val="clear" w:color="auto" w:fill="auto"/>
            <w:vAlign w:val="bottom"/>
          </w:tcPr>
          <w:p w14:paraId="65AE80D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6,34 €</w:t>
            </w:r>
          </w:p>
        </w:tc>
        <w:tc>
          <w:tcPr>
            <w:tcW w:w="1134" w:type="dxa"/>
            <w:tcBorders>
              <w:top w:val="nil"/>
              <w:left w:val="nil"/>
              <w:bottom w:val="single" w:sz="4" w:space="0" w:color="2E74B5"/>
              <w:right w:val="single" w:sz="4" w:space="0" w:color="2E74B5"/>
            </w:tcBorders>
            <w:shd w:val="clear" w:color="auto" w:fill="auto"/>
            <w:vAlign w:val="center"/>
          </w:tcPr>
          <w:p w14:paraId="7291716C" w14:textId="77777777" w:rsidR="00FA3602" w:rsidRDefault="00FA3602">
            <w:pPr>
              <w:jc w:val="center"/>
              <w:rPr>
                <w:rFonts w:ascii="Open Sans" w:eastAsia="Open Sans" w:hAnsi="Open Sans" w:cs="Open Sans"/>
                <w:color w:val="000000"/>
                <w:sz w:val="18"/>
                <w:szCs w:val="18"/>
              </w:rPr>
            </w:pPr>
          </w:p>
          <w:p w14:paraId="50B93AB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507 €</w:t>
            </w:r>
          </w:p>
        </w:tc>
        <w:tc>
          <w:tcPr>
            <w:tcW w:w="1276" w:type="dxa"/>
            <w:tcBorders>
              <w:top w:val="nil"/>
              <w:left w:val="nil"/>
              <w:bottom w:val="single" w:sz="4" w:space="0" w:color="2E74B5"/>
              <w:right w:val="single" w:sz="4" w:space="0" w:color="2E74B5"/>
            </w:tcBorders>
            <w:shd w:val="clear" w:color="auto" w:fill="auto"/>
            <w:vAlign w:val="center"/>
          </w:tcPr>
          <w:p w14:paraId="6D0E4955" w14:textId="77777777" w:rsidR="00FA3602" w:rsidRDefault="00FA3602">
            <w:pPr>
              <w:jc w:val="center"/>
              <w:rPr>
                <w:rFonts w:ascii="Open Sans" w:eastAsia="Open Sans" w:hAnsi="Open Sans" w:cs="Open Sans"/>
                <w:color w:val="000000"/>
                <w:sz w:val="18"/>
                <w:szCs w:val="18"/>
              </w:rPr>
            </w:pPr>
          </w:p>
          <w:p w14:paraId="58202D5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1.965 €</w:t>
            </w:r>
          </w:p>
        </w:tc>
        <w:tc>
          <w:tcPr>
            <w:tcW w:w="1134" w:type="dxa"/>
            <w:tcBorders>
              <w:top w:val="nil"/>
              <w:left w:val="nil"/>
              <w:bottom w:val="single" w:sz="4" w:space="0" w:color="2E74B5"/>
              <w:right w:val="single" w:sz="4" w:space="0" w:color="2E74B5"/>
            </w:tcBorders>
            <w:shd w:val="clear" w:color="auto" w:fill="auto"/>
            <w:vAlign w:val="center"/>
          </w:tcPr>
          <w:p w14:paraId="6577B546" w14:textId="77777777" w:rsidR="00FA3602" w:rsidRDefault="00FA3602">
            <w:pPr>
              <w:jc w:val="center"/>
              <w:rPr>
                <w:rFonts w:ascii="Open Sans" w:eastAsia="Open Sans" w:hAnsi="Open Sans" w:cs="Open Sans"/>
                <w:color w:val="000000"/>
                <w:sz w:val="18"/>
                <w:szCs w:val="18"/>
              </w:rPr>
            </w:pPr>
          </w:p>
          <w:p w14:paraId="3C721C6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23.581 €</w:t>
            </w:r>
          </w:p>
        </w:tc>
        <w:tc>
          <w:tcPr>
            <w:tcW w:w="1164" w:type="dxa"/>
            <w:tcBorders>
              <w:top w:val="nil"/>
              <w:left w:val="nil"/>
              <w:bottom w:val="single" w:sz="4" w:space="0" w:color="2E74B5"/>
              <w:right w:val="single" w:sz="4" w:space="0" w:color="2E74B5"/>
            </w:tcBorders>
            <w:shd w:val="clear" w:color="auto" w:fill="auto"/>
            <w:vAlign w:val="bottom"/>
          </w:tcPr>
          <w:p w14:paraId="00B7F9A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206" w:type="dxa"/>
            <w:tcBorders>
              <w:top w:val="nil"/>
              <w:left w:val="nil"/>
              <w:bottom w:val="single" w:sz="4" w:space="0" w:color="2E74B5"/>
              <w:right w:val="single" w:sz="4" w:space="0" w:color="2E74B5"/>
            </w:tcBorders>
            <w:shd w:val="clear" w:color="auto" w:fill="auto"/>
            <w:vAlign w:val="bottom"/>
          </w:tcPr>
          <w:p w14:paraId="2CF04C0A"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26%</w:t>
            </w:r>
          </w:p>
        </w:tc>
      </w:tr>
      <w:tr w:rsidR="00FA3602" w14:paraId="5A14295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70EC32D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Castilla-La Mancha</w:t>
            </w:r>
          </w:p>
        </w:tc>
        <w:tc>
          <w:tcPr>
            <w:tcW w:w="1417" w:type="dxa"/>
            <w:tcBorders>
              <w:top w:val="nil"/>
              <w:left w:val="nil"/>
              <w:bottom w:val="single" w:sz="4" w:space="0" w:color="2E74B5"/>
              <w:right w:val="single" w:sz="4" w:space="0" w:color="2E74B5"/>
            </w:tcBorders>
            <w:shd w:val="clear" w:color="auto" w:fill="auto"/>
            <w:vAlign w:val="bottom"/>
          </w:tcPr>
          <w:p w14:paraId="3066B4E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134" w:type="dxa"/>
            <w:tcBorders>
              <w:top w:val="nil"/>
              <w:left w:val="nil"/>
              <w:bottom w:val="single" w:sz="4" w:space="0" w:color="2E74B5"/>
              <w:right w:val="single" w:sz="4" w:space="0" w:color="2E74B5"/>
            </w:tcBorders>
            <w:shd w:val="clear" w:color="auto" w:fill="auto"/>
            <w:vAlign w:val="bottom"/>
          </w:tcPr>
          <w:p w14:paraId="6F363DC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5,27 €</w:t>
            </w:r>
          </w:p>
        </w:tc>
        <w:tc>
          <w:tcPr>
            <w:tcW w:w="1134" w:type="dxa"/>
            <w:tcBorders>
              <w:top w:val="nil"/>
              <w:left w:val="nil"/>
              <w:bottom w:val="single" w:sz="4" w:space="0" w:color="2E74B5"/>
              <w:right w:val="single" w:sz="4" w:space="0" w:color="2E74B5"/>
            </w:tcBorders>
            <w:shd w:val="clear" w:color="auto" w:fill="auto"/>
            <w:vAlign w:val="center"/>
          </w:tcPr>
          <w:p w14:paraId="0EEE03C5" w14:textId="77777777" w:rsidR="00FA3602" w:rsidRDefault="00FA3602">
            <w:pPr>
              <w:jc w:val="center"/>
              <w:rPr>
                <w:rFonts w:ascii="Open Sans" w:eastAsia="Open Sans" w:hAnsi="Open Sans" w:cs="Open Sans"/>
                <w:color w:val="000000"/>
                <w:sz w:val="18"/>
                <w:szCs w:val="18"/>
              </w:rPr>
            </w:pPr>
          </w:p>
          <w:p w14:paraId="5C1360D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422 €</w:t>
            </w:r>
          </w:p>
        </w:tc>
        <w:tc>
          <w:tcPr>
            <w:tcW w:w="1276" w:type="dxa"/>
            <w:tcBorders>
              <w:top w:val="nil"/>
              <w:left w:val="nil"/>
              <w:bottom w:val="single" w:sz="4" w:space="0" w:color="2E74B5"/>
              <w:right w:val="single" w:sz="4" w:space="0" w:color="2E74B5"/>
            </w:tcBorders>
            <w:shd w:val="clear" w:color="auto" w:fill="auto"/>
            <w:vAlign w:val="center"/>
          </w:tcPr>
          <w:p w14:paraId="6E766AB2" w14:textId="77777777" w:rsidR="00FA3602" w:rsidRDefault="00FA3602">
            <w:pPr>
              <w:jc w:val="center"/>
              <w:rPr>
                <w:rFonts w:ascii="Open Sans" w:eastAsia="Open Sans" w:hAnsi="Open Sans" w:cs="Open Sans"/>
                <w:color w:val="000000"/>
                <w:sz w:val="18"/>
                <w:szCs w:val="18"/>
              </w:rPr>
            </w:pPr>
          </w:p>
          <w:p w14:paraId="4FE82C0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1.949 €</w:t>
            </w:r>
          </w:p>
        </w:tc>
        <w:tc>
          <w:tcPr>
            <w:tcW w:w="1134" w:type="dxa"/>
            <w:tcBorders>
              <w:top w:val="nil"/>
              <w:left w:val="nil"/>
              <w:bottom w:val="single" w:sz="4" w:space="0" w:color="2E74B5"/>
              <w:right w:val="single" w:sz="4" w:space="0" w:color="2E74B5"/>
            </w:tcBorders>
            <w:shd w:val="clear" w:color="auto" w:fill="auto"/>
            <w:vAlign w:val="center"/>
          </w:tcPr>
          <w:p w14:paraId="18ED9150" w14:textId="77777777" w:rsidR="00FA3602" w:rsidRDefault="00FA3602">
            <w:pPr>
              <w:jc w:val="center"/>
              <w:rPr>
                <w:rFonts w:ascii="Open Sans" w:eastAsia="Open Sans" w:hAnsi="Open Sans" w:cs="Open Sans"/>
                <w:color w:val="000000"/>
                <w:sz w:val="18"/>
                <w:szCs w:val="18"/>
              </w:rPr>
            </w:pPr>
          </w:p>
          <w:p w14:paraId="6CEC673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23.386 €</w:t>
            </w:r>
          </w:p>
        </w:tc>
        <w:tc>
          <w:tcPr>
            <w:tcW w:w="1164" w:type="dxa"/>
            <w:tcBorders>
              <w:top w:val="nil"/>
              <w:left w:val="nil"/>
              <w:bottom w:val="single" w:sz="4" w:space="0" w:color="2E74B5"/>
              <w:right w:val="single" w:sz="4" w:space="0" w:color="2E74B5"/>
            </w:tcBorders>
            <w:shd w:val="clear" w:color="auto" w:fill="auto"/>
            <w:vAlign w:val="bottom"/>
          </w:tcPr>
          <w:p w14:paraId="4440181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w:t>
            </w:r>
          </w:p>
        </w:tc>
        <w:tc>
          <w:tcPr>
            <w:tcW w:w="1206" w:type="dxa"/>
            <w:tcBorders>
              <w:top w:val="nil"/>
              <w:left w:val="nil"/>
              <w:bottom w:val="single" w:sz="4" w:space="0" w:color="2E74B5"/>
              <w:right w:val="single" w:sz="4" w:space="0" w:color="2E74B5"/>
            </w:tcBorders>
            <w:shd w:val="clear" w:color="auto" w:fill="auto"/>
            <w:vAlign w:val="bottom"/>
          </w:tcPr>
          <w:p w14:paraId="69EA3C32"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r>
      <w:tr w:rsidR="00FA3602" w14:paraId="6459C58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528222D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657FECE5"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134" w:type="dxa"/>
            <w:tcBorders>
              <w:top w:val="nil"/>
              <w:left w:val="nil"/>
              <w:bottom w:val="single" w:sz="4" w:space="0" w:color="2E74B5"/>
              <w:right w:val="single" w:sz="4" w:space="0" w:color="2E74B5"/>
            </w:tcBorders>
            <w:shd w:val="clear" w:color="auto" w:fill="auto"/>
            <w:vAlign w:val="bottom"/>
          </w:tcPr>
          <w:p w14:paraId="77AFF60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134" w:type="dxa"/>
            <w:tcBorders>
              <w:top w:val="nil"/>
              <w:left w:val="nil"/>
              <w:bottom w:val="single" w:sz="4" w:space="0" w:color="2E74B5"/>
              <w:right w:val="single" w:sz="4" w:space="0" w:color="2E74B5"/>
            </w:tcBorders>
            <w:shd w:val="clear" w:color="auto" w:fill="auto"/>
            <w:vAlign w:val="bottom"/>
          </w:tcPr>
          <w:p w14:paraId="347DD5B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w:t>
            </w:r>
          </w:p>
        </w:tc>
        <w:tc>
          <w:tcPr>
            <w:tcW w:w="1276" w:type="dxa"/>
            <w:tcBorders>
              <w:top w:val="nil"/>
              <w:left w:val="nil"/>
              <w:bottom w:val="single" w:sz="4" w:space="0" w:color="2E74B5"/>
              <w:right w:val="single" w:sz="4" w:space="0" w:color="2E74B5"/>
            </w:tcBorders>
            <w:shd w:val="clear" w:color="auto" w:fill="auto"/>
            <w:vAlign w:val="center"/>
          </w:tcPr>
          <w:p w14:paraId="5A7C947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1.848 €</w:t>
            </w:r>
          </w:p>
        </w:tc>
        <w:tc>
          <w:tcPr>
            <w:tcW w:w="1134" w:type="dxa"/>
            <w:tcBorders>
              <w:top w:val="nil"/>
              <w:left w:val="nil"/>
              <w:bottom w:val="single" w:sz="4" w:space="0" w:color="2E74B5"/>
              <w:right w:val="single" w:sz="4" w:space="0" w:color="2E74B5"/>
            </w:tcBorders>
            <w:shd w:val="clear" w:color="auto" w:fill="auto"/>
            <w:vAlign w:val="center"/>
          </w:tcPr>
          <w:p w14:paraId="7857670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22.177 €</w:t>
            </w:r>
          </w:p>
        </w:tc>
        <w:tc>
          <w:tcPr>
            <w:tcW w:w="1164" w:type="dxa"/>
            <w:tcBorders>
              <w:top w:val="nil"/>
              <w:left w:val="nil"/>
              <w:bottom w:val="single" w:sz="4" w:space="0" w:color="2E74B5"/>
              <w:right w:val="single" w:sz="4" w:space="0" w:color="2E74B5"/>
            </w:tcBorders>
            <w:shd w:val="clear" w:color="auto" w:fill="auto"/>
            <w:vAlign w:val="bottom"/>
          </w:tcPr>
          <w:p w14:paraId="4C1939C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w:t>
            </w:r>
          </w:p>
        </w:tc>
        <w:tc>
          <w:tcPr>
            <w:tcW w:w="1206" w:type="dxa"/>
            <w:tcBorders>
              <w:top w:val="nil"/>
              <w:left w:val="nil"/>
              <w:bottom w:val="single" w:sz="4" w:space="0" w:color="2E74B5"/>
              <w:right w:val="single" w:sz="4" w:space="0" w:color="2E74B5"/>
            </w:tcBorders>
            <w:shd w:val="clear" w:color="auto" w:fill="auto"/>
            <w:vAlign w:val="bottom"/>
          </w:tcPr>
          <w:p w14:paraId="7ECB9D2D"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w:t>
            </w:r>
          </w:p>
        </w:tc>
      </w:tr>
      <w:tr w:rsidR="00FA3602" w14:paraId="32A09F5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62FBA16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6A6B288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134" w:type="dxa"/>
            <w:tcBorders>
              <w:top w:val="nil"/>
              <w:left w:val="nil"/>
              <w:bottom w:val="single" w:sz="4" w:space="0" w:color="2E74B5"/>
              <w:right w:val="single" w:sz="4" w:space="0" w:color="2E74B5"/>
            </w:tcBorders>
            <w:shd w:val="clear" w:color="auto" w:fill="auto"/>
            <w:vAlign w:val="bottom"/>
          </w:tcPr>
          <w:p w14:paraId="2BFED3E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7,17 €</w:t>
            </w:r>
          </w:p>
        </w:tc>
        <w:tc>
          <w:tcPr>
            <w:tcW w:w="1134" w:type="dxa"/>
            <w:tcBorders>
              <w:top w:val="nil"/>
              <w:left w:val="nil"/>
              <w:bottom w:val="single" w:sz="4" w:space="0" w:color="2E74B5"/>
              <w:right w:val="single" w:sz="4" w:space="0" w:color="2E74B5"/>
            </w:tcBorders>
            <w:shd w:val="clear" w:color="auto" w:fill="auto"/>
            <w:vAlign w:val="center"/>
          </w:tcPr>
          <w:p w14:paraId="6A133CD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574 €</w:t>
            </w:r>
          </w:p>
        </w:tc>
        <w:tc>
          <w:tcPr>
            <w:tcW w:w="1276" w:type="dxa"/>
            <w:tcBorders>
              <w:top w:val="nil"/>
              <w:left w:val="nil"/>
              <w:bottom w:val="single" w:sz="4" w:space="0" w:color="2E74B5"/>
              <w:right w:val="single" w:sz="4" w:space="0" w:color="2E74B5"/>
            </w:tcBorders>
            <w:shd w:val="clear" w:color="auto" w:fill="auto"/>
            <w:vAlign w:val="center"/>
          </w:tcPr>
          <w:p w14:paraId="7F12301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1.837 €</w:t>
            </w:r>
          </w:p>
        </w:tc>
        <w:tc>
          <w:tcPr>
            <w:tcW w:w="1134" w:type="dxa"/>
            <w:tcBorders>
              <w:top w:val="nil"/>
              <w:left w:val="nil"/>
              <w:bottom w:val="single" w:sz="4" w:space="0" w:color="2E74B5"/>
              <w:right w:val="single" w:sz="4" w:space="0" w:color="2E74B5"/>
            </w:tcBorders>
            <w:shd w:val="clear" w:color="auto" w:fill="auto"/>
            <w:vAlign w:val="center"/>
          </w:tcPr>
          <w:p w14:paraId="77CAD0D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22.047 €</w:t>
            </w:r>
          </w:p>
        </w:tc>
        <w:tc>
          <w:tcPr>
            <w:tcW w:w="1164" w:type="dxa"/>
            <w:tcBorders>
              <w:top w:val="nil"/>
              <w:left w:val="nil"/>
              <w:bottom w:val="single" w:sz="4" w:space="0" w:color="2E74B5"/>
              <w:right w:val="single" w:sz="4" w:space="0" w:color="2E74B5"/>
            </w:tcBorders>
            <w:shd w:val="clear" w:color="auto" w:fill="auto"/>
            <w:vAlign w:val="bottom"/>
          </w:tcPr>
          <w:p w14:paraId="3ABAD23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w:t>
            </w:r>
          </w:p>
        </w:tc>
        <w:tc>
          <w:tcPr>
            <w:tcW w:w="1206" w:type="dxa"/>
            <w:tcBorders>
              <w:top w:val="nil"/>
              <w:left w:val="nil"/>
              <w:bottom w:val="single" w:sz="4" w:space="0" w:color="2E74B5"/>
              <w:right w:val="single" w:sz="4" w:space="0" w:color="2E74B5"/>
            </w:tcBorders>
            <w:shd w:val="clear" w:color="auto" w:fill="auto"/>
            <w:vAlign w:val="bottom"/>
          </w:tcPr>
          <w:p w14:paraId="2C1EBF6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FA3602" w14:paraId="07C0F99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570DA1C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Castilla-La Mancha</w:t>
            </w:r>
          </w:p>
        </w:tc>
        <w:tc>
          <w:tcPr>
            <w:tcW w:w="1417" w:type="dxa"/>
            <w:tcBorders>
              <w:top w:val="nil"/>
              <w:left w:val="nil"/>
              <w:bottom w:val="single" w:sz="4" w:space="0" w:color="2E74B5"/>
              <w:right w:val="single" w:sz="4" w:space="0" w:color="2E74B5"/>
            </w:tcBorders>
            <w:shd w:val="clear" w:color="auto" w:fill="auto"/>
            <w:vAlign w:val="bottom"/>
          </w:tcPr>
          <w:p w14:paraId="4104FD1B"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134" w:type="dxa"/>
            <w:tcBorders>
              <w:top w:val="nil"/>
              <w:left w:val="nil"/>
              <w:bottom w:val="single" w:sz="4" w:space="0" w:color="2E74B5"/>
              <w:right w:val="single" w:sz="4" w:space="0" w:color="2E74B5"/>
            </w:tcBorders>
            <w:shd w:val="clear" w:color="auto" w:fill="auto"/>
            <w:vAlign w:val="bottom"/>
          </w:tcPr>
          <w:p w14:paraId="776EC12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6,67 €</w:t>
            </w:r>
          </w:p>
        </w:tc>
        <w:tc>
          <w:tcPr>
            <w:tcW w:w="1134" w:type="dxa"/>
            <w:tcBorders>
              <w:top w:val="nil"/>
              <w:left w:val="nil"/>
              <w:bottom w:val="single" w:sz="4" w:space="0" w:color="2E74B5"/>
              <w:right w:val="single" w:sz="4" w:space="0" w:color="2E74B5"/>
            </w:tcBorders>
            <w:shd w:val="clear" w:color="auto" w:fill="auto"/>
            <w:vAlign w:val="center"/>
          </w:tcPr>
          <w:p w14:paraId="6EF51F4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534 €</w:t>
            </w:r>
          </w:p>
        </w:tc>
        <w:tc>
          <w:tcPr>
            <w:tcW w:w="1276" w:type="dxa"/>
            <w:tcBorders>
              <w:top w:val="nil"/>
              <w:left w:val="nil"/>
              <w:bottom w:val="single" w:sz="4" w:space="0" w:color="2E74B5"/>
              <w:right w:val="single" w:sz="4" w:space="0" w:color="2E74B5"/>
            </w:tcBorders>
            <w:shd w:val="clear" w:color="auto" w:fill="auto"/>
            <w:vAlign w:val="center"/>
          </w:tcPr>
          <w:p w14:paraId="4CBCE70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1.833 €</w:t>
            </w:r>
          </w:p>
        </w:tc>
        <w:tc>
          <w:tcPr>
            <w:tcW w:w="1134" w:type="dxa"/>
            <w:tcBorders>
              <w:top w:val="nil"/>
              <w:left w:val="nil"/>
              <w:bottom w:val="single" w:sz="4" w:space="0" w:color="2E74B5"/>
              <w:right w:val="single" w:sz="4" w:space="0" w:color="2E74B5"/>
            </w:tcBorders>
            <w:shd w:val="clear" w:color="auto" w:fill="auto"/>
            <w:vAlign w:val="center"/>
          </w:tcPr>
          <w:p w14:paraId="05F8502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21.993 €</w:t>
            </w:r>
          </w:p>
        </w:tc>
        <w:tc>
          <w:tcPr>
            <w:tcW w:w="1164" w:type="dxa"/>
            <w:tcBorders>
              <w:top w:val="nil"/>
              <w:left w:val="nil"/>
              <w:bottom w:val="single" w:sz="4" w:space="0" w:color="2E74B5"/>
              <w:right w:val="single" w:sz="4" w:space="0" w:color="2E74B5"/>
            </w:tcBorders>
            <w:shd w:val="clear" w:color="auto" w:fill="auto"/>
            <w:vAlign w:val="bottom"/>
          </w:tcPr>
          <w:p w14:paraId="2228137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w:t>
            </w:r>
          </w:p>
        </w:tc>
        <w:tc>
          <w:tcPr>
            <w:tcW w:w="1206" w:type="dxa"/>
            <w:tcBorders>
              <w:top w:val="nil"/>
              <w:left w:val="nil"/>
              <w:bottom w:val="single" w:sz="4" w:space="0" w:color="2E74B5"/>
              <w:right w:val="single" w:sz="4" w:space="0" w:color="2E74B5"/>
            </w:tcBorders>
            <w:shd w:val="clear" w:color="auto" w:fill="auto"/>
            <w:vAlign w:val="bottom"/>
          </w:tcPr>
          <w:p w14:paraId="767F2BD1"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FA3602" w14:paraId="453CBF4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134220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Cataluña</w:t>
            </w:r>
          </w:p>
        </w:tc>
        <w:tc>
          <w:tcPr>
            <w:tcW w:w="1417" w:type="dxa"/>
            <w:tcBorders>
              <w:top w:val="nil"/>
              <w:left w:val="nil"/>
              <w:bottom w:val="single" w:sz="4" w:space="0" w:color="2E74B5"/>
              <w:right w:val="single" w:sz="4" w:space="0" w:color="2E74B5"/>
            </w:tcBorders>
            <w:shd w:val="clear" w:color="auto" w:fill="auto"/>
            <w:vAlign w:val="bottom"/>
          </w:tcPr>
          <w:p w14:paraId="180AFA6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134" w:type="dxa"/>
            <w:tcBorders>
              <w:top w:val="nil"/>
              <w:left w:val="nil"/>
              <w:bottom w:val="single" w:sz="4" w:space="0" w:color="2E74B5"/>
              <w:right w:val="single" w:sz="4" w:space="0" w:color="2E74B5"/>
            </w:tcBorders>
            <w:shd w:val="clear" w:color="auto" w:fill="auto"/>
            <w:vAlign w:val="bottom"/>
          </w:tcPr>
          <w:p w14:paraId="7836202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15,01 €</w:t>
            </w:r>
          </w:p>
        </w:tc>
        <w:tc>
          <w:tcPr>
            <w:tcW w:w="1134" w:type="dxa"/>
            <w:tcBorders>
              <w:top w:val="nil"/>
              <w:left w:val="nil"/>
              <w:bottom w:val="single" w:sz="4" w:space="0" w:color="2E74B5"/>
              <w:right w:val="single" w:sz="4" w:space="0" w:color="2E74B5"/>
            </w:tcBorders>
            <w:shd w:val="clear" w:color="auto" w:fill="auto"/>
            <w:vAlign w:val="center"/>
          </w:tcPr>
          <w:p w14:paraId="4F7C825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1.201 €</w:t>
            </w:r>
          </w:p>
        </w:tc>
        <w:tc>
          <w:tcPr>
            <w:tcW w:w="1276" w:type="dxa"/>
            <w:tcBorders>
              <w:top w:val="nil"/>
              <w:left w:val="nil"/>
              <w:bottom w:val="single" w:sz="4" w:space="0" w:color="2E74B5"/>
              <w:right w:val="single" w:sz="4" w:space="0" w:color="2E74B5"/>
            </w:tcBorders>
            <w:shd w:val="clear" w:color="auto" w:fill="auto"/>
            <w:vAlign w:val="center"/>
          </w:tcPr>
          <w:p w14:paraId="76A0F4F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2.105 €</w:t>
            </w:r>
          </w:p>
        </w:tc>
        <w:tc>
          <w:tcPr>
            <w:tcW w:w="1134" w:type="dxa"/>
            <w:tcBorders>
              <w:top w:val="nil"/>
              <w:left w:val="nil"/>
              <w:bottom w:val="single" w:sz="4" w:space="0" w:color="2E74B5"/>
              <w:right w:val="single" w:sz="4" w:space="0" w:color="2E74B5"/>
            </w:tcBorders>
            <w:shd w:val="clear" w:color="auto" w:fill="auto"/>
            <w:vAlign w:val="center"/>
          </w:tcPr>
          <w:p w14:paraId="17E335E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25.256 €</w:t>
            </w:r>
          </w:p>
        </w:tc>
        <w:tc>
          <w:tcPr>
            <w:tcW w:w="1164" w:type="dxa"/>
            <w:tcBorders>
              <w:top w:val="nil"/>
              <w:left w:val="nil"/>
              <w:bottom w:val="single" w:sz="4" w:space="0" w:color="2E74B5"/>
              <w:right w:val="single" w:sz="4" w:space="0" w:color="2E74B5"/>
            </w:tcBorders>
            <w:shd w:val="clear" w:color="auto" w:fill="auto"/>
            <w:vAlign w:val="bottom"/>
          </w:tcPr>
          <w:p w14:paraId="0298789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w:t>
            </w:r>
          </w:p>
        </w:tc>
        <w:tc>
          <w:tcPr>
            <w:tcW w:w="1206" w:type="dxa"/>
            <w:tcBorders>
              <w:top w:val="nil"/>
              <w:left w:val="nil"/>
              <w:bottom w:val="single" w:sz="4" w:space="0" w:color="2E74B5"/>
              <w:right w:val="single" w:sz="4" w:space="0" w:color="2E74B5"/>
            </w:tcBorders>
            <w:shd w:val="clear" w:color="auto" w:fill="auto"/>
            <w:vAlign w:val="bottom"/>
          </w:tcPr>
          <w:p w14:paraId="2E567113"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57%</w:t>
            </w:r>
          </w:p>
        </w:tc>
      </w:tr>
      <w:tr w:rsidR="00FA3602" w14:paraId="488B8D88"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6838579"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Cataluña</w:t>
            </w:r>
          </w:p>
        </w:tc>
        <w:tc>
          <w:tcPr>
            <w:tcW w:w="1417" w:type="dxa"/>
            <w:tcBorders>
              <w:top w:val="nil"/>
              <w:left w:val="nil"/>
              <w:bottom w:val="single" w:sz="4" w:space="0" w:color="2E74B5"/>
              <w:right w:val="single" w:sz="4" w:space="0" w:color="2E74B5"/>
            </w:tcBorders>
            <w:shd w:val="clear" w:color="auto" w:fill="auto"/>
            <w:vAlign w:val="bottom"/>
          </w:tcPr>
          <w:p w14:paraId="3EA45C0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134" w:type="dxa"/>
            <w:tcBorders>
              <w:top w:val="nil"/>
              <w:left w:val="nil"/>
              <w:bottom w:val="single" w:sz="4" w:space="0" w:color="2E74B5"/>
              <w:right w:val="single" w:sz="4" w:space="0" w:color="2E74B5"/>
            </w:tcBorders>
            <w:shd w:val="clear" w:color="auto" w:fill="auto"/>
            <w:vAlign w:val="bottom"/>
          </w:tcPr>
          <w:p w14:paraId="426A858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9,90 €</w:t>
            </w:r>
          </w:p>
        </w:tc>
        <w:tc>
          <w:tcPr>
            <w:tcW w:w="1134" w:type="dxa"/>
            <w:tcBorders>
              <w:top w:val="nil"/>
              <w:left w:val="nil"/>
              <w:bottom w:val="single" w:sz="4" w:space="0" w:color="2E74B5"/>
              <w:right w:val="single" w:sz="4" w:space="0" w:color="2E74B5"/>
            </w:tcBorders>
            <w:shd w:val="clear" w:color="auto" w:fill="auto"/>
            <w:vAlign w:val="center"/>
          </w:tcPr>
          <w:p w14:paraId="0B916CD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792 €</w:t>
            </w:r>
          </w:p>
        </w:tc>
        <w:tc>
          <w:tcPr>
            <w:tcW w:w="1276" w:type="dxa"/>
            <w:tcBorders>
              <w:top w:val="nil"/>
              <w:left w:val="nil"/>
              <w:bottom w:val="single" w:sz="4" w:space="0" w:color="2E74B5"/>
              <w:right w:val="single" w:sz="4" w:space="0" w:color="2E74B5"/>
            </w:tcBorders>
            <w:shd w:val="clear" w:color="auto" w:fill="auto"/>
            <w:vAlign w:val="center"/>
          </w:tcPr>
          <w:p w14:paraId="6509B4B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1.930 €</w:t>
            </w:r>
          </w:p>
        </w:tc>
        <w:tc>
          <w:tcPr>
            <w:tcW w:w="1134" w:type="dxa"/>
            <w:tcBorders>
              <w:top w:val="nil"/>
              <w:left w:val="nil"/>
              <w:bottom w:val="single" w:sz="4" w:space="0" w:color="2E74B5"/>
              <w:right w:val="single" w:sz="4" w:space="0" w:color="2E74B5"/>
            </w:tcBorders>
            <w:shd w:val="clear" w:color="auto" w:fill="auto"/>
            <w:vAlign w:val="center"/>
          </w:tcPr>
          <w:p w14:paraId="4067DD2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23.160 €</w:t>
            </w:r>
          </w:p>
        </w:tc>
        <w:tc>
          <w:tcPr>
            <w:tcW w:w="1164" w:type="dxa"/>
            <w:tcBorders>
              <w:top w:val="nil"/>
              <w:left w:val="nil"/>
              <w:bottom w:val="single" w:sz="4" w:space="0" w:color="2E74B5"/>
              <w:right w:val="single" w:sz="4" w:space="0" w:color="2E74B5"/>
            </w:tcBorders>
            <w:shd w:val="clear" w:color="auto" w:fill="auto"/>
            <w:vAlign w:val="bottom"/>
          </w:tcPr>
          <w:p w14:paraId="6B9BEBD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w:t>
            </w:r>
          </w:p>
        </w:tc>
        <w:tc>
          <w:tcPr>
            <w:tcW w:w="1206" w:type="dxa"/>
            <w:tcBorders>
              <w:top w:val="nil"/>
              <w:left w:val="nil"/>
              <w:bottom w:val="single" w:sz="4" w:space="0" w:color="2E74B5"/>
              <w:right w:val="single" w:sz="4" w:space="0" w:color="2E74B5"/>
            </w:tcBorders>
            <w:shd w:val="clear" w:color="auto" w:fill="auto"/>
            <w:vAlign w:val="bottom"/>
          </w:tcPr>
          <w:p w14:paraId="57B4A785"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w:t>
            </w:r>
          </w:p>
        </w:tc>
      </w:tr>
      <w:tr w:rsidR="00FA3602" w14:paraId="6D86768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2CC169A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Cataluña</w:t>
            </w:r>
          </w:p>
        </w:tc>
        <w:tc>
          <w:tcPr>
            <w:tcW w:w="1417" w:type="dxa"/>
            <w:tcBorders>
              <w:top w:val="nil"/>
              <w:left w:val="nil"/>
              <w:bottom w:val="single" w:sz="4" w:space="0" w:color="2E74B5"/>
              <w:right w:val="single" w:sz="4" w:space="0" w:color="2E74B5"/>
            </w:tcBorders>
            <w:shd w:val="clear" w:color="auto" w:fill="auto"/>
            <w:vAlign w:val="bottom"/>
          </w:tcPr>
          <w:p w14:paraId="130018C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134" w:type="dxa"/>
            <w:tcBorders>
              <w:top w:val="nil"/>
              <w:left w:val="nil"/>
              <w:bottom w:val="single" w:sz="4" w:space="0" w:color="2E74B5"/>
              <w:right w:val="single" w:sz="4" w:space="0" w:color="2E74B5"/>
            </w:tcBorders>
            <w:shd w:val="clear" w:color="auto" w:fill="auto"/>
            <w:vAlign w:val="bottom"/>
          </w:tcPr>
          <w:p w14:paraId="05C402C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7,07 €</w:t>
            </w:r>
          </w:p>
        </w:tc>
        <w:tc>
          <w:tcPr>
            <w:tcW w:w="1134" w:type="dxa"/>
            <w:tcBorders>
              <w:top w:val="nil"/>
              <w:left w:val="nil"/>
              <w:bottom w:val="single" w:sz="4" w:space="0" w:color="2E74B5"/>
              <w:right w:val="single" w:sz="4" w:space="0" w:color="2E74B5"/>
            </w:tcBorders>
            <w:shd w:val="clear" w:color="auto" w:fill="auto"/>
            <w:vAlign w:val="center"/>
          </w:tcPr>
          <w:p w14:paraId="4BAA8C3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566 €</w:t>
            </w:r>
          </w:p>
        </w:tc>
        <w:tc>
          <w:tcPr>
            <w:tcW w:w="1276" w:type="dxa"/>
            <w:tcBorders>
              <w:top w:val="nil"/>
              <w:left w:val="nil"/>
              <w:bottom w:val="single" w:sz="4" w:space="0" w:color="2E74B5"/>
              <w:right w:val="single" w:sz="4" w:space="0" w:color="2E74B5"/>
            </w:tcBorders>
            <w:shd w:val="clear" w:color="auto" w:fill="auto"/>
            <w:vAlign w:val="center"/>
          </w:tcPr>
          <w:p w14:paraId="68D2F01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1.878 €</w:t>
            </w:r>
          </w:p>
        </w:tc>
        <w:tc>
          <w:tcPr>
            <w:tcW w:w="1134" w:type="dxa"/>
            <w:tcBorders>
              <w:top w:val="nil"/>
              <w:left w:val="nil"/>
              <w:bottom w:val="single" w:sz="4" w:space="0" w:color="2E74B5"/>
              <w:right w:val="single" w:sz="4" w:space="0" w:color="2E74B5"/>
            </w:tcBorders>
            <w:shd w:val="clear" w:color="auto" w:fill="auto"/>
            <w:vAlign w:val="center"/>
          </w:tcPr>
          <w:p w14:paraId="7F51FD8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22.538 €</w:t>
            </w:r>
          </w:p>
        </w:tc>
        <w:tc>
          <w:tcPr>
            <w:tcW w:w="1164" w:type="dxa"/>
            <w:tcBorders>
              <w:top w:val="nil"/>
              <w:left w:val="nil"/>
              <w:bottom w:val="single" w:sz="4" w:space="0" w:color="2E74B5"/>
              <w:right w:val="single" w:sz="4" w:space="0" w:color="2E74B5"/>
            </w:tcBorders>
            <w:shd w:val="clear" w:color="auto" w:fill="auto"/>
            <w:vAlign w:val="bottom"/>
          </w:tcPr>
          <w:p w14:paraId="0777BCA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c>
          <w:tcPr>
            <w:tcW w:w="1206" w:type="dxa"/>
            <w:tcBorders>
              <w:top w:val="nil"/>
              <w:left w:val="nil"/>
              <w:bottom w:val="single" w:sz="4" w:space="0" w:color="2E74B5"/>
              <w:right w:val="single" w:sz="4" w:space="0" w:color="2E74B5"/>
            </w:tcBorders>
            <w:shd w:val="clear" w:color="auto" w:fill="auto"/>
            <w:vAlign w:val="bottom"/>
          </w:tcPr>
          <w:p w14:paraId="178BE96B"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30%</w:t>
            </w:r>
          </w:p>
        </w:tc>
      </w:tr>
      <w:tr w:rsidR="00FA3602" w14:paraId="64266CA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5A7EE067"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Cataluña</w:t>
            </w:r>
          </w:p>
        </w:tc>
        <w:tc>
          <w:tcPr>
            <w:tcW w:w="1417" w:type="dxa"/>
            <w:tcBorders>
              <w:top w:val="nil"/>
              <w:left w:val="nil"/>
              <w:bottom w:val="single" w:sz="4" w:space="0" w:color="2E74B5"/>
              <w:right w:val="single" w:sz="4" w:space="0" w:color="2E74B5"/>
            </w:tcBorders>
            <w:shd w:val="clear" w:color="auto" w:fill="auto"/>
            <w:vAlign w:val="bottom"/>
          </w:tcPr>
          <w:p w14:paraId="5073BFE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134" w:type="dxa"/>
            <w:tcBorders>
              <w:top w:val="nil"/>
              <w:left w:val="nil"/>
              <w:bottom w:val="single" w:sz="4" w:space="0" w:color="2E74B5"/>
              <w:right w:val="single" w:sz="4" w:space="0" w:color="2E74B5"/>
            </w:tcBorders>
            <w:shd w:val="clear" w:color="auto" w:fill="auto"/>
            <w:vAlign w:val="bottom"/>
          </w:tcPr>
          <w:p w14:paraId="0395339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8,16 €</w:t>
            </w:r>
          </w:p>
        </w:tc>
        <w:tc>
          <w:tcPr>
            <w:tcW w:w="1134" w:type="dxa"/>
            <w:tcBorders>
              <w:top w:val="nil"/>
              <w:left w:val="nil"/>
              <w:bottom w:val="single" w:sz="4" w:space="0" w:color="2E74B5"/>
              <w:right w:val="single" w:sz="4" w:space="0" w:color="2E74B5"/>
            </w:tcBorders>
            <w:shd w:val="clear" w:color="auto" w:fill="auto"/>
            <w:vAlign w:val="center"/>
          </w:tcPr>
          <w:p w14:paraId="0DE916A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653 €</w:t>
            </w:r>
          </w:p>
        </w:tc>
        <w:tc>
          <w:tcPr>
            <w:tcW w:w="1276" w:type="dxa"/>
            <w:tcBorders>
              <w:top w:val="nil"/>
              <w:left w:val="nil"/>
              <w:bottom w:val="single" w:sz="4" w:space="0" w:color="2E74B5"/>
              <w:right w:val="single" w:sz="4" w:space="0" w:color="2E74B5"/>
            </w:tcBorders>
            <w:shd w:val="clear" w:color="auto" w:fill="auto"/>
            <w:vAlign w:val="center"/>
          </w:tcPr>
          <w:p w14:paraId="4217B72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1.951 €</w:t>
            </w:r>
          </w:p>
        </w:tc>
        <w:tc>
          <w:tcPr>
            <w:tcW w:w="1134" w:type="dxa"/>
            <w:tcBorders>
              <w:top w:val="nil"/>
              <w:left w:val="nil"/>
              <w:bottom w:val="single" w:sz="4" w:space="0" w:color="2E74B5"/>
              <w:right w:val="single" w:sz="4" w:space="0" w:color="2E74B5"/>
            </w:tcBorders>
            <w:shd w:val="clear" w:color="auto" w:fill="auto"/>
            <w:vAlign w:val="center"/>
          </w:tcPr>
          <w:p w14:paraId="22D91D0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23.408 €</w:t>
            </w:r>
          </w:p>
        </w:tc>
        <w:tc>
          <w:tcPr>
            <w:tcW w:w="1164" w:type="dxa"/>
            <w:tcBorders>
              <w:top w:val="nil"/>
              <w:left w:val="nil"/>
              <w:bottom w:val="single" w:sz="4" w:space="0" w:color="2E74B5"/>
              <w:right w:val="single" w:sz="4" w:space="0" w:color="2E74B5"/>
            </w:tcBorders>
            <w:shd w:val="clear" w:color="auto" w:fill="auto"/>
            <w:vAlign w:val="bottom"/>
          </w:tcPr>
          <w:p w14:paraId="7E3B0CD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w:t>
            </w:r>
          </w:p>
        </w:tc>
        <w:tc>
          <w:tcPr>
            <w:tcW w:w="1206" w:type="dxa"/>
            <w:tcBorders>
              <w:top w:val="nil"/>
              <w:left w:val="nil"/>
              <w:bottom w:val="single" w:sz="4" w:space="0" w:color="2E74B5"/>
              <w:right w:val="single" w:sz="4" w:space="0" w:color="2E74B5"/>
            </w:tcBorders>
            <w:shd w:val="clear" w:color="auto" w:fill="auto"/>
            <w:vAlign w:val="bottom"/>
          </w:tcPr>
          <w:p w14:paraId="3A68DE56"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33%</w:t>
            </w:r>
          </w:p>
        </w:tc>
      </w:tr>
      <w:tr w:rsidR="00FA3602" w14:paraId="0C3E6AC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tcPr>
          <w:p w14:paraId="3123DDC0" w14:textId="77777777" w:rsidR="00FA3602" w:rsidRDefault="00AA457E">
            <w:pPr>
              <w:rPr>
                <w:rFonts w:ascii="Open Sans" w:eastAsia="Open Sans" w:hAnsi="Open Sans" w:cs="Open Sans"/>
                <w:color w:val="000000"/>
                <w:sz w:val="18"/>
                <w:szCs w:val="18"/>
              </w:rPr>
            </w:pPr>
            <w:r>
              <w:rPr>
                <w:rFonts w:ascii="Open Sans" w:eastAsia="Open Sans" w:hAnsi="Open Sans" w:cs="Open Sans"/>
                <w:sz w:val="18"/>
                <w:szCs w:val="18"/>
              </w:rPr>
              <w:t>Comunidad Valenciana</w:t>
            </w:r>
          </w:p>
        </w:tc>
        <w:tc>
          <w:tcPr>
            <w:tcW w:w="1417" w:type="dxa"/>
            <w:tcBorders>
              <w:top w:val="nil"/>
              <w:left w:val="nil"/>
              <w:bottom w:val="single" w:sz="4" w:space="0" w:color="2E74B5"/>
              <w:right w:val="single" w:sz="4" w:space="0" w:color="2E74B5"/>
            </w:tcBorders>
            <w:shd w:val="clear" w:color="auto" w:fill="auto"/>
            <w:vAlign w:val="bottom"/>
          </w:tcPr>
          <w:p w14:paraId="47FECB5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134" w:type="dxa"/>
            <w:tcBorders>
              <w:top w:val="nil"/>
              <w:left w:val="nil"/>
              <w:bottom w:val="single" w:sz="4" w:space="0" w:color="2E74B5"/>
              <w:right w:val="single" w:sz="4" w:space="0" w:color="2E74B5"/>
            </w:tcBorders>
            <w:shd w:val="clear" w:color="auto" w:fill="auto"/>
            <w:vAlign w:val="bottom"/>
          </w:tcPr>
          <w:p w14:paraId="14CCACF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7,90 €</w:t>
            </w:r>
          </w:p>
        </w:tc>
        <w:tc>
          <w:tcPr>
            <w:tcW w:w="1134" w:type="dxa"/>
            <w:tcBorders>
              <w:top w:val="nil"/>
              <w:left w:val="nil"/>
              <w:bottom w:val="single" w:sz="4" w:space="0" w:color="2E74B5"/>
              <w:right w:val="single" w:sz="4" w:space="0" w:color="2E74B5"/>
            </w:tcBorders>
            <w:shd w:val="clear" w:color="auto" w:fill="auto"/>
            <w:vAlign w:val="center"/>
          </w:tcPr>
          <w:p w14:paraId="0B14551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632 €</w:t>
            </w:r>
          </w:p>
        </w:tc>
        <w:tc>
          <w:tcPr>
            <w:tcW w:w="1276" w:type="dxa"/>
            <w:tcBorders>
              <w:top w:val="nil"/>
              <w:left w:val="nil"/>
              <w:bottom w:val="single" w:sz="4" w:space="0" w:color="2E74B5"/>
              <w:right w:val="single" w:sz="4" w:space="0" w:color="2E74B5"/>
            </w:tcBorders>
            <w:shd w:val="clear" w:color="auto" w:fill="auto"/>
            <w:vAlign w:val="center"/>
          </w:tcPr>
          <w:p w14:paraId="26108F7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1.918 €</w:t>
            </w:r>
          </w:p>
        </w:tc>
        <w:tc>
          <w:tcPr>
            <w:tcW w:w="1134" w:type="dxa"/>
            <w:tcBorders>
              <w:top w:val="nil"/>
              <w:left w:val="nil"/>
              <w:bottom w:val="single" w:sz="4" w:space="0" w:color="2E74B5"/>
              <w:right w:val="single" w:sz="4" w:space="0" w:color="2E74B5"/>
            </w:tcBorders>
            <w:shd w:val="clear" w:color="auto" w:fill="auto"/>
            <w:vAlign w:val="center"/>
          </w:tcPr>
          <w:p w14:paraId="645CD91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23.020 €</w:t>
            </w:r>
          </w:p>
        </w:tc>
        <w:tc>
          <w:tcPr>
            <w:tcW w:w="1164" w:type="dxa"/>
            <w:tcBorders>
              <w:top w:val="nil"/>
              <w:left w:val="nil"/>
              <w:bottom w:val="single" w:sz="4" w:space="0" w:color="2E74B5"/>
              <w:right w:val="single" w:sz="4" w:space="0" w:color="2E74B5"/>
            </w:tcBorders>
            <w:shd w:val="clear" w:color="auto" w:fill="auto"/>
            <w:vAlign w:val="bottom"/>
          </w:tcPr>
          <w:p w14:paraId="59003F4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7988B2C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33%</w:t>
            </w:r>
          </w:p>
        </w:tc>
      </w:tr>
      <w:tr w:rsidR="00FA3602" w14:paraId="5C0B8D9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tcPr>
          <w:p w14:paraId="51935E63" w14:textId="77777777" w:rsidR="00FA3602" w:rsidRDefault="00AA457E">
            <w:pPr>
              <w:rPr>
                <w:rFonts w:ascii="Open Sans" w:eastAsia="Open Sans" w:hAnsi="Open Sans" w:cs="Open Sans"/>
                <w:color w:val="000000"/>
                <w:sz w:val="18"/>
                <w:szCs w:val="18"/>
              </w:rPr>
            </w:pPr>
            <w:r>
              <w:rPr>
                <w:rFonts w:ascii="Open Sans" w:eastAsia="Open Sans" w:hAnsi="Open Sans" w:cs="Open Sans"/>
                <w:sz w:val="18"/>
                <w:szCs w:val="18"/>
              </w:rPr>
              <w:t>Comunidad Valenciana</w:t>
            </w:r>
          </w:p>
        </w:tc>
        <w:tc>
          <w:tcPr>
            <w:tcW w:w="1417" w:type="dxa"/>
            <w:tcBorders>
              <w:top w:val="nil"/>
              <w:left w:val="nil"/>
              <w:bottom w:val="single" w:sz="4" w:space="0" w:color="2E74B5"/>
              <w:right w:val="single" w:sz="4" w:space="0" w:color="2E74B5"/>
            </w:tcBorders>
            <w:shd w:val="clear" w:color="auto" w:fill="auto"/>
            <w:vAlign w:val="bottom"/>
          </w:tcPr>
          <w:p w14:paraId="1D98CCB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134" w:type="dxa"/>
            <w:tcBorders>
              <w:top w:val="nil"/>
              <w:left w:val="nil"/>
              <w:bottom w:val="single" w:sz="4" w:space="0" w:color="2E74B5"/>
              <w:right w:val="single" w:sz="4" w:space="0" w:color="2E74B5"/>
            </w:tcBorders>
            <w:shd w:val="clear" w:color="auto" w:fill="auto"/>
            <w:vAlign w:val="bottom"/>
          </w:tcPr>
          <w:p w14:paraId="09F3412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6,89 €</w:t>
            </w:r>
          </w:p>
        </w:tc>
        <w:tc>
          <w:tcPr>
            <w:tcW w:w="1134" w:type="dxa"/>
            <w:tcBorders>
              <w:top w:val="nil"/>
              <w:left w:val="nil"/>
              <w:bottom w:val="single" w:sz="4" w:space="0" w:color="2E74B5"/>
              <w:right w:val="single" w:sz="4" w:space="0" w:color="2E74B5"/>
            </w:tcBorders>
            <w:shd w:val="clear" w:color="auto" w:fill="auto"/>
            <w:vAlign w:val="center"/>
          </w:tcPr>
          <w:p w14:paraId="541774D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551 €</w:t>
            </w:r>
          </w:p>
        </w:tc>
        <w:tc>
          <w:tcPr>
            <w:tcW w:w="1276" w:type="dxa"/>
            <w:tcBorders>
              <w:top w:val="nil"/>
              <w:left w:val="nil"/>
              <w:bottom w:val="single" w:sz="4" w:space="0" w:color="2E74B5"/>
              <w:right w:val="single" w:sz="4" w:space="0" w:color="2E74B5"/>
            </w:tcBorders>
            <w:shd w:val="clear" w:color="auto" w:fill="auto"/>
            <w:vAlign w:val="center"/>
          </w:tcPr>
          <w:p w14:paraId="22EA701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1.982 €</w:t>
            </w:r>
          </w:p>
        </w:tc>
        <w:tc>
          <w:tcPr>
            <w:tcW w:w="1134" w:type="dxa"/>
            <w:tcBorders>
              <w:top w:val="nil"/>
              <w:left w:val="nil"/>
              <w:bottom w:val="single" w:sz="4" w:space="0" w:color="2E74B5"/>
              <w:right w:val="single" w:sz="4" w:space="0" w:color="2E74B5"/>
            </w:tcBorders>
            <w:shd w:val="clear" w:color="auto" w:fill="auto"/>
            <w:vAlign w:val="center"/>
          </w:tcPr>
          <w:p w14:paraId="16DAF23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23.783 €</w:t>
            </w:r>
          </w:p>
        </w:tc>
        <w:tc>
          <w:tcPr>
            <w:tcW w:w="1164" w:type="dxa"/>
            <w:tcBorders>
              <w:top w:val="nil"/>
              <w:left w:val="nil"/>
              <w:bottom w:val="single" w:sz="4" w:space="0" w:color="2E74B5"/>
              <w:right w:val="single" w:sz="4" w:space="0" w:color="2E74B5"/>
            </w:tcBorders>
            <w:shd w:val="clear" w:color="auto" w:fill="auto"/>
            <w:vAlign w:val="bottom"/>
          </w:tcPr>
          <w:p w14:paraId="688B8D0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206" w:type="dxa"/>
            <w:tcBorders>
              <w:top w:val="nil"/>
              <w:left w:val="nil"/>
              <w:bottom w:val="single" w:sz="4" w:space="0" w:color="2E74B5"/>
              <w:right w:val="single" w:sz="4" w:space="0" w:color="2E74B5"/>
            </w:tcBorders>
            <w:shd w:val="clear" w:color="auto" w:fill="auto"/>
            <w:vAlign w:val="bottom"/>
          </w:tcPr>
          <w:p w14:paraId="4CAE76AC"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r>
      <w:tr w:rsidR="00FA3602" w14:paraId="2CB43C3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42446D71" w14:textId="77777777" w:rsidR="00FA3602" w:rsidRDefault="00AA457E">
            <w:pPr>
              <w:rPr>
                <w:rFonts w:ascii="Open Sans" w:eastAsia="Open Sans" w:hAnsi="Open Sans" w:cs="Open Sans"/>
                <w:color w:val="000000"/>
                <w:sz w:val="18"/>
                <w:szCs w:val="18"/>
              </w:rPr>
            </w:pPr>
            <w:r>
              <w:rPr>
                <w:rFonts w:ascii="Open Sans" w:eastAsia="Open Sans" w:hAnsi="Open Sans" w:cs="Open Sans"/>
                <w:sz w:val="18"/>
                <w:szCs w:val="18"/>
              </w:rPr>
              <w:t>Comunidad Valenciana</w:t>
            </w:r>
          </w:p>
        </w:tc>
        <w:tc>
          <w:tcPr>
            <w:tcW w:w="1417" w:type="dxa"/>
            <w:tcBorders>
              <w:top w:val="nil"/>
              <w:left w:val="nil"/>
              <w:bottom w:val="single" w:sz="4" w:space="0" w:color="2E74B5"/>
              <w:right w:val="single" w:sz="4" w:space="0" w:color="2E74B5"/>
            </w:tcBorders>
            <w:shd w:val="clear" w:color="auto" w:fill="auto"/>
            <w:vAlign w:val="bottom"/>
          </w:tcPr>
          <w:p w14:paraId="562764B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134" w:type="dxa"/>
            <w:tcBorders>
              <w:top w:val="nil"/>
              <w:left w:val="nil"/>
              <w:bottom w:val="single" w:sz="4" w:space="0" w:color="2E74B5"/>
              <w:right w:val="single" w:sz="4" w:space="0" w:color="2E74B5"/>
            </w:tcBorders>
            <w:shd w:val="clear" w:color="auto" w:fill="auto"/>
            <w:vAlign w:val="bottom"/>
          </w:tcPr>
          <w:p w14:paraId="4050749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9,54 €</w:t>
            </w:r>
          </w:p>
        </w:tc>
        <w:tc>
          <w:tcPr>
            <w:tcW w:w="1134" w:type="dxa"/>
            <w:tcBorders>
              <w:top w:val="nil"/>
              <w:left w:val="nil"/>
              <w:bottom w:val="single" w:sz="4" w:space="0" w:color="2E74B5"/>
              <w:right w:val="single" w:sz="4" w:space="0" w:color="2E74B5"/>
            </w:tcBorders>
            <w:shd w:val="clear" w:color="auto" w:fill="auto"/>
            <w:vAlign w:val="center"/>
          </w:tcPr>
          <w:p w14:paraId="699574B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763 €</w:t>
            </w:r>
          </w:p>
        </w:tc>
        <w:tc>
          <w:tcPr>
            <w:tcW w:w="1276" w:type="dxa"/>
            <w:tcBorders>
              <w:top w:val="nil"/>
              <w:left w:val="nil"/>
              <w:bottom w:val="single" w:sz="4" w:space="0" w:color="2E74B5"/>
              <w:right w:val="single" w:sz="4" w:space="0" w:color="2E74B5"/>
            </w:tcBorders>
            <w:shd w:val="clear" w:color="auto" w:fill="auto"/>
            <w:vAlign w:val="center"/>
          </w:tcPr>
          <w:p w14:paraId="25AC2CC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1.926 €</w:t>
            </w:r>
          </w:p>
        </w:tc>
        <w:tc>
          <w:tcPr>
            <w:tcW w:w="1134" w:type="dxa"/>
            <w:tcBorders>
              <w:top w:val="nil"/>
              <w:left w:val="nil"/>
              <w:bottom w:val="single" w:sz="4" w:space="0" w:color="2E74B5"/>
              <w:right w:val="single" w:sz="4" w:space="0" w:color="2E74B5"/>
            </w:tcBorders>
            <w:shd w:val="clear" w:color="auto" w:fill="auto"/>
            <w:vAlign w:val="center"/>
          </w:tcPr>
          <w:p w14:paraId="593DEDD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23.113 €</w:t>
            </w:r>
          </w:p>
        </w:tc>
        <w:tc>
          <w:tcPr>
            <w:tcW w:w="1164" w:type="dxa"/>
            <w:tcBorders>
              <w:top w:val="nil"/>
              <w:left w:val="nil"/>
              <w:bottom w:val="single" w:sz="4" w:space="0" w:color="2E74B5"/>
              <w:right w:val="single" w:sz="4" w:space="0" w:color="2E74B5"/>
            </w:tcBorders>
            <w:shd w:val="clear" w:color="auto" w:fill="auto"/>
            <w:vAlign w:val="bottom"/>
          </w:tcPr>
          <w:p w14:paraId="37DAF38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w:t>
            </w:r>
          </w:p>
        </w:tc>
        <w:tc>
          <w:tcPr>
            <w:tcW w:w="1206" w:type="dxa"/>
            <w:tcBorders>
              <w:top w:val="nil"/>
              <w:left w:val="nil"/>
              <w:bottom w:val="single" w:sz="4" w:space="0" w:color="2E74B5"/>
              <w:right w:val="single" w:sz="4" w:space="0" w:color="2E74B5"/>
            </w:tcBorders>
            <w:shd w:val="clear" w:color="auto" w:fill="auto"/>
            <w:vAlign w:val="bottom"/>
          </w:tcPr>
          <w:p w14:paraId="65BD5D61"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40%</w:t>
            </w:r>
          </w:p>
        </w:tc>
      </w:tr>
      <w:tr w:rsidR="00FA3602" w14:paraId="763CA2E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975D12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Extremadura</w:t>
            </w:r>
          </w:p>
        </w:tc>
        <w:tc>
          <w:tcPr>
            <w:tcW w:w="1417" w:type="dxa"/>
            <w:tcBorders>
              <w:top w:val="nil"/>
              <w:left w:val="nil"/>
              <w:bottom w:val="single" w:sz="4" w:space="0" w:color="2E74B5"/>
              <w:right w:val="single" w:sz="4" w:space="0" w:color="2E74B5"/>
            </w:tcBorders>
            <w:shd w:val="clear" w:color="auto" w:fill="auto"/>
            <w:vAlign w:val="bottom"/>
          </w:tcPr>
          <w:p w14:paraId="57E4DB1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134" w:type="dxa"/>
            <w:tcBorders>
              <w:top w:val="nil"/>
              <w:left w:val="nil"/>
              <w:bottom w:val="single" w:sz="4" w:space="0" w:color="2E74B5"/>
              <w:right w:val="single" w:sz="4" w:space="0" w:color="2E74B5"/>
            </w:tcBorders>
            <w:shd w:val="clear" w:color="auto" w:fill="auto"/>
            <w:vAlign w:val="bottom"/>
          </w:tcPr>
          <w:p w14:paraId="01B5139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6,03 €</w:t>
            </w:r>
          </w:p>
        </w:tc>
        <w:tc>
          <w:tcPr>
            <w:tcW w:w="1134" w:type="dxa"/>
            <w:tcBorders>
              <w:top w:val="nil"/>
              <w:left w:val="nil"/>
              <w:bottom w:val="single" w:sz="4" w:space="0" w:color="2E74B5"/>
              <w:right w:val="single" w:sz="4" w:space="0" w:color="2E74B5"/>
            </w:tcBorders>
            <w:shd w:val="clear" w:color="auto" w:fill="auto"/>
            <w:vAlign w:val="center"/>
          </w:tcPr>
          <w:p w14:paraId="1ABD375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482 €</w:t>
            </w:r>
          </w:p>
        </w:tc>
        <w:tc>
          <w:tcPr>
            <w:tcW w:w="1276" w:type="dxa"/>
            <w:tcBorders>
              <w:top w:val="nil"/>
              <w:left w:val="nil"/>
              <w:bottom w:val="single" w:sz="4" w:space="0" w:color="2E74B5"/>
              <w:right w:val="single" w:sz="4" w:space="0" w:color="2E74B5"/>
            </w:tcBorders>
            <w:shd w:val="clear" w:color="auto" w:fill="auto"/>
            <w:vAlign w:val="center"/>
          </w:tcPr>
          <w:p w14:paraId="6801A46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1.862 €</w:t>
            </w:r>
          </w:p>
        </w:tc>
        <w:tc>
          <w:tcPr>
            <w:tcW w:w="1134" w:type="dxa"/>
            <w:tcBorders>
              <w:top w:val="nil"/>
              <w:left w:val="nil"/>
              <w:bottom w:val="single" w:sz="4" w:space="0" w:color="2E74B5"/>
              <w:right w:val="single" w:sz="4" w:space="0" w:color="2E74B5"/>
            </w:tcBorders>
            <w:shd w:val="clear" w:color="auto" w:fill="auto"/>
            <w:vAlign w:val="center"/>
          </w:tcPr>
          <w:p w14:paraId="220D0E6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22.345 €</w:t>
            </w:r>
          </w:p>
        </w:tc>
        <w:tc>
          <w:tcPr>
            <w:tcW w:w="1164" w:type="dxa"/>
            <w:tcBorders>
              <w:top w:val="nil"/>
              <w:left w:val="nil"/>
              <w:bottom w:val="single" w:sz="4" w:space="0" w:color="2E74B5"/>
              <w:right w:val="single" w:sz="4" w:space="0" w:color="2E74B5"/>
            </w:tcBorders>
            <w:shd w:val="clear" w:color="auto" w:fill="auto"/>
            <w:vAlign w:val="bottom"/>
          </w:tcPr>
          <w:p w14:paraId="69EEA9C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w:t>
            </w:r>
          </w:p>
        </w:tc>
        <w:tc>
          <w:tcPr>
            <w:tcW w:w="1206" w:type="dxa"/>
            <w:tcBorders>
              <w:top w:val="nil"/>
              <w:left w:val="nil"/>
              <w:bottom w:val="single" w:sz="4" w:space="0" w:color="2E74B5"/>
              <w:right w:val="single" w:sz="4" w:space="0" w:color="2E74B5"/>
            </w:tcBorders>
            <w:shd w:val="clear" w:color="auto" w:fill="auto"/>
            <w:vAlign w:val="bottom"/>
          </w:tcPr>
          <w:p w14:paraId="03F557F9"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26%</w:t>
            </w:r>
          </w:p>
        </w:tc>
      </w:tr>
      <w:tr w:rsidR="00FA3602" w14:paraId="544CA7F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0F4261A5"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Extremadura</w:t>
            </w:r>
          </w:p>
        </w:tc>
        <w:tc>
          <w:tcPr>
            <w:tcW w:w="1417" w:type="dxa"/>
            <w:tcBorders>
              <w:top w:val="nil"/>
              <w:left w:val="nil"/>
              <w:bottom w:val="single" w:sz="4" w:space="0" w:color="2E74B5"/>
              <w:right w:val="single" w:sz="4" w:space="0" w:color="2E74B5"/>
            </w:tcBorders>
            <w:shd w:val="clear" w:color="auto" w:fill="auto"/>
            <w:vAlign w:val="bottom"/>
          </w:tcPr>
          <w:p w14:paraId="00A8B5CF"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134" w:type="dxa"/>
            <w:tcBorders>
              <w:top w:val="nil"/>
              <w:left w:val="nil"/>
              <w:bottom w:val="single" w:sz="4" w:space="0" w:color="2E74B5"/>
              <w:right w:val="single" w:sz="4" w:space="0" w:color="2E74B5"/>
            </w:tcBorders>
            <w:shd w:val="clear" w:color="auto" w:fill="auto"/>
            <w:vAlign w:val="bottom"/>
          </w:tcPr>
          <w:p w14:paraId="635388E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5,05 €</w:t>
            </w:r>
          </w:p>
        </w:tc>
        <w:tc>
          <w:tcPr>
            <w:tcW w:w="1134" w:type="dxa"/>
            <w:tcBorders>
              <w:top w:val="nil"/>
              <w:left w:val="nil"/>
              <w:bottom w:val="single" w:sz="4" w:space="0" w:color="2E74B5"/>
              <w:right w:val="single" w:sz="4" w:space="0" w:color="2E74B5"/>
            </w:tcBorders>
            <w:shd w:val="clear" w:color="auto" w:fill="auto"/>
            <w:vAlign w:val="center"/>
          </w:tcPr>
          <w:p w14:paraId="16B7394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404 €</w:t>
            </w:r>
          </w:p>
        </w:tc>
        <w:tc>
          <w:tcPr>
            <w:tcW w:w="1276" w:type="dxa"/>
            <w:tcBorders>
              <w:top w:val="nil"/>
              <w:left w:val="nil"/>
              <w:bottom w:val="single" w:sz="4" w:space="0" w:color="2E74B5"/>
              <w:right w:val="single" w:sz="4" w:space="0" w:color="2E74B5"/>
            </w:tcBorders>
            <w:shd w:val="clear" w:color="auto" w:fill="auto"/>
            <w:vAlign w:val="center"/>
          </w:tcPr>
          <w:p w14:paraId="0E1CD1F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1.932 €</w:t>
            </w:r>
          </w:p>
        </w:tc>
        <w:tc>
          <w:tcPr>
            <w:tcW w:w="1134" w:type="dxa"/>
            <w:tcBorders>
              <w:top w:val="nil"/>
              <w:left w:val="nil"/>
              <w:bottom w:val="single" w:sz="4" w:space="0" w:color="2E74B5"/>
              <w:right w:val="single" w:sz="4" w:space="0" w:color="2E74B5"/>
            </w:tcBorders>
            <w:shd w:val="clear" w:color="auto" w:fill="auto"/>
            <w:vAlign w:val="center"/>
          </w:tcPr>
          <w:p w14:paraId="02B0295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23.181 €</w:t>
            </w:r>
          </w:p>
        </w:tc>
        <w:tc>
          <w:tcPr>
            <w:tcW w:w="1164" w:type="dxa"/>
            <w:tcBorders>
              <w:top w:val="nil"/>
              <w:left w:val="nil"/>
              <w:bottom w:val="single" w:sz="4" w:space="0" w:color="2E74B5"/>
              <w:right w:val="single" w:sz="4" w:space="0" w:color="2E74B5"/>
            </w:tcBorders>
            <w:shd w:val="clear" w:color="auto" w:fill="auto"/>
            <w:vAlign w:val="bottom"/>
          </w:tcPr>
          <w:p w14:paraId="3B2F511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w:t>
            </w:r>
          </w:p>
        </w:tc>
        <w:tc>
          <w:tcPr>
            <w:tcW w:w="1206" w:type="dxa"/>
            <w:tcBorders>
              <w:top w:val="nil"/>
              <w:left w:val="nil"/>
              <w:bottom w:val="single" w:sz="4" w:space="0" w:color="2E74B5"/>
              <w:right w:val="single" w:sz="4" w:space="0" w:color="2E74B5"/>
            </w:tcBorders>
            <w:shd w:val="clear" w:color="auto" w:fill="auto"/>
            <w:vAlign w:val="bottom"/>
          </w:tcPr>
          <w:p w14:paraId="2147A333"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21%</w:t>
            </w:r>
          </w:p>
        </w:tc>
      </w:tr>
      <w:tr w:rsidR="00FA3602" w14:paraId="101CBA7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1BD41FF9"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Galicia</w:t>
            </w:r>
          </w:p>
        </w:tc>
        <w:tc>
          <w:tcPr>
            <w:tcW w:w="1417" w:type="dxa"/>
            <w:tcBorders>
              <w:top w:val="nil"/>
              <w:left w:val="nil"/>
              <w:bottom w:val="single" w:sz="4" w:space="0" w:color="2E74B5"/>
              <w:right w:val="single" w:sz="4" w:space="0" w:color="2E74B5"/>
            </w:tcBorders>
            <w:shd w:val="clear" w:color="auto" w:fill="auto"/>
            <w:vAlign w:val="bottom"/>
          </w:tcPr>
          <w:p w14:paraId="33DB4F40"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134" w:type="dxa"/>
            <w:tcBorders>
              <w:top w:val="nil"/>
              <w:left w:val="nil"/>
              <w:bottom w:val="single" w:sz="4" w:space="0" w:color="2E74B5"/>
              <w:right w:val="single" w:sz="4" w:space="0" w:color="2E74B5"/>
            </w:tcBorders>
            <w:shd w:val="clear" w:color="auto" w:fill="auto"/>
            <w:vAlign w:val="bottom"/>
          </w:tcPr>
          <w:p w14:paraId="7F7C222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7,63 €</w:t>
            </w:r>
          </w:p>
        </w:tc>
        <w:tc>
          <w:tcPr>
            <w:tcW w:w="1134" w:type="dxa"/>
            <w:tcBorders>
              <w:top w:val="nil"/>
              <w:left w:val="nil"/>
              <w:bottom w:val="single" w:sz="4" w:space="0" w:color="2E74B5"/>
              <w:right w:val="single" w:sz="4" w:space="0" w:color="2E74B5"/>
            </w:tcBorders>
            <w:shd w:val="clear" w:color="auto" w:fill="auto"/>
            <w:vAlign w:val="center"/>
          </w:tcPr>
          <w:p w14:paraId="58369B6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610 €</w:t>
            </w:r>
          </w:p>
        </w:tc>
        <w:tc>
          <w:tcPr>
            <w:tcW w:w="1276" w:type="dxa"/>
            <w:tcBorders>
              <w:top w:val="nil"/>
              <w:left w:val="nil"/>
              <w:bottom w:val="single" w:sz="4" w:space="0" w:color="2E74B5"/>
              <w:right w:val="single" w:sz="4" w:space="0" w:color="2E74B5"/>
            </w:tcBorders>
            <w:shd w:val="clear" w:color="auto" w:fill="auto"/>
            <w:vAlign w:val="center"/>
          </w:tcPr>
          <w:p w14:paraId="41F41CC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1.887 €</w:t>
            </w:r>
          </w:p>
        </w:tc>
        <w:tc>
          <w:tcPr>
            <w:tcW w:w="1134" w:type="dxa"/>
            <w:tcBorders>
              <w:top w:val="nil"/>
              <w:left w:val="nil"/>
              <w:bottom w:val="single" w:sz="4" w:space="0" w:color="2E74B5"/>
              <w:right w:val="single" w:sz="4" w:space="0" w:color="2E74B5"/>
            </w:tcBorders>
            <w:shd w:val="clear" w:color="auto" w:fill="auto"/>
            <w:vAlign w:val="center"/>
          </w:tcPr>
          <w:p w14:paraId="4D00C2C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22.649 €</w:t>
            </w:r>
          </w:p>
        </w:tc>
        <w:tc>
          <w:tcPr>
            <w:tcW w:w="1164" w:type="dxa"/>
            <w:tcBorders>
              <w:top w:val="nil"/>
              <w:left w:val="nil"/>
              <w:bottom w:val="single" w:sz="4" w:space="0" w:color="2E74B5"/>
              <w:right w:val="single" w:sz="4" w:space="0" w:color="2E74B5"/>
            </w:tcBorders>
            <w:shd w:val="clear" w:color="auto" w:fill="auto"/>
            <w:vAlign w:val="bottom"/>
          </w:tcPr>
          <w:p w14:paraId="313D26E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w:t>
            </w:r>
          </w:p>
        </w:tc>
        <w:tc>
          <w:tcPr>
            <w:tcW w:w="1206" w:type="dxa"/>
            <w:tcBorders>
              <w:top w:val="nil"/>
              <w:left w:val="nil"/>
              <w:bottom w:val="single" w:sz="4" w:space="0" w:color="2E74B5"/>
              <w:right w:val="single" w:sz="4" w:space="0" w:color="2E74B5"/>
            </w:tcBorders>
            <w:shd w:val="clear" w:color="auto" w:fill="auto"/>
            <w:vAlign w:val="bottom"/>
          </w:tcPr>
          <w:p w14:paraId="120976BC"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FA3602" w14:paraId="050F697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392AAC4B"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Galicia</w:t>
            </w:r>
          </w:p>
        </w:tc>
        <w:tc>
          <w:tcPr>
            <w:tcW w:w="1417" w:type="dxa"/>
            <w:tcBorders>
              <w:top w:val="nil"/>
              <w:left w:val="nil"/>
              <w:bottom w:val="single" w:sz="4" w:space="0" w:color="2E74B5"/>
              <w:right w:val="single" w:sz="4" w:space="0" w:color="2E74B5"/>
            </w:tcBorders>
            <w:shd w:val="clear" w:color="auto" w:fill="auto"/>
            <w:vAlign w:val="bottom"/>
          </w:tcPr>
          <w:p w14:paraId="3520882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134" w:type="dxa"/>
            <w:tcBorders>
              <w:top w:val="nil"/>
              <w:left w:val="nil"/>
              <w:bottom w:val="single" w:sz="4" w:space="0" w:color="2E74B5"/>
              <w:right w:val="single" w:sz="4" w:space="0" w:color="2E74B5"/>
            </w:tcBorders>
            <w:shd w:val="clear" w:color="auto" w:fill="auto"/>
            <w:vAlign w:val="bottom"/>
          </w:tcPr>
          <w:p w14:paraId="3C13D78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6,09 €</w:t>
            </w:r>
          </w:p>
        </w:tc>
        <w:tc>
          <w:tcPr>
            <w:tcW w:w="1134" w:type="dxa"/>
            <w:tcBorders>
              <w:top w:val="nil"/>
              <w:left w:val="nil"/>
              <w:bottom w:val="single" w:sz="4" w:space="0" w:color="2E74B5"/>
              <w:right w:val="single" w:sz="4" w:space="0" w:color="2E74B5"/>
            </w:tcBorders>
            <w:shd w:val="clear" w:color="auto" w:fill="auto"/>
            <w:vAlign w:val="center"/>
          </w:tcPr>
          <w:p w14:paraId="6040E31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487 €</w:t>
            </w:r>
          </w:p>
        </w:tc>
        <w:tc>
          <w:tcPr>
            <w:tcW w:w="1276" w:type="dxa"/>
            <w:tcBorders>
              <w:top w:val="nil"/>
              <w:left w:val="nil"/>
              <w:bottom w:val="single" w:sz="4" w:space="0" w:color="2E74B5"/>
              <w:right w:val="single" w:sz="4" w:space="0" w:color="2E74B5"/>
            </w:tcBorders>
            <w:shd w:val="clear" w:color="auto" w:fill="auto"/>
            <w:vAlign w:val="center"/>
          </w:tcPr>
          <w:p w14:paraId="34558D6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1.759 €</w:t>
            </w:r>
          </w:p>
        </w:tc>
        <w:tc>
          <w:tcPr>
            <w:tcW w:w="1134" w:type="dxa"/>
            <w:tcBorders>
              <w:top w:val="nil"/>
              <w:left w:val="nil"/>
              <w:bottom w:val="single" w:sz="4" w:space="0" w:color="2E74B5"/>
              <w:right w:val="single" w:sz="4" w:space="0" w:color="2E74B5"/>
            </w:tcBorders>
            <w:shd w:val="clear" w:color="auto" w:fill="auto"/>
            <w:vAlign w:val="center"/>
          </w:tcPr>
          <w:p w14:paraId="511F69C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164" w:type="dxa"/>
            <w:tcBorders>
              <w:top w:val="nil"/>
              <w:left w:val="nil"/>
              <w:bottom w:val="single" w:sz="4" w:space="0" w:color="2E74B5"/>
              <w:right w:val="single" w:sz="4" w:space="0" w:color="2E74B5"/>
            </w:tcBorders>
            <w:shd w:val="clear" w:color="auto" w:fill="auto"/>
            <w:vAlign w:val="bottom"/>
          </w:tcPr>
          <w:p w14:paraId="3D2A200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206" w:type="dxa"/>
            <w:tcBorders>
              <w:top w:val="nil"/>
              <w:left w:val="nil"/>
              <w:bottom w:val="single" w:sz="4" w:space="0" w:color="2E74B5"/>
              <w:right w:val="single" w:sz="4" w:space="0" w:color="2E74B5"/>
            </w:tcBorders>
            <w:shd w:val="clear" w:color="auto" w:fill="auto"/>
            <w:vAlign w:val="bottom"/>
          </w:tcPr>
          <w:p w14:paraId="141BAED9"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r>
      <w:tr w:rsidR="00FA3602" w14:paraId="44FC2E5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bottom"/>
          </w:tcPr>
          <w:p w14:paraId="3B4CC6C7"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Galicia</w:t>
            </w:r>
          </w:p>
        </w:tc>
        <w:tc>
          <w:tcPr>
            <w:tcW w:w="1417" w:type="dxa"/>
            <w:tcBorders>
              <w:top w:val="nil"/>
              <w:left w:val="nil"/>
              <w:bottom w:val="single" w:sz="4" w:space="0" w:color="2E74B5"/>
              <w:right w:val="single" w:sz="4" w:space="0" w:color="2E74B5"/>
            </w:tcBorders>
            <w:shd w:val="clear" w:color="auto" w:fill="auto"/>
            <w:vAlign w:val="bottom"/>
          </w:tcPr>
          <w:p w14:paraId="0B72990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134" w:type="dxa"/>
            <w:tcBorders>
              <w:top w:val="nil"/>
              <w:left w:val="nil"/>
              <w:bottom w:val="single" w:sz="4" w:space="0" w:color="2E74B5"/>
              <w:right w:val="single" w:sz="4" w:space="0" w:color="2E74B5"/>
            </w:tcBorders>
            <w:shd w:val="clear" w:color="auto" w:fill="auto"/>
            <w:vAlign w:val="bottom"/>
          </w:tcPr>
          <w:p w14:paraId="4664BDF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5,63 €</w:t>
            </w:r>
          </w:p>
        </w:tc>
        <w:tc>
          <w:tcPr>
            <w:tcW w:w="1134" w:type="dxa"/>
            <w:tcBorders>
              <w:top w:val="nil"/>
              <w:left w:val="nil"/>
              <w:bottom w:val="single" w:sz="4" w:space="0" w:color="2E74B5"/>
              <w:right w:val="single" w:sz="4" w:space="0" w:color="2E74B5"/>
            </w:tcBorders>
            <w:shd w:val="clear" w:color="auto" w:fill="auto"/>
            <w:vAlign w:val="center"/>
          </w:tcPr>
          <w:p w14:paraId="21D8773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450 €</w:t>
            </w:r>
          </w:p>
        </w:tc>
        <w:tc>
          <w:tcPr>
            <w:tcW w:w="1276" w:type="dxa"/>
            <w:tcBorders>
              <w:top w:val="nil"/>
              <w:left w:val="nil"/>
              <w:bottom w:val="single" w:sz="4" w:space="0" w:color="2E74B5"/>
              <w:right w:val="single" w:sz="4" w:space="0" w:color="2E74B5"/>
            </w:tcBorders>
            <w:shd w:val="clear" w:color="auto" w:fill="auto"/>
            <w:vAlign w:val="center"/>
          </w:tcPr>
          <w:p w14:paraId="08621B3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1.838 €</w:t>
            </w:r>
          </w:p>
        </w:tc>
        <w:tc>
          <w:tcPr>
            <w:tcW w:w="1134" w:type="dxa"/>
            <w:tcBorders>
              <w:top w:val="nil"/>
              <w:left w:val="nil"/>
              <w:bottom w:val="single" w:sz="4" w:space="0" w:color="2E74B5"/>
              <w:right w:val="single" w:sz="4" w:space="0" w:color="2E74B5"/>
            </w:tcBorders>
            <w:shd w:val="clear" w:color="auto" w:fill="auto"/>
            <w:vAlign w:val="center"/>
          </w:tcPr>
          <w:p w14:paraId="36BB33E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22.052 €</w:t>
            </w:r>
          </w:p>
        </w:tc>
        <w:tc>
          <w:tcPr>
            <w:tcW w:w="1164" w:type="dxa"/>
            <w:tcBorders>
              <w:top w:val="nil"/>
              <w:left w:val="nil"/>
              <w:bottom w:val="single" w:sz="4" w:space="0" w:color="2E74B5"/>
              <w:right w:val="single" w:sz="4" w:space="0" w:color="2E74B5"/>
            </w:tcBorders>
            <w:shd w:val="clear" w:color="auto" w:fill="auto"/>
            <w:vAlign w:val="bottom"/>
          </w:tcPr>
          <w:p w14:paraId="46C3B2E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w:t>
            </w:r>
          </w:p>
        </w:tc>
        <w:tc>
          <w:tcPr>
            <w:tcW w:w="1206" w:type="dxa"/>
            <w:tcBorders>
              <w:top w:val="nil"/>
              <w:left w:val="nil"/>
              <w:bottom w:val="single" w:sz="4" w:space="0" w:color="2E74B5"/>
              <w:right w:val="single" w:sz="4" w:space="0" w:color="2E74B5"/>
            </w:tcBorders>
            <w:shd w:val="clear" w:color="auto" w:fill="auto"/>
            <w:vAlign w:val="bottom"/>
          </w:tcPr>
          <w:p w14:paraId="5CB2733F"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25%</w:t>
            </w:r>
          </w:p>
        </w:tc>
      </w:tr>
      <w:tr w:rsidR="00FA3602" w14:paraId="7514D062"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198AECD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Galicia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01ACCC2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5D2091B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8,18 €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4581FC8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654 €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26C0E37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1.793 €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50E316B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21.518 €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32EB0CB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7E53EF6B"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36%</w:t>
            </w:r>
          </w:p>
        </w:tc>
      </w:tr>
      <w:tr w:rsidR="00FA3602" w14:paraId="03860A97"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3A8B2AD3"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07F6B7CC"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1EF5CA1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7,40 €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56571BB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592 €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66D008C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1.875 €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55ECF84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22.499 €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7EFDBB0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66FC98FD"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FA3602" w14:paraId="1144678F"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4850ECD1"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6399DCF9"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20BF2E8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13,62 €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6167A98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1.090 €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60DEC53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2.210 €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5D413C9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26.525 €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2ABDD2E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4F51D425"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49%</w:t>
            </w:r>
          </w:p>
        </w:tc>
      </w:tr>
      <w:tr w:rsidR="00FA3602" w14:paraId="5568382C"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0845A3CE"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72A9DAEB"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79405557"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9,83 €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3416E11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786 €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6CC529C2"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2.056 €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62DFD67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24.676 €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4034392D"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2E823CE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38%</w:t>
            </w:r>
          </w:p>
        </w:tc>
      </w:tr>
      <w:tr w:rsidR="00FA3602" w14:paraId="09531132"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1A3FD54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1DE6418A"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256D13D1"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10,55 €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649DF3B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844 €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1A9CB06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2.006 €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0828BE0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24.071 €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1E0F057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415231F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42%</w:t>
            </w:r>
          </w:p>
        </w:tc>
      </w:tr>
      <w:tr w:rsidR="00FA3602" w14:paraId="727D4CCC"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52C75D71"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45588D52"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71325163"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12,57 €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3269318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1.006 €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089F18B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2.144 €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5A82D454"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25.731 €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681883CA"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0F84BE18"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47%</w:t>
            </w:r>
          </w:p>
        </w:tc>
      </w:tr>
      <w:tr w:rsidR="00FA3602" w14:paraId="4E10FEC8"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4BF82326"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País Vasco</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09693828"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249C17B9"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15,49 €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1346C8B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1.239 €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1D8F947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2.156 €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283E52B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25.872 €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79F93CDB"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69A084BC"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57%</w:t>
            </w:r>
          </w:p>
        </w:tc>
      </w:tr>
      <w:tr w:rsidR="00FA3602" w14:paraId="0B2BD81E" w14:textId="77777777">
        <w:trPr>
          <w:trHeight w:val="253"/>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bottom"/>
          </w:tcPr>
          <w:p w14:paraId="7D0B1A5D"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Región de Murcia</w:t>
            </w:r>
          </w:p>
        </w:tc>
        <w:tc>
          <w:tcPr>
            <w:tcW w:w="1417" w:type="dxa"/>
            <w:tcBorders>
              <w:top w:val="single" w:sz="4" w:space="0" w:color="2E74B5"/>
              <w:left w:val="nil"/>
              <w:bottom w:val="single" w:sz="4" w:space="0" w:color="2E74B5"/>
              <w:right w:val="single" w:sz="4" w:space="0" w:color="2E74B5"/>
            </w:tcBorders>
            <w:shd w:val="clear" w:color="auto" w:fill="auto"/>
            <w:vAlign w:val="bottom"/>
          </w:tcPr>
          <w:p w14:paraId="2DFF6E94" w14:textId="77777777" w:rsidR="00FA3602" w:rsidRDefault="00AA457E">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134" w:type="dxa"/>
            <w:tcBorders>
              <w:top w:val="single" w:sz="4" w:space="0" w:color="2E74B5"/>
              <w:left w:val="nil"/>
              <w:bottom w:val="single" w:sz="4" w:space="0" w:color="2E74B5"/>
              <w:right w:val="single" w:sz="4" w:space="0" w:color="2E74B5"/>
            </w:tcBorders>
            <w:shd w:val="clear" w:color="auto" w:fill="auto"/>
            <w:vAlign w:val="bottom"/>
          </w:tcPr>
          <w:p w14:paraId="3B41E2E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7,17 €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69ABA305" w14:textId="77777777" w:rsidR="00FA3602" w:rsidRDefault="00FA3602">
            <w:pPr>
              <w:jc w:val="center"/>
              <w:rPr>
                <w:rFonts w:ascii="Open Sans" w:eastAsia="Open Sans" w:hAnsi="Open Sans" w:cs="Open Sans"/>
                <w:color w:val="000000"/>
                <w:sz w:val="18"/>
                <w:szCs w:val="18"/>
              </w:rPr>
            </w:pPr>
          </w:p>
          <w:p w14:paraId="7899D97E"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574 €</w:t>
            </w:r>
          </w:p>
        </w:tc>
        <w:tc>
          <w:tcPr>
            <w:tcW w:w="1276" w:type="dxa"/>
            <w:tcBorders>
              <w:top w:val="single" w:sz="4" w:space="0" w:color="2E74B5"/>
              <w:left w:val="nil"/>
              <w:bottom w:val="single" w:sz="4" w:space="0" w:color="2E74B5"/>
              <w:right w:val="single" w:sz="4" w:space="0" w:color="2E74B5"/>
            </w:tcBorders>
            <w:shd w:val="clear" w:color="auto" w:fill="auto"/>
            <w:vAlign w:val="center"/>
          </w:tcPr>
          <w:p w14:paraId="4139BF71" w14:textId="77777777" w:rsidR="00FA3602" w:rsidRDefault="00FA3602">
            <w:pPr>
              <w:jc w:val="center"/>
              <w:rPr>
                <w:rFonts w:ascii="Open Sans" w:eastAsia="Open Sans" w:hAnsi="Open Sans" w:cs="Open Sans"/>
                <w:color w:val="000000"/>
                <w:sz w:val="18"/>
                <w:szCs w:val="18"/>
              </w:rPr>
            </w:pPr>
          </w:p>
          <w:p w14:paraId="5F7237E0"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1.854 €</w:t>
            </w:r>
          </w:p>
        </w:tc>
        <w:tc>
          <w:tcPr>
            <w:tcW w:w="1134" w:type="dxa"/>
            <w:tcBorders>
              <w:top w:val="single" w:sz="4" w:space="0" w:color="2E74B5"/>
              <w:left w:val="nil"/>
              <w:bottom w:val="single" w:sz="4" w:space="0" w:color="2E74B5"/>
              <w:right w:val="single" w:sz="4" w:space="0" w:color="2E74B5"/>
            </w:tcBorders>
            <w:shd w:val="clear" w:color="auto" w:fill="auto"/>
            <w:vAlign w:val="center"/>
          </w:tcPr>
          <w:p w14:paraId="3BD686CF" w14:textId="77777777" w:rsidR="00FA3602" w:rsidRDefault="00FA3602">
            <w:pPr>
              <w:jc w:val="center"/>
              <w:rPr>
                <w:rFonts w:ascii="Open Sans" w:eastAsia="Open Sans" w:hAnsi="Open Sans" w:cs="Open Sans"/>
                <w:color w:val="000000"/>
                <w:sz w:val="18"/>
                <w:szCs w:val="18"/>
              </w:rPr>
            </w:pPr>
          </w:p>
          <w:p w14:paraId="2FFE8566"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22.248 €</w:t>
            </w:r>
          </w:p>
        </w:tc>
        <w:tc>
          <w:tcPr>
            <w:tcW w:w="1164" w:type="dxa"/>
            <w:tcBorders>
              <w:top w:val="single" w:sz="4" w:space="0" w:color="2E74B5"/>
              <w:left w:val="nil"/>
              <w:bottom w:val="single" w:sz="4" w:space="0" w:color="2E74B5"/>
              <w:right w:val="single" w:sz="4" w:space="0" w:color="2E74B5"/>
            </w:tcBorders>
            <w:shd w:val="clear" w:color="auto" w:fill="auto"/>
            <w:vAlign w:val="bottom"/>
          </w:tcPr>
          <w:p w14:paraId="5250577F" w14:textId="77777777" w:rsidR="00FA3602" w:rsidRDefault="00AA457E">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w:t>
            </w:r>
          </w:p>
        </w:tc>
        <w:tc>
          <w:tcPr>
            <w:tcW w:w="1206" w:type="dxa"/>
            <w:tcBorders>
              <w:top w:val="single" w:sz="4" w:space="0" w:color="2E74B5"/>
              <w:left w:val="nil"/>
              <w:bottom w:val="single" w:sz="4" w:space="0" w:color="2E74B5"/>
              <w:right w:val="single" w:sz="4" w:space="0" w:color="2E74B5"/>
            </w:tcBorders>
            <w:shd w:val="clear" w:color="auto" w:fill="auto"/>
            <w:vAlign w:val="bottom"/>
          </w:tcPr>
          <w:p w14:paraId="6F397AE0" w14:textId="77777777" w:rsidR="00FA3602" w:rsidRDefault="00AA457E">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bl>
    <w:p w14:paraId="2C0EAA60" w14:textId="77777777" w:rsidR="00FA3602" w:rsidRDefault="00FA3602">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49AAF68C" w14:textId="77777777" w:rsidR="00FA3602" w:rsidRDefault="00FA3602">
      <w:pPr>
        <w:spacing w:line="276" w:lineRule="auto"/>
        <w:ind w:right="-574"/>
        <w:jc w:val="right"/>
        <w:rPr>
          <w:rFonts w:ascii="Open Sans Light" w:eastAsia="Open Sans Light" w:hAnsi="Open Sans Light" w:cs="Open Sans Light"/>
          <w:b/>
          <w:color w:val="303AB2"/>
        </w:rPr>
      </w:pPr>
    </w:p>
    <w:p w14:paraId="3EC13240" w14:textId="77777777" w:rsidR="00FA3602" w:rsidRDefault="00FA3602">
      <w:pPr>
        <w:ind w:right="-574"/>
        <w:jc w:val="right"/>
        <w:rPr>
          <w:rFonts w:ascii="Open Sans Light" w:eastAsia="Open Sans Light" w:hAnsi="Open Sans Light" w:cs="Open Sans Light"/>
          <w:b/>
          <w:color w:val="303AB2"/>
        </w:rPr>
      </w:pPr>
    </w:p>
    <w:p w14:paraId="14B18F7A" w14:textId="77777777" w:rsidR="00FA3602" w:rsidRDefault="00AA457E">
      <w:pPr>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7ADA0712" w14:textId="77777777" w:rsidR="00FA3602" w:rsidRDefault="00FA3602">
      <w:pPr>
        <w:ind w:right="-574"/>
        <w:jc w:val="right"/>
        <w:rPr>
          <w:rFonts w:ascii="Open Sans Light" w:eastAsia="Open Sans Light" w:hAnsi="Open Sans Light" w:cs="Open Sans Light"/>
          <w:b/>
          <w:color w:val="303AB2"/>
        </w:rPr>
      </w:pPr>
    </w:p>
    <w:p w14:paraId="194E2FE2" w14:textId="77777777" w:rsidR="00FA3602" w:rsidRDefault="00AA457E">
      <w:pPr>
        <w:pBdr>
          <w:top w:val="nil"/>
          <w:left w:val="nil"/>
          <w:bottom w:val="nil"/>
          <w:right w:val="nil"/>
          <w:between w:val="nil"/>
        </w:pBdr>
        <w:shd w:val="clear" w:color="auto" w:fill="FFFFFF"/>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w:t>
      </w:r>
      <w:r>
        <w:rPr>
          <w:rFonts w:ascii="Open Sans" w:eastAsia="Open Sans" w:hAnsi="Open Sans" w:cs="Open Sans"/>
          <w:sz w:val="22"/>
          <w:szCs w:val="22"/>
        </w:rPr>
        <w:t>J</w:t>
      </w:r>
      <w:r>
        <w:rPr>
          <w:rFonts w:ascii="Open Sans" w:eastAsia="Open Sans" w:hAnsi="Open Sans" w:cs="Open Sans"/>
          <w:color w:val="000000"/>
          <w:sz w:val="22"/>
          <w:szCs w:val="22"/>
        </w:rPr>
        <w:t>obs en 2021, que según los datos del Informe Anual InfoJobs se situaba en 24.555 euros anuales, y el precio medio d</w:t>
      </w:r>
      <w:r>
        <w:rPr>
          <w:rFonts w:ascii="Open Sans" w:eastAsia="Open Sans" w:hAnsi="Open Sans" w:cs="Open Sans"/>
          <w:color w:val="000000"/>
          <w:sz w:val="22"/>
          <w:szCs w:val="22"/>
        </w:rPr>
        <w:t>e vivienda, que calcula el portal Fotocasa a través de su índice inmobiliario desde hace más de 17 años. Más concretamente, se refiere al alquiler de una vivienda media en España,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cuyo coste es de 10,27 euros el metro cuadrado al mes (a fecha de </w:t>
      </w:r>
      <w:r>
        <w:rPr>
          <w:rFonts w:ascii="Open Sans" w:eastAsia="Open Sans" w:hAnsi="Open Sans" w:cs="Open Sans"/>
          <w:color w:val="000000"/>
          <w:sz w:val="22"/>
          <w:szCs w:val="22"/>
        </w:rPr>
        <w:t>diciembre de 2021).</w:t>
      </w:r>
    </w:p>
    <w:p w14:paraId="678FABC5" w14:textId="77777777" w:rsidR="00FA3602" w:rsidRDefault="00FA3602">
      <w:pPr>
        <w:pBdr>
          <w:top w:val="nil"/>
          <w:left w:val="nil"/>
          <w:bottom w:val="nil"/>
          <w:right w:val="nil"/>
          <w:between w:val="nil"/>
        </w:pBdr>
        <w:shd w:val="clear" w:color="auto" w:fill="FFFFFF"/>
        <w:ind w:right="-574"/>
        <w:jc w:val="both"/>
        <w:rPr>
          <w:rFonts w:ascii="Open Sans" w:eastAsia="Open Sans" w:hAnsi="Open Sans" w:cs="Open Sans"/>
          <w:color w:val="000000"/>
          <w:sz w:val="22"/>
          <w:szCs w:val="22"/>
        </w:rPr>
      </w:pPr>
    </w:p>
    <w:p w14:paraId="0DBD8707" w14:textId="77777777" w:rsidR="00FA3602" w:rsidRDefault="00FA3602">
      <w:pPr>
        <w:spacing w:line="276" w:lineRule="auto"/>
        <w:ind w:right="-574"/>
        <w:jc w:val="right"/>
        <w:rPr>
          <w:rFonts w:ascii="Open Sans Light" w:eastAsia="Open Sans Light" w:hAnsi="Open Sans Light" w:cs="Open Sans Light"/>
          <w:b/>
          <w:color w:val="303AB2"/>
        </w:rPr>
      </w:pPr>
    </w:p>
    <w:p w14:paraId="3AF1BE95" w14:textId="77777777" w:rsidR="00FA3602" w:rsidRDefault="00FA3602">
      <w:pPr>
        <w:spacing w:line="276" w:lineRule="auto"/>
        <w:ind w:right="-574"/>
        <w:jc w:val="right"/>
        <w:rPr>
          <w:rFonts w:ascii="Open Sans Light" w:eastAsia="Open Sans Light" w:hAnsi="Open Sans Light" w:cs="Open Sans Light"/>
          <w:b/>
          <w:color w:val="303AB2"/>
        </w:rPr>
      </w:pPr>
    </w:p>
    <w:p w14:paraId="672925F4" w14:textId="77777777" w:rsidR="00FA3602" w:rsidRDefault="00AA457E">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30A1FAF3" w14:textId="77777777" w:rsidR="00FA3602" w:rsidRDefault="00AA457E">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un informe de referencia sobre la evolución del precio medio de la vivienda en España, tanto en venta como en alquiler. Además, desde hace varios años cuenta con un consolidado departamento de estudios, bajo el nombre de </w:t>
      </w:r>
      <w:hyperlink r:id="rId20">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5125190A" w14:textId="77777777" w:rsidR="00FA3602" w:rsidRDefault="00FA3602">
      <w:pPr>
        <w:spacing w:line="276" w:lineRule="auto"/>
        <w:ind w:right="-574"/>
        <w:jc w:val="right"/>
        <w:rPr>
          <w:rFonts w:ascii="Open Sans Light" w:eastAsia="Open Sans Light" w:hAnsi="Open Sans Light" w:cs="Open Sans Light"/>
          <w:b/>
          <w:color w:val="303AB2"/>
        </w:rPr>
      </w:pPr>
    </w:p>
    <w:p w14:paraId="173E6988" w14:textId="77777777" w:rsidR="00FA3602" w:rsidRDefault="00AA457E">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5063322A" w14:textId="77777777" w:rsidR="00FA3602" w:rsidRDefault="00AA457E">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Plataforma líder en España para encontrar las mejores oportunidades profesionales y el mejor talento. En el último año, InfoJobs ha publicado m</w:t>
      </w:r>
      <w:r>
        <w:rPr>
          <w:rFonts w:ascii="Open Sans" w:eastAsia="Open Sans" w:hAnsi="Open Sans" w:cs="Open Sans"/>
          <w:color w:val="000000"/>
          <w:sz w:val="22"/>
          <w:szCs w:val="22"/>
        </w:rPr>
        <w:t xml:space="preserve">ás de </w:t>
      </w:r>
      <w:r>
        <w:rPr>
          <w:rFonts w:ascii="Open Sans" w:eastAsia="Open Sans" w:hAnsi="Open Sans" w:cs="Open Sans"/>
          <w:sz w:val="22"/>
          <w:szCs w:val="22"/>
        </w:rPr>
        <w:t>2</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2022</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bs se firma un nuevo contrat</w:t>
      </w:r>
      <w:r>
        <w:rPr>
          <w:rFonts w:ascii="Open Sans" w:eastAsia="Open Sans" w:hAnsi="Open Sans" w:cs="Open Sans"/>
          <w:color w:val="000000"/>
          <w:sz w:val="22"/>
          <w:szCs w:val="22"/>
        </w:rPr>
        <w:t>o de trabajo cada 30 segundos.</w:t>
      </w:r>
    </w:p>
    <w:p w14:paraId="08885219" w14:textId="77777777" w:rsidR="00FA3602" w:rsidRDefault="00AA457E">
      <w:pPr>
        <w:shd w:val="clear" w:color="auto" w:fill="FFFFFF"/>
        <w:spacing w:before="280" w:after="280" w:line="276" w:lineRule="auto"/>
        <w:ind w:right="-567"/>
        <w:jc w:val="both"/>
        <w:rPr>
          <w:rFonts w:ascii="Open Sans" w:eastAsia="Open Sans" w:hAnsi="Open Sans" w:cs="Open Sans"/>
          <w:sz w:val="22"/>
          <w:szCs w:val="22"/>
        </w:rPr>
      </w:pPr>
      <w:hyperlink r:id="rId21">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22">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 xml:space="preserve"> HYPERLINK "https://www.infojobs.net/" \h </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4">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5">
        <w:r>
          <w:rPr>
            <w:rFonts w:ascii="Open Sans" w:eastAsia="Open Sans" w:hAnsi="Open Sans" w:cs="Open Sans"/>
            <w:color w:val="0000FF"/>
            <w:sz w:val="22"/>
            <w:szCs w:val="22"/>
            <w:u w:val="single"/>
          </w:rPr>
          <w:t>motos.ne</w:t>
        </w:r>
      </w:hyperlink>
      <w:r>
        <w:rPr>
          <w:rFonts w:ascii="Open Sans" w:eastAsia="Open Sans" w:hAnsi="Open Sans" w:cs="Open Sans"/>
          <w:sz w:val="22"/>
          <w:szCs w:val="22"/>
        </w:rPr>
        <w:t xml:space="preserve">t) y compraventa </w:t>
      </w:r>
      <w:r>
        <w:rPr>
          <w:rFonts w:ascii="Open Sans" w:eastAsia="Open Sans" w:hAnsi="Open Sans" w:cs="Open Sans"/>
          <w:sz w:val="22"/>
          <w:szCs w:val="22"/>
        </w:rPr>
        <w:t>de artículos de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70C23E94" w14:textId="77777777" w:rsidR="00FA3602" w:rsidRDefault="00AA457E">
      <w:pPr>
        <w:shd w:val="clear" w:color="auto" w:fill="FFFFFF"/>
        <w:spacing w:after="240" w:line="276" w:lineRule="auto"/>
        <w:ind w:right="-550"/>
        <w:jc w:val="both"/>
        <w:rPr>
          <w:rFonts w:ascii="Open Sans" w:eastAsia="Open Sans" w:hAnsi="Open Sans" w:cs="Open Sans"/>
          <w:color w:val="0000FF"/>
          <w:sz w:val="22"/>
          <w:szCs w:val="22"/>
          <w:u w:val="single"/>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en 15 países de Europa y América Latina. En España cuenta con una plantilla de 1.100 empleados, comprometidos con fomentar un cambio positiv</w:t>
      </w:r>
      <w:r>
        <w:rPr>
          <w:rFonts w:ascii="Open Sans" w:eastAsia="Open Sans" w:hAnsi="Open Sans" w:cs="Open Sans"/>
          <w:sz w:val="22"/>
          <w:szCs w:val="22"/>
        </w:rPr>
        <w:t>o en el mundo a través de tecnología innovadora, otorgando una nueva oportunidad a quienes la están buscando y dando a las cosas una segunda vida. El conjunto de sus plataformas locales recibe un promedio de 3.000 millones de visitas cada mes. Más informac</w:t>
      </w:r>
      <w:r>
        <w:rPr>
          <w:rFonts w:ascii="Open Sans" w:eastAsia="Open Sans" w:hAnsi="Open Sans" w:cs="Open Sans"/>
          <w:sz w:val="22"/>
          <w:szCs w:val="22"/>
        </w:rPr>
        <w:t>ión en</w:t>
      </w:r>
      <w:hyperlink r:id="rId26">
        <w:r>
          <w:rPr>
            <w:rFonts w:ascii="Open Sans" w:eastAsia="Open Sans" w:hAnsi="Open Sans" w:cs="Open Sans"/>
            <w:sz w:val="22"/>
            <w:szCs w:val="22"/>
          </w:rPr>
          <w:t xml:space="preserve"> </w:t>
        </w:r>
      </w:hyperlink>
      <w:hyperlink r:id="rId27">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66E7A821" w14:textId="77777777" w:rsidR="00FA3602" w:rsidRDefault="00AA457E">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6029D746" w14:textId="77777777" w:rsidR="00FA3602" w:rsidRDefault="00AA457E">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403477BD" w14:textId="77777777" w:rsidR="00FA3602" w:rsidRDefault="00AA457E">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7E2694C" w14:textId="77777777" w:rsidR="00FA3602" w:rsidRDefault="00AA457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8">
        <w:r>
          <w:rPr>
            <w:rFonts w:ascii="Open Sans" w:eastAsia="Open Sans" w:hAnsi="Open Sans" w:cs="Open Sans"/>
            <w:color w:val="0000FF"/>
            <w:sz w:val="21"/>
            <w:szCs w:val="21"/>
            <w:u w:val="single"/>
          </w:rPr>
          <w:t>comunicacion@fotocasa.es</w:t>
        </w:r>
      </w:hyperlink>
    </w:p>
    <w:p w14:paraId="03EE6812" w14:textId="77777777" w:rsidR="00FA3602" w:rsidRDefault="00AA457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9">
        <w:r>
          <w:rPr>
            <w:rFonts w:ascii="Open Sans" w:eastAsia="Open Sans" w:hAnsi="Open Sans" w:cs="Open Sans"/>
            <w:color w:val="0000FF"/>
            <w:sz w:val="21"/>
            <w:szCs w:val="21"/>
            <w:u w:val="single"/>
          </w:rPr>
          <w:t>http://prensa.fotocasa.es</w:t>
        </w:r>
      </w:hyperlink>
    </w:p>
    <w:p w14:paraId="6C1B3DBF" w14:textId="77777777" w:rsidR="00FA3602" w:rsidRDefault="00AA457E">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6C1CC5F7" w14:textId="77777777" w:rsidR="00FA3602" w:rsidRDefault="00FA3602">
      <w:pPr>
        <w:shd w:val="clear" w:color="auto" w:fill="FFFFFF"/>
        <w:spacing w:before="280" w:line="276" w:lineRule="auto"/>
        <w:ind w:right="-567"/>
        <w:jc w:val="right"/>
        <w:rPr>
          <w:rFonts w:ascii="Open Sans Light" w:eastAsia="Open Sans Light" w:hAnsi="Open Sans Light" w:cs="Open Sans Light"/>
          <w:b/>
          <w:color w:val="303AB2"/>
        </w:rPr>
      </w:pPr>
    </w:p>
    <w:p w14:paraId="26E37F0E" w14:textId="77777777" w:rsidR="00FA3602" w:rsidRDefault="00AA457E">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InfoJobs</w:t>
      </w:r>
    </w:p>
    <w:p w14:paraId="008E0C57" w14:textId="77777777" w:rsidR="00FA3602" w:rsidRDefault="00AA457E">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647C0752" w14:textId="77777777" w:rsidR="00FA3602" w:rsidRDefault="00AA457E">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Oriol Luque</w:t>
      </w:r>
    </w:p>
    <w:p w14:paraId="0531CAF5" w14:textId="77777777" w:rsidR="00FA3602" w:rsidRDefault="00AA457E">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6243C2BD" w14:textId="77777777" w:rsidR="00FA3602" w:rsidRDefault="00AA457E">
      <w:pPr>
        <w:shd w:val="clear" w:color="auto" w:fill="FFFFFF"/>
        <w:spacing w:line="276" w:lineRule="auto"/>
        <w:ind w:right="-574"/>
        <w:jc w:val="right"/>
        <w:rPr>
          <w:rFonts w:ascii="Open Sans" w:eastAsia="Open Sans" w:hAnsi="Open Sans" w:cs="Open Sans"/>
          <w:sz w:val="21"/>
          <w:szCs w:val="21"/>
        </w:rPr>
      </w:pPr>
      <w:hyperlink r:id="rId30">
        <w:r>
          <w:rPr>
            <w:rFonts w:ascii="Open Sans" w:eastAsia="Open Sans" w:hAnsi="Open Sans" w:cs="Open Sans"/>
            <w:color w:val="1155CC"/>
            <w:sz w:val="21"/>
            <w:szCs w:val="21"/>
            <w:u w:val="single"/>
          </w:rPr>
          <w:t>prensa@infojobs.net</w:t>
        </w:r>
      </w:hyperlink>
      <w:r>
        <w:rPr>
          <w:rFonts w:ascii="Open Sans" w:eastAsia="Open Sans" w:hAnsi="Open Sans" w:cs="Open Sans"/>
          <w:sz w:val="21"/>
          <w:szCs w:val="21"/>
        </w:rPr>
        <w:t xml:space="preserve"> </w:t>
      </w:r>
    </w:p>
    <w:p w14:paraId="5C92AD2B" w14:textId="77777777" w:rsidR="00FA3602" w:rsidRDefault="00FA3602">
      <w:pPr>
        <w:ind w:right="-574"/>
        <w:jc w:val="right"/>
        <w:rPr>
          <w:rFonts w:ascii="Open Sans" w:eastAsia="Open Sans" w:hAnsi="Open Sans" w:cs="Open Sans"/>
          <w:sz w:val="21"/>
          <w:szCs w:val="21"/>
        </w:rPr>
      </w:pPr>
    </w:p>
    <w:sectPr w:rsidR="00FA3602">
      <w:headerReference w:type="default" r:id="rId31"/>
      <w:footerReference w:type="default" r:id="rId3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031D" w14:textId="77777777" w:rsidR="00AA457E" w:rsidRDefault="00AA457E">
      <w:r>
        <w:separator/>
      </w:r>
    </w:p>
  </w:endnote>
  <w:endnote w:type="continuationSeparator" w:id="0">
    <w:p w14:paraId="2FAB772A" w14:textId="77777777" w:rsidR="00AA457E" w:rsidRDefault="00AA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C765" w14:textId="77777777" w:rsidR="00FA3602" w:rsidRDefault="00AA457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25AE519B" wp14:editId="2B7D6DAB">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C950" w14:textId="77777777" w:rsidR="00AA457E" w:rsidRDefault="00AA457E">
      <w:r>
        <w:separator/>
      </w:r>
    </w:p>
  </w:footnote>
  <w:footnote w:type="continuationSeparator" w:id="0">
    <w:p w14:paraId="6ED43AA7" w14:textId="77777777" w:rsidR="00AA457E" w:rsidRDefault="00AA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2493" w14:textId="77777777" w:rsidR="00FA3602" w:rsidRDefault="00AA457E">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r>
      <w:rPr>
        <w:noProof/>
      </w:rPr>
      <w:drawing>
        <wp:anchor distT="0" distB="0" distL="114300" distR="114300" simplePos="0" relativeHeight="251658240" behindDoc="0" locked="0" layoutInCell="1" hidden="0" allowOverlap="1" wp14:anchorId="77BBEB8F" wp14:editId="7F48C4AE">
          <wp:simplePos x="0" y="0"/>
          <wp:positionH relativeFrom="column">
            <wp:posOffset>4048125</wp:posOffset>
          </wp:positionH>
          <wp:positionV relativeFrom="paragraph">
            <wp:posOffset>-255585</wp:posOffset>
          </wp:positionV>
          <wp:extent cx="2465705" cy="668020"/>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65705" cy="668020"/>
                  </a:xfrm>
                  <a:prstGeom prst="rect">
                    <a:avLst/>
                  </a:prstGeom>
                  <a:ln/>
                </pic:spPr>
              </pic:pic>
            </a:graphicData>
          </a:graphic>
        </wp:anchor>
      </w:drawing>
    </w:r>
  </w:p>
  <w:p w14:paraId="7AA8FBD5" w14:textId="77777777" w:rsidR="00FA3602" w:rsidRDefault="00FA3602">
    <w:pPr>
      <w:pBdr>
        <w:top w:val="nil"/>
        <w:left w:val="nil"/>
        <w:bottom w:val="nil"/>
        <w:right w:val="nil"/>
        <w:between w:val="nil"/>
      </w:pBdr>
      <w:tabs>
        <w:tab w:val="center" w:pos="4252"/>
        <w:tab w:val="right" w:pos="8504"/>
      </w:tabs>
      <w:rPr>
        <w:color w:val="000000"/>
      </w:rPr>
    </w:pPr>
  </w:p>
  <w:p w14:paraId="3FD211D1" w14:textId="77777777" w:rsidR="00FA3602" w:rsidRDefault="00FA360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EEB"/>
    <w:multiLevelType w:val="multilevel"/>
    <w:tmpl w:val="BA0850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560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02"/>
    <w:rsid w:val="00325582"/>
    <w:rsid w:val="00AA457E"/>
    <w:rsid w:val="00FA3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7623"/>
  <w15:docId w15:val="{FBF5C52B-B7F1-44F7-9E95-77AF534E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A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rPr>
      <w:sz w:val="20"/>
      <w:szCs w:val="20"/>
    </w:rPr>
  </w:style>
  <w:style w:type="character" w:customStyle="1" w:styleId="TextocomentarioCar">
    <w:name w:val="Texto comentario Car"/>
    <w:basedOn w:val="Fuentedeprrafopredeter"/>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BF560E"/>
    <w:rPr>
      <w:b/>
      <w:bCs/>
      <w:sz w:val="20"/>
      <w:szCs w:val="20"/>
    </w:r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s://www.adevinta.com/es/spain/"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https://motos.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https://research.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coche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www.fotocasa.es/" TargetMode="External"/><Relationship Id="rId28" Type="http://schemas.openxmlformats.org/officeDocument/2006/relationships/hyperlink" Target="about:blank" TargetMode="External"/><Relationship Id="rId10" Type="http://schemas.openxmlformats.org/officeDocument/2006/relationships/hyperlink" Target="https://www.infojobs.net/" TargetMode="External"/><Relationship Id="rId19" Type="http://schemas.openxmlformats.org/officeDocument/2006/relationships/hyperlink" Target="https://www.fotocasa.es/indi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s://www.adevinta.com/es/spain/" TargetMode="External"/><Relationship Id="rId30" Type="http://schemas.openxmlformats.org/officeDocument/2006/relationships/hyperlink" Target="mailto:prensa@infojobs.net"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C:\Users\prani\Google%20Drive\PATRI%20Y%20ELENA\001%20CLIENTES\01-SCHIBSTED\04-ESTUDIO%20NdP\INFOJOBS\NdP%202021\ALQUILER\PRENSA%20%20IJ&amp;FC%20-%20ALQUILER%202021.xlsx" TargetMode="External"/><Relationship Id="rId5" Type="http://schemas.openxmlformats.org/officeDocument/2006/relationships/image" Target="../media/image4.png"/><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ALQUILER 2021.xlsx]tablas ALQ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s>
    <c:plotArea>
      <c:layout/>
      <c:barChart>
        <c:barDir val="col"/>
        <c:grouping val="clustered"/>
        <c:varyColors val="0"/>
        <c:ser>
          <c:idx val="0"/>
          <c:order val="0"/>
          <c:tx>
            <c:strRef>
              <c:f>'tablas ALQ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3"/>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1-6EF2-474E-B74E-31F304AFCC5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accent1">
                        <a:lumMod val="7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ALQ CCAA'!$A$3:$A$8</c:f>
              <c:strCache>
                <c:ptCount val="6"/>
                <c:pt idx="0">
                  <c:v>2016</c:v>
                </c:pt>
                <c:pt idx="1">
                  <c:v>2017</c:v>
                </c:pt>
                <c:pt idx="2">
                  <c:v>2018</c:v>
                </c:pt>
                <c:pt idx="3">
                  <c:v>2019</c:v>
                </c:pt>
                <c:pt idx="4">
                  <c:v>2020</c:v>
                </c:pt>
                <c:pt idx="5">
                  <c:v>2021</c:v>
                </c:pt>
              </c:strCache>
            </c:strRef>
          </c:cat>
          <c:val>
            <c:numRef>
              <c:f>'tablas ALQ CCAA'!$B$3:$B$8</c:f>
              <c:numCache>
                <c:formatCode>0%</c:formatCode>
                <c:ptCount val="6"/>
                <c:pt idx="0">
                  <c:v>0.31003051285143013</c:v>
                </c:pt>
                <c:pt idx="1">
                  <c:v>0.33534370579915135</c:v>
                </c:pt>
                <c:pt idx="2">
                  <c:v>0.33927523639151541</c:v>
                </c:pt>
                <c:pt idx="3">
                  <c:v>0.40714910636170476</c:v>
                </c:pt>
                <c:pt idx="4">
                  <c:v>0.40614944583482304</c:v>
                </c:pt>
                <c:pt idx="5">
                  <c:v>0.40151496640195478</c:v>
                </c:pt>
              </c:numCache>
            </c:numRef>
          </c:val>
          <c:extLst>
            <c:ext xmlns:c16="http://schemas.microsoft.com/office/drawing/2014/chart" uri="{C3380CC4-5D6E-409C-BE32-E72D297353CC}">
              <c16:uniqueId val="{00000002-6EF2-474E-B74E-31F304AFCC57}"/>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accent1">
                    <a:lumMod val="7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a39GPrwO7ryBflXp+ZV2UHYNA==">AMUW2mXuGQJMo6jT8P8ZCXIEuKJJqImzIbSEhsPYR4erJCtmCq8TGzqL+RcJspQANs0fbga5FH2YUX88iTlxovQYA5jKG0POxJldFsDXaqH5PLfwDyY/nZjOgPCATP3NhBzsYgHrart1QJvteH3xfrh1oW53/LdjvV9I/qRo1ZbHEKKctwIo8PcI9KRvwiclXApYudObrn2iBA3Ywzn2WPexcHH13uQjbzUj8G1Nu1raTwv07Q28AzCC7+AvTtdW4lQlKL0m/qIlb8tluYhqWm8MySmmnlQqf6CdwHu0jOI+FPlt7CSe2+61IpuUrt8KWJkgOgUrkpBb1UcQ2jX4INb/0CCeNo67lv+jTJTo1NnxN6O7iw2kZbvdg+T77lWDeHAJE+9NIzuNOfjsnF6fLNyRjixp5bCb7Q4WroGAGn9g8IrmZmnJtU9tC3F7z4HEvgt65L0sJqVCGFJ8uPB9sbcU233QpeYe4UMK8W6stR0gyPMLq/iPTY0zYaKWUhmC7BCrelUlfJRVRXzDzuLyxjm01+nvrWSOgJBcssVnMpTAiUuoLWC/WIBX1iw9//WrasEAbM6mGCtZg0QbgGZpdkSwaPFJDQ8B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12419</Characters>
  <Application>Microsoft Office Word</Application>
  <DocSecurity>0</DocSecurity>
  <Lines>103</Lines>
  <Paragraphs>29</Paragraphs>
  <ScaleCrop>false</ScaleCrop>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2</cp:revision>
  <dcterms:created xsi:type="dcterms:W3CDTF">2022-04-18T16:00:00Z</dcterms:created>
  <dcterms:modified xsi:type="dcterms:W3CDTF">2022-04-25T12:06:00Z</dcterms:modified>
</cp:coreProperties>
</file>