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DDB3" w14:textId="77777777" w:rsidR="00C21CC0" w:rsidRDefault="00917D21">
      <w:r>
        <w:rPr>
          <w:noProof/>
        </w:rPr>
        <w:drawing>
          <wp:anchor distT="0" distB="0" distL="114300" distR="114300" simplePos="0" relativeHeight="251658240" behindDoc="0" locked="0" layoutInCell="1" hidden="0" allowOverlap="1" wp14:anchorId="5884F918" wp14:editId="0055047C">
            <wp:simplePos x="0" y="0"/>
            <wp:positionH relativeFrom="column">
              <wp:posOffset>-300961</wp:posOffset>
            </wp:positionH>
            <wp:positionV relativeFrom="paragraph">
              <wp:posOffset>0</wp:posOffset>
            </wp:positionV>
            <wp:extent cx="1614805" cy="904875"/>
            <wp:effectExtent l="0" t="0" r="0" b="0"/>
            <wp:wrapSquare wrapText="bothSides" distT="0" distB="0" distL="114300" distR="114300"/>
            <wp:docPr id="13"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6"/>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899B8B3" wp14:editId="1C4F98F3">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15" name="image4.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Un dibujo de un animal&#10;&#10;Descripción generada automáticamente con confianza media"/>
                    <pic:cNvPicPr preferRelativeResize="0"/>
                  </pic:nvPicPr>
                  <pic:blipFill>
                    <a:blip r:embed="rId7"/>
                    <a:srcRect/>
                    <a:stretch>
                      <a:fillRect/>
                    </a:stretch>
                  </pic:blipFill>
                  <pic:spPr>
                    <a:xfrm>
                      <a:off x="0" y="0"/>
                      <a:ext cx="1744345" cy="660400"/>
                    </a:xfrm>
                    <a:prstGeom prst="rect">
                      <a:avLst/>
                    </a:prstGeom>
                    <a:ln/>
                  </pic:spPr>
                </pic:pic>
              </a:graphicData>
            </a:graphic>
          </wp:anchor>
        </w:drawing>
      </w:r>
    </w:p>
    <w:p w14:paraId="43B6D772" w14:textId="77777777" w:rsidR="00C21CC0" w:rsidRDefault="00C21CC0"/>
    <w:p w14:paraId="58740BD3" w14:textId="77777777" w:rsidR="00C21CC0" w:rsidRDefault="00C21CC0"/>
    <w:p w14:paraId="76F68E91" w14:textId="77777777" w:rsidR="00C21CC0" w:rsidRDefault="00C21CC0"/>
    <w:p w14:paraId="6BC8469C" w14:textId="77777777" w:rsidR="00C21CC0" w:rsidRDefault="00C21CC0"/>
    <w:p w14:paraId="13083F55" w14:textId="10DA1BA0" w:rsidR="00C21CC0" w:rsidRPr="00917D21" w:rsidRDefault="00917D21" w:rsidP="00917D21">
      <w:pPr>
        <w:spacing w:after="0" w:line="240" w:lineRule="auto"/>
        <w:ind w:right="-574"/>
        <w:jc w:val="center"/>
        <w:rPr>
          <w:rFonts w:ascii="Times New Roman" w:eastAsia="Times New Roman" w:hAnsi="Times New Roman" w:cs="Times New Roman"/>
          <w:sz w:val="36"/>
          <w:szCs w:val="36"/>
        </w:rPr>
      </w:pPr>
      <w:r>
        <w:rPr>
          <w:rFonts w:ascii="National" w:eastAsia="National" w:hAnsi="National" w:cs="National"/>
          <w:b/>
          <w:color w:val="1DBDC5"/>
          <w:sz w:val="34"/>
          <w:szCs w:val="34"/>
        </w:rPr>
        <w:t>INFORME: “LA SOSTENIBILIDAD EN LA DEMANDA DE VIVIENDA EN ESPAÑA”</w:t>
      </w:r>
    </w:p>
    <w:p w14:paraId="3E725FF1" w14:textId="77777777" w:rsidR="00C21CC0" w:rsidRDefault="00917D21">
      <w:pPr>
        <w:spacing w:after="0" w:line="240" w:lineRule="auto"/>
        <w:ind w:left="644" w:right="-574"/>
        <w:jc w:val="center"/>
        <w:rPr>
          <w:rFonts w:ascii="National" w:eastAsia="National" w:hAnsi="National" w:cs="National"/>
          <w:b/>
          <w:color w:val="2F5496"/>
          <w:sz w:val="50"/>
          <w:szCs w:val="50"/>
        </w:rPr>
      </w:pPr>
      <w:r>
        <w:rPr>
          <w:rFonts w:ascii="National" w:eastAsia="National" w:hAnsi="National" w:cs="National"/>
          <w:b/>
          <w:color w:val="2F5496"/>
          <w:sz w:val="50"/>
          <w:szCs w:val="50"/>
        </w:rPr>
        <w:t>Un 54% de los compradores pagaría más por una vivienda sostenible</w:t>
      </w:r>
    </w:p>
    <w:p w14:paraId="44D78601" w14:textId="77777777" w:rsidR="00C21CC0" w:rsidRDefault="00C21CC0">
      <w:pPr>
        <w:spacing w:after="0" w:line="240" w:lineRule="auto"/>
        <w:ind w:left="644" w:right="-574"/>
        <w:jc w:val="center"/>
        <w:rPr>
          <w:rFonts w:ascii="Times New Roman" w:eastAsia="Times New Roman" w:hAnsi="Times New Roman" w:cs="Times New Roman"/>
          <w:sz w:val="24"/>
          <w:szCs w:val="24"/>
        </w:rPr>
      </w:pPr>
    </w:p>
    <w:p w14:paraId="1B3CABF5" w14:textId="67ECD693" w:rsidR="00C21CC0" w:rsidRDefault="00917D21">
      <w:pPr>
        <w:numPr>
          <w:ilvl w:val="0"/>
          <w:numId w:val="1"/>
        </w:numPr>
        <w:spacing w:after="0" w:line="240" w:lineRule="auto"/>
        <w:ind w:left="647" w:right="-574"/>
        <w:jc w:val="both"/>
        <w:rPr>
          <w:rFonts w:ascii="Open Sans" w:eastAsia="Open Sans" w:hAnsi="Open Sans" w:cs="Open Sans"/>
          <w:color w:val="000000"/>
        </w:rPr>
      </w:pPr>
      <w:r>
        <w:rPr>
          <w:rFonts w:ascii="Open Sans" w:eastAsia="Open Sans" w:hAnsi="Open Sans" w:cs="Open Sans"/>
        </w:rPr>
        <w:t>Entre los compradores que creen que pagarían más, pero dependiendo del precio, el</w:t>
      </w:r>
      <w:r>
        <w:rPr>
          <w:rFonts w:ascii="Open Sans" w:eastAsia="Open Sans" w:hAnsi="Open Sans" w:cs="Open Sans"/>
          <w:color w:val="000000"/>
        </w:rPr>
        <w:t xml:space="preserve"> 49% no incrementaría más del 5% su presupuesto y un 33% estaría dispuesto a incrementarlo hasta un 10%</w:t>
      </w:r>
    </w:p>
    <w:p w14:paraId="019D9672" w14:textId="77777777" w:rsidR="00C21CC0" w:rsidRDefault="00917D21">
      <w:pPr>
        <w:numPr>
          <w:ilvl w:val="0"/>
          <w:numId w:val="1"/>
        </w:numPr>
        <w:spacing w:after="0" w:line="240" w:lineRule="auto"/>
        <w:ind w:right="-574"/>
        <w:jc w:val="both"/>
        <w:rPr>
          <w:rFonts w:ascii="Open Sans" w:eastAsia="Open Sans" w:hAnsi="Open Sans" w:cs="Open Sans"/>
        </w:rPr>
      </w:pPr>
      <w:r>
        <w:rPr>
          <w:rFonts w:ascii="Open Sans" w:eastAsia="Open Sans" w:hAnsi="Open Sans" w:cs="Open Sans"/>
        </w:rPr>
        <w:t>El precio es el motivo principal por el que los más reacios no se decantan a invertir en vivienda sostenible, en concreto para un 61%</w:t>
      </w:r>
    </w:p>
    <w:p w14:paraId="15A14EFC" w14:textId="77777777" w:rsidR="00C21CC0" w:rsidRDefault="00917D21">
      <w:pPr>
        <w:numPr>
          <w:ilvl w:val="0"/>
          <w:numId w:val="1"/>
        </w:numPr>
        <w:spacing w:after="0" w:line="240" w:lineRule="auto"/>
        <w:ind w:left="647" w:right="-574"/>
        <w:jc w:val="both"/>
        <w:rPr>
          <w:rFonts w:ascii="Open Sans" w:eastAsia="Open Sans" w:hAnsi="Open Sans" w:cs="Open Sans"/>
          <w:color w:val="000000"/>
        </w:rPr>
      </w:pPr>
      <w:r>
        <w:rPr>
          <w:rFonts w:ascii="Open Sans" w:eastAsia="Open Sans" w:hAnsi="Open Sans" w:cs="Open Sans"/>
          <w:color w:val="000000"/>
        </w:rPr>
        <w:t>El 95% de los españoles que quiere mudarse considera importante vivir en una casa sostenible </w:t>
      </w:r>
    </w:p>
    <w:p w14:paraId="685FDC88" w14:textId="77777777" w:rsidR="00C21CC0" w:rsidRDefault="00917D21">
      <w:pPr>
        <w:numPr>
          <w:ilvl w:val="0"/>
          <w:numId w:val="1"/>
        </w:numPr>
        <w:spacing w:after="0" w:line="240" w:lineRule="auto"/>
        <w:ind w:left="647" w:right="-574"/>
        <w:jc w:val="both"/>
        <w:rPr>
          <w:rFonts w:ascii="Open Sans" w:eastAsia="Open Sans" w:hAnsi="Open Sans" w:cs="Open Sans"/>
          <w:color w:val="000000"/>
        </w:rPr>
      </w:pPr>
      <w:r>
        <w:rPr>
          <w:rFonts w:ascii="Open Sans" w:eastAsia="Open Sans" w:hAnsi="Open Sans" w:cs="Open Sans"/>
        </w:rPr>
        <w:t>De los españoles que están dispuestos a pagar más por una vivienda sostenible, 7</w:t>
      </w:r>
      <w:r>
        <w:rPr>
          <w:rFonts w:ascii="Open Sans" w:eastAsia="Open Sans" w:hAnsi="Open Sans" w:cs="Open Sans"/>
          <w:color w:val="000000"/>
        </w:rPr>
        <w:t xml:space="preserve"> de cada </w:t>
      </w:r>
      <w:r>
        <w:rPr>
          <w:rFonts w:ascii="Open Sans" w:eastAsia="Open Sans" w:hAnsi="Open Sans" w:cs="Open Sans"/>
        </w:rPr>
        <w:t>10</w:t>
      </w:r>
      <w:r>
        <w:rPr>
          <w:rFonts w:ascii="Open Sans" w:eastAsia="Open Sans" w:hAnsi="Open Sans" w:cs="Open Sans"/>
          <w:color w:val="000000"/>
        </w:rPr>
        <w:t xml:space="preserve"> compradores de viviendas sostenibles creen que esta inversión puede reducir sus gastos a largo plazo</w:t>
      </w:r>
    </w:p>
    <w:p w14:paraId="409C4195" w14:textId="77777777" w:rsidR="00C21CC0" w:rsidRDefault="00917D21">
      <w:pPr>
        <w:numPr>
          <w:ilvl w:val="0"/>
          <w:numId w:val="1"/>
        </w:numPr>
        <w:spacing w:after="0" w:line="240" w:lineRule="auto"/>
        <w:ind w:left="647" w:right="-574"/>
        <w:jc w:val="both"/>
        <w:rPr>
          <w:rFonts w:ascii="Open Sans" w:eastAsia="Open Sans" w:hAnsi="Open Sans" w:cs="Open Sans"/>
          <w:color w:val="000000"/>
        </w:rPr>
      </w:pPr>
      <w:r>
        <w:rPr>
          <w:rFonts w:ascii="Open Sans" w:eastAsia="Open Sans" w:hAnsi="Open Sans" w:cs="Open Sans"/>
          <w:color w:val="000000"/>
        </w:rPr>
        <w:t>Los aspectos más valorados de una vivienda en materia de sostenibilidad son el sistema de aislamiento y ventilación, la calefacción, la iluminación y la orientación </w:t>
      </w:r>
    </w:p>
    <w:p w14:paraId="458CD023" w14:textId="77777777" w:rsidR="00C21CC0" w:rsidRDefault="00C21CC0">
      <w:pPr>
        <w:spacing w:after="0" w:line="240" w:lineRule="auto"/>
        <w:ind w:right="-574"/>
        <w:jc w:val="both"/>
        <w:rPr>
          <w:rFonts w:ascii="Open Sans" w:eastAsia="Open Sans" w:hAnsi="Open Sans" w:cs="Open Sans"/>
          <w:color w:val="000000"/>
        </w:rPr>
      </w:pPr>
    </w:p>
    <w:p w14:paraId="4619B4D8" w14:textId="77777777" w:rsidR="00C21CC0" w:rsidRDefault="00C21CC0">
      <w:pPr>
        <w:spacing w:after="0" w:line="240" w:lineRule="auto"/>
        <w:ind w:right="-574"/>
        <w:jc w:val="both"/>
        <w:rPr>
          <w:rFonts w:ascii="Open Sans" w:eastAsia="Open Sans" w:hAnsi="Open Sans" w:cs="Open Sans"/>
          <w:color w:val="2F5496"/>
          <w:sz w:val="24"/>
          <w:szCs w:val="24"/>
        </w:rPr>
      </w:pPr>
    </w:p>
    <w:p w14:paraId="633B8C0C" w14:textId="77777777" w:rsidR="00C21CC0" w:rsidRDefault="00917D21">
      <w:pPr>
        <w:spacing w:after="0" w:line="240" w:lineRule="auto"/>
        <w:ind w:right="-574"/>
        <w:jc w:val="both"/>
        <w:rPr>
          <w:rFonts w:ascii="Times New Roman" w:eastAsia="Times New Roman" w:hAnsi="Times New Roman" w:cs="Times New Roman"/>
          <w:b/>
          <w:color w:val="2F5496"/>
          <w:sz w:val="24"/>
          <w:szCs w:val="24"/>
        </w:rPr>
      </w:pPr>
      <w:r>
        <w:rPr>
          <w:rFonts w:ascii="Open Sans" w:eastAsia="Open Sans" w:hAnsi="Open Sans" w:cs="Open Sans"/>
          <w:b/>
          <w:color w:val="2F5496"/>
          <w:sz w:val="24"/>
          <w:szCs w:val="24"/>
        </w:rPr>
        <w:t>Madrid, 05 de abril 2022</w:t>
      </w:r>
    </w:p>
    <w:p w14:paraId="7E78906E" w14:textId="77777777" w:rsidR="00C21CC0" w:rsidRDefault="00C21CC0">
      <w:pPr>
        <w:spacing w:after="0" w:line="240" w:lineRule="auto"/>
        <w:rPr>
          <w:rFonts w:ascii="Times New Roman" w:eastAsia="Times New Roman" w:hAnsi="Times New Roman" w:cs="Times New Roman"/>
          <w:sz w:val="24"/>
          <w:szCs w:val="24"/>
        </w:rPr>
      </w:pPr>
    </w:p>
    <w:p w14:paraId="7249D7A0" w14:textId="77777777" w:rsidR="00C21CC0" w:rsidRDefault="00917D21">
      <w:pPr>
        <w:spacing w:after="0" w:line="240" w:lineRule="auto"/>
        <w:ind w:right="-574"/>
        <w:jc w:val="both"/>
        <w:rPr>
          <w:rFonts w:ascii="Times New Roman" w:eastAsia="Times New Roman" w:hAnsi="Times New Roman" w:cs="Times New Roman"/>
          <w:sz w:val="24"/>
          <w:szCs w:val="24"/>
        </w:rPr>
      </w:pPr>
      <w:r>
        <w:rPr>
          <w:rFonts w:ascii="Open Sans" w:eastAsia="Open Sans" w:hAnsi="Open Sans" w:cs="Open Sans"/>
          <w:color w:val="000000"/>
        </w:rPr>
        <w:t xml:space="preserve">La importancia de la sostenibilidad es una realidad y se ha convertido en un requisito para la población en todos los ámbitos, incluyendo el sector inmobiliario. Desde el alquiler hasta la compra, pasando por la rehabilitación y la creación de entornos verdes, la demanda de una vivienda más sostenible está cada vez más presente entre los ciudadanos. Así, </w:t>
      </w:r>
      <w:r>
        <w:rPr>
          <w:rFonts w:ascii="Open Sans" w:eastAsia="Open Sans" w:hAnsi="Open Sans" w:cs="Open Sans"/>
          <w:b/>
          <w:color w:val="000000"/>
        </w:rPr>
        <w:t xml:space="preserve">el 54% de los </w:t>
      </w:r>
      <w:r>
        <w:rPr>
          <w:rFonts w:ascii="Open Sans" w:eastAsia="Open Sans" w:hAnsi="Open Sans" w:cs="Open Sans"/>
          <w:b/>
        </w:rPr>
        <w:t xml:space="preserve">españoles </w:t>
      </w:r>
      <w:r>
        <w:rPr>
          <w:rFonts w:ascii="Open Sans" w:eastAsia="Open Sans" w:hAnsi="Open Sans" w:cs="Open Sans"/>
          <w:b/>
          <w:color w:val="000000"/>
        </w:rPr>
        <w:t>en proceso de mudarse a un inmueble en propiedad reconoce que pagaría más por una vivienda sostenible</w:t>
      </w:r>
      <w:r>
        <w:rPr>
          <w:rFonts w:ascii="Open Sans" w:eastAsia="Open Sans" w:hAnsi="Open Sans" w:cs="Open Sans"/>
        </w:rPr>
        <w:t xml:space="preserve">. Esta es una de las principales conclusiones del </w:t>
      </w:r>
      <w:r>
        <w:rPr>
          <w:rFonts w:ascii="Open Sans" w:eastAsia="Open Sans" w:hAnsi="Open Sans" w:cs="Open Sans"/>
          <w:color w:val="000000"/>
        </w:rPr>
        <w:t xml:space="preserve">informe </w:t>
      </w:r>
      <w:hyperlink r:id="rId8">
        <w:r>
          <w:rPr>
            <w:rFonts w:ascii="Open Sans" w:eastAsia="Open Sans" w:hAnsi="Open Sans" w:cs="Open Sans"/>
            <w:i/>
            <w:color w:val="0000FF"/>
            <w:u w:val="single"/>
          </w:rPr>
          <w:t>“La Sostenibilidad en la Demanda de Vivienda en España</w:t>
        </w:r>
      </w:hyperlink>
      <w:r>
        <w:rPr>
          <w:rFonts w:ascii="Open Sans" w:eastAsia="Open Sans" w:hAnsi="Open Sans" w:cs="Open Sans"/>
          <w:i/>
          <w:color w:val="000000"/>
          <w:u w:val="single"/>
        </w:rPr>
        <w:t>”</w:t>
      </w:r>
      <w:r>
        <w:rPr>
          <w:rFonts w:ascii="Open Sans" w:eastAsia="Open Sans" w:hAnsi="Open Sans" w:cs="Open Sans"/>
          <w:color w:val="000000"/>
        </w:rPr>
        <w:t xml:space="preserve"> elaborado conjuntamente entre </w:t>
      </w:r>
      <w:hyperlink r:id="rId9">
        <w:r>
          <w:rPr>
            <w:rFonts w:ascii="Open Sans" w:eastAsia="Open Sans" w:hAnsi="Open Sans" w:cs="Open Sans"/>
            <w:color w:val="0000FF"/>
            <w:u w:val="single"/>
          </w:rPr>
          <w:t>Solvia</w:t>
        </w:r>
      </w:hyperlink>
      <w:r>
        <w:rPr>
          <w:rFonts w:ascii="Open Sans" w:eastAsia="Open Sans" w:hAnsi="Open Sans" w:cs="Open Sans"/>
          <w:color w:val="000000"/>
        </w:rPr>
        <w:t xml:space="preserve"> y </w:t>
      </w:r>
      <w:hyperlink r:id="rId10">
        <w:r>
          <w:rPr>
            <w:rFonts w:ascii="Open Sans" w:eastAsia="Open Sans" w:hAnsi="Open Sans" w:cs="Open Sans"/>
            <w:color w:val="0000FF"/>
            <w:u w:val="single"/>
          </w:rPr>
          <w:t>Fotocasa</w:t>
        </w:r>
      </w:hyperlink>
      <w:r>
        <w:rPr>
          <w:rFonts w:ascii="Times New Roman" w:eastAsia="Times New Roman" w:hAnsi="Times New Roman" w:cs="Times New Roman"/>
          <w:sz w:val="24"/>
          <w:szCs w:val="24"/>
        </w:rPr>
        <w:t>.</w:t>
      </w:r>
    </w:p>
    <w:p w14:paraId="15E20525" w14:textId="77777777" w:rsidR="00C21CC0" w:rsidRDefault="00C21CC0">
      <w:pPr>
        <w:spacing w:after="0" w:line="240" w:lineRule="auto"/>
        <w:rPr>
          <w:rFonts w:ascii="Times New Roman" w:eastAsia="Times New Roman" w:hAnsi="Times New Roman" w:cs="Times New Roman"/>
          <w:sz w:val="24"/>
          <w:szCs w:val="24"/>
        </w:rPr>
      </w:pPr>
    </w:p>
    <w:p w14:paraId="1AEC2533" w14:textId="77777777" w:rsidR="00C21CC0" w:rsidRDefault="00917D21">
      <w:pPr>
        <w:spacing w:after="0" w:line="240" w:lineRule="auto"/>
        <w:ind w:right="-574"/>
        <w:jc w:val="both"/>
        <w:rPr>
          <w:rFonts w:ascii="Open Sans" w:eastAsia="Open Sans" w:hAnsi="Open Sans" w:cs="Open Sans"/>
          <w:color w:val="000000"/>
        </w:rPr>
      </w:pPr>
      <w:r>
        <w:rPr>
          <w:rFonts w:ascii="Open Sans" w:eastAsia="Open Sans" w:hAnsi="Open Sans" w:cs="Open Sans"/>
        </w:rPr>
        <w:t xml:space="preserve">En este sentido, el régimen de propiedad influye en esta predisposición a mudarse a una vivienda más sostenible. Si lo comparamos con los españoles interesados en mudarse a una vivienda en alquiler, </w:t>
      </w:r>
      <w:r>
        <w:rPr>
          <w:rFonts w:ascii="Open Sans" w:eastAsia="Open Sans" w:hAnsi="Open Sans" w:cs="Open Sans"/>
          <w:b/>
          <w:color w:val="000000"/>
        </w:rPr>
        <w:t>la predisposición disminuye hasta un 39%</w:t>
      </w:r>
      <w:r>
        <w:rPr>
          <w:rFonts w:ascii="Open Sans" w:eastAsia="Open Sans" w:hAnsi="Open Sans" w:cs="Open Sans"/>
          <w:color w:val="000000"/>
        </w:rPr>
        <w:t xml:space="preserve">. Asimismo, el informe apunta a que la sostenibilidad ha tomado un papel protagonista en la búsqueda de vivienda: </w:t>
      </w:r>
      <w:r>
        <w:rPr>
          <w:rFonts w:ascii="Open Sans" w:eastAsia="Open Sans" w:hAnsi="Open Sans" w:cs="Open Sans"/>
          <w:b/>
          <w:color w:val="000000"/>
        </w:rPr>
        <w:t>el 95,3% de los españoles que quieren mudarse</w:t>
      </w:r>
      <w:r>
        <w:rPr>
          <w:rFonts w:ascii="Open Sans" w:eastAsia="Open Sans" w:hAnsi="Open Sans" w:cs="Open Sans"/>
          <w:color w:val="000000"/>
        </w:rPr>
        <w:t xml:space="preserve">, ya sea en régimen de alquiler o en propiedad, </w:t>
      </w:r>
      <w:r>
        <w:rPr>
          <w:rFonts w:ascii="Open Sans" w:eastAsia="Open Sans" w:hAnsi="Open Sans" w:cs="Open Sans"/>
          <w:b/>
          <w:color w:val="000000"/>
        </w:rPr>
        <w:t>considera importante vivir en una casa sostenible.</w:t>
      </w:r>
      <w:r>
        <w:rPr>
          <w:rFonts w:ascii="Open Sans" w:eastAsia="Open Sans" w:hAnsi="Open Sans" w:cs="Open Sans"/>
          <w:color w:val="000000"/>
        </w:rPr>
        <w:t> </w:t>
      </w:r>
    </w:p>
    <w:p w14:paraId="705BD750" w14:textId="77777777" w:rsidR="00C21CC0" w:rsidRDefault="00917D21">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34AB760C" wp14:editId="30DC870C">
            <wp:extent cx="5701003" cy="1509456"/>
            <wp:effectExtent l="0" t="0" r="0" b="0"/>
            <wp:docPr id="14" name="image1.png" descr="Imagen que contiene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Escala de tiempo&#10;&#10;Descripción generada automáticamente"/>
                    <pic:cNvPicPr preferRelativeResize="0"/>
                  </pic:nvPicPr>
                  <pic:blipFill>
                    <a:blip r:embed="rId11"/>
                    <a:srcRect/>
                    <a:stretch>
                      <a:fillRect/>
                    </a:stretch>
                  </pic:blipFill>
                  <pic:spPr>
                    <a:xfrm>
                      <a:off x="0" y="0"/>
                      <a:ext cx="5701003" cy="1509456"/>
                    </a:xfrm>
                    <a:prstGeom prst="rect">
                      <a:avLst/>
                    </a:prstGeom>
                    <a:ln/>
                  </pic:spPr>
                </pic:pic>
              </a:graphicData>
            </a:graphic>
          </wp:inline>
        </w:drawing>
      </w:r>
    </w:p>
    <w:p w14:paraId="0E600456" w14:textId="77777777" w:rsidR="00C21CC0" w:rsidRDefault="00C21CC0">
      <w:pPr>
        <w:spacing w:after="0" w:line="240" w:lineRule="auto"/>
        <w:ind w:right="-574"/>
        <w:jc w:val="both"/>
        <w:rPr>
          <w:rFonts w:ascii="Open Sans" w:eastAsia="Open Sans" w:hAnsi="Open Sans" w:cs="Open Sans"/>
          <w:color w:val="000000"/>
        </w:rPr>
      </w:pPr>
    </w:p>
    <w:p w14:paraId="14931CDB" w14:textId="77777777" w:rsidR="00C21CC0" w:rsidRDefault="00917D21">
      <w:pPr>
        <w:spacing w:after="0" w:line="240" w:lineRule="auto"/>
        <w:ind w:right="-574"/>
        <w:jc w:val="both"/>
        <w:rPr>
          <w:rFonts w:ascii="Open Sans" w:eastAsia="Open Sans" w:hAnsi="Open Sans" w:cs="Open Sans"/>
          <w:color w:val="000000"/>
        </w:rPr>
      </w:pPr>
      <w:r>
        <w:rPr>
          <w:rFonts w:ascii="Open Sans" w:eastAsia="Open Sans" w:hAnsi="Open Sans" w:cs="Open Sans"/>
          <w:color w:val="000000"/>
        </w:rPr>
        <w:t xml:space="preserve">Por otro lado, la balanza cambia en el caso de los que contestan que la decisión de pagar más por una vivienda sostenible dependerá mucho del precio final y del sobrecoste que pudiese acarrear. Así, </w:t>
      </w:r>
      <w:r>
        <w:rPr>
          <w:rFonts w:ascii="Open Sans" w:eastAsia="Open Sans" w:hAnsi="Open Sans" w:cs="Open Sans"/>
          <w:b/>
          <w:color w:val="000000"/>
        </w:rPr>
        <w:t>el 47,9% de los demandantes de vivienda en alquiler estarían dispuestos a pagar más, pero siempre dependiendo del sobrecoste</w:t>
      </w:r>
      <w:r>
        <w:rPr>
          <w:rFonts w:ascii="Open Sans" w:eastAsia="Open Sans" w:hAnsi="Open Sans" w:cs="Open Sans"/>
          <w:color w:val="000000"/>
        </w:rPr>
        <w:t xml:space="preserve">, </w:t>
      </w:r>
      <w:r>
        <w:rPr>
          <w:rFonts w:ascii="Open Sans" w:eastAsia="Open Sans" w:hAnsi="Open Sans" w:cs="Open Sans"/>
          <w:b/>
          <w:color w:val="000000"/>
        </w:rPr>
        <w:t>una proporción que para los demandantes de compra es del 37,2%.</w:t>
      </w:r>
      <w:r>
        <w:rPr>
          <w:rFonts w:ascii="Open Sans" w:eastAsia="Open Sans" w:hAnsi="Open Sans" w:cs="Open Sans"/>
          <w:color w:val="000000"/>
        </w:rPr>
        <w:t xml:space="preserve"> No obstante, en ambas situaciones, la mayoría de los ciudadanos encuestados no pagarían más de un 5% adicional por una residencia eficiente. </w:t>
      </w:r>
    </w:p>
    <w:p w14:paraId="6AC6A737" w14:textId="77777777" w:rsidR="00C21CC0" w:rsidRDefault="00C21CC0">
      <w:pPr>
        <w:spacing w:after="0" w:line="240" w:lineRule="auto"/>
        <w:ind w:right="-574"/>
        <w:jc w:val="both"/>
        <w:rPr>
          <w:rFonts w:ascii="Open Sans" w:eastAsia="Open Sans" w:hAnsi="Open Sans" w:cs="Open Sans"/>
          <w:color w:val="000000"/>
        </w:rPr>
      </w:pPr>
    </w:p>
    <w:p w14:paraId="6209E8E2" w14:textId="77777777" w:rsidR="00C21CC0" w:rsidRDefault="00917D21">
      <w:pPr>
        <w:spacing w:after="0" w:line="240" w:lineRule="auto"/>
        <w:ind w:right="-574"/>
        <w:jc w:val="center"/>
        <w:rPr>
          <w:rFonts w:ascii="Open Sans" w:eastAsia="Open Sans" w:hAnsi="Open Sans" w:cs="Open Sans"/>
          <w:color w:val="000000"/>
        </w:rPr>
      </w:pPr>
      <w:r>
        <w:rPr>
          <w:noProof/>
        </w:rPr>
        <w:drawing>
          <wp:inline distT="0" distB="0" distL="0" distR="0" wp14:anchorId="1735A54A" wp14:editId="0012B7C4">
            <wp:extent cx="3593981" cy="3759010"/>
            <wp:effectExtent l="0" t="0" r="0" b="0"/>
            <wp:docPr id="17" name="image7.png" descr="Gráfico, Gráfico de embu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embudo&#10;&#10;Descripción generada automáticamente"/>
                    <pic:cNvPicPr preferRelativeResize="0"/>
                  </pic:nvPicPr>
                  <pic:blipFill>
                    <a:blip r:embed="rId12"/>
                    <a:srcRect/>
                    <a:stretch>
                      <a:fillRect/>
                    </a:stretch>
                  </pic:blipFill>
                  <pic:spPr>
                    <a:xfrm>
                      <a:off x="0" y="0"/>
                      <a:ext cx="3593981" cy="3759010"/>
                    </a:xfrm>
                    <a:prstGeom prst="rect">
                      <a:avLst/>
                    </a:prstGeom>
                    <a:ln/>
                  </pic:spPr>
                </pic:pic>
              </a:graphicData>
            </a:graphic>
          </wp:inline>
        </w:drawing>
      </w:r>
    </w:p>
    <w:p w14:paraId="31380257" w14:textId="77777777" w:rsidR="00C21CC0" w:rsidRDefault="00C21CC0">
      <w:pPr>
        <w:spacing w:after="0" w:line="240" w:lineRule="auto"/>
        <w:ind w:right="-574"/>
        <w:jc w:val="both"/>
        <w:rPr>
          <w:rFonts w:ascii="Open Sans" w:eastAsia="Open Sans" w:hAnsi="Open Sans" w:cs="Open Sans"/>
          <w:color w:val="000000"/>
        </w:rPr>
      </w:pPr>
    </w:p>
    <w:p w14:paraId="4CBE8E15" w14:textId="77777777" w:rsidR="00C21CC0" w:rsidRDefault="00917D21">
      <w:pPr>
        <w:spacing w:after="0" w:line="240" w:lineRule="auto"/>
        <w:ind w:right="-574"/>
        <w:jc w:val="both"/>
        <w:rPr>
          <w:rFonts w:ascii="Open Sans" w:eastAsia="Open Sans" w:hAnsi="Open Sans" w:cs="Open Sans"/>
          <w:color w:val="000000"/>
        </w:rPr>
      </w:pPr>
      <w:r>
        <w:rPr>
          <w:rFonts w:ascii="Open Sans" w:eastAsia="Open Sans" w:hAnsi="Open Sans" w:cs="Open Sans"/>
          <w:color w:val="000000"/>
        </w:rPr>
        <w:t xml:space="preserve">Entre los motivos para pagar más por una vivienda sostenible, el </w:t>
      </w:r>
      <w:r>
        <w:rPr>
          <w:rFonts w:ascii="Open Sans" w:eastAsia="Open Sans" w:hAnsi="Open Sans" w:cs="Open Sans"/>
          <w:b/>
          <w:color w:val="000000"/>
        </w:rPr>
        <w:t>69,4% de los compradores lo haría porque lo considera una inversión y cree que reducirá sus facturas a largo plazo</w:t>
      </w:r>
      <w:r>
        <w:rPr>
          <w:rFonts w:ascii="Open Sans" w:eastAsia="Open Sans" w:hAnsi="Open Sans" w:cs="Open Sans"/>
          <w:color w:val="000000"/>
        </w:rPr>
        <w:t xml:space="preserve">, el </w:t>
      </w:r>
      <w:r>
        <w:rPr>
          <w:rFonts w:ascii="Open Sans" w:eastAsia="Open Sans" w:hAnsi="Open Sans" w:cs="Open Sans"/>
          <w:b/>
          <w:color w:val="000000"/>
        </w:rPr>
        <w:t>43,1% por su preocupación medioambiental</w:t>
      </w:r>
      <w:r>
        <w:rPr>
          <w:rFonts w:ascii="Open Sans" w:eastAsia="Open Sans" w:hAnsi="Open Sans" w:cs="Open Sans"/>
          <w:color w:val="000000"/>
        </w:rPr>
        <w:t xml:space="preserve">, y el </w:t>
      </w:r>
      <w:r>
        <w:rPr>
          <w:rFonts w:ascii="Open Sans" w:eastAsia="Open Sans" w:hAnsi="Open Sans" w:cs="Open Sans"/>
          <w:b/>
          <w:color w:val="000000"/>
        </w:rPr>
        <w:t>31,7% motivado por la calidad de los materiales de la vivienda</w:t>
      </w:r>
      <w:r>
        <w:rPr>
          <w:rFonts w:ascii="Open Sans" w:eastAsia="Open Sans" w:hAnsi="Open Sans" w:cs="Open Sans"/>
          <w:color w:val="000000"/>
        </w:rPr>
        <w:t xml:space="preserve">. Por su parte, los </w:t>
      </w:r>
      <w:r>
        <w:rPr>
          <w:rFonts w:ascii="Open Sans" w:eastAsia="Open Sans" w:hAnsi="Open Sans" w:cs="Open Sans"/>
        </w:rPr>
        <w:t>arrendatarios</w:t>
      </w:r>
      <w:r>
        <w:rPr>
          <w:rFonts w:ascii="Open Sans" w:eastAsia="Open Sans" w:hAnsi="Open Sans" w:cs="Open Sans"/>
          <w:color w:val="000000"/>
        </w:rPr>
        <w:t xml:space="preserve"> justifican su respuesta con proporciones ligeramente menores: un 63,3% lo haría como inversión</w:t>
      </w:r>
      <w:r>
        <w:rPr>
          <w:rFonts w:ascii="Open Sans" w:eastAsia="Open Sans" w:hAnsi="Open Sans" w:cs="Open Sans"/>
        </w:rPr>
        <w:t xml:space="preserve"> para reducir sus facturas</w:t>
      </w:r>
      <w:r>
        <w:rPr>
          <w:rFonts w:ascii="Open Sans" w:eastAsia="Open Sans" w:hAnsi="Open Sans" w:cs="Open Sans"/>
          <w:color w:val="000000"/>
        </w:rPr>
        <w:t>, un 44,2% por razones medioambientales y un 30,3% por la calidad de los materiales. </w:t>
      </w:r>
    </w:p>
    <w:p w14:paraId="455DAA99" w14:textId="77777777" w:rsidR="00C21CC0" w:rsidRDefault="00C21CC0">
      <w:pPr>
        <w:spacing w:after="0" w:line="240" w:lineRule="auto"/>
        <w:ind w:right="-574"/>
        <w:jc w:val="both"/>
        <w:rPr>
          <w:rFonts w:ascii="Open Sans" w:eastAsia="Open Sans" w:hAnsi="Open Sans" w:cs="Open Sans"/>
          <w:color w:val="000000"/>
        </w:rPr>
      </w:pPr>
    </w:p>
    <w:p w14:paraId="356689CC" w14:textId="77777777" w:rsidR="00C21CC0" w:rsidRDefault="00917D21">
      <w:pPr>
        <w:spacing w:after="0" w:line="240" w:lineRule="auto"/>
        <w:ind w:right="-574"/>
        <w:jc w:val="center"/>
      </w:pPr>
      <w:r>
        <w:rPr>
          <w:noProof/>
        </w:rPr>
        <w:lastRenderedPageBreak/>
        <w:drawing>
          <wp:inline distT="0" distB="0" distL="0" distR="0" wp14:anchorId="6920904D" wp14:editId="214CB95C">
            <wp:extent cx="3697969" cy="2629246"/>
            <wp:effectExtent l="0" t="0" r="0" b="0"/>
            <wp:docPr id="16" name="image2.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10;&#10;Descripción generada automáticamente"/>
                    <pic:cNvPicPr preferRelativeResize="0"/>
                  </pic:nvPicPr>
                  <pic:blipFill>
                    <a:blip r:embed="rId13"/>
                    <a:srcRect/>
                    <a:stretch>
                      <a:fillRect/>
                    </a:stretch>
                  </pic:blipFill>
                  <pic:spPr>
                    <a:xfrm>
                      <a:off x="0" y="0"/>
                      <a:ext cx="3697969" cy="2629246"/>
                    </a:xfrm>
                    <a:prstGeom prst="rect">
                      <a:avLst/>
                    </a:prstGeom>
                    <a:ln/>
                  </pic:spPr>
                </pic:pic>
              </a:graphicData>
            </a:graphic>
          </wp:inline>
        </w:drawing>
      </w:r>
    </w:p>
    <w:p w14:paraId="39C12543" w14:textId="77777777" w:rsidR="00C21CC0" w:rsidRDefault="00917D21">
      <w:pPr>
        <w:spacing w:after="0" w:line="240" w:lineRule="auto"/>
        <w:ind w:right="-574"/>
        <w:jc w:val="center"/>
      </w:pPr>
      <w:r>
        <w:rPr>
          <w:noProof/>
        </w:rPr>
        <w:drawing>
          <wp:anchor distT="114300" distB="114300" distL="114300" distR="114300" simplePos="0" relativeHeight="251660288" behindDoc="0" locked="0" layoutInCell="1" hidden="0" allowOverlap="1" wp14:anchorId="176FC84E" wp14:editId="36640F8F">
            <wp:simplePos x="0" y="0"/>
            <wp:positionH relativeFrom="column">
              <wp:posOffset>2057400</wp:posOffset>
            </wp:positionH>
            <wp:positionV relativeFrom="paragraph">
              <wp:posOffset>193675</wp:posOffset>
            </wp:positionV>
            <wp:extent cx="1634962" cy="283286"/>
            <wp:effectExtent l="0" t="0" r="0" b="0"/>
            <wp:wrapSquare wrapText="bothSides" distT="114300" distB="11430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634962" cy="283286"/>
                    </a:xfrm>
                    <a:prstGeom prst="rect">
                      <a:avLst/>
                    </a:prstGeom>
                    <a:ln/>
                  </pic:spPr>
                </pic:pic>
              </a:graphicData>
            </a:graphic>
          </wp:anchor>
        </w:drawing>
      </w:r>
    </w:p>
    <w:p w14:paraId="41BF4020" w14:textId="77777777" w:rsidR="00C21CC0" w:rsidRDefault="00C21CC0">
      <w:pPr>
        <w:spacing w:after="0" w:line="240" w:lineRule="auto"/>
        <w:ind w:right="-574"/>
        <w:jc w:val="center"/>
      </w:pPr>
    </w:p>
    <w:p w14:paraId="610BDBB9" w14:textId="77777777" w:rsidR="00C21CC0" w:rsidRDefault="00C21CC0">
      <w:pPr>
        <w:spacing w:after="0" w:line="240" w:lineRule="auto"/>
        <w:ind w:right="-574"/>
        <w:jc w:val="both"/>
        <w:rPr>
          <w:rFonts w:ascii="Open Sans" w:eastAsia="Open Sans" w:hAnsi="Open Sans" w:cs="Open Sans"/>
          <w:color w:val="000000"/>
        </w:rPr>
      </w:pPr>
    </w:p>
    <w:p w14:paraId="1EF928B8" w14:textId="77777777" w:rsidR="00C21CC0" w:rsidRDefault="00C21CC0">
      <w:pPr>
        <w:spacing w:after="0" w:line="240" w:lineRule="auto"/>
        <w:ind w:right="-574"/>
        <w:jc w:val="both"/>
        <w:rPr>
          <w:rFonts w:ascii="Open Sans" w:eastAsia="Open Sans" w:hAnsi="Open Sans" w:cs="Open Sans"/>
        </w:rPr>
      </w:pPr>
    </w:p>
    <w:p w14:paraId="579BCC85" w14:textId="77777777" w:rsidR="00C21CC0" w:rsidRDefault="00C21CC0">
      <w:pPr>
        <w:spacing w:after="0" w:line="240" w:lineRule="auto"/>
        <w:ind w:right="-574"/>
        <w:jc w:val="both"/>
        <w:rPr>
          <w:rFonts w:ascii="Open Sans" w:eastAsia="Open Sans" w:hAnsi="Open Sans" w:cs="Open Sans"/>
        </w:rPr>
      </w:pPr>
    </w:p>
    <w:p w14:paraId="0F01F491" w14:textId="77777777" w:rsidR="00C21CC0" w:rsidRDefault="00917D21">
      <w:pPr>
        <w:spacing w:after="0" w:line="240" w:lineRule="auto"/>
        <w:ind w:right="-574"/>
        <w:jc w:val="both"/>
        <w:rPr>
          <w:rFonts w:ascii="Times New Roman" w:eastAsia="Times New Roman" w:hAnsi="Times New Roman" w:cs="Times New Roman"/>
          <w:sz w:val="24"/>
          <w:szCs w:val="24"/>
        </w:rPr>
      </w:pPr>
      <w:r>
        <w:rPr>
          <w:rFonts w:ascii="Open Sans" w:eastAsia="Open Sans" w:hAnsi="Open Sans" w:cs="Open Sans"/>
          <w:color w:val="000000"/>
        </w:rPr>
        <w:t xml:space="preserve">“La edificación es uno de los sectores más contaminantes a nivel global, siendo responsable en la Unión Europea del 40% del consumo energético y del 36% de las emisiones de CO2, según la Comisión Europea. Por ello, desde Fotocasa, tenemos claro que el sector debe avanzar hacia un mayor compromiso con la sostenibilidad ambiental, y esta apuesta pasa por el fomento de una vivienda más respetuosa con el medio ambiente y que tenga en cuenta criterios como la eficiencia energética”, señala María Matos, directora de Estudios y Portavoz de </w:t>
      </w:r>
      <w:hyperlink r:id="rId15">
        <w:r>
          <w:rPr>
            <w:rFonts w:ascii="Open Sans" w:eastAsia="Open Sans" w:hAnsi="Open Sans" w:cs="Open Sans"/>
            <w:color w:val="0000FF"/>
            <w:u w:val="single"/>
          </w:rPr>
          <w:t>Fotocasa</w:t>
        </w:r>
      </w:hyperlink>
      <w:r>
        <w:rPr>
          <w:rFonts w:ascii="Open Sans" w:eastAsia="Open Sans" w:hAnsi="Open Sans" w:cs="Open Sans"/>
          <w:color w:val="000000"/>
        </w:rPr>
        <w:t>. </w:t>
      </w:r>
    </w:p>
    <w:p w14:paraId="591027E1" w14:textId="77777777" w:rsidR="00C21CC0" w:rsidRDefault="00C21CC0">
      <w:pPr>
        <w:spacing w:after="0" w:line="240" w:lineRule="auto"/>
        <w:ind w:right="-574"/>
        <w:jc w:val="both"/>
        <w:rPr>
          <w:rFonts w:ascii="Times New Roman" w:eastAsia="Times New Roman" w:hAnsi="Times New Roman" w:cs="Times New Roman"/>
          <w:sz w:val="24"/>
          <w:szCs w:val="24"/>
        </w:rPr>
      </w:pPr>
    </w:p>
    <w:p w14:paraId="5BD6CE55" w14:textId="77777777" w:rsidR="00C21CC0" w:rsidRDefault="00917D21">
      <w:pPr>
        <w:pBdr>
          <w:top w:val="nil"/>
          <w:left w:val="nil"/>
          <w:bottom w:val="nil"/>
          <w:right w:val="nil"/>
          <w:between w:val="nil"/>
        </w:pBdr>
        <w:spacing w:after="0" w:line="240" w:lineRule="auto"/>
        <w:ind w:right="-574"/>
        <w:jc w:val="both"/>
        <w:rPr>
          <w:rFonts w:ascii="Open Sans" w:eastAsia="Open Sans" w:hAnsi="Open Sans" w:cs="Open Sans"/>
        </w:rPr>
      </w:pPr>
      <w:r>
        <w:rPr>
          <w:rFonts w:ascii="Open Sans" w:eastAsia="Open Sans" w:hAnsi="Open Sans" w:cs="Open Sans"/>
        </w:rPr>
        <w:t xml:space="preserve">“La sostenibilidad ocupa un lugar cada vez más destacado en la agenda del sector inmobiliario, dentro del objetivo europeo de reducir las emisiones de carbono en un 55% antes de 2030, y en hacer realidad un parque inmobiliario neutro en emisiones para 2050. Un reto importante que en Solvia creemos que también supone una gran oportunidad para dar respuesta a un compromiso esencial con la sociedad del presente y del futuro”, apunta Víctor González, director de Marca y Comunicación de </w:t>
      </w:r>
      <w:hyperlink r:id="rId16">
        <w:r>
          <w:rPr>
            <w:rFonts w:ascii="Open Sans" w:eastAsia="Open Sans" w:hAnsi="Open Sans" w:cs="Open Sans"/>
            <w:color w:val="0000FF"/>
            <w:u w:val="single"/>
          </w:rPr>
          <w:t>Solvia</w:t>
        </w:r>
      </w:hyperlink>
      <w:r>
        <w:rPr>
          <w:rFonts w:ascii="Open Sans" w:eastAsia="Open Sans" w:hAnsi="Open Sans" w:cs="Open Sans"/>
        </w:rPr>
        <w:t>. </w:t>
      </w:r>
    </w:p>
    <w:p w14:paraId="5AB68CC9" w14:textId="77777777" w:rsidR="00C21CC0" w:rsidRDefault="00C21CC0">
      <w:pPr>
        <w:spacing w:after="0" w:line="240" w:lineRule="auto"/>
        <w:rPr>
          <w:rFonts w:ascii="Times New Roman" w:eastAsia="Times New Roman" w:hAnsi="Times New Roman" w:cs="Times New Roman"/>
          <w:sz w:val="24"/>
          <w:szCs w:val="24"/>
        </w:rPr>
      </w:pPr>
    </w:p>
    <w:p w14:paraId="2843E92A" w14:textId="77777777" w:rsidR="00C21CC0" w:rsidRDefault="00917D21">
      <w:pPr>
        <w:spacing w:after="0" w:line="240" w:lineRule="auto"/>
        <w:ind w:right="-574"/>
        <w:jc w:val="both"/>
        <w:rPr>
          <w:rFonts w:ascii="Open Sans" w:eastAsia="Open Sans" w:hAnsi="Open Sans" w:cs="Open Sans"/>
          <w:color w:val="000000"/>
        </w:rPr>
      </w:pPr>
      <w:r>
        <w:rPr>
          <w:rFonts w:ascii="Open Sans" w:eastAsia="Open Sans" w:hAnsi="Open Sans" w:cs="Open Sans"/>
          <w:color w:val="000000"/>
        </w:rPr>
        <w:t xml:space="preserve">Sin embargo, existe un segmento de la población dispuesta a pagar </w:t>
      </w:r>
      <w:r>
        <w:rPr>
          <w:rFonts w:ascii="Open Sans" w:eastAsia="Open Sans" w:hAnsi="Open Sans" w:cs="Open Sans"/>
        </w:rPr>
        <w:t xml:space="preserve">menos o no pagar </w:t>
      </w:r>
      <w:r>
        <w:rPr>
          <w:rFonts w:ascii="Open Sans" w:eastAsia="Open Sans" w:hAnsi="Open Sans" w:cs="Open Sans"/>
          <w:color w:val="000000"/>
        </w:rPr>
        <w:t xml:space="preserve">por una vivienda sostenible. De hecho, un </w:t>
      </w:r>
      <w:r>
        <w:rPr>
          <w:rFonts w:ascii="Open Sans" w:eastAsia="Open Sans" w:hAnsi="Open Sans" w:cs="Open Sans"/>
          <w:b/>
          <w:color w:val="000000"/>
        </w:rPr>
        <w:t>8,8% de los compradores de vivienda y un 12,4% de los demandantes de alquiler no harían una mayor inversión por una vivienda sostenible</w:t>
      </w:r>
      <w:r>
        <w:rPr>
          <w:rFonts w:ascii="Open Sans" w:eastAsia="Open Sans" w:hAnsi="Open Sans" w:cs="Open Sans"/>
          <w:color w:val="000000"/>
        </w:rPr>
        <w:t xml:space="preserve">. El </w:t>
      </w:r>
      <w:r>
        <w:rPr>
          <w:rFonts w:ascii="Open Sans" w:eastAsia="Open Sans" w:hAnsi="Open Sans" w:cs="Open Sans"/>
          <w:b/>
          <w:color w:val="000000"/>
        </w:rPr>
        <w:t>motivo principal es el elevado coste</w:t>
      </w:r>
      <w:r>
        <w:rPr>
          <w:rFonts w:ascii="Open Sans" w:eastAsia="Open Sans" w:hAnsi="Open Sans" w:cs="Open Sans"/>
          <w:color w:val="000000"/>
        </w:rPr>
        <w:t xml:space="preserve"> que implica: así lo consideran un 62,6% de los compradores y un 58,6% de arrendatarios. Más de un 20% de la población encuestada en ambos grupos no pagaría más, ya que no entiende el concepto de vivienda sostenible, y un 18,4% de compradores y un 17,2% de arrendatarios tampoco lo haría porque no están interesados en el concepto de sostenibilidad. </w:t>
      </w:r>
    </w:p>
    <w:p w14:paraId="5054CA8C" w14:textId="77777777" w:rsidR="00C21CC0" w:rsidRDefault="00C21CC0">
      <w:pPr>
        <w:spacing w:after="0" w:line="240" w:lineRule="auto"/>
        <w:ind w:right="-574"/>
        <w:jc w:val="both"/>
        <w:rPr>
          <w:rFonts w:ascii="Open Sans" w:eastAsia="Open Sans" w:hAnsi="Open Sans" w:cs="Open Sans"/>
        </w:rPr>
      </w:pPr>
    </w:p>
    <w:p w14:paraId="5FEB31FA" w14:textId="77777777" w:rsidR="00C21CC0" w:rsidRDefault="00917D21">
      <w:pPr>
        <w:spacing w:after="0" w:line="240" w:lineRule="auto"/>
        <w:ind w:right="-574"/>
        <w:jc w:val="center"/>
        <w:rPr>
          <w:rFonts w:ascii="Times New Roman" w:eastAsia="Times New Roman" w:hAnsi="Times New Roman" w:cs="Times New Roman"/>
          <w:sz w:val="24"/>
          <w:szCs w:val="24"/>
        </w:rPr>
      </w:pPr>
      <w:r>
        <w:rPr>
          <w:noProof/>
        </w:rPr>
        <w:lastRenderedPageBreak/>
        <w:drawing>
          <wp:inline distT="0" distB="0" distL="0" distR="0" wp14:anchorId="37B5B5C5" wp14:editId="510B11B8">
            <wp:extent cx="3752850" cy="2638425"/>
            <wp:effectExtent l="0" t="0" r="0" b="0"/>
            <wp:docPr id="11" name="image6.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Escala de tiempo&#10;&#10;Descripción generada automáticamente"/>
                    <pic:cNvPicPr preferRelativeResize="0"/>
                  </pic:nvPicPr>
                  <pic:blipFill>
                    <a:blip r:embed="rId17"/>
                    <a:srcRect/>
                    <a:stretch>
                      <a:fillRect/>
                    </a:stretch>
                  </pic:blipFill>
                  <pic:spPr>
                    <a:xfrm>
                      <a:off x="0" y="0"/>
                      <a:ext cx="3752850" cy="2638425"/>
                    </a:xfrm>
                    <a:prstGeom prst="rect">
                      <a:avLst/>
                    </a:prstGeom>
                    <a:ln/>
                  </pic:spPr>
                </pic:pic>
              </a:graphicData>
            </a:graphic>
          </wp:inline>
        </w:drawing>
      </w:r>
    </w:p>
    <w:p w14:paraId="5CE92AD8" w14:textId="77777777" w:rsidR="00C21CC0" w:rsidRDefault="00C21CC0">
      <w:pPr>
        <w:spacing w:after="0" w:line="240" w:lineRule="auto"/>
        <w:ind w:right="-574"/>
        <w:jc w:val="both"/>
        <w:rPr>
          <w:rFonts w:ascii="Open Sans" w:eastAsia="Open Sans" w:hAnsi="Open Sans" w:cs="Open Sans"/>
        </w:rPr>
      </w:pPr>
    </w:p>
    <w:p w14:paraId="781D974D" w14:textId="77777777" w:rsidR="00C21CC0" w:rsidRDefault="00917D21">
      <w:pPr>
        <w:spacing w:after="0" w:line="240" w:lineRule="auto"/>
        <w:ind w:right="-574"/>
        <w:jc w:val="both"/>
        <w:rPr>
          <w:rFonts w:ascii="Times New Roman" w:eastAsia="Times New Roman" w:hAnsi="Times New Roman" w:cs="Times New Roman"/>
          <w:sz w:val="24"/>
          <w:szCs w:val="24"/>
        </w:rPr>
      </w:pPr>
      <w:r>
        <w:rPr>
          <w:rFonts w:ascii="Open Sans" w:eastAsia="Open Sans" w:hAnsi="Open Sans" w:cs="Open Sans"/>
        </w:rPr>
        <w:t>Entre los compradores, los aspectos más valorados en materia de sostenibilidad a la hora de buscar vivienda son un buen sistema de aislamiento térmico (52,3%), equipos eficientes de calefacción e iluminación (45,7%) y un sistema de ventilación óptimo (44,4%). Por su parte, para los ciudadanos que quieren alquilar, lo fundamental es contar también con un buen sistema de aislamiento (43,1%), así como disponer de un sistema de ahorro de agua (40,5%) y de equipos eficientes de calefacción e iluminación (40,3%). </w:t>
      </w:r>
    </w:p>
    <w:p w14:paraId="22426853" w14:textId="77777777" w:rsidR="00C21CC0" w:rsidRDefault="00C21CC0">
      <w:pPr>
        <w:spacing w:after="0" w:line="240" w:lineRule="auto"/>
        <w:rPr>
          <w:rFonts w:ascii="Times New Roman" w:eastAsia="Times New Roman" w:hAnsi="Times New Roman" w:cs="Times New Roman"/>
          <w:sz w:val="24"/>
          <w:szCs w:val="24"/>
        </w:rPr>
      </w:pPr>
    </w:p>
    <w:p w14:paraId="68A8FBA9" w14:textId="77777777" w:rsidR="00C21CC0" w:rsidRDefault="00C21CC0">
      <w:pPr>
        <w:spacing w:after="240" w:line="240" w:lineRule="auto"/>
        <w:rPr>
          <w:rFonts w:ascii="Times New Roman" w:eastAsia="Times New Roman" w:hAnsi="Times New Roman" w:cs="Times New Roman"/>
          <w:sz w:val="24"/>
          <w:szCs w:val="24"/>
        </w:rPr>
      </w:pPr>
    </w:p>
    <w:p w14:paraId="35CB757C" w14:textId="29E2AA00" w:rsidR="00C21CC0" w:rsidRDefault="00C21CC0">
      <w:pPr>
        <w:spacing w:after="0" w:line="240" w:lineRule="auto"/>
        <w:ind w:right="-716"/>
        <w:jc w:val="right"/>
        <w:rPr>
          <w:rFonts w:ascii="Open Sans" w:eastAsia="Open Sans" w:hAnsi="Open Sans" w:cs="Open Sans"/>
          <w:color w:val="2F5496"/>
          <w:sz w:val="24"/>
          <w:szCs w:val="24"/>
        </w:rPr>
      </w:pPr>
    </w:p>
    <w:p w14:paraId="77A09970" w14:textId="77777777" w:rsidR="00692D7C" w:rsidRDefault="00692D7C">
      <w:pPr>
        <w:spacing w:after="0" w:line="240" w:lineRule="auto"/>
        <w:ind w:right="-716"/>
        <w:jc w:val="right"/>
        <w:rPr>
          <w:rFonts w:ascii="Open Sans" w:eastAsia="Open Sans" w:hAnsi="Open Sans" w:cs="Open Sans"/>
          <w:color w:val="2F5496"/>
          <w:sz w:val="24"/>
          <w:szCs w:val="24"/>
        </w:rPr>
      </w:pPr>
    </w:p>
    <w:p w14:paraId="5966EFE2" w14:textId="77777777" w:rsidR="00C21CC0" w:rsidRDefault="00917D21">
      <w:pPr>
        <w:spacing w:after="0" w:line="240" w:lineRule="auto"/>
        <w:ind w:right="-716"/>
        <w:jc w:val="right"/>
        <w:rPr>
          <w:rFonts w:ascii="Times New Roman" w:eastAsia="Times New Roman" w:hAnsi="Times New Roman" w:cs="Times New Roman"/>
          <w:color w:val="2F5496"/>
          <w:sz w:val="24"/>
          <w:szCs w:val="24"/>
        </w:rPr>
      </w:pPr>
      <w:r>
        <w:rPr>
          <w:rFonts w:ascii="Open Sans" w:eastAsia="Open Sans" w:hAnsi="Open Sans" w:cs="Open Sans"/>
          <w:color w:val="2F5496"/>
          <w:sz w:val="24"/>
          <w:szCs w:val="24"/>
        </w:rPr>
        <w:t>Sobre el informe “La sostenibilidad en la demanda de vivienda en España”</w:t>
      </w:r>
    </w:p>
    <w:p w14:paraId="5D0DA923" w14:textId="77777777" w:rsidR="00C21CC0" w:rsidRDefault="00C21CC0">
      <w:pPr>
        <w:spacing w:after="0" w:line="240" w:lineRule="auto"/>
        <w:rPr>
          <w:rFonts w:ascii="Times New Roman" w:eastAsia="Times New Roman" w:hAnsi="Times New Roman" w:cs="Times New Roman"/>
          <w:sz w:val="24"/>
          <w:szCs w:val="24"/>
        </w:rPr>
      </w:pPr>
    </w:p>
    <w:p w14:paraId="701E7D1A" w14:textId="77777777" w:rsidR="00C21CC0" w:rsidRDefault="00917D21">
      <w:pPr>
        <w:shd w:val="clear" w:color="auto" w:fill="FFFFFF"/>
        <w:spacing w:after="0" w:line="240" w:lineRule="auto"/>
        <w:ind w:right="-574"/>
        <w:jc w:val="both"/>
        <w:rPr>
          <w:rFonts w:ascii="Open Sans" w:eastAsia="Open Sans" w:hAnsi="Open Sans" w:cs="Open Sans"/>
          <w:color w:val="000000"/>
        </w:rPr>
      </w:pPr>
      <w:r>
        <w:rPr>
          <w:rFonts w:ascii="Open Sans" w:eastAsia="Open Sans" w:hAnsi="Open Sans" w:cs="Open Sans"/>
          <w:color w:val="000000"/>
        </w:rPr>
        <w:t xml:space="preserve">El portal inmobiliario </w:t>
      </w:r>
      <w:hyperlink r:id="rId18">
        <w:r>
          <w:rPr>
            <w:rFonts w:ascii="Open Sans" w:eastAsia="Open Sans" w:hAnsi="Open Sans" w:cs="Open Sans"/>
            <w:b/>
            <w:color w:val="0000FF"/>
            <w:u w:val="single"/>
          </w:rPr>
          <w:t>Fotocasa</w:t>
        </w:r>
      </w:hyperlink>
      <w:r>
        <w:rPr>
          <w:rFonts w:ascii="Open Sans" w:eastAsia="Open Sans" w:hAnsi="Open Sans" w:cs="Open Sans"/>
          <w:color w:val="000000"/>
        </w:rPr>
        <w:t xml:space="preserve"> y la inmobiliaria </w:t>
      </w:r>
      <w:hyperlink r:id="rId19">
        <w:r>
          <w:rPr>
            <w:rFonts w:ascii="Open Sans" w:eastAsia="Open Sans" w:hAnsi="Open Sans" w:cs="Open Sans"/>
            <w:b/>
            <w:color w:val="0000FF"/>
            <w:u w:val="single"/>
          </w:rPr>
          <w:t>Solvia</w:t>
        </w:r>
      </w:hyperlink>
      <w:r>
        <w:rPr>
          <w:rFonts w:ascii="Open Sans" w:eastAsia="Open Sans" w:hAnsi="Open Sans" w:cs="Open Sans"/>
          <w:color w:val="000000"/>
        </w:rPr>
        <w:t xml:space="preserve"> han realizado el informe</w:t>
      </w:r>
      <w:r>
        <w:rPr>
          <w:rFonts w:ascii="Open Sans" w:eastAsia="Open Sans" w:hAnsi="Open Sans" w:cs="Open Sans"/>
          <w:b/>
          <w:i/>
          <w:color w:val="000000"/>
        </w:rPr>
        <w:t xml:space="preserve"> “La sostenibilidad en la demanda de vivienda en España” </w:t>
      </w:r>
      <w:r>
        <w:rPr>
          <w:rFonts w:ascii="Open Sans" w:eastAsia="Open Sans" w:hAnsi="Open Sans" w:cs="Open Sans"/>
          <w:color w:val="000000"/>
        </w:rPr>
        <w:t xml:space="preserve">en base a un exhaustivo análisis realizado a más de 3.000 personas activas en la búsqueda de vivienda, tanto en venta como en alquiler. </w:t>
      </w:r>
    </w:p>
    <w:p w14:paraId="5CB24308" w14:textId="77777777" w:rsidR="00C21CC0" w:rsidRDefault="00917D21">
      <w:pPr>
        <w:spacing w:before="240" w:after="0" w:line="240" w:lineRule="auto"/>
        <w:ind w:right="-574"/>
        <w:jc w:val="both"/>
        <w:rPr>
          <w:rFonts w:ascii="Times New Roman" w:eastAsia="Times New Roman" w:hAnsi="Times New Roman" w:cs="Times New Roman"/>
          <w:sz w:val="24"/>
          <w:szCs w:val="24"/>
        </w:rPr>
      </w:pPr>
      <w:r>
        <w:rPr>
          <w:rFonts w:ascii="Open Sans" w:eastAsia="Open Sans" w:hAnsi="Open Sans" w:cs="Open Sans"/>
          <w:color w:val="000000"/>
        </w:rPr>
        <w:t>El estudio pone el foco en la sostenibilidad en la búsqueda de vivienda y analiza dos puntos clave existentes en el sector inmobiliario: por un lado, examina el perfil sociodemográfico de las personas que se plantean cambiar de vivienda, tanto en el ámbito de la compra como del alquiler, y la tipología de vivienda buscada. Por otro lado, traza una completa radiografía de la importancia de la sostenibilidad en la búsqueda de vivienda. </w:t>
      </w:r>
    </w:p>
    <w:p w14:paraId="3DC27C06" w14:textId="77777777" w:rsidR="00C21CC0" w:rsidRDefault="00917D21">
      <w:pPr>
        <w:spacing w:before="240" w:after="0" w:line="240" w:lineRule="auto"/>
        <w:ind w:right="-574"/>
        <w:jc w:val="both"/>
        <w:rPr>
          <w:rFonts w:ascii="Times New Roman" w:eastAsia="Times New Roman" w:hAnsi="Times New Roman" w:cs="Times New Roman"/>
          <w:sz w:val="24"/>
          <w:szCs w:val="24"/>
        </w:rPr>
      </w:pPr>
      <w:r>
        <w:rPr>
          <w:rFonts w:ascii="Open Sans" w:eastAsia="Open Sans" w:hAnsi="Open Sans" w:cs="Open Sans"/>
          <w:color w:val="000000"/>
        </w:rPr>
        <w:t>El informe se ha realizado sobre un panel independiente con una muestra de 3.008 personas representativas de la sociedad española que están en proceso de búsqueda de casa, tanto alquiler como compra, y que tienen entre 18 y 75 años. Error muestral +-1,79%.</w:t>
      </w:r>
    </w:p>
    <w:p w14:paraId="691CBE28" w14:textId="77777777" w:rsidR="00C21CC0" w:rsidRDefault="00C21CC0">
      <w:pPr>
        <w:spacing w:after="0" w:line="240" w:lineRule="auto"/>
        <w:ind w:right="-716"/>
        <w:rPr>
          <w:rFonts w:ascii="Open Sans" w:eastAsia="Open Sans" w:hAnsi="Open Sans" w:cs="Open Sans"/>
          <w:color w:val="303AB2"/>
          <w:sz w:val="24"/>
          <w:szCs w:val="24"/>
        </w:rPr>
      </w:pPr>
    </w:p>
    <w:p w14:paraId="0EB7E56B" w14:textId="77777777" w:rsidR="00C21CC0" w:rsidRDefault="00C21CC0">
      <w:pPr>
        <w:spacing w:after="0" w:line="240" w:lineRule="auto"/>
        <w:ind w:right="-716"/>
        <w:rPr>
          <w:rFonts w:ascii="Open Sans" w:eastAsia="Open Sans" w:hAnsi="Open Sans" w:cs="Open Sans"/>
          <w:color w:val="303AB2"/>
          <w:sz w:val="24"/>
          <w:szCs w:val="24"/>
        </w:rPr>
      </w:pPr>
    </w:p>
    <w:p w14:paraId="76D0232F" w14:textId="77777777" w:rsidR="00692D7C" w:rsidRDefault="00692D7C">
      <w:pPr>
        <w:spacing w:after="0" w:line="276" w:lineRule="auto"/>
        <w:ind w:right="-720"/>
        <w:jc w:val="right"/>
        <w:rPr>
          <w:rFonts w:ascii="Open Sans" w:eastAsia="Open Sans" w:hAnsi="Open Sans" w:cs="Open Sans"/>
          <w:color w:val="303AB2"/>
          <w:sz w:val="24"/>
          <w:szCs w:val="24"/>
        </w:rPr>
      </w:pPr>
    </w:p>
    <w:p w14:paraId="3FE8E807" w14:textId="3236AE79" w:rsidR="00C21CC0" w:rsidRDefault="00917D21">
      <w:pPr>
        <w:spacing w:after="0" w:line="276" w:lineRule="auto"/>
        <w:ind w:right="-720"/>
        <w:jc w:val="right"/>
        <w:rPr>
          <w:rFonts w:ascii="Open Sans" w:eastAsia="Open Sans" w:hAnsi="Open Sans" w:cs="Open Sans"/>
          <w:color w:val="303AB2"/>
          <w:sz w:val="24"/>
          <w:szCs w:val="24"/>
        </w:rPr>
      </w:pPr>
      <w:r>
        <w:rPr>
          <w:rFonts w:ascii="Open Sans" w:eastAsia="Open Sans" w:hAnsi="Open Sans" w:cs="Open Sans"/>
          <w:color w:val="303AB2"/>
          <w:sz w:val="24"/>
          <w:szCs w:val="24"/>
        </w:rPr>
        <w:lastRenderedPageBreak/>
        <w:t>Sobre Solvia</w:t>
      </w:r>
    </w:p>
    <w:p w14:paraId="651A2A2F" w14:textId="77777777" w:rsidR="00C21CC0" w:rsidRDefault="00917D21">
      <w:pPr>
        <w:pBdr>
          <w:top w:val="nil"/>
          <w:left w:val="nil"/>
          <w:bottom w:val="nil"/>
          <w:right w:val="nil"/>
          <w:between w:val="nil"/>
        </w:pBdr>
        <w:shd w:val="clear" w:color="auto" w:fill="FFFFFF"/>
        <w:spacing w:after="0" w:line="240" w:lineRule="auto"/>
        <w:ind w:right="-716"/>
        <w:jc w:val="both"/>
        <w:rPr>
          <w:rFonts w:ascii="Open Sans" w:eastAsia="Open Sans" w:hAnsi="Open Sans" w:cs="Open Sans"/>
        </w:rPr>
      </w:pPr>
      <w:r>
        <w:rPr>
          <w:rFonts w:ascii="Open Sans" w:eastAsia="Open Sans" w:hAnsi="Open Sans" w:cs="Open Sans"/>
        </w:rPr>
        <w:t>Solvia es una firma líder en servicios inmobiliarios para particulares, empresas e inversores que opera en todos los segmentos del mercado. Con una cartera de 150.000 activos bajo gestión, cuenta con una contrastada capacidad de gestión y mantenimiento de todo tipo de activos inmobiliarios, tanto residenciales como terciarios y singulares.</w:t>
      </w:r>
    </w:p>
    <w:p w14:paraId="37D13E84" w14:textId="77777777" w:rsidR="00C21CC0" w:rsidRDefault="00917D21">
      <w:pPr>
        <w:pBdr>
          <w:top w:val="nil"/>
          <w:left w:val="nil"/>
          <w:bottom w:val="nil"/>
          <w:right w:val="nil"/>
          <w:between w:val="nil"/>
        </w:pBdr>
        <w:shd w:val="clear" w:color="auto" w:fill="FFFFFF"/>
        <w:spacing w:after="0" w:line="240" w:lineRule="auto"/>
        <w:ind w:right="-716"/>
        <w:jc w:val="both"/>
        <w:rPr>
          <w:rFonts w:ascii="Open Sans" w:eastAsia="Open Sans" w:hAnsi="Open Sans" w:cs="Open Sans"/>
        </w:rPr>
      </w:pPr>
      <w:r>
        <w:rPr>
          <w:rFonts w:ascii="Open Sans" w:eastAsia="Open Sans" w:hAnsi="Open Sans" w:cs="Open Sans"/>
        </w:rPr>
        <w:t xml:space="preserve"> </w:t>
      </w:r>
    </w:p>
    <w:p w14:paraId="715827F0" w14:textId="77777777" w:rsidR="00C21CC0" w:rsidRDefault="00917D21">
      <w:pPr>
        <w:shd w:val="clear" w:color="auto" w:fill="FFFFFF"/>
        <w:spacing w:after="0" w:line="276" w:lineRule="auto"/>
        <w:ind w:right="-720"/>
        <w:jc w:val="both"/>
        <w:rPr>
          <w:rFonts w:ascii="Open Sans" w:eastAsia="Open Sans" w:hAnsi="Open Sans" w:cs="Open Sans"/>
          <w:color w:val="1155CC"/>
          <w:sz w:val="24"/>
          <w:szCs w:val="24"/>
          <w:u w:val="single"/>
        </w:rPr>
      </w:pPr>
      <w:r>
        <w:rPr>
          <w:rFonts w:ascii="Open Sans" w:eastAsia="Open Sans" w:hAnsi="Open Sans" w:cs="Open Sans"/>
        </w:rPr>
        <w:t xml:space="preserve">Entre sus servicios destacan la comercialización de inmuebles para compra, venta o alquiler, la gestión de carteras de crédito, así como la consultoría, valoración y advisory para inversores. Solvia cuenta con una gran capilaridad gracias a su red comercial y más de 600 empleados. Para más información, visite </w:t>
      </w:r>
      <w:hyperlink r:id="rId20">
        <w:r>
          <w:rPr>
            <w:rFonts w:ascii="Open Sans" w:eastAsia="Open Sans" w:hAnsi="Open Sans" w:cs="Open Sans"/>
            <w:color w:val="1155CC"/>
            <w:u w:val="single"/>
          </w:rPr>
          <w:t>www.solvia.es</w:t>
        </w:r>
      </w:hyperlink>
      <w:r>
        <w:rPr>
          <w:rFonts w:ascii="Open Sans" w:eastAsia="Open Sans" w:hAnsi="Open Sans" w:cs="Open Sans"/>
          <w:color w:val="1155CC"/>
          <w:sz w:val="24"/>
          <w:szCs w:val="24"/>
          <w:u w:val="single"/>
        </w:rPr>
        <w:t>.</w:t>
      </w:r>
    </w:p>
    <w:p w14:paraId="5E012828" w14:textId="77777777" w:rsidR="00C21CC0" w:rsidRDefault="00C21CC0">
      <w:pPr>
        <w:shd w:val="clear" w:color="auto" w:fill="FFFFFF"/>
        <w:spacing w:after="0" w:line="276" w:lineRule="auto"/>
        <w:ind w:right="-720"/>
        <w:jc w:val="both"/>
        <w:rPr>
          <w:rFonts w:ascii="Open Sans" w:eastAsia="Open Sans" w:hAnsi="Open Sans" w:cs="Open Sans"/>
          <w:color w:val="1155CC"/>
          <w:sz w:val="24"/>
          <w:szCs w:val="24"/>
          <w:u w:val="single"/>
        </w:rPr>
      </w:pPr>
    </w:p>
    <w:p w14:paraId="42E63AF8" w14:textId="672B5CEA" w:rsidR="00C21CC0" w:rsidRPr="00692D7C" w:rsidRDefault="00917D21" w:rsidP="00692D7C">
      <w:pPr>
        <w:spacing w:after="0" w:line="240" w:lineRule="auto"/>
        <w:ind w:right="-716"/>
        <w:jc w:val="right"/>
        <w:rPr>
          <w:rFonts w:ascii="Times New Roman" w:eastAsia="Times New Roman" w:hAnsi="Times New Roman" w:cs="Times New Roman"/>
          <w:sz w:val="24"/>
          <w:szCs w:val="24"/>
        </w:rPr>
      </w:pPr>
      <w:r>
        <w:rPr>
          <w:rFonts w:ascii="Open Sans" w:eastAsia="Open Sans" w:hAnsi="Open Sans" w:cs="Open Sans"/>
          <w:color w:val="303AB2"/>
          <w:sz w:val="24"/>
          <w:szCs w:val="24"/>
        </w:rPr>
        <w:t>Sobre Fotocasa</w:t>
      </w:r>
    </w:p>
    <w:p w14:paraId="15712752" w14:textId="77777777" w:rsidR="00C21CC0" w:rsidRDefault="00917D21">
      <w:pPr>
        <w:shd w:val="clear" w:color="auto" w:fill="FFFFFF"/>
        <w:spacing w:after="0" w:line="240" w:lineRule="auto"/>
        <w:ind w:right="-716"/>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21">
        <w:r>
          <w:rPr>
            <w:rFonts w:ascii="Open Sans" w:eastAsia="Open Sans" w:hAnsi="Open Sans" w:cs="Open Sans"/>
            <w:color w:val="0000FF"/>
            <w:u w:val="single"/>
          </w:rPr>
          <w:t>índice 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30FE257E"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20F12F2A" w14:textId="77777777" w:rsidR="00C21CC0" w:rsidRDefault="00692D7C">
      <w:pPr>
        <w:shd w:val="clear" w:color="auto" w:fill="FFFFFF"/>
        <w:spacing w:after="0" w:line="240" w:lineRule="auto"/>
        <w:ind w:right="-716"/>
        <w:jc w:val="both"/>
        <w:rPr>
          <w:rFonts w:ascii="Times New Roman" w:eastAsia="Times New Roman" w:hAnsi="Times New Roman" w:cs="Times New Roman"/>
          <w:sz w:val="24"/>
          <w:szCs w:val="24"/>
        </w:rPr>
      </w:pPr>
      <w:hyperlink r:id="rId22">
        <w:r w:rsidR="00917D21">
          <w:rPr>
            <w:rFonts w:ascii="Open Sans" w:eastAsia="Open Sans" w:hAnsi="Open Sans" w:cs="Open Sans"/>
            <w:b/>
            <w:color w:val="0000FF"/>
            <w:u w:val="single"/>
          </w:rPr>
          <w:t>Fotocasa</w:t>
        </w:r>
      </w:hyperlink>
      <w:r w:rsidR="00917D21">
        <w:rPr>
          <w:rFonts w:ascii="Open Sans" w:eastAsia="Open Sans" w:hAnsi="Open Sans" w:cs="Open Sans"/>
          <w:color w:val="000000"/>
        </w:rPr>
        <w:t> pertenece a </w:t>
      </w:r>
      <w:hyperlink r:id="rId23">
        <w:r w:rsidR="00917D21">
          <w:rPr>
            <w:rFonts w:ascii="Open Sans" w:eastAsia="Open Sans" w:hAnsi="Open Sans" w:cs="Open Sans"/>
            <w:color w:val="0000FF"/>
            <w:u w:val="single"/>
          </w:rPr>
          <w:t>Adevinta</w:t>
        </w:r>
      </w:hyperlink>
      <w:r w:rsidR="00917D21">
        <w:rPr>
          <w:rFonts w:ascii="Open Sans" w:eastAsia="Open Sans" w:hAnsi="Open Sans" w:cs="Open Sans"/>
          <w:color w:val="000000"/>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5FAB104F" w14:textId="77777777" w:rsidR="00C21CC0" w:rsidRDefault="00692D7C">
      <w:pPr>
        <w:shd w:val="clear" w:color="auto" w:fill="FFFFFF"/>
        <w:spacing w:after="0" w:line="240" w:lineRule="auto"/>
        <w:ind w:right="-716"/>
        <w:jc w:val="both"/>
        <w:rPr>
          <w:rFonts w:ascii="Open Sans" w:eastAsia="Open Sans" w:hAnsi="Open Sans" w:cs="Open Sans"/>
          <w:color w:val="000000"/>
        </w:rPr>
      </w:pPr>
      <w:hyperlink r:id="rId24">
        <w:r w:rsidR="00917D21">
          <w:rPr>
            <w:rFonts w:ascii="Open Sans" w:eastAsia="Open Sans" w:hAnsi="Open Sans" w:cs="Open Sans"/>
            <w:color w:val="0000FF"/>
            <w:u w:val="single"/>
          </w:rPr>
          <w:t>Más información sobre Fotocasa</w:t>
        </w:r>
      </w:hyperlink>
      <w:r w:rsidR="00917D21">
        <w:rPr>
          <w:rFonts w:ascii="Open Sans" w:eastAsia="Open Sans" w:hAnsi="Open Sans" w:cs="Open Sans"/>
          <w:color w:val="000000"/>
        </w:rPr>
        <w:t>.</w:t>
      </w:r>
    </w:p>
    <w:p w14:paraId="409D8D6D"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7747698F"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En España, </w:t>
      </w:r>
      <w:hyperlink r:id="rId25">
        <w:r>
          <w:rPr>
            <w:rFonts w:ascii="Open Sans" w:eastAsia="Open Sans" w:hAnsi="Open Sans" w:cs="Open Sans"/>
            <w:color w:val="0000FF"/>
            <w:u w:val="single"/>
          </w:rPr>
          <w:t>Adevinta</w:t>
        </w:r>
      </w:hyperlink>
      <w:r>
        <w:rPr>
          <w:rFonts w:ascii="Open Sans" w:eastAsia="Open Sans" w:hAnsi="Open Sans" w:cs="Open Sans"/>
          <w:color w:val="000000"/>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6">
        <w:r>
          <w:rPr>
            <w:rFonts w:ascii="Open Sans" w:eastAsia="Open Sans" w:hAnsi="Open Sans" w:cs="Open Sans"/>
            <w:color w:val="0000FF"/>
            <w:u w:val="single"/>
          </w:rPr>
          <w:t>Fotocasa</w:t>
        </w:r>
      </w:hyperlink>
      <w:r>
        <w:rPr>
          <w:rFonts w:ascii="Open Sans" w:eastAsia="Open Sans" w:hAnsi="Open Sans" w:cs="Open Sans"/>
          <w:color w:val="000000"/>
        </w:rPr>
        <w:t> y </w:t>
      </w:r>
      <w:hyperlink r:id="rId27">
        <w:r>
          <w:rPr>
            <w:rFonts w:ascii="Open Sans" w:eastAsia="Open Sans" w:hAnsi="Open Sans" w:cs="Open Sans"/>
            <w:color w:val="0000FF"/>
            <w:u w:val="single"/>
          </w:rPr>
          <w:t>habitaclia</w:t>
        </w:r>
      </w:hyperlink>
      <w:r>
        <w:rPr>
          <w:rFonts w:ascii="Open Sans" w:eastAsia="Open Sans" w:hAnsi="Open Sans" w:cs="Open Sans"/>
          <w:color w:val="000000"/>
        </w:rPr>
        <w:t>), empleo (</w:t>
      </w:r>
      <w:hyperlink r:id="rId28">
        <w:r>
          <w:rPr>
            <w:rFonts w:ascii="Open Sans" w:eastAsia="Open Sans" w:hAnsi="Open Sans" w:cs="Open Sans"/>
            <w:color w:val="0000FF"/>
            <w:u w:val="single"/>
          </w:rPr>
          <w:t>Infojobs.net</w:t>
        </w:r>
      </w:hyperlink>
      <w:r>
        <w:rPr>
          <w:rFonts w:ascii="Open Sans" w:eastAsia="Open Sans" w:hAnsi="Open Sans" w:cs="Open Sans"/>
          <w:color w:val="000000"/>
        </w:rPr>
        <w:t>), motor (</w:t>
      </w:r>
      <w:hyperlink r:id="rId29">
        <w:r>
          <w:rPr>
            <w:rFonts w:ascii="Open Sans" w:eastAsia="Open Sans" w:hAnsi="Open Sans" w:cs="Open Sans"/>
            <w:color w:val="0000FF"/>
            <w:u w:val="single"/>
          </w:rPr>
          <w:t>coches.net</w:t>
        </w:r>
      </w:hyperlink>
      <w:r>
        <w:rPr>
          <w:rFonts w:ascii="Open Sans" w:eastAsia="Open Sans" w:hAnsi="Open Sans" w:cs="Open Sans"/>
          <w:color w:val="000000"/>
        </w:rPr>
        <w:t> y </w:t>
      </w:r>
      <w:hyperlink r:id="rId30">
        <w:r>
          <w:rPr>
            <w:rFonts w:ascii="Open Sans" w:eastAsia="Open Sans" w:hAnsi="Open Sans" w:cs="Open Sans"/>
            <w:color w:val="0000FF"/>
            <w:u w:val="single"/>
          </w:rPr>
          <w:t>motos.ne</w:t>
        </w:r>
      </w:hyperlink>
      <w:r>
        <w:rPr>
          <w:rFonts w:ascii="Open Sans" w:eastAsia="Open Sans" w:hAnsi="Open Sans" w:cs="Open Sans"/>
          <w:color w:val="0000FF"/>
          <w:u w:val="single"/>
        </w:rPr>
        <w:t>t</w:t>
      </w:r>
      <w:r>
        <w:rPr>
          <w:rFonts w:ascii="Open Sans" w:eastAsia="Open Sans" w:hAnsi="Open Sans" w:cs="Open Sans"/>
          <w:color w:val="000000"/>
        </w:rPr>
        <w:t>) y segunda mano (</w:t>
      </w:r>
      <w:hyperlink r:id="rId31">
        <w:r>
          <w:rPr>
            <w:rFonts w:ascii="Open Sans" w:eastAsia="Open Sans" w:hAnsi="Open Sans" w:cs="Open Sans"/>
            <w:color w:val="0000FF"/>
            <w:u w:val="single"/>
          </w:rPr>
          <w:t>Milanuncios</w:t>
        </w:r>
      </w:hyperlink>
      <w:r>
        <w:rPr>
          <w:rFonts w:ascii="Open Sans" w:eastAsia="Open Sans" w:hAnsi="Open Sans" w:cs="Open Sans"/>
          <w:color w:val="000000"/>
        </w:rPr>
        <w:t> y </w:t>
      </w:r>
      <w:hyperlink r:id="rId32">
        <w:r>
          <w:rPr>
            <w:rFonts w:ascii="Open Sans" w:eastAsia="Open Sans" w:hAnsi="Open Sans" w:cs="Open Sans"/>
            <w:color w:val="0000FF"/>
            <w:u w:val="single"/>
          </w:rPr>
          <w:t>vibbo</w:t>
        </w:r>
      </w:hyperlink>
      <w:r>
        <w:rPr>
          <w:rFonts w:ascii="Open Sans" w:eastAsia="Open Sans" w:hAnsi="Open Sans" w:cs="Open Sans"/>
          <w:color w:val="000000"/>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09A9806C"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6B0713F"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33">
        <w:r>
          <w:rPr>
            <w:rFonts w:ascii="Open Sans" w:eastAsia="Open Sans" w:hAnsi="Open Sans" w:cs="Open Sans"/>
            <w:color w:val="0000FF"/>
            <w:u w:val="single"/>
          </w:rPr>
          <w:t>Sala de Prensa</w:t>
        </w:r>
      </w:hyperlink>
      <w:r>
        <w:rPr>
          <w:rFonts w:ascii="Open Sans" w:eastAsia="Open Sans" w:hAnsi="Open Sans" w:cs="Open Sans"/>
          <w:color w:val="000000"/>
        </w:rPr>
        <w:t>. </w:t>
      </w:r>
    </w:p>
    <w:p w14:paraId="79F558B2"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458AA8F" w14:textId="77777777" w:rsidR="00C21CC0" w:rsidRDefault="00C21CC0">
      <w:pPr>
        <w:spacing w:after="0" w:line="240" w:lineRule="auto"/>
        <w:rPr>
          <w:rFonts w:ascii="Times New Roman" w:eastAsia="Times New Roman" w:hAnsi="Times New Roman" w:cs="Times New Roman"/>
          <w:sz w:val="24"/>
          <w:szCs w:val="24"/>
        </w:rPr>
      </w:pPr>
    </w:p>
    <w:p w14:paraId="68942090" w14:textId="77777777" w:rsidR="00C21CC0" w:rsidRDefault="00C21CC0">
      <w:pPr>
        <w:spacing w:after="0" w:line="240" w:lineRule="auto"/>
        <w:rPr>
          <w:rFonts w:ascii="Times New Roman" w:eastAsia="Times New Roman" w:hAnsi="Times New Roman" w:cs="Times New Roman"/>
          <w:sz w:val="24"/>
          <w:szCs w:val="24"/>
        </w:rPr>
      </w:pPr>
    </w:p>
    <w:p w14:paraId="15B234BE" w14:textId="77777777" w:rsidR="00C21CC0" w:rsidRDefault="00917D21">
      <w:pPr>
        <w:spacing w:after="0" w:line="240" w:lineRule="auto"/>
        <w:ind w:right="-716"/>
        <w:rPr>
          <w:rFonts w:ascii="Times New Roman" w:eastAsia="Times New Roman" w:hAnsi="Times New Roman" w:cs="Times New Roman"/>
          <w:b/>
        </w:rPr>
      </w:pPr>
      <w:r>
        <w:rPr>
          <w:rFonts w:ascii="Open Sans" w:eastAsia="Open Sans" w:hAnsi="Open Sans" w:cs="Open Sans"/>
          <w:b/>
          <w:color w:val="303AB2"/>
        </w:rPr>
        <w:t xml:space="preserve">Departamento Comunicación Solvia    </w:t>
      </w:r>
      <w:r>
        <w:rPr>
          <w:rFonts w:ascii="Open Sans" w:eastAsia="Open Sans" w:hAnsi="Open Sans" w:cs="Open Sans"/>
          <w:b/>
          <w:color w:val="303AB2"/>
          <w:sz w:val="20"/>
          <w:szCs w:val="20"/>
        </w:rPr>
        <w:t xml:space="preserve">              </w:t>
      </w:r>
      <w:r>
        <w:rPr>
          <w:rFonts w:ascii="Open Sans" w:eastAsia="Open Sans" w:hAnsi="Open Sans" w:cs="Open Sans"/>
          <w:b/>
          <w:color w:val="303AB2"/>
        </w:rPr>
        <w:t>Departamento Comunicación Fotocasa</w:t>
      </w:r>
    </w:p>
    <w:p w14:paraId="709E1D3C"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b/>
          <w:sz w:val="19"/>
          <w:szCs w:val="19"/>
        </w:rPr>
        <w:t>Victor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7CD47A2F" w14:textId="77777777" w:rsidR="00C21CC0" w:rsidRDefault="00692D7C">
      <w:pPr>
        <w:shd w:val="clear" w:color="auto" w:fill="FFFFFF"/>
        <w:spacing w:after="0" w:line="240" w:lineRule="auto"/>
        <w:ind w:right="-716"/>
        <w:rPr>
          <w:rFonts w:ascii="Times New Roman" w:eastAsia="Times New Roman" w:hAnsi="Times New Roman" w:cs="Times New Roman"/>
          <w:sz w:val="24"/>
          <w:szCs w:val="24"/>
        </w:rPr>
      </w:pPr>
      <w:hyperlink r:id="rId34">
        <w:r w:rsidR="00917D21">
          <w:rPr>
            <w:rFonts w:ascii="Open Sans" w:eastAsia="Open Sans" w:hAnsi="Open Sans" w:cs="Open Sans"/>
            <w:color w:val="0000FF"/>
            <w:sz w:val="19"/>
            <w:szCs w:val="19"/>
            <w:u w:val="single"/>
          </w:rPr>
          <w:t>victor.gonzalez@intrum.com</w:t>
        </w:r>
      </w:hyperlink>
      <w:r w:rsidR="00917D21">
        <w:rPr>
          <w:rFonts w:ascii="Open Sans" w:eastAsia="Open Sans" w:hAnsi="Open Sans" w:cs="Open Sans"/>
          <w:sz w:val="19"/>
          <w:szCs w:val="19"/>
        </w:rPr>
        <w:t xml:space="preserve">    </w:t>
      </w:r>
      <w:hyperlink r:id="rId35">
        <w:r w:rsidR="00917D21">
          <w:rPr>
            <w:rFonts w:ascii="Open Sans" w:eastAsia="Open Sans" w:hAnsi="Open Sans" w:cs="Open Sans"/>
            <w:color w:val="0000FF"/>
            <w:sz w:val="19"/>
            <w:szCs w:val="19"/>
          </w:rPr>
          <w:tab/>
        </w:r>
        <w:r w:rsidR="00917D21">
          <w:rPr>
            <w:rFonts w:ascii="Open Sans" w:eastAsia="Open Sans" w:hAnsi="Open Sans" w:cs="Open Sans"/>
            <w:color w:val="0000FF"/>
            <w:sz w:val="19"/>
            <w:szCs w:val="19"/>
          </w:rPr>
          <w:tab/>
        </w:r>
      </w:hyperlink>
      <w:r w:rsidR="00917D21">
        <w:rPr>
          <w:rFonts w:ascii="Open Sans" w:eastAsia="Open Sans" w:hAnsi="Open Sans" w:cs="Open Sans"/>
          <w:color w:val="0000FF"/>
          <w:sz w:val="19"/>
          <w:szCs w:val="19"/>
        </w:rPr>
        <w:t xml:space="preserve">                                                                </w:t>
      </w:r>
      <w:hyperlink r:id="rId36">
        <w:r w:rsidR="00917D21">
          <w:rPr>
            <w:rFonts w:ascii="Open Sans" w:eastAsia="Open Sans" w:hAnsi="Open Sans" w:cs="Open Sans"/>
            <w:color w:val="0000FF"/>
            <w:sz w:val="19"/>
            <w:szCs w:val="19"/>
            <w:u w:val="single"/>
          </w:rPr>
          <w:t>comunicacion@fotocasa.es</w:t>
        </w:r>
      </w:hyperlink>
    </w:p>
    <w:p w14:paraId="7E6052C8"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620 66 29 26</w:t>
      </w:r>
    </w:p>
    <w:p w14:paraId="5054D0A5"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60D52BDF"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00F35C" w14:textId="77777777" w:rsidR="00C21CC0" w:rsidRDefault="00C21CC0"/>
    <w:sectPr w:rsidR="00C21CC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75B4"/>
    <w:multiLevelType w:val="multilevel"/>
    <w:tmpl w:val="AC76E1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C0"/>
    <w:rsid w:val="00692D7C"/>
    <w:rsid w:val="00917D21"/>
    <w:rsid w:val="00C21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B3F5"/>
  <w15:docId w15:val="{EBE11E54-69EC-4413-AA80-CF6AABF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fotocasa.es" TargetMode="External"/><Relationship Id="rId26" Type="http://schemas.openxmlformats.org/officeDocument/2006/relationships/hyperlink" Target="http://www.fotocasa.es/" TargetMode="External"/><Relationship Id="rId21" Type="http://schemas.openxmlformats.org/officeDocument/2006/relationships/hyperlink" Target="https://www.fotocasa.es/indice/" TargetMode="External"/><Relationship Id="rId34" Type="http://schemas.openxmlformats.org/officeDocument/2006/relationships/hyperlink" Target="mailto:victor.gonzalez@intrum.com"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adevinta.com/" TargetMode="External"/><Relationship Id="rId33" Type="http://schemas.openxmlformats.org/officeDocument/2006/relationships/hyperlink" Target="http://prensa.fotocasa.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lvia.es/es/home/1" TargetMode="External"/><Relationship Id="rId20" Type="http://schemas.openxmlformats.org/officeDocument/2006/relationships/hyperlink" Target="http://www.solvia.es" TargetMode="External"/><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www.fotocasa.es/es/quienes-somos/" TargetMode="External"/><Relationship Id="rId32" Type="http://schemas.openxmlformats.org/officeDocument/2006/relationships/hyperlink" Target="https://www.vibbo.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https://www.adevinta.com/" TargetMode="External"/><Relationship Id="rId28" Type="http://schemas.openxmlformats.org/officeDocument/2006/relationships/hyperlink" Target="https://www.infojobs.net/" TargetMode="External"/><Relationship Id="rId36" Type="http://schemas.openxmlformats.org/officeDocument/2006/relationships/hyperlink" Target="mailto:comunicacion@fotocasa.es" TargetMode="External"/><Relationship Id="rId10" Type="http://schemas.openxmlformats.org/officeDocument/2006/relationships/hyperlink" Target="https://www.fotocasa.es/es/" TargetMode="External"/><Relationship Id="rId19" Type="http://schemas.openxmlformats.org/officeDocument/2006/relationships/hyperlink" Target="https://www.solvia.es/es/home/1" TargetMode="External"/><Relationship Id="rId31" Type="http://schemas.openxmlformats.org/officeDocument/2006/relationships/hyperlink" Target="https://www.milanuncios.es/" TargetMode="External"/><Relationship Id="rId4" Type="http://schemas.openxmlformats.org/officeDocument/2006/relationships/settings" Target="settings.xml"/><Relationship Id="rId9" Type="http://schemas.openxmlformats.org/officeDocument/2006/relationships/hyperlink" Target="https://www.solvia.es/es/home/1" TargetMode="External"/><Relationship Id="rId14" Type="http://schemas.openxmlformats.org/officeDocument/2006/relationships/image" Target="media/image6.png"/><Relationship Id="rId22" Type="http://schemas.openxmlformats.org/officeDocument/2006/relationships/hyperlink" Target="http://www.fotocasa.es/"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rtorne@llorenteycuenca.com" TargetMode="External"/><Relationship Id="rId8" Type="http://schemas.openxmlformats.org/officeDocument/2006/relationships/hyperlink" Target="https://drive.google.com/drive/u/1/folders/1eusdHpQrM55axCEsXOMh0_GD8hnrn0n5"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9d7vFZPBQxd8QU6beATCcRZjA==">AMUW2mXNzSCkCi8F0NKWf6H6pGz3a8H0ITMkk5+LFEHLJz1+umzqpWrO+RILBG/7HIAZwZ6U9GDEIH6ym4LpsoIUQcW0BJ3xImqityKLouTQ5LSLqti9XNI=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8662</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3</cp:revision>
  <dcterms:created xsi:type="dcterms:W3CDTF">2022-03-31T13:03:00Z</dcterms:created>
  <dcterms:modified xsi:type="dcterms:W3CDTF">2022-04-04T11:46:00Z</dcterms:modified>
</cp:coreProperties>
</file>