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660A" w14:textId="77777777" w:rsidR="00A000AC" w:rsidRDefault="00426316">
      <w:pPr>
        <w:spacing w:line="240" w:lineRule="auto"/>
        <w:rPr>
          <w:rFonts w:ascii="Calibri" w:eastAsia="Calibri" w:hAnsi="Calibri" w:cs="Calibri"/>
          <w:sz w:val="24"/>
          <w:szCs w:val="24"/>
        </w:rPr>
      </w:pPr>
      <w:r>
        <w:rPr>
          <w:noProof/>
        </w:rPr>
        <w:drawing>
          <wp:anchor distT="0" distB="0" distL="0" distR="0" simplePos="0" relativeHeight="251658240" behindDoc="0" locked="0" layoutInCell="1" hidden="0" allowOverlap="1" wp14:anchorId="11A4DA49" wp14:editId="7C56E20E">
            <wp:simplePos x="0" y="0"/>
            <wp:positionH relativeFrom="column">
              <wp:posOffset>-1056059</wp:posOffset>
            </wp:positionH>
            <wp:positionV relativeFrom="paragraph">
              <wp:posOffset>-346328</wp:posOffset>
            </wp:positionV>
            <wp:extent cx="7711147" cy="1037167"/>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35C987B1" w14:textId="77777777" w:rsidR="00A000AC" w:rsidRDefault="00A000AC">
      <w:pPr>
        <w:spacing w:line="240" w:lineRule="auto"/>
        <w:jc w:val="right"/>
        <w:rPr>
          <w:rFonts w:ascii="National" w:eastAsia="National" w:hAnsi="National" w:cs="National"/>
          <w:color w:val="303AB2"/>
          <w:sz w:val="36"/>
          <w:szCs w:val="36"/>
        </w:rPr>
      </w:pPr>
    </w:p>
    <w:p w14:paraId="0F676706" w14:textId="77777777" w:rsidR="00A000AC" w:rsidRDefault="00A000AC">
      <w:pPr>
        <w:spacing w:line="240" w:lineRule="auto"/>
        <w:jc w:val="both"/>
        <w:rPr>
          <w:rFonts w:ascii="National" w:eastAsia="National" w:hAnsi="National" w:cs="National"/>
          <w:color w:val="303AB2"/>
          <w:sz w:val="26"/>
          <w:szCs w:val="26"/>
        </w:rPr>
      </w:pPr>
    </w:p>
    <w:p w14:paraId="0CE7FCDE" w14:textId="59CAAE66" w:rsidR="00A000AC" w:rsidRPr="00E37981" w:rsidRDefault="00E37981">
      <w:pPr>
        <w:shd w:val="clear" w:color="auto" w:fill="FFFFFF"/>
        <w:spacing w:after="225"/>
        <w:ind w:left="708"/>
        <w:jc w:val="center"/>
        <w:rPr>
          <w:rFonts w:ascii="National" w:eastAsia="National" w:hAnsi="National" w:cs="National"/>
          <w:b/>
          <w:color w:val="303AB2"/>
          <w:sz w:val="44"/>
          <w:szCs w:val="44"/>
        </w:rPr>
      </w:pPr>
      <w:r w:rsidRPr="00E37981">
        <w:rPr>
          <w:rFonts w:ascii="National" w:eastAsia="National" w:hAnsi="National" w:cs="National"/>
          <w:b/>
          <w:color w:val="303AB2"/>
          <w:sz w:val="44"/>
          <w:szCs w:val="44"/>
        </w:rPr>
        <w:t>El sector inmobiliario sigue presentando datos históricos: se firman en marzo más de 43.000 préstamos, la mejor cifra en 11 años</w:t>
      </w:r>
    </w:p>
    <w:p w14:paraId="3ADC8027" w14:textId="77777777" w:rsidR="00A000AC" w:rsidRDefault="00A000AC">
      <w:pPr>
        <w:ind w:left="644" w:right="-574"/>
        <w:jc w:val="both"/>
        <w:rPr>
          <w:rFonts w:ascii="Open Sans" w:eastAsia="Open Sans" w:hAnsi="Open Sans" w:cs="Open Sans"/>
        </w:rPr>
      </w:pPr>
    </w:p>
    <w:p w14:paraId="382D3827" w14:textId="3048CF36" w:rsidR="00A000AC" w:rsidRDefault="00426316">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 xml:space="preserve">Madrid, 27 de </w:t>
      </w:r>
      <w:r w:rsidR="00E37981">
        <w:rPr>
          <w:rFonts w:ascii="Open Sans" w:eastAsia="Open Sans" w:hAnsi="Open Sans" w:cs="Open Sans"/>
          <w:b/>
          <w:color w:val="303AB2"/>
        </w:rPr>
        <w:t>mayo</w:t>
      </w:r>
      <w:r>
        <w:rPr>
          <w:rFonts w:ascii="Open Sans" w:eastAsia="Open Sans" w:hAnsi="Open Sans" w:cs="Open Sans"/>
          <w:b/>
          <w:color w:val="303AB2"/>
        </w:rPr>
        <w:t xml:space="preserve"> de 2022</w:t>
      </w:r>
    </w:p>
    <w:p w14:paraId="5F4A4B95" w14:textId="40428459" w:rsidR="00E37981" w:rsidRDefault="00426316">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Los datos de Hipotecas correspondientes al pasado mes de </w:t>
      </w:r>
      <w:r w:rsidR="00E37981">
        <w:rPr>
          <w:rFonts w:ascii="Open Sans" w:eastAsia="Open Sans" w:hAnsi="Open Sans" w:cs="Open Sans"/>
          <w:sz w:val="21"/>
          <w:szCs w:val="21"/>
        </w:rPr>
        <w:t>marzo</w:t>
      </w:r>
      <w:r>
        <w:rPr>
          <w:rFonts w:ascii="Open Sans" w:eastAsia="Open Sans" w:hAnsi="Open Sans" w:cs="Open Sans"/>
          <w:sz w:val="21"/>
          <w:szCs w:val="21"/>
        </w:rPr>
        <w:t xml:space="preserve"> dados a conocer hoy por el INE, reflejan un incremento mensual del </w:t>
      </w:r>
      <w:r>
        <w:rPr>
          <w:rFonts w:ascii="Open Sans" w:eastAsia="Open Sans" w:hAnsi="Open Sans" w:cs="Open Sans"/>
          <w:b/>
          <w:sz w:val="21"/>
          <w:szCs w:val="21"/>
        </w:rPr>
        <w:t>1</w:t>
      </w:r>
      <w:r w:rsidR="00E37981">
        <w:rPr>
          <w:rFonts w:ascii="Open Sans" w:eastAsia="Open Sans" w:hAnsi="Open Sans" w:cs="Open Sans"/>
          <w:b/>
          <w:sz w:val="21"/>
          <w:szCs w:val="21"/>
        </w:rPr>
        <w:t>8,7</w:t>
      </w:r>
      <w:r>
        <w:rPr>
          <w:rFonts w:ascii="Open Sans" w:eastAsia="Open Sans" w:hAnsi="Open Sans" w:cs="Open Sans"/>
          <w:b/>
          <w:sz w:val="21"/>
          <w:szCs w:val="21"/>
        </w:rPr>
        <w:t>%</w:t>
      </w:r>
      <w:r>
        <w:rPr>
          <w:rFonts w:ascii="Open Sans" w:eastAsia="Open Sans" w:hAnsi="Open Sans" w:cs="Open Sans"/>
          <w:sz w:val="21"/>
          <w:szCs w:val="21"/>
        </w:rPr>
        <w:t xml:space="preserve">, y una subida interanual del </w:t>
      </w:r>
      <w:r w:rsidR="00E37981">
        <w:rPr>
          <w:rFonts w:ascii="Open Sans" w:eastAsia="Open Sans" w:hAnsi="Open Sans" w:cs="Open Sans"/>
          <w:b/>
          <w:sz w:val="21"/>
          <w:szCs w:val="21"/>
        </w:rPr>
        <w:t>18</w:t>
      </w:r>
      <w:r>
        <w:rPr>
          <w:rFonts w:ascii="Open Sans" w:eastAsia="Open Sans" w:hAnsi="Open Sans" w:cs="Open Sans"/>
          <w:b/>
          <w:sz w:val="21"/>
          <w:szCs w:val="21"/>
        </w:rPr>
        <w:t>%</w:t>
      </w:r>
      <w:r>
        <w:rPr>
          <w:rFonts w:ascii="Open Sans" w:eastAsia="Open Sans" w:hAnsi="Open Sans" w:cs="Open Sans"/>
          <w:sz w:val="21"/>
          <w:szCs w:val="21"/>
        </w:rPr>
        <w:t xml:space="preserve">, encadenando </w:t>
      </w:r>
      <w:r w:rsidR="00E37981">
        <w:rPr>
          <w:rFonts w:ascii="Open Sans" w:eastAsia="Open Sans" w:hAnsi="Open Sans" w:cs="Open Sans"/>
          <w:sz w:val="21"/>
          <w:szCs w:val="21"/>
        </w:rPr>
        <w:t>trece</w:t>
      </w:r>
      <w:r>
        <w:rPr>
          <w:rFonts w:ascii="Open Sans" w:eastAsia="Open Sans" w:hAnsi="Open Sans" w:cs="Open Sans"/>
          <w:sz w:val="21"/>
          <w:szCs w:val="21"/>
        </w:rPr>
        <w:t xml:space="preserve"> meses de incrementos interanuales consecutivos superando las 30.000 </w:t>
      </w:r>
      <w:r>
        <w:rPr>
          <w:rFonts w:ascii="Open Sans" w:eastAsia="Open Sans" w:hAnsi="Open Sans" w:cs="Open Sans"/>
          <w:sz w:val="21"/>
          <w:szCs w:val="21"/>
        </w:rPr>
        <w:t xml:space="preserve">hipotecas firmadas. </w:t>
      </w:r>
    </w:p>
    <w:p w14:paraId="7B48357A" w14:textId="6C70520D" w:rsidR="00A000AC" w:rsidRDefault="00426316">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Así, el 2022 continúa muy </w:t>
      </w:r>
      <w:r w:rsidR="00E37981">
        <w:rPr>
          <w:rFonts w:ascii="Open Sans" w:eastAsia="Open Sans" w:hAnsi="Open Sans" w:cs="Open Sans"/>
          <w:sz w:val="21"/>
          <w:szCs w:val="21"/>
        </w:rPr>
        <w:t xml:space="preserve">dinámico y mostrando una actividad similar a la que vivimos hace una década. En concreto, el pasado mes de marzo </w:t>
      </w:r>
      <w:r w:rsidR="00E37981" w:rsidRPr="00BE614A">
        <w:rPr>
          <w:rFonts w:ascii="Open Sans" w:eastAsia="Open Sans" w:hAnsi="Open Sans" w:cs="Open Sans"/>
          <w:b/>
          <w:bCs/>
          <w:sz w:val="21"/>
          <w:szCs w:val="21"/>
        </w:rPr>
        <w:t>se firmaron 43.378 hipotecas y es el mejor mes de marzo desde hace 11 años.</w:t>
      </w:r>
      <w:r w:rsidR="00E37981">
        <w:rPr>
          <w:rFonts w:ascii="Open Sans" w:eastAsia="Open Sans" w:hAnsi="Open Sans" w:cs="Open Sans"/>
          <w:sz w:val="21"/>
          <w:szCs w:val="21"/>
        </w:rPr>
        <w:t xml:space="preserve"> </w:t>
      </w:r>
      <w:r>
        <w:rPr>
          <w:rFonts w:ascii="Open Sans" w:eastAsia="Open Sans" w:hAnsi="Open Sans" w:cs="Open Sans"/>
          <w:sz w:val="21"/>
          <w:szCs w:val="21"/>
        </w:rPr>
        <w:t xml:space="preserve"> “</w:t>
      </w:r>
      <w:r w:rsidR="00E37981">
        <w:rPr>
          <w:rFonts w:ascii="Open Sans" w:eastAsia="Open Sans" w:hAnsi="Open Sans" w:cs="Open Sans"/>
          <w:sz w:val="21"/>
          <w:szCs w:val="21"/>
        </w:rPr>
        <w:t xml:space="preserve">A pesar de que estamos en un momento con </w:t>
      </w:r>
      <w:r w:rsidR="00E6297E">
        <w:rPr>
          <w:rFonts w:ascii="Open Sans" w:eastAsia="Open Sans" w:hAnsi="Open Sans" w:cs="Open Sans"/>
          <w:sz w:val="21"/>
          <w:szCs w:val="21"/>
        </w:rPr>
        <w:t xml:space="preserve">una </w:t>
      </w:r>
      <w:r w:rsidR="00E37981">
        <w:rPr>
          <w:rFonts w:ascii="Open Sans" w:eastAsia="Open Sans" w:hAnsi="Open Sans" w:cs="Open Sans"/>
          <w:sz w:val="21"/>
          <w:szCs w:val="21"/>
        </w:rPr>
        <w:t xml:space="preserve">inflación en máximos, </w:t>
      </w:r>
      <w:r w:rsidR="00E6297E">
        <w:rPr>
          <w:rFonts w:ascii="Open Sans" w:eastAsia="Open Sans" w:hAnsi="Open Sans" w:cs="Open Sans"/>
          <w:sz w:val="21"/>
          <w:szCs w:val="21"/>
        </w:rPr>
        <w:t>una tasa de ahorro de las familias que se está reduciendo y con un conflicto bélico</w:t>
      </w:r>
      <w:r w:rsidR="00E37981">
        <w:rPr>
          <w:rFonts w:ascii="Open Sans" w:eastAsia="Open Sans" w:hAnsi="Open Sans" w:cs="Open Sans"/>
          <w:sz w:val="21"/>
          <w:szCs w:val="21"/>
        </w:rPr>
        <w:t xml:space="preserve"> </w:t>
      </w:r>
      <w:r w:rsidR="00E6297E">
        <w:rPr>
          <w:rFonts w:ascii="Open Sans" w:eastAsia="Open Sans" w:hAnsi="Open Sans" w:cs="Open Sans"/>
          <w:sz w:val="21"/>
          <w:szCs w:val="21"/>
        </w:rPr>
        <w:t>en suelo europeo de momento podemos decir que nada de esto está parando la gran actividad inmobiliaria que llevamos registrando el último año. Una vez más e</w:t>
      </w:r>
      <w:r>
        <w:rPr>
          <w:rFonts w:ascii="Open Sans" w:eastAsia="Open Sans" w:hAnsi="Open Sans" w:cs="Open Sans"/>
          <w:sz w:val="21"/>
          <w:szCs w:val="21"/>
        </w:rPr>
        <w:t>sta concesión de hipotecas tan elevada pone de manifiesto el gran dinamismo que está viviendo el sector inmobiliario y, en concreto, la compra de vivienda que ha impulsado el sector dando por s</w:t>
      </w:r>
      <w:r>
        <w:rPr>
          <w:rFonts w:ascii="Open Sans" w:eastAsia="Open Sans" w:hAnsi="Open Sans" w:cs="Open Sans"/>
          <w:sz w:val="21"/>
          <w:szCs w:val="21"/>
        </w:rPr>
        <w:t xml:space="preserve">entada la recuperación del inmobiliario en menos de dos años”, explica María Matos, directora de Estudios y Portavoz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2C08A5C6" w14:textId="36358AF2" w:rsidR="00E6297E" w:rsidRDefault="00E6297E">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Además, un dato interesante es que </w:t>
      </w:r>
      <w:r w:rsidRPr="00BE614A">
        <w:rPr>
          <w:rFonts w:ascii="Open Sans" w:eastAsia="Open Sans" w:hAnsi="Open Sans" w:cs="Open Sans"/>
          <w:b/>
          <w:bCs/>
          <w:sz w:val="21"/>
          <w:szCs w:val="21"/>
        </w:rPr>
        <w:t>el 72,7% de las hipotecas sobre vivienda se constituyeron a tipo fijo y es uno de los porcentajes más altos de la serie histórica</w:t>
      </w:r>
      <w:r>
        <w:rPr>
          <w:rFonts w:ascii="Open Sans" w:eastAsia="Open Sans" w:hAnsi="Open Sans" w:cs="Open Sans"/>
          <w:sz w:val="21"/>
          <w:szCs w:val="21"/>
        </w:rPr>
        <w:t>. “Esta concesión de hipotecas a tipo fijo es un claro reflejo de la incertidumbre que hay sobre el futuro del Euríbor y los tipos de interés. Muchas familias prefieren cerrar una hipoteca a tipo fijo que enfrentarse a un posible encarecimiento de la cuota en un futuro. Este hecho puede hacer que las entidades bancarias empiecen ya a encarecer las hipotecas fijas”, comenta la directora de Estudios.</w:t>
      </w:r>
    </w:p>
    <w:p w14:paraId="1C387645" w14:textId="67714D36" w:rsidR="00A000AC" w:rsidRDefault="00E6297E">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En España actualmente tres</w:t>
      </w:r>
      <w:r w:rsidR="00426316">
        <w:rPr>
          <w:rFonts w:ascii="Open Sans" w:eastAsia="Open Sans" w:hAnsi="Open Sans" w:cs="Open Sans"/>
          <w:sz w:val="21"/>
          <w:szCs w:val="21"/>
        </w:rPr>
        <w:t xml:space="preserve"> de cada cuatro compradores financiaron la operación de compra mediante alguna hipoteca. Concretamente, en 2021, el 74% de los que quieren adquirir una vivienda solicitan un crédito. </w:t>
      </w:r>
      <w:r w:rsidR="00426316">
        <w:rPr>
          <w:rFonts w:ascii="Open Sans" w:eastAsia="Open Sans" w:hAnsi="Open Sans" w:cs="Open Sans"/>
        </w:rPr>
        <w:t>Es una de las principales conclusiones que se desprenden de</w:t>
      </w:r>
      <w:r w:rsidR="00426316">
        <w:rPr>
          <w:rFonts w:ascii="Open Sans" w:eastAsia="Open Sans" w:hAnsi="Open Sans" w:cs="Open Sans"/>
        </w:rPr>
        <w:t>l informe “</w:t>
      </w:r>
      <w:hyperlink r:id="rId9">
        <w:r w:rsidR="00426316">
          <w:rPr>
            <w:rFonts w:ascii="Open Sans" w:eastAsia="Open Sans" w:hAnsi="Open Sans" w:cs="Open Sans"/>
            <w:b/>
            <w:color w:val="0000FF"/>
            <w:u w:val="single"/>
          </w:rPr>
          <w:t>Perfil del hipotecado español</w:t>
        </w:r>
      </w:hyperlink>
      <w:r w:rsidR="00426316">
        <w:rPr>
          <w:rFonts w:ascii="Open Sans" w:eastAsia="Open Sans" w:hAnsi="Open Sans" w:cs="Open Sans"/>
        </w:rPr>
        <w:t xml:space="preserve">” elaborado por </w:t>
      </w:r>
      <w:hyperlink r:id="rId10">
        <w:r w:rsidR="00426316">
          <w:rPr>
            <w:rFonts w:ascii="Open Sans" w:eastAsia="Open Sans" w:hAnsi="Open Sans" w:cs="Open Sans"/>
            <w:color w:val="0000FF"/>
            <w:u w:val="single"/>
          </w:rPr>
          <w:t>Fotocasa</w:t>
        </w:r>
      </w:hyperlink>
      <w:r w:rsidR="00426316">
        <w:rPr>
          <w:rFonts w:ascii="Open Sans" w:eastAsia="Open Sans" w:hAnsi="Open Sans" w:cs="Open Sans"/>
          <w:sz w:val="21"/>
          <w:szCs w:val="21"/>
        </w:rPr>
        <w:t>, en el que también se muest</w:t>
      </w:r>
      <w:r w:rsidR="00426316">
        <w:rPr>
          <w:rFonts w:ascii="Open Sans" w:eastAsia="Open Sans" w:hAnsi="Open Sans" w:cs="Open Sans"/>
          <w:sz w:val="21"/>
          <w:szCs w:val="21"/>
        </w:rPr>
        <w:t xml:space="preserve">ra que </w:t>
      </w:r>
      <w:r w:rsidR="00426316">
        <w:rPr>
          <w:rFonts w:ascii="Open Sans" w:eastAsia="Open Sans" w:hAnsi="Open Sans" w:cs="Open Sans"/>
          <w:b/>
          <w:sz w:val="21"/>
          <w:szCs w:val="21"/>
        </w:rPr>
        <w:t>la hipoteca a tipo fijo está al alza, ya que casi el 60% de los compradores optan por ella</w:t>
      </w:r>
      <w:r w:rsidR="00426316">
        <w:rPr>
          <w:rFonts w:ascii="Open Sans" w:eastAsia="Open Sans" w:hAnsi="Open Sans" w:cs="Open Sans"/>
          <w:sz w:val="21"/>
          <w:szCs w:val="21"/>
        </w:rPr>
        <w:t>, al ofrecer un buen precio y aportar seguridad a largo plazo.</w:t>
      </w:r>
    </w:p>
    <w:p w14:paraId="3D1DECBD" w14:textId="1A312B95" w:rsidR="00A000AC" w:rsidRDefault="00426316">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“Las condiciones hipotecarias han cambiado en 2022, la inflación desorbitada durante este año ob</w:t>
      </w:r>
      <w:r>
        <w:rPr>
          <w:rFonts w:ascii="Open Sans" w:eastAsia="Open Sans" w:hAnsi="Open Sans" w:cs="Open Sans"/>
          <w:sz w:val="21"/>
          <w:szCs w:val="21"/>
        </w:rPr>
        <w:t>ligará al BCE a subir paulatinamente los tipos de interés, pero este cambio no debería frenar el mercado ni desincentivar la compra, ya que los niveles de tipos vistos a lo largo de 2021</w:t>
      </w:r>
      <w:r w:rsidR="00C1037C">
        <w:rPr>
          <w:rFonts w:ascii="Open Sans" w:eastAsia="Open Sans" w:hAnsi="Open Sans" w:cs="Open Sans"/>
          <w:sz w:val="21"/>
          <w:szCs w:val="21"/>
        </w:rPr>
        <w:t xml:space="preserve"> </w:t>
      </w:r>
      <w:r>
        <w:rPr>
          <w:rFonts w:ascii="Open Sans" w:eastAsia="Open Sans" w:hAnsi="Open Sans" w:cs="Open Sans"/>
          <w:sz w:val="21"/>
          <w:szCs w:val="21"/>
        </w:rPr>
        <w:t>no eran habituales. De hecho, ya hemos detectado pequeños incremento</w:t>
      </w:r>
      <w:r>
        <w:rPr>
          <w:rFonts w:ascii="Open Sans" w:eastAsia="Open Sans" w:hAnsi="Open Sans" w:cs="Open Sans"/>
          <w:sz w:val="21"/>
          <w:szCs w:val="21"/>
        </w:rPr>
        <w:t>s y cambios en la estrategia de algunas de las entidades más importantes de España”, asegura la Portavoz y añade que “la salud de la banca es crucial para que la financiación siga llegando al bolsillo de las familias españolas. Es una prueba de que los ban</w:t>
      </w:r>
      <w:r>
        <w:rPr>
          <w:rFonts w:ascii="Open Sans" w:eastAsia="Open Sans" w:hAnsi="Open Sans" w:cs="Open Sans"/>
          <w:sz w:val="21"/>
          <w:szCs w:val="21"/>
        </w:rPr>
        <w:t>cos encaran este año con las cuentas saneadas y con unos cimientos sólidos. Probablemente las adquisiciones de hipotecas se mantengan estables, e irán variando al ritmo de las compraventas”, asegura la Portavoz.</w:t>
      </w:r>
    </w:p>
    <w:p w14:paraId="1F3557F8" w14:textId="608DCE07" w:rsidR="00C1037C" w:rsidRDefault="00426316">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esta línea, según el informe </w:t>
      </w:r>
      <w:hyperlink r:id="rId11" w:history="1">
        <w:r w:rsidR="00C1037C" w:rsidRPr="00C1037C">
          <w:rPr>
            <w:rStyle w:val="Hipervnculo"/>
            <w:rFonts w:ascii="Open Sans" w:eastAsia="Open Sans" w:hAnsi="Open Sans" w:cs="Open Sans"/>
            <w:b/>
            <w:bCs/>
            <w:i/>
            <w:iCs/>
            <w:sz w:val="21"/>
            <w:szCs w:val="21"/>
          </w:rPr>
          <w:t>Radiografía del mercado de la vivienda en 2021-2022</w:t>
        </w:r>
      </w:hyperlink>
      <w:r w:rsidR="00C1037C">
        <w:rPr>
          <w:rFonts w:ascii="Open Sans" w:eastAsia="Open Sans" w:hAnsi="Open Sans" w:cs="Open Sans"/>
          <w:sz w:val="21"/>
          <w:szCs w:val="21"/>
        </w:rPr>
        <w:t xml:space="preserve"> publicado esta misma semana por Fotocasa, se ve cómo la compra de vivienda en estos momentos sigue siendo la opción preferida para los que se quieren cambiar de vivienda. “De hecho, actualmente un 50% de la demanda quiere comprar, frente al 38% que quiere alquilar. Una diferencia que no habíamos visto nunca en Fotocasa </w:t>
      </w:r>
      <w:proofErr w:type="spellStart"/>
      <w:r w:rsidR="00C1037C">
        <w:rPr>
          <w:rFonts w:ascii="Open Sans" w:eastAsia="Open Sans" w:hAnsi="Open Sans" w:cs="Open Sans"/>
          <w:sz w:val="21"/>
          <w:szCs w:val="21"/>
        </w:rPr>
        <w:t>Research</w:t>
      </w:r>
      <w:proofErr w:type="spellEnd"/>
      <w:r w:rsidR="00C1037C">
        <w:rPr>
          <w:rFonts w:ascii="Open Sans" w:eastAsia="Open Sans" w:hAnsi="Open Sans" w:cs="Open Sans"/>
          <w:sz w:val="21"/>
          <w:szCs w:val="21"/>
        </w:rPr>
        <w:t xml:space="preserve">. </w:t>
      </w:r>
    </w:p>
    <w:p w14:paraId="4CB1E9AB" w14:textId="77777777" w:rsidR="00A000AC" w:rsidRDefault="00A000AC">
      <w:pPr>
        <w:shd w:val="clear" w:color="auto" w:fill="FFFFFF"/>
        <w:spacing w:before="280" w:after="280"/>
        <w:ind w:right="-7"/>
        <w:jc w:val="both"/>
        <w:rPr>
          <w:rFonts w:ascii="Open Sans" w:eastAsia="Open Sans" w:hAnsi="Open Sans" w:cs="Open Sans"/>
          <w:sz w:val="21"/>
          <w:szCs w:val="21"/>
        </w:rPr>
      </w:pPr>
    </w:p>
    <w:p w14:paraId="605E31D7" w14:textId="77777777" w:rsidR="00A000AC" w:rsidRDefault="00426316">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18AAF474" w14:textId="77777777" w:rsidR="00A000AC" w:rsidRDefault="00426316">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7170B677" w14:textId="77777777" w:rsidR="00A000AC" w:rsidRDefault="00426316">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0C14F981" w14:textId="77777777" w:rsidR="00A000AC" w:rsidRDefault="00426316">
      <w:pPr>
        <w:shd w:val="clear" w:color="auto" w:fill="FFFFFF"/>
        <w:ind w:right="-7"/>
        <w:jc w:val="right"/>
        <w:rPr>
          <w:rFonts w:ascii="Open Sans" w:eastAsia="Open Sans" w:hAnsi="Open Sans" w:cs="Open Sans"/>
          <w:sz w:val="21"/>
          <w:szCs w:val="21"/>
        </w:rPr>
      </w:pPr>
      <w:hyperlink r:id="rId12">
        <w:r>
          <w:rPr>
            <w:rFonts w:ascii="Open Sans" w:eastAsia="Open Sans" w:hAnsi="Open Sans" w:cs="Open Sans"/>
            <w:color w:val="0563C1"/>
            <w:sz w:val="21"/>
            <w:szCs w:val="21"/>
            <w:u w:val="single"/>
          </w:rPr>
          <w:t>comunicacion@fotocasa.es</w:t>
        </w:r>
      </w:hyperlink>
    </w:p>
    <w:p w14:paraId="1BB49086" w14:textId="77777777" w:rsidR="00A000AC" w:rsidRDefault="00426316">
      <w:pPr>
        <w:shd w:val="clear" w:color="auto" w:fill="FFFFFF"/>
        <w:ind w:right="-7"/>
        <w:jc w:val="right"/>
        <w:rPr>
          <w:rFonts w:ascii="Open Sans" w:eastAsia="Open Sans" w:hAnsi="Open Sans" w:cs="Open Sans"/>
          <w:sz w:val="21"/>
          <w:szCs w:val="21"/>
        </w:rPr>
      </w:pPr>
      <w:hyperlink r:id="rId13">
        <w:r>
          <w:rPr>
            <w:rFonts w:ascii="Open Sans" w:eastAsia="Open Sans" w:hAnsi="Open Sans" w:cs="Open Sans"/>
            <w:color w:val="0563C1"/>
            <w:sz w:val="21"/>
            <w:szCs w:val="21"/>
            <w:u w:val="single"/>
          </w:rPr>
          <w:t>http://prensa.fotocasa.es</w:t>
        </w:r>
      </w:hyperlink>
    </w:p>
    <w:p w14:paraId="7919232B" w14:textId="77777777" w:rsidR="00A000AC" w:rsidRDefault="00426316">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54671531" w14:textId="77777777" w:rsidR="00A000AC" w:rsidRDefault="00A000AC"/>
    <w:sectPr w:rsidR="00A000AC">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E23B" w14:textId="77777777" w:rsidR="00426316" w:rsidRDefault="00426316">
      <w:pPr>
        <w:spacing w:line="240" w:lineRule="auto"/>
      </w:pPr>
      <w:r>
        <w:separator/>
      </w:r>
    </w:p>
  </w:endnote>
  <w:endnote w:type="continuationSeparator" w:id="0">
    <w:p w14:paraId="0361CCED" w14:textId="77777777" w:rsidR="00426316" w:rsidRDefault="0042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81AF" w14:textId="77777777" w:rsidR="00A000AC" w:rsidRDefault="00426316">
    <w:r>
      <w:rPr>
        <w:noProof/>
      </w:rPr>
      <w:drawing>
        <wp:anchor distT="0" distB="0" distL="0" distR="0" simplePos="0" relativeHeight="251658240" behindDoc="0" locked="0" layoutInCell="1" hidden="0" allowOverlap="1" wp14:anchorId="28827E5D" wp14:editId="31366BCF">
          <wp:simplePos x="0" y="0"/>
          <wp:positionH relativeFrom="column">
            <wp:posOffset>-1939348</wp:posOffset>
          </wp:positionH>
          <wp:positionV relativeFrom="paragraph">
            <wp:posOffset>0</wp:posOffset>
          </wp:positionV>
          <wp:extent cx="8620125" cy="44767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AE55" w14:textId="77777777" w:rsidR="00426316" w:rsidRDefault="00426316">
      <w:pPr>
        <w:spacing w:line="240" w:lineRule="auto"/>
      </w:pPr>
      <w:r>
        <w:separator/>
      </w:r>
    </w:p>
  </w:footnote>
  <w:footnote w:type="continuationSeparator" w:id="0">
    <w:p w14:paraId="47E66360" w14:textId="77777777" w:rsidR="00426316" w:rsidRDefault="004263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AC"/>
    <w:rsid w:val="00426316"/>
    <w:rsid w:val="00A000AC"/>
    <w:rsid w:val="00BE614A"/>
    <w:rsid w:val="00C1037C"/>
    <w:rsid w:val="00E37981"/>
    <w:rsid w:val="00E62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B9C4"/>
  <w15:docId w15:val="{EB8693C5-8B58-4F46-8939-35DD64C8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earch.fotocasa.es/radiografia-del-mercado-de-la-vivienda-2021-2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otocasa.es/es/" TargetMode="External"/><Relationship Id="rId4" Type="http://schemas.openxmlformats.org/officeDocument/2006/relationships/webSettings" Target="webSettings.xml"/><Relationship Id="rId9" Type="http://schemas.openxmlformats.org/officeDocument/2006/relationships/hyperlink" Target="https://s36360.pcdn.co/wp-content/uploads/2021/11/Informe-perfil-hipotecado-hipotecascom-202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qz9GRWItGX42YipgNqcqw4IVw==">AMUW2mXAFAFc19cnQljTE6wOzCmkGl1aBv1B9qfSdLmhBZy3vP70HOEXF/4CAQ5q8FKrP4mH/6dCHybzKNzHiMs6bzP1g25yGMdw1MpMj0fJ+r5scht2u8s=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2022-05-27T10:04:00Z</dcterms:created>
  <dcterms:modified xsi:type="dcterms:W3CDTF">2022-05-27T10:18:00Z</dcterms:modified>
</cp:coreProperties>
</file>